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54687D">
      <w:pPr>
        <w:ind w:firstLine="480"/>
        <w:rPr>
          <w:color w:val="FF0000"/>
        </w:rPr>
      </w:pPr>
    </w:p>
    <w:p w14:paraId="06E8AF77">
      <w:pPr>
        <w:spacing w:after="200"/>
        <w:ind w:firstLine="0" w:firstLineChars="0"/>
        <w:jc w:val="center"/>
        <w:rPr>
          <w:rFonts w:ascii="宋体"/>
          <w:b/>
          <w:bCs/>
          <w:color w:val="FF0000"/>
          <w:sz w:val="48"/>
          <w:szCs w:val="48"/>
        </w:rPr>
      </w:pPr>
    </w:p>
    <w:p w14:paraId="1845806B">
      <w:pPr>
        <w:widowControl w:val="0"/>
        <w:ind w:firstLine="0" w:firstLineChars="0"/>
        <w:jc w:val="center"/>
        <w:rPr>
          <w:rFonts w:hint="eastAsia" w:ascii="宋体" w:hAnsi="宋体"/>
          <w:b/>
          <w:color w:val="auto"/>
          <w:sz w:val="44"/>
          <w:szCs w:val="44"/>
          <w:lang w:val="en-US" w:eastAsia="zh-CN"/>
        </w:rPr>
      </w:pPr>
      <w:r>
        <w:rPr>
          <w:rFonts w:hint="eastAsia" w:ascii="宋体" w:hAnsi="宋体"/>
          <w:b/>
          <w:color w:val="auto"/>
          <w:sz w:val="44"/>
          <w:szCs w:val="44"/>
          <w:lang w:val="en-US" w:eastAsia="zh-CN"/>
        </w:rPr>
        <w:t>四川金顶维食品有限公司</w:t>
      </w:r>
    </w:p>
    <w:p w14:paraId="4E0AF1AE">
      <w:pPr>
        <w:widowControl w:val="0"/>
        <w:ind w:firstLine="0" w:firstLineChars="0"/>
        <w:jc w:val="center"/>
        <w:rPr>
          <w:rFonts w:hint="default" w:ascii="宋体" w:hAnsi="宋体"/>
          <w:b/>
          <w:color w:val="auto"/>
          <w:sz w:val="44"/>
          <w:szCs w:val="44"/>
          <w:lang w:val="en-US"/>
        </w:rPr>
      </w:pPr>
      <w:r>
        <w:rPr>
          <w:rFonts w:hint="eastAsia" w:ascii="宋体" w:hAnsi="宋体"/>
          <w:b/>
          <w:color w:val="auto"/>
          <w:sz w:val="44"/>
          <w:szCs w:val="44"/>
          <w:lang w:val="en-US" w:eastAsia="zh-CN"/>
        </w:rPr>
        <w:t>餐佐料生产线扩建项目</w:t>
      </w:r>
    </w:p>
    <w:p w14:paraId="0356333B">
      <w:pPr>
        <w:widowControl w:val="0"/>
        <w:ind w:firstLine="0" w:firstLineChars="0"/>
        <w:jc w:val="center"/>
        <w:rPr>
          <w:rFonts w:ascii="宋体" w:hAnsi="宋体"/>
          <w:b/>
          <w:color w:val="auto"/>
          <w:sz w:val="44"/>
          <w:szCs w:val="44"/>
        </w:rPr>
      </w:pPr>
      <w:r>
        <w:rPr>
          <w:rFonts w:hint="eastAsia" w:ascii="宋体" w:hAnsi="宋体"/>
          <w:b/>
          <w:color w:val="auto"/>
          <w:sz w:val="44"/>
          <w:szCs w:val="44"/>
        </w:rPr>
        <w:t>竣工环境保护验收监测报告表</w:t>
      </w:r>
    </w:p>
    <w:p w14:paraId="6F678486">
      <w:pPr>
        <w:pStyle w:val="13"/>
        <w:ind w:left="0" w:right="-70" w:firstLine="560"/>
        <w:jc w:val="center"/>
        <w:rPr>
          <w:rFonts w:eastAsia="仿宋_GB2312"/>
          <w:color w:val="auto"/>
          <w:sz w:val="28"/>
        </w:rPr>
      </w:pPr>
    </w:p>
    <w:p w14:paraId="75050F9F">
      <w:pPr>
        <w:pStyle w:val="13"/>
        <w:ind w:left="0" w:right="-70" w:firstLine="560"/>
        <w:jc w:val="center"/>
        <w:rPr>
          <w:rFonts w:eastAsia="仿宋_GB2312"/>
          <w:color w:val="auto"/>
          <w:sz w:val="28"/>
        </w:rPr>
      </w:pPr>
    </w:p>
    <w:p w14:paraId="0530AF78">
      <w:pPr>
        <w:pStyle w:val="13"/>
        <w:ind w:left="0" w:right="-70" w:firstLine="560"/>
        <w:jc w:val="center"/>
        <w:rPr>
          <w:rFonts w:eastAsia="仿宋_GB2312"/>
          <w:color w:val="auto"/>
          <w:sz w:val="28"/>
        </w:rPr>
      </w:pPr>
    </w:p>
    <w:p w14:paraId="3CEDBE01">
      <w:pPr>
        <w:pStyle w:val="13"/>
        <w:ind w:left="0" w:right="-70" w:firstLine="560"/>
        <w:jc w:val="center"/>
        <w:rPr>
          <w:rFonts w:eastAsia="仿宋_GB2312"/>
          <w:color w:val="auto"/>
          <w:sz w:val="28"/>
        </w:rPr>
      </w:pPr>
    </w:p>
    <w:p w14:paraId="39F90699">
      <w:pPr>
        <w:pStyle w:val="13"/>
        <w:ind w:left="0" w:right="-70" w:firstLine="560"/>
        <w:jc w:val="center"/>
        <w:rPr>
          <w:rFonts w:eastAsia="仿宋_GB2312"/>
          <w:color w:val="auto"/>
          <w:sz w:val="28"/>
        </w:rPr>
      </w:pPr>
    </w:p>
    <w:p w14:paraId="25A941B5">
      <w:pPr>
        <w:ind w:firstLine="0" w:firstLineChars="0"/>
        <w:rPr>
          <w:rFonts w:ascii="宋体"/>
          <w:b/>
          <w:bCs/>
          <w:color w:val="auto"/>
          <w:sz w:val="48"/>
          <w:szCs w:val="48"/>
        </w:rPr>
      </w:pPr>
    </w:p>
    <w:p w14:paraId="1493EFC1">
      <w:pPr>
        <w:widowControl w:val="0"/>
        <w:adjustRightInd/>
        <w:snapToGrid/>
        <w:spacing w:after="200"/>
        <w:ind w:firstLine="0" w:firstLineChars="0"/>
        <w:rPr>
          <w:rFonts w:ascii="宋体"/>
          <w:b/>
          <w:color w:val="auto"/>
          <w:sz w:val="48"/>
          <w:szCs w:val="48"/>
        </w:rPr>
      </w:pPr>
    </w:p>
    <w:p w14:paraId="7103F238">
      <w:pPr>
        <w:widowControl w:val="0"/>
        <w:adjustRightInd/>
        <w:snapToGrid/>
        <w:spacing w:after="200"/>
        <w:ind w:firstLine="0" w:firstLineChars="0"/>
        <w:rPr>
          <w:rFonts w:ascii="宋体"/>
          <w:b/>
          <w:color w:val="auto"/>
          <w:sz w:val="48"/>
          <w:szCs w:val="48"/>
        </w:rPr>
      </w:pPr>
    </w:p>
    <w:tbl>
      <w:tblPr>
        <w:tblStyle w:val="27"/>
        <w:tblW w:w="0" w:type="auto"/>
        <w:jc w:val="center"/>
        <w:tblLayout w:type="autofit"/>
        <w:tblCellMar>
          <w:top w:w="0" w:type="dxa"/>
          <w:left w:w="108" w:type="dxa"/>
          <w:bottom w:w="0" w:type="dxa"/>
          <w:right w:w="108" w:type="dxa"/>
        </w:tblCellMar>
      </w:tblPr>
      <w:tblGrid>
        <w:gridCol w:w="1701"/>
        <w:gridCol w:w="5370"/>
      </w:tblGrid>
      <w:tr w14:paraId="3C405898">
        <w:tblPrEx>
          <w:tblCellMar>
            <w:top w:w="0" w:type="dxa"/>
            <w:left w:w="108" w:type="dxa"/>
            <w:bottom w:w="0" w:type="dxa"/>
            <w:right w:w="108" w:type="dxa"/>
          </w:tblCellMar>
        </w:tblPrEx>
        <w:trPr>
          <w:jc w:val="center"/>
        </w:trPr>
        <w:tc>
          <w:tcPr>
            <w:tcW w:w="1701" w:type="dxa"/>
          </w:tcPr>
          <w:p w14:paraId="0BB2CC16">
            <w:pPr>
              <w:keepNext w:val="0"/>
              <w:keepLines w:val="0"/>
              <w:widowControl w:val="0"/>
              <w:suppressLineNumbers w:val="0"/>
              <w:adjustRightInd/>
              <w:snapToGrid/>
              <w:spacing w:before="0" w:beforeAutospacing="0" w:after="200" w:afterAutospacing="0"/>
              <w:ind w:left="0" w:right="0" w:firstLine="0" w:firstLineChars="0"/>
              <w:rPr>
                <w:rFonts w:hint="default" w:ascii="仿宋" w:hAnsi="仿宋" w:eastAsia="仿宋"/>
                <w:b/>
                <w:color w:val="auto"/>
                <w:kern w:val="2"/>
                <w:sz w:val="21"/>
                <w:szCs w:val="21"/>
              </w:rPr>
            </w:pPr>
            <w:r>
              <w:rPr>
                <w:rFonts w:hint="eastAsia" w:eastAsia="仿宋_GB2312"/>
                <w:b/>
                <w:color w:val="auto"/>
                <w:kern w:val="2"/>
                <w:sz w:val="32"/>
                <w:szCs w:val="32"/>
              </w:rPr>
              <w:t>建设单位：</w:t>
            </w:r>
          </w:p>
        </w:tc>
        <w:tc>
          <w:tcPr>
            <w:tcW w:w="5370" w:type="dxa"/>
            <w:vAlign w:val="center"/>
          </w:tcPr>
          <w:p w14:paraId="0212142C">
            <w:pPr>
              <w:keepNext w:val="0"/>
              <w:keepLines w:val="0"/>
              <w:widowControl/>
              <w:suppressLineNumbers w:val="0"/>
              <w:spacing w:before="0" w:beforeAutospacing="0" w:after="0" w:afterAutospacing="0"/>
              <w:ind w:left="0" w:right="0" w:firstLine="0" w:firstLineChars="0"/>
              <w:rPr>
                <w:rFonts w:hint="default" w:eastAsia="仿宋_GB2312"/>
                <w:b/>
                <w:color w:val="auto"/>
                <w:kern w:val="2"/>
                <w:sz w:val="32"/>
                <w:szCs w:val="32"/>
                <w:lang w:val="en-US" w:eastAsia="zh-CN"/>
              </w:rPr>
            </w:pPr>
            <w:r>
              <w:rPr>
                <w:rFonts w:hint="eastAsia" w:eastAsia="仿宋_GB2312"/>
                <w:b/>
                <w:color w:val="auto"/>
                <w:kern w:val="2"/>
                <w:sz w:val="32"/>
                <w:szCs w:val="32"/>
                <w:lang w:val="en-US" w:eastAsia="zh-CN"/>
              </w:rPr>
              <w:t>四川金顶维食品有限公司</w:t>
            </w:r>
          </w:p>
        </w:tc>
      </w:tr>
      <w:tr w14:paraId="2D6F634B">
        <w:tblPrEx>
          <w:tblCellMar>
            <w:top w:w="0" w:type="dxa"/>
            <w:left w:w="108" w:type="dxa"/>
            <w:bottom w:w="0" w:type="dxa"/>
            <w:right w:w="108" w:type="dxa"/>
          </w:tblCellMar>
        </w:tblPrEx>
        <w:trPr>
          <w:jc w:val="center"/>
        </w:trPr>
        <w:tc>
          <w:tcPr>
            <w:tcW w:w="1701" w:type="dxa"/>
          </w:tcPr>
          <w:p w14:paraId="1D2C8C00">
            <w:pPr>
              <w:keepNext w:val="0"/>
              <w:keepLines w:val="0"/>
              <w:widowControl w:val="0"/>
              <w:suppressLineNumbers w:val="0"/>
              <w:adjustRightInd/>
              <w:snapToGrid/>
              <w:spacing w:before="0" w:beforeAutospacing="0" w:after="200" w:afterAutospacing="0"/>
              <w:ind w:left="0" w:right="0" w:firstLine="0" w:firstLineChars="0"/>
              <w:rPr>
                <w:rFonts w:hint="default" w:eastAsia="仿宋_GB2312"/>
                <w:b/>
                <w:color w:val="auto"/>
                <w:kern w:val="2"/>
                <w:sz w:val="32"/>
                <w:szCs w:val="32"/>
              </w:rPr>
            </w:pPr>
            <w:r>
              <w:rPr>
                <w:rFonts w:hint="eastAsia" w:eastAsia="仿宋_GB2312"/>
                <w:b/>
                <w:color w:val="auto"/>
                <w:kern w:val="2"/>
                <w:sz w:val="32"/>
                <w:szCs w:val="32"/>
              </w:rPr>
              <w:t>编制单位：</w:t>
            </w:r>
          </w:p>
        </w:tc>
        <w:tc>
          <w:tcPr>
            <w:tcW w:w="5370" w:type="dxa"/>
            <w:vAlign w:val="center"/>
          </w:tcPr>
          <w:p w14:paraId="1170840A">
            <w:pPr>
              <w:keepNext w:val="0"/>
              <w:keepLines w:val="0"/>
              <w:widowControl/>
              <w:suppressLineNumbers w:val="0"/>
              <w:spacing w:before="0" w:beforeAutospacing="0" w:after="0" w:afterAutospacing="0" w:line="240" w:lineRule="auto"/>
              <w:ind w:left="0" w:right="0" w:firstLine="0" w:firstLineChars="0"/>
              <w:rPr>
                <w:rFonts w:hint="eastAsia" w:eastAsia="仿宋_GB2312"/>
                <w:b/>
                <w:color w:val="auto"/>
                <w:kern w:val="2"/>
                <w:sz w:val="32"/>
                <w:szCs w:val="32"/>
                <w:lang w:eastAsia="zh-CN"/>
              </w:rPr>
            </w:pPr>
            <w:r>
              <w:rPr>
                <w:rFonts w:hint="eastAsia" w:eastAsia="仿宋_GB2312"/>
                <w:b/>
                <w:color w:val="auto"/>
                <w:kern w:val="2"/>
                <w:sz w:val="32"/>
                <w:szCs w:val="32"/>
                <w:lang w:val="en-US" w:eastAsia="zh-CN"/>
              </w:rPr>
              <w:t>四川金顶维食品有限公司</w:t>
            </w:r>
          </w:p>
        </w:tc>
      </w:tr>
    </w:tbl>
    <w:p w14:paraId="3938D3B8">
      <w:pPr>
        <w:widowControl w:val="0"/>
        <w:adjustRightInd/>
        <w:snapToGrid/>
        <w:ind w:firstLine="0" w:firstLineChars="0"/>
        <w:jc w:val="center"/>
        <w:rPr>
          <w:rFonts w:eastAsia="仿宋_GB2312"/>
          <w:b/>
          <w:color w:val="auto"/>
          <w:kern w:val="2"/>
          <w:sz w:val="32"/>
          <w:szCs w:val="32"/>
        </w:rPr>
      </w:pPr>
      <w:r>
        <w:rPr>
          <w:rFonts w:hint="eastAsia" w:eastAsia="仿宋_GB2312"/>
          <w:b/>
          <w:color w:val="auto"/>
          <w:kern w:val="2"/>
          <w:sz w:val="32"/>
          <w:szCs w:val="32"/>
        </w:rPr>
        <w:t>二○二</w:t>
      </w:r>
      <w:r>
        <w:rPr>
          <w:rFonts w:hint="eastAsia" w:eastAsia="仿宋_GB2312"/>
          <w:b/>
          <w:color w:val="auto"/>
          <w:kern w:val="2"/>
          <w:sz w:val="32"/>
          <w:szCs w:val="32"/>
          <w:lang w:eastAsia="zh-CN"/>
        </w:rPr>
        <w:t>四</w:t>
      </w:r>
      <w:r>
        <w:rPr>
          <w:rFonts w:hint="eastAsia" w:eastAsia="仿宋_GB2312"/>
          <w:b/>
          <w:color w:val="auto"/>
          <w:kern w:val="2"/>
          <w:sz w:val="32"/>
          <w:szCs w:val="32"/>
        </w:rPr>
        <w:t>年</w:t>
      </w:r>
      <w:r>
        <w:rPr>
          <w:rFonts w:hint="eastAsia" w:eastAsia="仿宋_GB2312"/>
          <w:b/>
          <w:color w:val="auto"/>
          <w:kern w:val="2"/>
          <w:sz w:val="32"/>
          <w:szCs w:val="32"/>
          <w:lang w:eastAsia="zh-CN"/>
        </w:rPr>
        <w:t>九</w:t>
      </w:r>
      <w:r>
        <w:rPr>
          <w:rFonts w:hint="eastAsia" w:eastAsia="仿宋_GB2312"/>
          <w:b/>
          <w:color w:val="auto"/>
          <w:kern w:val="2"/>
          <w:sz w:val="32"/>
          <w:szCs w:val="32"/>
        </w:rPr>
        <w:t>月</w:t>
      </w:r>
    </w:p>
    <w:p w14:paraId="2D4565B8">
      <w:pPr>
        <w:widowControl w:val="0"/>
        <w:adjustRightInd/>
        <w:snapToGrid/>
        <w:ind w:firstLine="0" w:firstLineChars="0"/>
        <w:jc w:val="center"/>
        <w:rPr>
          <w:rFonts w:eastAsia="仿宋_GB2312"/>
          <w:b/>
          <w:color w:val="auto"/>
          <w:kern w:val="2"/>
          <w:sz w:val="32"/>
          <w:szCs w:val="32"/>
        </w:rPr>
      </w:pPr>
    </w:p>
    <w:p w14:paraId="529CD1D4">
      <w:pPr>
        <w:ind w:firstLine="0" w:firstLineChars="0"/>
        <w:rPr>
          <w:rFonts w:eastAsia="仿宋_GB2312"/>
          <w:b/>
          <w:color w:val="auto"/>
          <w:kern w:val="2"/>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299D39FD">
      <w:pPr>
        <w:widowControl w:val="0"/>
        <w:overflowPunct w:val="0"/>
        <w:topLinePunct/>
        <w:adjustRightInd/>
        <w:snapToGrid/>
        <w:spacing w:after="200"/>
        <w:ind w:firstLine="0" w:firstLineChars="0"/>
        <w:rPr>
          <w:rFonts w:hint="eastAsia" w:eastAsia="仿宋_GB2312"/>
          <w:color w:val="auto"/>
          <w:kern w:val="2"/>
          <w:sz w:val="32"/>
          <w:szCs w:val="32"/>
          <w:lang w:eastAsia="zh-CN"/>
        </w:rPr>
      </w:pPr>
      <w:r>
        <w:rPr>
          <w:rFonts w:hint="eastAsia" w:eastAsia="仿宋_GB2312"/>
          <w:b/>
          <w:color w:val="auto"/>
          <w:kern w:val="2"/>
          <w:sz w:val="32"/>
          <w:szCs w:val="32"/>
        </w:rPr>
        <w:t>建设单位：</w:t>
      </w:r>
      <w:r>
        <w:rPr>
          <w:rFonts w:hint="eastAsia" w:eastAsia="仿宋_GB2312"/>
          <w:color w:val="auto"/>
          <w:kern w:val="2"/>
          <w:sz w:val="32"/>
          <w:szCs w:val="32"/>
          <w:lang w:eastAsia="zh-CN"/>
        </w:rPr>
        <w:t>四川金顶维食品有限公司</w:t>
      </w:r>
    </w:p>
    <w:p w14:paraId="13C98920">
      <w:pPr>
        <w:widowControl w:val="0"/>
        <w:overflowPunct w:val="0"/>
        <w:topLinePunct/>
        <w:adjustRightInd/>
        <w:snapToGrid/>
        <w:spacing w:after="200"/>
        <w:ind w:firstLine="0" w:firstLineChars="0"/>
        <w:rPr>
          <w:rFonts w:hint="eastAsia" w:eastAsia="仿宋_GB2312"/>
          <w:b w:val="0"/>
          <w:bCs/>
          <w:color w:val="auto"/>
          <w:kern w:val="2"/>
          <w:sz w:val="32"/>
          <w:szCs w:val="32"/>
          <w:lang w:val="en-US" w:eastAsia="zh-CN"/>
        </w:rPr>
      </w:pPr>
      <w:r>
        <w:rPr>
          <w:rFonts w:hint="eastAsia" w:eastAsia="仿宋_GB2312"/>
          <w:b/>
          <w:color w:val="auto"/>
          <w:kern w:val="2"/>
          <w:sz w:val="32"/>
          <w:szCs w:val="32"/>
        </w:rPr>
        <w:t>法人代表：</w:t>
      </w:r>
      <w:r>
        <w:rPr>
          <w:rFonts w:hint="eastAsia" w:eastAsia="仿宋_GB2312"/>
          <w:b w:val="0"/>
          <w:bCs/>
          <w:color w:val="auto"/>
          <w:kern w:val="2"/>
          <w:sz w:val="32"/>
          <w:szCs w:val="32"/>
          <w:lang w:eastAsia="zh-CN"/>
        </w:rPr>
        <w:t>李论</w:t>
      </w:r>
    </w:p>
    <w:p w14:paraId="65154D51">
      <w:pPr>
        <w:ind w:firstLine="562"/>
        <w:rPr>
          <w:rFonts w:eastAsia="仿宋_GB2312"/>
          <w:b/>
          <w:color w:val="auto"/>
          <w:sz w:val="28"/>
        </w:rPr>
      </w:pPr>
    </w:p>
    <w:p w14:paraId="3E47E919">
      <w:pPr>
        <w:ind w:firstLine="562"/>
        <w:rPr>
          <w:rFonts w:eastAsia="仿宋_GB2312"/>
          <w:b/>
          <w:color w:val="auto"/>
          <w:sz w:val="28"/>
        </w:rPr>
      </w:pPr>
    </w:p>
    <w:p w14:paraId="66857F71">
      <w:pPr>
        <w:ind w:firstLine="0" w:firstLineChars="0"/>
        <w:rPr>
          <w:rFonts w:hint="eastAsia" w:eastAsia="仿宋_GB2312"/>
          <w:color w:val="auto"/>
          <w:kern w:val="2"/>
          <w:sz w:val="32"/>
          <w:szCs w:val="32"/>
          <w:lang w:eastAsia="zh-CN"/>
        </w:rPr>
      </w:pPr>
      <w:r>
        <w:rPr>
          <w:rFonts w:hint="eastAsia" w:eastAsia="仿宋_GB2312"/>
          <w:b/>
          <w:color w:val="auto"/>
          <w:kern w:val="2"/>
          <w:sz w:val="32"/>
          <w:szCs w:val="32"/>
        </w:rPr>
        <w:t>编制单位：</w:t>
      </w:r>
      <w:r>
        <w:rPr>
          <w:rFonts w:hint="eastAsia" w:eastAsia="仿宋_GB2312"/>
          <w:color w:val="auto"/>
          <w:kern w:val="2"/>
          <w:sz w:val="32"/>
          <w:szCs w:val="32"/>
          <w:lang w:eastAsia="zh-CN"/>
        </w:rPr>
        <w:t>四川金顶维食品有限公司</w:t>
      </w:r>
    </w:p>
    <w:p w14:paraId="64DD5A47">
      <w:pPr>
        <w:widowControl w:val="0"/>
        <w:overflowPunct w:val="0"/>
        <w:topLinePunct/>
        <w:adjustRightInd/>
        <w:snapToGrid/>
        <w:spacing w:after="200"/>
        <w:ind w:firstLine="0" w:firstLineChars="0"/>
        <w:rPr>
          <w:rFonts w:hint="eastAsia" w:eastAsia="仿宋_GB2312"/>
          <w:b w:val="0"/>
          <w:bCs/>
          <w:color w:val="auto"/>
          <w:kern w:val="2"/>
          <w:sz w:val="32"/>
          <w:szCs w:val="32"/>
          <w:lang w:val="en-US" w:eastAsia="zh-CN"/>
        </w:rPr>
      </w:pPr>
      <w:r>
        <w:rPr>
          <w:rFonts w:hint="eastAsia" w:eastAsia="仿宋_GB2312"/>
          <w:b/>
          <w:color w:val="auto"/>
          <w:sz w:val="32"/>
          <w:szCs w:val="32"/>
        </w:rPr>
        <w:t>法人代表：</w:t>
      </w:r>
      <w:r>
        <w:rPr>
          <w:rFonts w:hint="eastAsia" w:eastAsia="仿宋_GB2312"/>
          <w:b w:val="0"/>
          <w:bCs/>
          <w:color w:val="auto"/>
          <w:kern w:val="2"/>
          <w:sz w:val="32"/>
          <w:szCs w:val="32"/>
          <w:lang w:eastAsia="zh-CN"/>
        </w:rPr>
        <w:t>李论</w:t>
      </w:r>
    </w:p>
    <w:p w14:paraId="24020A0A">
      <w:pPr>
        <w:ind w:firstLine="0" w:firstLineChars="0"/>
        <w:rPr>
          <w:rFonts w:hint="eastAsia" w:eastAsia="仿宋_GB2312"/>
          <w:color w:val="auto"/>
          <w:sz w:val="32"/>
          <w:szCs w:val="32"/>
          <w:lang w:eastAsia="zh-CN"/>
        </w:rPr>
      </w:pPr>
      <w:r>
        <w:rPr>
          <w:rFonts w:hint="eastAsia" w:eastAsia="仿宋_GB2312"/>
          <w:b/>
          <w:color w:val="auto"/>
          <w:sz w:val="32"/>
          <w:szCs w:val="32"/>
        </w:rPr>
        <w:t>项目负责人：</w:t>
      </w:r>
      <w:r>
        <w:rPr>
          <w:rFonts w:hint="eastAsia" w:eastAsia="仿宋_GB2312"/>
          <w:b w:val="0"/>
          <w:bCs/>
          <w:color w:val="auto"/>
          <w:kern w:val="2"/>
          <w:sz w:val="32"/>
          <w:szCs w:val="32"/>
          <w:lang w:eastAsia="zh-CN"/>
        </w:rPr>
        <w:t>李娇</w:t>
      </w:r>
    </w:p>
    <w:p w14:paraId="75737AB6">
      <w:pPr>
        <w:ind w:firstLine="562"/>
        <w:rPr>
          <w:rFonts w:eastAsia="仿宋_GB2312"/>
          <w:b/>
          <w:color w:val="auto"/>
          <w:sz w:val="28"/>
        </w:rPr>
      </w:pPr>
    </w:p>
    <w:p w14:paraId="5B21D5CF">
      <w:pPr>
        <w:ind w:firstLine="562"/>
        <w:rPr>
          <w:rFonts w:eastAsia="仿宋_GB2312"/>
          <w:b/>
          <w:color w:val="auto"/>
          <w:sz w:val="28"/>
        </w:rPr>
      </w:pPr>
    </w:p>
    <w:p w14:paraId="2EE58F05">
      <w:pPr>
        <w:ind w:firstLine="562"/>
        <w:rPr>
          <w:rFonts w:eastAsia="仿宋_GB2312"/>
          <w:b/>
          <w:color w:val="auto"/>
          <w:sz w:val="28"/>
        </w:rPr>
      </w:pPr>
    </w:p>
    <w:p w14:paraId="0150C888">
      <w:pPr>
        <w:ind w:firstLine="562"/>
        <w:rPr>
          <w:rFonts w:eastAsia="仿宋_GB2312"/>
          <w:b/>
          <w:color w:val="auto"/>
          <w:sz w:val="28"/>
        </w:rPr>
      </w:pPr>
    </w:p>
    <w:p w14:paraId="49A34230">
      <w:pPr>
        <w:ind w:firstLine="562"/>
        <w:rPr>
          <w:rFonts w:eastAsia="仿宋_GB2312"/>
          <w:b/>
          <w:color w:val="auto"/>
          <w:sz w:val="28"/>
        </w:rPr>
      </w:pPr>
    </w:p>
    <w:p w14:paraId="1DAAAAF8">
      <w:pPr>
        <w:ind w:firstLine="0" w:firstLineChars="0"/>
        <w:rPr>
          <w:rFonts w:eastAsia="仿宋_GB2312"/>
          <w:b/>
          <w:color w:val="auto"/>
          <w:sz w:val="28"/>
        </w:rPr>
      </w:pPr>
    </w:p>
    <w:p w14:paraId="1505E716">
      <w:pPr>
        <w:ind w:firstLine="0" w:firstLineChars="0"/>
        <w:rPr>
          <w:rFonts w:eastAsia="仿宋_GB2312"/>
          <w:b/>
          <w:color w:val="auto"/>
          <w:sz w:val="28"/>
        </w:rPr>
      </w:pPr>
    </w:p>
    <w:p w14:paraId="5E5625FB">
      <w:pPr>
        <w:ind w:firstLine="0" w:firstLineChars="0"/>
        <w:rPr>
          <w:rFonts w:eastAsia="仿宋_GB2312"/>
          <w:b/>
          <w:color w:val="auto"/>
          <w:sz w:val="28"/>
        </w:rPr>
      </w:pPr>
    </w:p>
    <w:tbl>
      <w:tblPr>
        <w:tblStyle w:val="27"/>
        <w:tblW w:w="542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679"/>
        <w:gridCol w:w="4559"/>
      </w:tblGrid>
      <w:tr w14:paraId="72F2C8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00" w:hRule="atLeast"/>
          <w:jc w:val="center"/>
        </w:trPr>
        <w:tc>
          <w:tcPr>
            <w:tcW w:w="2532" w:type="pct"/>
            <w:tcBorders>
              <w:top w:val="single" w:color="auto" w:sz="4" w:space="0"/>
            </w:tcBorders>
            <w:vAlign w:val="center"/>
          </w:tcPr>
          <w:p w14:paraId="501F421D">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eastAsia" w:eastAsia="仿宋_GB2312"/>
                <w:color w:val="auto"/>
                <w:kern w:val="2"/>
                <w:sz w:val="28"/>
                <w:szCs w:val="28"/>
                <w:lang w:eastAsia="zh-CN"/>
              </w:rPr>
            </w:pPr>
            <w:r>
              <w:rPr>
                <w:rFonts w:hint="eastAsia" w:eastAsia="仿宋_GB2312"/>
                <w:color w:val="auto"/>
                <w:kern w:val="2"/>
                <w:sz w:val="28"/>
                <w:szCs w:val="28"/>
              </w:rPr>
              <w:t>建设单位：</w:t>
            </w:r>
            <w:r>
              <w:rPr>
                <w:rFonts w:hint="eastAsia" w:eastAsia="仿宋_GB2312"/>
                <w:color w:val="auto"/>
                <w:kern w:val="2"/>
                <w:sz w:val="28"/>
                <w:szCs w:val="28"/>
                <w:lang w:val="en-US" w:eastAsia="zh-CN"/>
              </w:rPr>
              <w:t>四川金顶维食品有限公司</w:t>
            </w:r>
          </w:p>
        </w:tc>
        <w:tc>
          <w:tcPr>
            <w:tcW w:w="2467" w:type="pct"/>
            <w:tcBorders>
              <w:top w:val="single" w:color="auto" w:sz="4" w:space="0"/>
            </w:tcBorders>
            <w:vAlign w:val="center"/>
          </w:tcPr>
          <w:p w14:paraId="239EEAB0">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eastAsia" w:eastAsia="仿宋_GB2312"/>
                <w:color w:val="auto"/>
                <w:kern w:val="2"/>
                <w:sz w:val="28"/>
                <w:szCs w:val="28"/>
                <w:lang w:eastAsia="zh-CN"/>
              </w:rPr>
            </w:pPr>
            <w:r>
              <w:rPr>
                <w:rFonts w:hint="eastAsia" w:eastAsia="仿宋_GB2312"/>
                <w:color w:val="auto"/>
                <w:kern w:val="2"/>
                <w:sz w:val="28"/>
                <w:szCs w:val="28"/>
              </w:rPr>
              <w:t>编制单位：</w:t>
            </w:r>
            <w:r>
              <w:rPr>
                <w:rFonts w:hint="eastAsia" w:eastAsia="仿宋_GB2312"/>
                <w:color w:val="auto"/>
                <w:kern w:val="2"/>
                <w:sz w:val="28"/>
                <w:szCs w:val="28"/>
                <w:lang w:val="en-US" w:eastAsia="zh-CN"/>
              </w:rPr>
              <w:t>四川金顶维食品有限公司</w:t>
            </w:r>
          </w:p>
        </w:tc>
      </w:tr>
      <w:tr w14:paraId="59C3796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532" w:type="pct"/>
            <w:vAlign w:val="center"/>
          </w:tcPr>
          <w:p w14:paraId="646ADFA0">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eastAsia" w:eastAsia="仿宋_GB2312"/>
                <w:color w:val="auto"/>
                <w:kern w:val="2"/>
                <w:sz w:val="28"/>
                <w:szCs w:val="28"/>
                <w:lang w:val="en-US" w:eastAsia="zh-CN"/>
              </w:rPr>
            </w:pPr>
            <w:r>
              <w:rPr>
                <w:rFonts w:hint="eastAsia" w:eastAsia="仿宋_GB2312"/>
                <w:color w:val="auto"/>
                <w:kern w:val="2"/>
                <w:sz w:val="28"/>
                <w:szCs w:val="28"/>
              </w:rPr>
              <w:t>电话：</w:t>
            </w:r>
            <w:r>
              <w:rPr>
                <w:rFonts w:hint="eastAsia" w:ascii="Times New Roman" w:hAnsi="Times New Roman" w:eastAsia="仿宋_GB2312" w:cs="Times New Roman"/>
                <w:color w:val="auto"/>
                <w:kern w:val="2"/>
                <w:sz w:val="28"/>
                <w:szCs w:val="28"/>
                <w:lang w:val="en-US" w:eastAsia="zh-CN"/>
              </w:rPr>
              <w:t>15282393909</w:t>
            </w:r>
          </w:p>
        </w:tc>
        <w:tc>
          <w:tcPr>
            <w:tcW w:w="2467" w:type="pct"/>
            <w:vAlign w:val="center"/>
          </w:tcPr>
          <w:p w14:paraId="16E28A90">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eastAsia" w:eastAsia="仿宋_GB2312"/>
                <w:color w:val="auto"/>
                <w:kern w:val="2"/>
                <w:sz w:val="28"/>
                <w:szCs w:val="28"/>
                <w:lang w:val="en-US" w:eastAsia="zh-CN"/>
              </w:rPr>
            </w:pPr>
            <w:r>
              <w:rPr>
                <w:rFonts w:hint="eastAsia" w:eastAsia="仿宋_GB2312"/>
                <w:color w:val="auto"/>
                <w:kern w:val="2"/>
                <w:sz w:val="28"/>
                <w:szCs w:val="28"/>
              </w:rPr>
              <w:t>电话</w:t>
            </w:r>
            <w:r>
              <w:rPr>
                <w:rFonts w:hint="eastAsia" w:eastAsia="仿宋_GB2312"/>
                <w:color w:val="auto"/>
                <w:kern w:val="2"/>
                <w:sz w:val="28"/>
                <w:szCs w:val="28"/>
                <w:lang w:eastAsia="zh-CN"/>
              </w:rPr>
              <w:t>：</w:t>
            </w:r>
            <w:r>
              <w:rPr>
                <w:rFonts w:hint="eastAsia" w:ascii="Times New Roman" w:hAnsi="Times New Roman" w:eastAsia="仿宋_GB2312" w:cs="Times New Roman"/>
                <w:color w:val="auto"/>
                <w:kern w:val="2"/>
                <w:sz w:val="28"/>
                <w:szCs w:val="28"/>
                <w:lang w:val="en-US" w:eastAsia="zh-CN"/>
              </w:rPr>
              <w:t>15282393909</w:t>
            </w:r>
          </w:p>
        </w:tc>
      </w:tr>
      <w:tr w14:paraId="038615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532" w:type="pct"/>
            <w:vAlign w:val="center"/>
          </w:tcPr>
          <w:p w14:paraId="2438434D">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default" w:eastAsia="仿宋_GB2312"/>
                <w:color w:val="auto"/>
                <w:kern w:val="2"/>
                <w:sz w:val="28"/>
                <w:szCs w:val="28"/>
              </w:rPr>
            </w:pPr>
            <w:r>
              <w:rPr>
                <w:rFonts w:hint="eastAsia" w:eastAsia="仿宋_GB2312"/>
                <w:color w:val="auto"/>
                <w:kern w:val="2"/>
                <w:sz w:val="28"/>
                <w:szCs w:val="28"/>
              </w:rPr>
              <w:t>传真：</w:t>
            </w:r>
            <w:r>
              <w:rPr>
                <w:rFonts w:hint="default" w:eastAsia="仿宋_GB2312"/>
                <w:color w:val="auto"/>
                <w:kern w:val="2"/>
                <w:sz w:val="28"/>
                <w:szCs w:val="28"/>
              </w:rPr>
              <w:t>/</w:t>
            </w:r>
          </w:p>
        </w:tc>
        <w:tc>
          <w:tcPr>
            <w:tcW w:w="2467" w:type="pct"/>
            <w:vAlign w:val="center"/>
          </w:tcPr>
          <w:p w14:paraId="579D15A8">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default" w:eastAsia="仿宋_GB2312"/>
                <w:color w:val="auto"/>
                <w:kern w:val="2"/>
                <w:sz w:val="28"/>
                <w:szCs w:val="28"/>
              </w:rPr>
            </w:pPr>
            <w:r>
              <w:rPr>
                <w:rFonts w:hint="eastAsia" w:eastAsia="仿宋_GB2312"/>
                <w:color w:val="auto"/>
                <w:kern w:val="2"/>
                <w:sz w:val="28"/>
                <w:szCs w:val="28"/>
              </w:rPr>
              <w:t>传真：</w:t>
            </w:r>
            <w:r>
              <w:rPr>
                <w:rFonts w:hint="default" w:eastAsia="仿宋_GB2312"/>
                <w:color w:val="auto"/>
                <w:kern w:val="2"/>
                <w:sz w:val="28"/>
                <w:szCs w:val="28"/>
              </w:rPr>
              <w:t>/</w:t>
            </w:r>
          </w:p>
        </w:tc>
      </w:tr>
      <w:tr w14:paraId="284D60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532" w:type="pct"/>
            <w:vAlign w:val="center"/>
          </w:tcPr>
          <w:p w14:paraId="561AD139">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default" w:eastAsia="仿宋_GB2312"/>
                <w:color w:val="auto"/>
                <w:kern w:val="2"/>
                <w:sz w:val="28"/>
                <w:szCs w:val="28"/>
                <w:lang w:val="en-US" w:eastAsia="zh-CN"/>
              </w:rPr>
            </w:pPr>
            <w:r>
              <w:rPr>
                <w:rFonts w:hint="eastAsia" w:eastAsia="仿宋_GB2312"/>
                <w:color w:val="auto"/>
                <w:kern w:val="2"/>
                <w:sz w:val="28"/>
                <w:szCs w:val="28"/>
              </w:rPr>
              <w:t>邮编：6</w:t>
            </w:r>
            <w:r>
              <w:rPr>
                <w:rFonts w:hint="eastAsia" w:eastAsia="仿宋_GB2312"/>
                <w:color w:val="auto"/>
                <w:kern w:val="2"/>
                <w:sz w:val="28"/>
                <w:szCs w:val="28"/>
                <w:lang w:val="en-US" w:eastAsia="zh-CN"/>
              </w:rPr>
              <w:t>20000</w:t>
            </w:r>
          </w:p>
        </w:tc>
        <w:tc>
          <w:tcPr>
            <w:tcW w:w="2467" w:type="pct"/>
            <w:vAlign w:val="center"/>
          </w:tcPr>
          <w:p w14:paraId="7CFBC47C">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default" w:eastAsia="仿宋_GB2312"/>
                <w:color w:val="auto"/>
                <w:kern w:val="2"/>
                <w:sz w:val="28"/>
                <w:szCs w:val="28"/>
                <w:lang w:val="en-US" w:eastAsia="zh-CN"/>
              </w:rPr>
            </w:pPr>
            <w:r>
              <w:rPr>
                <w:rFonts w:hint="eastAsia" w:eastAsia="仿宋_GB2312"/>
                <w:color w:val="auto"/>
                <w:kern w:val="2"/>
                <w:sz w:val="28"/>
                <w:szCs w:val="28"/>
              </w:rPr>
              <w:t>邮编：6</w:t>
            </w:r>
            <w:r>
              <w:rPr>
                <w:rFonts w:hint="eastAsia" w:eastAsia="仿宋_GB2312"/>
                <w:color w:val="auto"/>
                <w:kern w:val="2"/>
                <w:sz w:val="28"/>
                <w:szCs w:val="28"/>
                <w:lang w:val="en-US" w:eastAsia="zh-CN"/>
              </w:rPr>
              <w:t>20000</w:t>
            </w:r>
          </w:p>
        </w:tc>
      </w:tr>
      <w:tr w14:paraId="44675DF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2532" w:type="pct"/>
            <w:tcBorders>
              <w:bottom w:val="single" w:color="auto" w:sz="4" w:space="0"/>
            </w:tcBorders>
            <w:vAlign w:val="center"/>
          </w:tcPr>
          <w:p w14:paraId="7DC64B7E">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eastAsia" w:eastAsia="仿宋_GB2312"/>
                <w:color w:val="auto"/>
                <w:kern w:val="2"/>
                <w:sz w:val="28"/>
                <w:szCs w:val="28"/>
                <w:lang w:val="en-US" w:eastAsia="zh-CN"/>
              </w:rPr>
            </w:pPr>
            <w:r>
              <w:rPr>
                <w:rFonts w:hint="eastAsia" w:eastAsia="仿宋_GB2312"/>
                <w:color w:val="auto"/>
                <w:kern w:val="2"/>
                <w:sz w:val="28"/>
                <w:szCs w:val="28"/>
              </w:rPr>
              <w:t>地址：</w:t>
            </w:r>
            <w:r>
              <w:rPr>
                <w:rFonts w:hint="eastAsia" w:ascii="Times New Roman" w:hAnsi="Times New Roman" w:eastAsia="仿宋_GB2312" w:cs="Times New Roman"/>
                <w:color w:val="auto"/>
                <w:kern w:val="2"/>
                <w:sz w:val="28"/>
                <w:szCs w:val="28"/>
                <w:lang w:eastAsia="zh-CN"/>
              </w:rPr>
              <w:t>眉山高新技术产业园区东区</w:t>
            </w:r>
          </w:p>
        </w:tc>
        <w:tc>
          <w:tcPr>
            <w:tcW w:w="2467" w:type="pct"/>
            <w:tcBorders>
              <w:bottom w:val="single" w:color="auto" w:sz="4" w:space="0"/>
            </w:tcBorders>
            <w:vAlign w:val="center"/>
          </w:tcPr>
          <w:p w14:paraId="0E50AB11">
            <w:pPr>
              <w:keepNext w:val="0"/>
              <w:keepLines w:val="0"/>
              <w:widowControl w:val="0"/>
              <w:suppressLineNumbers w:val="0"/>
              <w:overflowPunct w:val="0"/>
              <w:topLinePunct/>
              <w:adjustRightInd/>
              <w:snapToGrid/>
              <w:spacing w:before="0" w:beforeAutospacing="0" w:after="0" w:afterAutospacing="0" w:line="240" w:lineRule="auto"/>
              <w:ind w:left="0" w:right="0" w:firstLine="0" w:firstLineChars="0"/>
              <w:rPr>
                <w:rFonts w:hint="eastAsia" w:eastAsia="仿宋_GB2312"/>
                <w:color w:val="auto"/>
                <w:kern w:val="2"/>
                <w:sz w:val="28"/>
                <w:szCs w:val="28"/>
                <w:lang w:val="en-US" w:eastAsia="zh-CN"/>
              </w:rPr>
            </w:pPr>
            <w:r>
              <w:rPr>
                <w:rFonts w:hint="eastAsia" w:eastAsia="仿宋_GB2312"/>
                <w:color w:val="auto"/>
                <w:kern w:val="2"/>
                <w:sz w:val="28"/>
                <w:szCs w:val="28"/>
              </w:rPr>
              <w:t>地址：</w:t>
            </w:r>
            <w:r>
              <w:rPr>
                <w:rFonts w:hint="eastAsia" w:ascii="Times New Roman" w:hAnsi="Times New Roman" w:eastAsia="仿宋_GB2312" w:cs="Times New Roman"/>
                <w:color w:val="auto"/>
                <w:kern w:val="2"/>
                <w:sz w:val="28"/>
                <w:szCs w:val="28"/>
                <w:lang w:eastAsia="zh-CN"/>
              </w:rPr>
              <w:t>眉山高新技术产业园区东区</w:t>
            </w:r>
          </w:p>
        </w:tc>
      </w:tr>
    </w:tbl>
    <w:p w14:paraId="6D8017D6">
      <w:pPr>
        <w:ind w:firstLine="0" w:firstLineChars="0"/>
        <w:rPr>
          <w:rFonts w:eastAsia="仿宋_GB2312"/>
          <w:b/>
          <w:color w:val="auto"/>
          <w:sz w:val="28"/>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26C37B3F">
      <w:pPr>
        <w:ind w:firstLine="0" w:firstLineChars="0"/>
        <w:rPr>
          <w:rFonts w:eastAsia="仿宋_GB2312"/>
          <w:b/>
          <w:color w:val="auto"/>
          <w:sz w:val="28"/>
        </w:rPr>
      </w:pPr>
    </w:p>
    <w:p w14:paraId="722FF981">
      <w:pPr>
        <w:widowControl w:val="0"/>
        <w:overflowPunct w:val="0"/>
        <w:topLinePunct/>
        <w:adjustRightInd/>
        <w:snapToGrid/>
        <w:spacing w:line="440" w:lineRule="exact"/>
        <w:ind w:firstLine="0" w:firstLineChars="0"/>
        <w:jc w:val="center"/>
        <w:rPr>
          <w:b/>
          <w:color w:val="auto"/>
          <w:kern w:val="2"/>
          <w:sz w:val="32"/>
          <w:szCs w:val="32"/>
        </w:rPr>
      </w:pPr>
      <w:r>
        <w:rPr>
          <w:rFonts w:hint="eastAsia"/>
          <w:b/>
          <w:color w:val="auto"/>
          <w:kern w:val="2"/>
          <w:sz w:val="32"/>
          <w:szCs w:val="32"/>
        </w:rPr>
        <w:t>目录</w:t>
      </w:r>
    </w:p>
    <w:p w14:paraId="550147E0">
      <w:pPr>
        <w:pStyle w:val="21"/>
        <w:tabs>
          <w:tab w:val="right" w:leader="dot" w:pos="8306"/>
          <w:tab w:val="clear" w:pos="8296"/>
        </w:tabs>
        <w:rPr>
          <w:color w:val="auto"/>
        </w:rPr>
      </w:pPr>
      <w:r>
        <w:rPr>
          <w:color w:val="auto"/>
          <w:kern w:val="2"/>
          <w:sz w:val="32"/>
          <w:szCs w:val="32"/>
          <w:shd w:val="clear" w:color="FFFFFF" w:fill="D9D9D9"/>
        </w:rPr>
        <w:fldChar w:fldCharType="begin"/>
      </w:r>
      <w:r>
        <w:rPr>
          <w:color w:val="auto"/>
          <w:kern w:val="2"/>
          <w:sz w:val="32"/>
          <w:szCs w:val="32"/>
          <w:shd w:val="clear" w:color="FFFFFF" w:fill="D9D9D9"/>
        </w:rPr>
        <w:instrText xml:space="preserve"> TOC \o "1-1" \h \z \u </w:instrText>
      </w:r>
      <w:r>
        <w:rPr>
          <w:color w:val="auto"/>
          <w:kern w:val="2"/>
          <w:sz w:val="32"/>
          <w:szCs w:val="32"/>
          <w:shd w:val="clear" w:color="FFFFFF" w:fill="D9D9D9"/>
        </w:rPr>
        <w:fldChar w:fldCharType="separate"/>
      </w:r>
      <w:r>
        <w:rPr>
          <w:color w:val="auto"/>
          <w:kern w:val="2"/>
          <w:szCs w:val="32"/>
          <w:shd w:val="clear" w:color="FFFFFF" w:fill="D9D9D9"/>
        </w:rPr>
        <w:fldChar w:fldCharType="begin"/>
      </w:r>
      <w:r>
        <w:rPr>
          <w:color w:val="auto"/>
          <w:kern w:val="2"/>
          <w:szCs w:val="32"/>
          <w:shd w:val="clear" w:color="FFFFFF" w:fill="D9D9D9"/>
        </w:rPr>
        <w:instrText xml:space="preserve"> HYPERLINK \l _Toc28887 </w:instrText>
      </w:r>
      <w:r>
        <w:rPr>
          <w:color w:val="auto"/>
          <w:kern w:val="2"/>
          <w:szCs w:val="32"/>
          <w:shd w:val="clear" w:color="FFFFFF" w:fill="D9D9D9"/>
        </w:rPr>
        <w:fldChar w:fldCharType="separate"/>
      </w:r>
      <w:r>
        <w:rPr>
          <w:rFonts w:hint="eastAsia"/>
          <w:color w:val="auto"/>
        </w:rPr>
        <w:t>表一</w:t>
      </w:r>
      <w:r>
        <w:rPr>
          <w:color w:val="auto"/>
        </w:rPr>
        <w:t xml:space="preserve">  </w:t>
      </w:r>
      <w:r>
        <w:rPr>
          <w:rFonts w:hint="eastAsia"/>
          <w:color w:val="auto"/>
        </w:rPr>
        <w:t>项目概况</w:t>
      </w:r>
      <w:r>
        <w:rPr>
          <w:color w:val="auto"/>
        </w:rPr>
        <w:tab/>
      </w:r>
      <w:r>
        <w:rPr>
          <w:color w:val="auto"/>
        </w:rPr>
        <w:fldChar w:fldCharType="begin"/>
      </w:r>
      <w:r>
        <w:rPr>
          <w:color w:val="auto"/>
        </w:rPr>
        <w:instrText xml:space="preserve"> PAGEREF _Toc28887 \h </w:instrText>
      </w:r>
      <w:r>
        <w:rPr>
          <w:color w:val="auto"/>
        </w:rPr>
        <w:fldChar w:fldCharType="separate"/>
      </w:r>
      <w:r>
        <w:rPr>
          <w:color w:val="auto"/>
        </w:rPr>
        <w:t>1</w:t>
      </w:r>
      <w:r>
        <w:rPr>
          <w:color w:val="auto"/>
        </w:rPr>
        <w:fldChar w:fldCharType="end"/>
      </w:r>
      <w:r>
        <w:rPr>
          <w:color w:val="auto"/>
          <w:kern w:val="2"/>
          <w:szCs w:val="32"/>
          <w:shd w:val="clear" w:color="FFFFFF" w:fill="D9D9D9"/>
        </w:rPr>
        <w:fldChar w:fldCharType="end"/>
      </w:r>
    </w:p>
    <w:p w14:paraId="7131A94A">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_Toc2219 </w:instrText>
      </w:r>
      <w:r>
        <w:rPr>
          <w:color w:val="auto"/>
          <w:kern w:val="2"/>
          <w:szCs w:val="32"/>
          <w:shd w:val="clear" w:color="FFFFFF" w:fill="D9D9D9"/>
        </w:rPr>
        <w:fldChar w:fldCharType="separate"/>
      </w:r>
      <w:r>
        <w:rPr>
          <w:rFonts w:hint="eastAsia"/>
          <w:color w:val="auto"/>
        </w:rPr>
        <w:t>表二</w:t>
      </w:r>
      <w:r>
        <w:rPr>
          <w:color w:val="auto"/>
        </w:rPr>
        <w:t xml:space="preserve">  </w:t>
      </w:r>
      <w:r>
        <w:rPr>
          <w:rFonts w:hint="eastAsia"/>
          <w:color w:val="auto"/>
        </w:rPr>
        <w:t>工程建设内容</w:t>
      </w:r>
      <w:r>
        <w:rPr>
          <w:color w:val="auto"/>
        </w:rPr>
        <w:tab/>
      </w:r>
      <w:r>
        <w:rPr>
          <w:color w:val="auto"/>
        </w:rPr>
        <w:fldChar w:fldCharType="begin"/>
      </w:r>
      <w:r>
        <w:rPr>
          <w:color w:val="auto"/>
        </w:rPr>
        <w:instrText xml:space="preserve"> PAGEREF _Toc2219 \h </w:instrText>
      </w:r>
      <w:r>
        <w:rPr>
          <w:color w:val="auto"/>
        </w:rPr>
        <w:fldChar w:fldCharType="separate"/>
      </w:r>
      <w:r>
        <w:rPr>
          <w:color w:val="auto"/>
        </w:rPr>
        <w:t>6</w:t>
      </w:r>
      <w:r>
        <w:rPr>
          <w:color w:val="auto"/>
        </w:rPr>
        <w:fldChar w:fldCharType="end"/>
      </w:r>
      <w:r>
        <w:rPr>
          <w:color w:val="auto"/>
          <w:kern w:val="2"/>
          <w:szCs w:val="32"/>
          <w:shd w:val="clear" w:color="FFFFFF" w:fill="D9D9D9"/>
        </w:rPr>
        <w:fldChar w:fldCharType="end"/>
      </w:r>
    </w:p>
    <w:p w14:paraId="589029DE">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_Toc5060 </w:instrText>
      </w:r>
      <w:r>
        <w:rPr>
          <w:color w:val="auto"/>
          <w:kern w:val="2"/>
          <w:szCs w:val="32"/>
          <w:shd w:val="clear" w:color="FFFFFF" w:fill="D9D9D9"/>
        </w:rPr>
        <w:fldChar w:fldCharType="separate"/>
      </w:r>
      <w:r>
        <w:rPr>
          <w:rFonts w:hint="eastAsia"/>
          <w:color w:val="auto"/>
        </w:rPr>
        <w:t>表三</w:t>
      </w:r>
      <w:r>
        <w:rPr>
          <w:color w:val="auto"/>
        </w:rPr>
        <w:t xml:space="preserve">  </w:t>
      </w:r>
      <w:r>
        <w:rPr>
          <w:rFonts w:hint="eastAsia"/>
          <w:color w:val="auto"/>
        </w:rPr>
        <w:t>主要污染源、污染物处理和排放</w:t>
      </w:r>
      <w:r>
        <w:rPr>
          <w:color w:val="auto"/>
        </w:rPr>
        <w:tab/>
      </w:r>
      <w:r>
        <w:rPr>
          <w:color w:val="auto"/>
        </w:rPr>
        <w:fldChar w:fldCharType="begin"/>
      </w:r>
      <w:r>
        <w:rPr>
          <w:color w:val="auto"/>
        </w:rPr>
        <w:instrText xml:space="preserve"> PAGEREF _Toc5060 \h </w:instrText>
      </w:r>
      <w:r>
        <w:rPr>
          <w:color w:val="auto"/>
        </w:rPr>
        <w:fldChar w:fldCharType="separate"/>
      </w:r>
      <w:r>
        <w:rPr>
          <w:color w:val="auto"/>
        </w:rPr>
        <w:t>20</w:t>
      </w:r>
      <w:r>
        <w:rPr>
          <w:color w:val="auto"/>
        </w:rPr>
        <w:fldChar w:fldCharType="end"/>
      </w:r>
      <w:r>
        <w:rPr>
          <w:color w:val="auto"/>
          <w:kern w:val="2"/>
          <w:szCs w:val="32"/>
          <w:shd w:val="clear" w:color="FFFFFF" w:fill="D9D9D9"/>
        </w:rPr>
        <w:fldChar w:fldCharType="end"/>
      </w:r>
    </w:p>
    <w:p w14:paraId="44835DC4">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_Toc9130 </w:instrText>
      </w:r>
      <w:r>
        <w:rPr>
          <w:color w:val="auto"/>
          <w:kern w:val="2"/>
          <w:szCs w:val="32"/>
          <w:shd w:val="clear" w:color="FFFFFF" w:fill="D9D9D9"/>
        </w:rPr>
        <w:fldChar w:fldCharType="separate"/>
      </w:r>
      <w:r>
        <w:rPr>
          <w:rFonts w:hint="eastAsia"/>
          <w:color w:val="auto"/>
        </w:rPr>
        <w:t>表四</w:t>
      </w:r>
      <w:r>
        <w:rPr>
          <w:color w:val="auto"/>
        </w:rPr>
        <w:t xml:space="preserve">  </w:t>
      </w:r>
      <w:r>
        <w:rPr>
          <w:rFonts w:hint="eastAsia"/>
          <w:color w:val="auto"/>
        </w:rPr>
        <w:t>建设项目环境影响报告表主要结论及审批部门审批决定</w:t>
      </w:r>
      <w:r>
        <w:rPr>
          <w:color w:val="auto"/>
        </w:rPr>
        <w:tab/>
      </w:r>
      <w:r>
        <w:rPr>
          <w:color w:val="auto"/>
        </w:rPr>
        <w:fldChar w:fldCharType="begin"/>
      </w:r>
      <w:r>
        <w:rPr>
          <w:color w:val="auto"/>
        </w:rPr>
        <w:instrText xml:space="preserve"> PAGEREF _Toc9130 \h </w:instrText>
      </w:r>
      <w:r>
        <w:rPr>
          <w:color w:val="auto"/>
        </w:rPr>
        <w:fldChar w:fldCharType="separate"/>
      </w:r>
      <w:r>
        <w:rPr>
          <w:color w:val="auto"/>
        </w:rPr>
        <w:t>26</w:t>
      </w:r>
      <w:r>
        <w:rPr>
          <w:color w:val="auto"/>
        </w:rPr>
        <w:fldChar w:fldCharType="end"/>
      </w:r>
      <w:r>
        <w:rPr>
          <w:color w:val="auto"/>
          <w:kern w:val="2"/>
          <w:szCs w:val="32"/>
          <w:shd w:val="clear" w:color="FFFFFF" w:fill="D9D9D9"/>
        </w:rPr>
        <w:fldChar w:fldCharType="end"/>
      </w:r>
    </w:p>
    <w:p w14:paraId="19415509">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_Toc9626 </w:instrText>
      </w:r>
      <w:r>
        <w:rPr>
          <w:color w:val="auto"/>
          <w:kern w:val="2"/>
          <w:szCs w:val="32"/>
          <w:shd w:val="clear" w:color="FFFFFF" w:fill="D9D9D9"/>
        </w:rPr>
        <w:fldChar w:fldCharType="separate"/>
      </w:r>
      <w:r>
        <w:rPr>
          <w:rFonts w:hint="eastAsia"/>
          <w:color w:val="auto"/>
        </w:rPr>
        <w:t>表五</w:t>
      </w:r>
      <w:r>
        <w:rPr>
          <w:color w:val="auto"/>
        </w:rPr>
        <w:t xml:space="preserve">  </w:t>
      </w:r>
      <w:r>
        <w:rPr>
          <w:rFonts w:hint="eastAsia"/>
          <w:color w:val="auto"/>
        </w:rPr>
        <w:t>验收监测质量保证及质量控制</w:t>
      </w:r>
      <w:r>
        <w:rPr>
          <w:color w:val="auto"/>
        </w:rPr>
        <w:tab/>
      </w:r>
      <w:r>
        <w:rPr>
          <w:color w:val="auto"/>
        </w:rPr>
        <w:fldChar w:fldCharType="begin"/>
      </w:r>
      <w:r>
        <w:rPr>
          <w:color w:val="auto"/>
        </w:rPr>
        <w:instrText xml:space="preserve"> PAGEREF _Toc9626 \h </w:instrText>
      </w:r>
      <w:r>
        <w:rPr>
          <w:color w:val="auto"/>
        </w:rPr>
        <w:fldChar w:fldCharType="separate"/>
      </w:r>
      <w:r>
        <w:rPr>
          <w:color w:val="auto"/>
        </w:rPr>
        <w:t>32</w:t>
      </w:r>
      <w:r>
        <w:rPr>
          <w:color w:val="auto"/>
        </w:rPr>
        <w:fldChar w:fldCharType="end"/>
      </w:r>
      <w:r>
        <w:rPr>
          <w:color w:val="auto"/>
          <w:kern w:val="2"/>
          <w:szCs w:val="32"/>
          <w:shd w:val="clear" w:color="FFFFFF" w:fill="D9D9D9"/>
        </w:rPr>
        <w:fldChar w:fldCharType="end"/>
      </w:r>
    </w:p>
    <w:p w14:paraId="6753D186">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_Toc31574 </w:instrText>
      </w:r>
      <w:r>
        <w:rPr>
          <w:color w:val="auto"/>
          <w:kern w:val="2"/>
          <w:szCs w:val="32"/>
          <w:shd w:val="clear" w:color="FFFFFF" w:fill="D9D9D9"/>
        </w:rPr>
        <w:fldChar w:fldCharType="separate"/>
      </w:r>
      <w:r>
        <w:rPr>
          <w:rFonts w:hint="eastAsia"/>
          <w:color w:val="auto"/>
        </w:rPr>
        <w:t>表六</w:t>
      </w:r>
      <w:r>
        <w:rPr>
          <w:color w:val="auto"/>
        </w:rPr>
        <w:t xml:space="preserve">  </w:t>
      </w:r>
      <w:r>
        <w:rPr>
          <w:rFonts w:hint="eastAsia"/>
          <w:color w:val="auto"/>
        </w:rPr>
        <w:t>验收监测内容</w:t>
      </w:r>
      <w:r>
        <w:rPr>
          <w:color w:val="auto"/>
        </w:rPr>
        <w:tab/>
      </w:r>
      <w:r>
        <w:rPr>
          <w:color w:val="auto"/>
        </w:rPr>
        <w:fldChar w:fldCharType="begin"/>
      </w:r>
      <w:r>
        <w:rPr>
          <w:color w:val="auto"/>
        </w:rPr>
        <w:instrText xml:space="preserve"> PAGEREF _Toc31574 \h </w:instrText>
      </w:r>
      <w:r>
        <w:rPr>
          <w:color w:val="auto"/>
        </w:rPr>
        <w:fldChar w:fldCharType="separate"/>
      </w:r>
      <w:r>
        <w:rPr>
          <w:color w:val="auto"/>
        </w:rPr>
        <w:t>34</w:t>
      </w:r>
      <w:r>
        <w:rPr>
          <w:color w:val="auto"/>
        </w:rPr>
        <w:fldChar w:fldCharType="end"/>
      </w:r>
      <w:r>
        <w:rPr>
          <w:color w:val="auto"/>
          <w:kern w:val="2"/>
          <w:szCs w:val="32"/>
          <w:shd w:val="clear" w:color="FFFFFF" w:fill="D9D9D9"/>
        </w:rPr>
        <w:fldChar w:fldCharType="end"/>
      </w:r>
    </w:p>
    <w:p w14:paraId="34929BF4">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_Toc22060 </w:instrText>
      </w:r>
      <w:r>
        <w:rPr>
          <w:color w:val="auto"/>
          <w:kern w:val="2"/>
          <w:szCs w:val="32"/>
          <w:shd w:val="clear" w:color="FFFFFF" w:fill="D9D9D9"/>
        </w:rPr>
        <w:fldChar w:fldCharType="separate"/>
      </w:r>
      <w:r>
        <w:rPr>
          <w:rFonts w:hint="eastAsia"/>
          <w:color w:val="auto"/>
        </w:rPr>
        <w:t>表七</w:t>
      </w:r>
      <w:r>
        <w:rPr>
          <w:color w:val="auto"/>
        </w:rPr>
        <w:t xml:space="preserve">  </w:t>
      </w:r>
      <w:r>
        <w:rPr>
          <w:rFonts w:hint="eastAsia"/>
          <w:color w:val="auto"/>
        </w:rPr>
        <w:t>验收监测结果</w:t>
      </w:r>
      <w:r>
        <w:rPr>
          <w:color w:val="auto"/>
        </w:rPr>
        <w:tab/>
      </w:r>
      <w:r>
        <w:rPr>
          <w:color w:val="auto"/>
        </w:rPr>
        <w:fldChar w:fldCharType="begin"/>
      </w:r>
      <w:r>
        <w:rPr>
          <w:color w:val="auto"/>
        </w:rPr>
        <w:instrText xml:space="preserve"> PAGEREF _Toc22060 \h </w:instrText>
      </w:r>
      <w:r>
        <w:rPr>
          <w:color w:val="auto"/>
        </w:rPr>
        <w:fldChar w:fldCharType="separate"/>
      </w:r>
      <w:r>
        <w:rPr>
          <w:color w:val="auto"/>
        </w:rPr>
        <w:t>35</w:t>
      </w:r>
      <w:r>
        <w:rPr>
          <w:color w:val="auto"/>
        </w:rPr>
        <w:fldChar w:fldCharType="end"/>
      </w:r>
      <w:r>
        <w:rPr>
          <w:color w:val="auto"/>
          <w:kern w:val="2"/>
          <w:szCs w:val="32"/>
          <w:shd w:val="clear" w:color="FFFFFF" w:fill="D9D9D9"/>
        </w:rPr>
        <w:fldChar w:fldCharType="end"/>
      </w:r>
    </w:p>
    <w:p w14:paraId="2C20E699">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_Toc9590 </w:instrText>
      </w:r>
      <w:r>
        <w:rPr>
          <w:color w:val="auto"/>
          <w:kern w:val="2"/>
          <w:szCs w:val="32"/>
          <w:shd w:val="clear" w:color="FFFFFF" w:fill="D9D9D9"/>
        </w:rPr>
        <w:fldChar w:fldCharType="separate"/>
      </w:r>
      <w:r>
        <w:rPr>
          <w:rFonts w:hint="eastAsia"/>
          <w:color w:val="auto"/>
        </w:rPr>
        <w:t>表八</w:t>
      </w:r>
      <w:r>
        <w:rPr>
          <w:color w:val="auto"/>
        </w:rPr>
        <w:t xml:space="preserve">  </w:t>
      </w:r>
      <w:r>
        <w:rPr>
          <w:rFonts w:hint="eastAsia"/>
          <w:color w:val="auto"/>
        </w:rPr>
        <w:t>环境管理执行情况检查</w:t>
      </w:r>
      <w:r>
        <w:rPr>
          <w:color w:val="auto"/>
        </w:rPr>
        <w:tab/>
      </w:r>
      <w:r>
        <w:rPr>
          <w:color w:val="auto"/>
        </w:rPr>
        <w:fldChar w:fldCharType="begin"/>
      </w:r>
      <w:r>
        <w:rPr>
          <w:color w:val="auto"/>
        </w:rPr>
        <w:instrText xml:space="preserve"> PAGEREF _Toc9590 \h </w:instrText>
      </w:r>
      <w:r>
        <w:rPr>
          <w:color w:val="auto"/>
        </w:rPr>
        <w:fldChar w:fldCharType="separate"/>
      </w:r>
      <w:r>
        <w:rPr>
          <w:color w:val="auto"/>
        </w:rPr>
        <w:t>42</w:t>
      </w:r>
      <w:r>
        <w:rPr>
          <w:color w:val="auto"/>
        </w:rPr>
        <w:fldChar w:fldCharType="end"/>
      </w:r>
      <w:r>
        <w:rPr>
          <w:color w:val="auto"/>
          <w:kern w:val="2"/>
          <w:szCs w:val="32"/>
          <w:shd w:val="clear" w:color="FFFFFF" w:fill="D9D9D9"/>
        </w:rPr>
        <w:fldChar w:fldCharType="end"/>
      </w:r>
    </w:p>
    <w:p w14:paraId="1587C1E4">
      <w:pPr>
        <w:pStyle w:val="21"/>
        <w:tabs>
          <w:tab w:val="right" w:leader="dot" w:pos="8306"/>
          <w:tab w:val="clear" w:pos="8296"/>
        </w:tabs>
        <w:rPr>
          <w:color w:val="auto"/>
        </w:rPr>
      </w:pPr>
      <w:r>
        <w:rPr>
          <w:color w:val="auto"/>
          <w:kern w:val="2"/>
          <w:szCs w:val="32"/>
          <w:shd w:val="clear" w:color="FFFFFF" w:fill="D9D9D9"/>
        </w:rPr>
        <w:fldChar w:fldCharType="begin"/>
      </w:r>
      <w:r>
        <w:rPr>
          <w:color w:val="auto"/>
          <w:kern w:val="2"/>
          <w:szCs w:val="32"/>
          <w:shd w:val="clear" w:color="FFFFFF" w:fill="D9D9D9"/>
        </w:rPr>
        <w:instrText xml:space="preserve"> HYPERLINK \l _Toc31848 </w:instrText>
      </w:r>
      <w:r>
        <w:rPr>
          <w:color w:val="auto"/>
          <w:kern w:val="2"/>
          <w:szCs w:val="32"/>
          <w:shd w:val="clear" w:color="FFFFFF" w:fill="D9D9D9"/>
        </w:rPr>
        <w:fldChar w:fldCharType="separate"/>
      </w:r>
      <w:r>
        <w:rPr>
          <w:rFonts w:hint="eastAsia"/>
          <w:color w:val="auto"/>
        </w:rPr>
        <w:t>表九</w:t>
      </w:r>
      <w:r>
        <w:rPr>
          <w:color w:val="auto"/>
        </w:rPr>
        <w:t xml:space="preserve">  </w:t>
      </w:r>
      <w:r>
        <w:rPr>
          <w:rFonts w:hint="eastAsia"/>
          <w:color w:val="auto"/>
        </w:rPr>
        <w:t>验收监测结论</w:t>
      </w:r>
      <w:r>
        <w:rPr>
          <w:color w:val="auto"/>
        </w:rPr>
        <w:tab/>
      </w:r>
      <w:r>
        <w:rPr>
          <w:color w:val="auto"/>
        </w:rPr>
        <w:fldChar w:fldCharType="begin"/>
      </w:r>
      <w:r>
        <w:rPr>
          <w:color w:val="auto"/>
        </w:rPr>
        <w:instrText xml:space="preserve"> PAGEREF _Toc31848 \h </w:instrText>
      </w:r>
      <w:r>
        <w:rPr>
          <w:color w:val="auto"/>
        </w:rPr>
        <w:fldChar w:fldCharType="separate"/>
      </w:r>
      <w:r>
        <w:rPr>
          <w:color w:val="auto"/>
        </w:rPr>
        <w:t>46</w:t>
      </w:r>
      <w:r>
        <w:rPr>
          <w:color w:val="auto"/>
        </w:rPr>
        <w:fldChar w:fldCharType="end"/>
      </w:r>
      <w:r>
        <w:rPr>
          <w:color w:val="auto"/>
          <w:kern w:val="2"/>
          <w:szCs w:val="32"/>
          <w:shd w:val="clear" w:color="FFFFFF" w:fill="D9D9D9"/>
        </w:rPr>
        <w:fldChar w:fldCharType="end"/>
      </w:r>
    </w:p>
    <w:p w14:paraId="1C526D1F">
      <w:pPr>
        <w:ind w:firstLine="0" w:firstLineChars="0"/>
        <w:jc w:val="left"/>
        <w:rPr>
          <w:b/>
          <w:color w:val="auto"/>
          <w:szCs w:val="24"/>
        </w:rPr>
      </w:pPr>
      <w:r>
        <w:rPr>
          <w:color w:val="auto"/>
          <w:kern w:val="2"/>
          <w:szCs w:val="32"/>
          <w:shd w:val="clear" w:color="FFFFFF" w:fill="D9D9D9"/>
        </w:rPr>
        <w:fldChar w:fldCharType="end"/>
      </w:r>
      <w:r>
        <w:rPr>
          <w:rFonts w:hint="eastAsia" w:hAnsi="宋体"/>
          <w:b/>
          <w:color w:val="auto"/>
          <w:szCs w:val="24"/>
        </w:rPr>
        <w:t>附图目录</w:t>
      </w:r>
    </w:p>
    <w:p w14:paraId="34819F28">
      <w:pPr>
        <w:ind w:firstLine="480"/>
        <w:jc w:val="left"/>
        <w:rPr>
          <w:rFonts w:hAnsi="宋体"/>
          <w:color w:val="auto"/>
          <w:szCs w:val="24"/>
        </w:rPr>
      </w:pPr>
      <w:r>
        <w:rPr>
          <w:rFonts w:hint="eastAsia" w:hAnsi="宋体"/>
          <w:color w:val="auto"/>
          <w:szCs w:val="24"/>
        </w:rPr>
        <w:t>附图</w:t>
      </w:r>
      <w:r>
        <w:rPr>
          <w:rFonts w:hAnsi="宋体"/>
          <w:color w:val="auto"/>
          <w:szCs w:val="24"/>
        </w:rPr>
        <w:t xml:space="preserve">1 </w:t>
      </w:r>
      <w:r>
        <w:rPr>
          <w:rFonts w:hint="eastAsia" w:hAnsi="宋体"/>
          <w:color w:val="auto"/>
          <w:szCs w:val="24"/>
        </w:rPr>
        <w:t>项目地理位置图</w:t>
      </w:r>
    </w:p>
    <w:p w14:paraId="3C7BE64D">
      <w:pPr>
        <w:keepNext w:val="0"/>
        <w:keepLines w:val="0"/>
        <w:pageBreakBefore w:val="0"/>
        <w:widowControl/>
        <w:kinsoku/>
        <w:wordWrap/>
        <w:overflowPunct/>
        <w:topLinePunct w:val="0"/>
        <w:autoSpaceDE/>
        <w:autoSpaceDN/>
        <w:bidi w:val="0"/>
        <w:adjustRightInd w:val="0"/>
        <w:snapToGrid w:val="0"/>
        <w:ind w:firstLine="480" w:firstLineChars="200"/>
        <w:jc w:val="left"/>
        <w:textAlignment w:val="auto"/>
        <w:rPr>
          <w:rFonts w:hint="eastAsia" w:hAnsi="宋体" w:eastAsia="宋体"/>
          <w:b w:val="0"/>
          <w:bCs/>
          <w:color w:val="auto"/>
          <w:szCs w:val="24"/>
          <w:lang w:eastAsia="zh-CN"/>
        </w:rPr>
      </w:pPr>
      <w:r>
        <w:rPr>
          <w:rFonts w:hint="eastAsia" w:hAnsi="宋体"/>
          <w:b w:val="0"/>
          <w:bCs/>
          <w:color w:val="auto"/>
          <w:szCs w:val="24"/>
        </w:rPr>
        <w:t>附图2 项目</w:t>
      </w:r>
      <w:r>
        <w:rPr>
          <w:rFonts w:hint="eastAsia" w:hAnsi="宋体"/>
          <w:b w:val="0"/>
          <w:bCs/>
          <w:color w:val="auto"/>
          <w:szCs w:val="24"/>
          <w:lang w:eastAsia="zh-CN"/>
        </w:rPr>
        <w:t>外环境关系图</w:t>
      </w:r>
    </w:p>
    <w:p w14:paraId="381CEB8F">
      <w:pPr>
        <w:keepNext w:val="0"/>
        <w:keepLines w:val="0"/>
        <w:pageBreakBefore w:val="0"/>
        <w:widowControl/>
        <w:kinsoku/>
        <w:wordWrap/>
        <w:overflowPunct/>
        <w:topLinePunct w:val="0"/>
        <w:autoSpaceDE/>
        <w:autoSpaceDN/>
        <w:bidi w:val="0"/>
        <w:adjustRightInd w:val="0"/>
        <w:snapToGrid w:val="0"/>
        <w:ind w:firstLine="480" w:firstLineChars="200"/>
        <w:jc w:val="left"/>
        <w:textAlignment w:val="auto"/>
        <w:rPr>
          <w:rFonts w:hint="eastAsia" w:hAnsi="宋体" w:eastAsia="宋体"/>
          <w:b w:val="0"/>
          <w:bCs/>
          <w:color w:val="auto"/>
          <w:szCs w:val="24"/>
          <w:lang w:eastAsia="zh-CN"/>
        </w:rPr>
      </w:pPr>
      <w:r>
        <w:rPr>
          <w:rFonts w:hint="eastAsia" w:hAnsi="宋体"/>
          <w:b w:val="0"/>
          <w:bCs/>
          <w:color w:val="auto"/>
          <w:szCs w:val="24"/>
        </w:rPr>
        <w:t>附图3 项目</w:t>
      </w:r>
      <w:r>
        <w:rPr>
          <w:rFonts w:hint="eastAsia" w:hAnsi="宋体"/>
          <w:b w:val="0"/>
          <w:bCs/>
          <w:color w:val="auto"/>
          <w:szCs w:val="24"/>
          <w:lang w:eastAsia="zh-CN"/>
        </w:rPr>
        <w:t>总平面布置图</w:t>
      </w:r>
    </w:p>
    <w:p w14:paraId="163C533D">
      <w:pPr>
        <w:keepNext w:val="0"/>
        <w:keepLines w:val="0"/>
        <w:pageBreakBefore w:val="0"/>
        <w:widowControl/>
        <w:kinsoku/>
        <w:wordWrap/>
        <w:overflowPunct/>
        <w:topLinePunct w:val="0"/>
        <w:autoSpaceDE/>
        <w:autoSpaceDN/>
        <w:bidi w:val="0"/>
        <w:adjustRightInd w:val="0"/>
        <w:snapToGrid w:val="0"/>
        <w:ind w:firstLine="480" w:firstLineChars="200"/>
        <w:jc w:val="left"/>
        <w:textAlignment w:val="auto"/>
        <w:rPr>
          <w:rFonts w:hint="eastAsia" w:hAnsi="宋体"/>
          <w:b w:val="0"/>
          <w:bCs/>
          <w:color w:val="auto"/>
          <w:szCs w:val="24"/>
          <w:lang w:val="en-US" w:eastAsia="zh-CN"/>
        </w:rPr>
      </w:pPr>
      <w:r>
        <w:rPr>
          <w:rFonts w:hint="eastAsia" w:hAnsi="宋体"/>
          <w:b w:val="0"/>
          <w:bCs/>
          <w:color w:val="auto"/>
          <w:szCs w:val="24"/>
          <w:lang w:val="en-US" w:eastAsia="zh-CN"/>
        </w:rPr>
        <w:t>附图4 项目卫生防护距离图</w:t>
      </w:r>
    </w:p>
    <w:p w14:paraId="173E4929">
      <w:pPr>
        <w:jc w:val="both"/>
        <w:rPr>
          <w:rFonts w:hint="default" w:eastAsiaTheme="minorEastAsia"/>
          <w:b w:val="0"/>
          <w:bCs w:val="0"/>
          <w:color w:val="auto"/>
          <w:sz w:val="24"/>
          <w:szCs w:val="24"/>
          <w:lang w:val="en-US" w:eastAsia="zh-CN"/>
        </w:rPr>
      </w:pPr>
      <w:r>
        <w:rPr>
          <w:rFonts w:hint="eastAsia"/>
          <w:b w:val="0"/>
          <w:bCs w:val="0"/>
          <w:color w:val="auto"/>
          <w:sz w:val="24"/>
          <w:szCs w:val="24"/>
          <w:lang w:eastAsia="zh-CN"/>
        </w:rPr>
        <w:t>附图</w:t>
      </w:r>
      <w:r>
        <w:rPr>
          <w:rFonts w:hint="eastAsia"/>
          <w:b w:val="0"/>
          <w:bCs w:val="0"/>
          <w:color w:val="auto"/>
          <w:sz w:val="24"/>
          <w:szCs w:val="24"/>
          <w:lang w:val="en-US" w:eastAsia="zh-CN"/>
        </w:rPr>
        <w:t>5监测布点图</w:t>
      </w:r>
    </w:p>
    <w:p w14:paraId="6E647681">
      <w:pPr>
        <w:keepNext w:val="0"/>
        <w:keepLines w:val="0"/>
        <w:pageBreakBefore w:val="0"/>
        <w:widowControl/>
        <w:kinsoku/>
        <w:wordWrap/>
        <w:overflowPunct/>
        <w:topLinePunct w:val="0"/>
        <w:autoSpaceDE/>
        <w:autoSpaceDN/>
        <w:bidi w:val="0"/>
        <w:adjustRightInd w:val="0"/>
        <w:snapToGrid w:val="0"/>
        <w:ind w:firstLine="480" w:firstLineChars="200"/>
        <w:jc w:val="left"/>
        <w:textAlignment w:val="auto"/>
        <w:rPr>
          <w:rFonts w:hint="eastAsia" w:hAnsi="宋体"/>
          <w:b w:val="0"/>
          <w:bCs/>
          <w:color w:val="auto"/>
          <w:szCs w:val="24"/>
        </w:rPr>
      </w:pPr>
      <w:r>
        <w:rPr>
          <w:rFonts w:hint="eastAsia" w:hAnsi="宋体"/>
          <w:b w:val="0"/>
          <w:bCs/>
          <w:color w:val="auto"/>
          <w:szCs w:val="24"/>
        </w:rPr>
        <w:t>附图</w:t>
      </w:r>
      <w:r>
        <w:rPr>
          <w:rFonts w:hint="eastAsia" w:hAnsi="宋体"/>
          <w:b w:val="0"/>
          <w:bCs/>
          <w:color w:val="auto"/>
          <w:szCs w:val="24"/>
          <w:lang w:val="en-US" w:eastAsia="zh-CN"/>
        </w:rPr>
        <w:t>6</w:t>
      </w:r>
      <w:r>
        <w:rPr>
          <w:rFonts w:hint="eastAsia" w:hAnsi="宋体"/>
          <w:b w:val="0"/>
          <w:bCs/>
          <w:color w:val="auto"/>
          <w:szCs w:val="24"/>
        </w:rPr>
        <w:t xml:space="preserve"> 项目现场踏勘图</w:t>
      </w:r>
    </w:p>
    <w:p w14:paraId="13A74C96">
      <w:pPr>
        <w:ind w:firstLine="0" w:firstLineChars="0"/>
        <w:jc w:val="left"/>
        <w:rPr>
          <w:rFonts w:hAnsi="宋体"/>
          <w:b/>
          <w:color w:val="auto"/>
          <w:szCs w:val="24"/>
        </w:rPr>
      </w:pPr>
      <w:r>
        <w:rPr>
          <w:rFonts w:hint="eastAsia" w:hAnsi="宋体"/>
          <w:b/>
          <w:color w:val="auto"/>
          <w:szCs w:val="24"/>
        </w:rPr>
        <w:t>附件目录</w:t>
      </w:r>
    </w:p>
    <w:p w14:paraId="49A93030">
      <w:pPr>
        <w:keepNext w:val="0"/>
        <w:keepLines w:val="0"/>
        <w:pageBreakBefore w:val="0"/>
        <w:kinsoku/>
        <w:overflowPunct/>
        <w:topLinePunct w:val="0"/>
        <w:bidi w:val="0"/>
        <w:adjustRightInd w:val="0"/>
        <w:snapToGrid w:val="0"/>
        <w:ind w:firstLine="48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rPr>
        <w:t>附件</w:t>
      </w:r>
      <w:r>
        <w:rPr>
          <w:rFonts w:ascii="Times New Roman" w:hAnsi="Times New Roman" w:cs="Times New Roman"/>
          <w:color w:val="auto"/>
          <w:sz w:val="24"/>
          <w:szCs w:val="24"/>
        </w:rPr>
        <w:t xml:space="preserve">1 </w:t>
      </w:r>
      <w:r>
        <w:rPr>
          <w:rFonts w:hint="eastAsia" w:cs="Times New Roman"/>
          <w:color w:val="auto"/>
          <w:sz w:val="24"/>
          <w:szCs w:val="24"/>
          <w:lang w:eastAsia="zh-CN"/>
        </w:rPr>
        <w:t>营业执照</w:t>
      </w:r>
    </w:p>
    <w:p w14:paraId="665328E2">
      <w:pPr>
        <w:keepNext w:val="0"/>
        <w:keepLines w:val="0"/>
        <w:pageBreakBefore w:val="0"/>
        <w:widowControl w:val="0"/>
        <w:kinsoku/>
        <w:wordWrap w:val="0"/>
        <w:overflowPunct/>
        <w:topLinePunct w:val="0"/>
        <w:bidi w:val="0"/>
        <w:adjustRightInd w:val="0"/>
        <w:snapToGrid w:val="0"/>
        <w:ind w:firstLine="48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rPr>
        <w:t>附件</w:t>
      </w:r>
      <w:r>
        <w:rPr>
          <w:rFonts w:hint="eastAsia" w:ascii="Times New Roman" w:hAnsi="Times New Roman" w:cs="Times New Roman"/>
          <w:color w:val="auto"/>
          <w:sz w:val="24"/>
          <w:szCs w:val="24"/>
          <w:lang w:val="en-US" w:eastAsia="zh-CN"/>
        </w:rPr>
        <w:t>2</w:t>
      </w:r>
      <w:r>
        <w:rPr>
          <w:rFonts w:ascii="Times New Roman" w:hAnsi="Times New Roman" w:cs="Times New Roman"/>
          <w:color w:val="auto"/>
          <w:sz w:val="24"/>
          <w:szCs w:val="24"/>
        </w:rPr>
        <w:t xml:space="preserve"> </w:t>
      </w:r>
      <w:r>
        <w:rPr>
          <w:rFonts w:hint="eastAsia" w:cs="Times New Roman"/>
          <w:color w:val="auto"/>
          <w:sz w:val="24"/>
          <w:szCs w:val="24"/>
          <w:lang w:eastAsia="zh-CN"/>
        </w:rPr>
        <w:t>法人身份证</w:t>
      </w:r>
    </w:p>
    <w:p w14:paraId="4F56B7A2">
      <w:pPr>
        <w:keepNext w:val="0"/>
        <w:keepLines w:val="0"/>
        <w:pageBreakBefore w:val="0"/>
        <w:widowControl w:val="0"/>
        <w:kinsoku/>
        <w:wordWrap w:val="0"/>
        <w:overflowPunct/>
        <w:topLinePunct w:val="0"/>
        <w:bidi w:val="0"/>
        <w:adjustRightInd w:val="0"/>
        <w:snapToGrid w:val="0"/>
        <w:ind w:firstLine="480"/>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rPr>
        <w:t>附件</w:t>
      </w:r>
      <w:r>
        <w:rPr>
          <w:rFonts w:hint="eastAsia" w:ascii="Times New Roman" w:hAnsi="Times New Roman" w:cs="Times New Roman"/>
          <w:color w:val="auto"/>
          <w:sz w:val="24"/>
          <w:szCs w:val="24"/>
          <w:lang w:val="en-US" w:eastAsia="zh-CN"/>
        </w:rPr>
        <w:t>3</w:t>
      </w:r>
      <w:r>
        <w:rPr>
          <w:rFonts w:ascii="Times New Roman" w:hAnsi="Times New Roman" w:cs="Times New Roman"/>
          <w:color w:val="auto"/>
          <w:sz w:val="24"/>
          <w:szCs w:val="24"/>
        </w:rPr>
        <w:t xml:space="preserve"> </w:t>
      </w:r>
      <w:r>
        <w:rPr>
          <w:rFonts w:hint="eastAsia" w:cs="Times New Roman"/>
          <w:color w:val="auto"/>
          <w:sz w:val="24"/>
          <w:szCs w:val="24"/>
          <w:lang w:eastAsia="zh-CN"/>
        </w:rPr>
        <w:t>环评批复</w:t>
      </w:r>
    </w:p>
    <w:p w14:paraId="2AEA9521">
      <w:pPr>
        <w:pStyle w:val="33"/>
        <w:keepNext w:val="0"/>
        <w:keepLines w:val="0"/>
        <w:pageBreakBefore w:val="0"/>
        <w:kinsoku/>
        <w:overflowPunct/>
        <w:topLinePunct w:val="0"/>
        <w:bidi w:val="0"/>
        <w:adjustRightInd w:val="0"/>
        <w:snapToGrid w:val="0"/>
        <w:spacing w:beforeLines="0" w:afterLine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附件 4 土地证</w:t>
      </w:r>
    </w:p>
    <w:p w14:paraId="5677E994">
      <w:pPr>
        <w:keepNext w:val="0"/>
        <w:keepLines w:val="0"/>
        <w:pageBreakBefore w:val="0"/>
        <w:kinsoku/>
        <w:overflowPunct/>
        <w:topLinePunct w:val="0"/>
        <w:bidi w:val="0"/>
        <w:adjustRightInd w:val="0"/>
        <w:snapToGrid w:val="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附件5 </w:t>
      </w:r>
      <w:r>
        <w:rPr>
          <w:rFonts w:hint="eastAsia" w:cs="Times New Roman"/>
          <w:color w:val="auto"/>
          <w:sz w:val="24"/>
          <w:szCs w:val="24"/>
          <w:lang w:val="en-US" w:eastAsia="zh-CN"/>
        </w:rPr>
        <w:t>危废合同</w:t>
      </w:r>
    </w:p>
    <w:p w14:paraId="25DD0817">
      <w:pPr>
        <w:pStyle w:val="33"/>
        <w:keepNext w:val="0"/>
        <w:keepLines w:val="0"/>
        <w:pageBreakBefore w:val="0"/>
        <w:kinsoku/>
        <w:overflowPunct/>
        <w:topLinePunct w:val="0"/>
        <w:bidi w:val="0"/>
        <w:adjustRightInd w:val="0"/>
        <w:snapToGrid w:val="0"/>
        <w:spacing w:beforeLines="0" w:afterLine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附件 6 垃圾转运协议</w:t>
      </w:r>
    </w:p>
    <w:p w14:paraId="25995C43">
      <w:pPr>
        <w:keepNext w:val="0"/>
        <w:keepLines w:val="0"/>
        <w:pageBreakBefore w:val="0"/>
        <w:kinsoku/>
        <w:overflowPunct/>
        <w:topLinePunct w:val="0"/>
        <w:bidi w:val="0"/>
        <w:adjustRightInd w:val="0"/>
        <w:snapToGrid w:val="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附件7 </w:t>
      </w:r>
      <w:r>
        <w:rPr>
          <w:rFonts w:hint="eastAsia" w:cs="Times New Roman"/>
          <w:color w:val="auto"/>
          <w:sz w:val="24"/>
          <w:szCs w:val="24"/>
          <w:lang w:val="en-US" w:eastAsia="zh-CN"/>
        </w:rPr>
        <w:t>污泥转运协议</w:t>
      </w:r>
    </w:p>
    <w:p w14:paraId="4BB7049B">
      <w:pPr>
        <w:rPr>
          <w:rFonts w:hint="eastAsia" w:cs="Times New Roman"/>
          <w:color w:val="auto"/>
          <w:sz w:val="24"/>
          <w:szCs w:val="24"/>
          <w:lang w:val="en-US" w:eastAsia="zh-CN"/>
        </w:rPr>
      </w:pPr>
      <w:r>
        <w:rPr>
          <w:rFonts w:hint="eastAsia" w:cs="Times New Roman"/>
          <w:color w:val="auto"/>
          <w:sz w:val="24"/>
          <w:szCs w:val="24"/>
          <w:lang w:val="en-US" w:eastAsia="zh-CN"/>
        </w:rPr>
        <w:t>附件 8 检测报告</w:t>
      </w:r>
    </w:p>
    <w:p w14:paraId="63D9854A">
      <w:pPr>
        <w:rPr>
          <w:rFonts w:hint="default" w:cs="Times New Roman"/>
          <w:color w:val="auto"/>
          <w:sz w:val="24"/>
          <w:szCs w:val="24"/>
          <w:lang w:val="en-US" w:eastAsia="zh-CN"/>
        </w:rPr>
      </w:pPr>
      <w:r>
        <w:rPr>
          <w:rFonts w:hint="eastAsia" w:cs="Times New Roman"/>
          <w:color w:val="auto"/>
          <w:sz w:val="24"/>
          <w:szCs w:val="24"/>
          <w:lang w:val="en-US" w:eastAsia="zh-CN"/>
        </w:rPr>
        <w:t>附件 9 检测单位资质</w:t>
      </w:r>
    </w:p>
    <w:p w14:paraId="7524967D">
      <w:pPr>
        <w:widowControl w:val="0"/>
        <w:wordWrap w:val="0"/>
        <w:ind w:firstLine="480"/>
        <w:jc w:val="left"/>
        <w:rPr>
          <w:color w:val="auto"/>
          <w:szCs w:val="28"/>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453F3D28">
      <w:pPr>
        <w:pStyle w:val="3"/>
        <w:rPr>
          <w:color w:val="auto"/>
        </w:rPr>
      </w:pPr>
      <w:bookmarkStart w:id="0" w:name="_Toc28887"/>
      <w:bookmarkStart w:id="1" w:name="_Toc519515356"/>
      <w:bookmarkStart w:id="2" w:name="_Toc519594900"/>
      <w:bookmarkStart w:id="29" w:name="_GoBack"/>
      <w:bookmarkEnd w:id="29"/>
      <w:r>
        <w:rPr>
          <w:rFonts w:hint="eastAsia"/>
          <w:color w:val="auto"/>
        </w:rPr>
        <w:t>表一</w:t>
      </w:r>
      <w:r>
        <w:rPr>
          <w:color w:val="auto"/>
        </w:rPr>
        <w:t xml:space="preserve">  </w:t>
      </w:r>
      <w:r>
        <w:rPr>
          <w:rFonts w:hint="eastAsia"/>
          <w:color w:val="auto"/>
        </w:rPr>
        <w:t>项目概况</w:t>
      </w:r>
      <w:bookmarkEnd w:id="0"/>
      <w:bookmarkEnd w:id="1"/>
      <w:bookmarkEnd w:id="2"/>
    </w:p>
    <w:tbl>
      <w:tblPr>
        <w:tblStyle w:val="27"/>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36"/>
        <w:gridCol w:w="2107"/>
        <w:gridCol w:w="2020"/>
        <w:gridCol w:w="1440"/>
        <w:gridCol w:w="813"/>
        <w:gridCol w:w="956"/>
      </w:tblGrid>
      <w:tr w14:paraId="631DC4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tcBorders>
              <w:top w:val="single" w:color="auto" w:sz="8" w:space="0"/>
            </w:tcBorders>
            <w:vAlign w:val="center"/>
          </w:tcPr>
          <w:p w14:paraId="5BD750EF">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建设项目名称</w:t>
            </w:r>
          </w:p>
        </w:tc>
        <w:tc>
          <w:tcPr>
            <w:tcW w:w="7336" w:type="dxa"/>
            <w:gridSpan w:val="5"/>
            <w:tcBorders>
              <w:top w:val="single" w:color="auto" w:sz="8" w:space="0"/>
            </w:tcBorders>
            <w:vAlign w:val="center"/>
          </w:tcPr>
          <w:p w14:paraId="65F2AD2F">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szCs w:val="24"/>
                <w:lang w:val="en-US" w:eastAsia="zh-CN"/>
              </w:rPr>
            </w:pPr>
            <w:r>
              <w:rPr>
                <w:rFonts w:hint="eastAsia"/>
                <w:color w:val="auto"/>
                <w:szCs w:val="24"/>
                <w:lang w:val="en-US" w:eastAsia="zh-CN"/>
              </w:rPr>
              <w:t>餐佐料生产线扩建项目</w:t>
            </w:r>
          </w:p>
        </w:tc>
      </w:tr>
      <w:tr w14:paraId="2C75BA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02635AB8">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建设单位名称</w:t>
            </w:r>
          </w:p>
        </w:tc>
        <w:tc>
          <w:tcPr>
            <w:tcW w:w="7336" w:type="dxa"/>
            <w:gridSpan w:val="5"/>
            <w:vAlign w:val="center"/>
          </w:tcPr>
          <w:p w14:paraId="5ED06C9B">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szCs w:val="24"/>
                <w:lang w:val="en-US" w:eastAsia="zh-CN"/>
              </w:rPr>
            </w:pPr>
            <w:r>
              <w:rPr>
                <w:rFonts w:hint="eastAsia"/>
                <w:bCs/>
                <w:color w:val="auto"/>
                <w:lang w:val="en-US" w:eastAsia="zh-CN"/>
              </w:rPr>
              <w:t>四川金顶维食品有限公司</w:t>
            </w:r>
          </w:p>
        </w:tc>
      </w:tr>
      <w:tr w14:paraId="7D4F69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7EA664E0">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建设项目性质</w:t>
            </w:r>
          </w:p>
        </w:tc>
        <w:tc>
          <w:tcPr>
            <w:tcW w:w="7336" w:type="dxa"/>
            <w:gridSpan w:val="5"/>
            <w:vAlign w:val="center"/>
          </w:tcPr>
          <w:p w14:paraId="48CEFC5F">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新建</w:t>
            </w:r>
            <w:r>
              <w:rPr>
                <w:rFonts w:hint="default"/>
                <w:color w:val="auto"/>
                <w:szCs w:val="24"/>
              </w:rPr>
              <w:sym w:font="Wingdings" w:char="00A8"/>
            </w:r>
            <w:r>
              <w:rPr>
                <w:rFonts w:hint="default"/>
                <w:color w:val="auto"/>
                <w:szCs w:val="24"/>
              </w:rPr>
              <w:t xml:space="preserve"> </w:t>
            </w:r>
            <w:r>
              <w:rPr>
                <w:rFonts w:hint="eastAsia"/>
                <w:color w:val="auto"/>
                <w:szCs w:val="24"/>
              </w:rPr>
              <w:t>改扩建</w:t>
            </w:r>
            <w:r>
              <w:rPr>
                <w:rFonts w:hint="eastAsia"/>
                <w:color w:val="auto"/>
                <w:szCs w:val="24"/>
                <w:lang w:eastAsia="zh-CN"/>
              </w:rPr>
              <w:t>☑</w:t>
            </w:r>
            <w:r>
              <w:rPr>
                <w:rFonts w:hint="default"/>
                <w:color w:val="auto"/>
                <w:szCs w:val="24"/>
              </w:rPr>
              <w:t xml:space="preserve"> </w:t>
            </w:r>
            <w:r>
              <w:rPr>
                <w:rFonts w:hint="eastAsia"/>
                <w:color w:val="auto"/>
                <w:szCs w:val="24"/>
              </w:rPr>
              <w:t>技改</w:t>
            </w:r>
            <w:r>
              <w:rPr>
                <w:rFonts w:hint="default"/>
                <w:color w:val="auto"/>
                <w:szCs w:val="24"/>
              </w:rPr>
              <w:t xml:space="preserve">□  </w:t>
            </w:r>
            <w:r>
              <w:rPr>
                <w:rFonts w:hint="eastAsia"/>
                <w:color w:val="auto"/>
                <w:szCs w:val="24"/>
              </w:rPr>
              <w:t>迁建</w:t>
            </w:r>
            <w:r>
              <w:rPr>
                <w:rFonts w:hint="default"/>
                <w:color w:val="auto"/>
                <w:szCs w:val="24"/>
              </w:rPr>
              <w:t>□</w:t>
            </w:r>
          </w:p>
        </w:tc>
      </w:tr>
      <w:tr w14:paraId="778AAC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299415F9">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建设地点</w:t>
            </w:r>
          </w:p>
        </w:tc>
        <w:tc>
          <w:tcPr>
            <w:tcW w:w="7336" w:type="dxa"/>
            <w:gridSpan w:val="5"/>
            <w:vAlign w:val="center"/>
          </w:tcPr>
          <w:p w14:paraId="2173E13B">
            <w:pPr>
              <w:keepNext w:val="0"/>
              <w:keepLines w:val="0"/>
              <w:widowControl/>
              <w:suppressLineNumbers w:val="0"/>
              <w:spacing w:before="0" w:beforeAutospacing="0" w:after="0" w:afterAutospacing="0" w:line="240" w:lineRule="auto"/>
              <w:ind w:left="0" w:right="0" w:firstLine="0" w:firstLineChars="0"/>
              <w:jc w:val="center"/>
              <w:rPr>
                <w:rFonts w:hint="eastAsia" w:eastAsia="宋体"/>
                <w:color w:val="auto"/>
                <w:szCs w:val="24"/>
                <w:lang w:eastAsia="zh-CN"/>
              </w:rPr>
            </w:pPr>
            <w:r>
              <w:rPr>
                <w:rFonts w:hint="eastAsia" w:ascii="宋体" w:hAnsi="宋体" w:cs="宋体"/>
                <w:color w:val="auto"/>
                <w:sz w:val="24"/>
                <w:szCs w:val="24"/>
                <w:lang w:eastAsia="zh-CN"/>
              </w:rPr>
              <w:t>眉山高新技术产业园区</w:t>
            </w:r>
            <w:r>
              <w:rPr>
                <w:rFonts w:hint="eastAsia" w:ascii="Times New Roman" w:hAnsi="Times New Roman" w:cs="宋体"/>
                <w:color w:val="auto"/>
                <w:sz w:val="24"/>
                <w:szCs w:val="24"/>
                <w:lang w:eastAsia="zh-CN"/>
              </w:rPr>
              <w:t>东区坛香路</w:t>
            </w:r>
            <w:r>
              <w:rPr>
                <w:rFonts w:hint="eastAsia" w:ascii="Times New Roman" w:hAnsi="Times New Roman" w:cs="宋体"/>
                <w:color w:val="auto"/>
                <w:sz w:val="24"/>
                <w:szCs w:val="24"/>
                <w:lang w:val="en-US" w:eastAsia="zh-CN"/>
              </w:rPr>
              <w:t>6号</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103</w:t>
            </w:r>
            <w:r>
              <w:rPr>
                <w:rFonts w:hint="eastAsia" w:ascii="Times New Roman" w:hAnsi="Times New Roman"/>
                <w:color w:val="auto"/>
                <w:sz w:val="24"/>
                <w:szCs w:val="24"/>
                <w:lang w:eastAsia="zh-CN"/>
              </w:rPr>
              <w:t>度</w:t>
            </w:r>
            <w:r>
              <w:rPr>
                <w:rFonts w:hint="eastAsia" w:ascii="Times New Roman" w:hAnsi="Times New Roman"/>
                <w:color w:val="auto"/>
                <w:sz w:val="24"/>
                <w:szCs w:val="24"/>
                <w:lang w:val="en-US" w:eastAsia="zh-CN"/>
              </w:rPr>
              <w:t>50</w:t>
            </w:r>
            <w:r>
              <w:rPr>
                <w:rFonts w:hint="eastAsia" w:ascii="Times New Roman" w:hAnsi="Times New Roman"/>
                <w:color w:val="auto"/>
                <w:sz w:val="24"/>
                <w:szCs w:val="24"/>
                <w:lang w:eastAsia="zh-CN"/>
              </w:rPr>
              <w:t>分</w:t>
            </w:r>
            <w:r>
              <w:rPr>
                <w:rFonts w:hint="eastAsia" w:ascii="Times New Roman" w:hAnsi="Times New Roman"/>
                <w:color w:val="auto"/>
                <w:sz w:val="24"/>
                <w:szCs w:val="24"/>
                <w:lang w:val="en-US" w:eastAsia="zh-CN"/>
              </w:rPr>
              <w:t>43.108</w:t>
            </w:r>
            <w:r>
              <w:rPr>
                <w:rFonts w:hint="eastAsia" w:ascii="Times New Roman" w:hAnsi="Times New Roman"/>
                <w:color w:val="auto"/>
                <w:sz w:val="24"/>
                <w:szCs w:val="24"/>
                <w:lang w:eastAsia="zh-CN"/>
              </w:rPr>
              <w:t>秒，</w:t>
            </w:r>
            <w:r>
              <w:rPr>
                <w:rFonts w:hint="eastAsia" w:ascii="Times New Roman" w:hAnsi="Times New Roman"/>
                <w:color w:val="auto"/>
                <w:sz w:val="24"/>
                <w:szCs w:val="24"/>
                <w:lang w:val="en-US" w:eastAsia="zh-CN"/>
              </w:rPr>
              <w:t>30</w:t>
            </w:r>
            <w:r>
              <w:rPr>
                <w:rFonts w:hint="eastAsia" w:ascii="Times New Roman" w:hAnsi="Times New Roman"/>
                <w:color w:val="auto"/>
                <w:sz w:val="24"/>
                <w:szCs w:val="24"/>
                <w:lang w:eastAsia="zh-CN"/>
              </w:rPr>
              <w:t>度</w:t>
            </w:r>
            <w:r>
              <w:rPr>
                <w:rFonts w:hint="eastAsia" w:ascii="Times New Roman" w:hAnsi="Times New Roman"/>
                <w:color w:val="auto"/>
                <w:sz w:val="24"/>
                <w:szCs w:val="24"/>
                <w:lang w:val="en-US" w:eastAsia="zh-CN"/>
              </w:rPr>
              <w:t>0</w:t>
            </w:r>
            <w:r>
              <w:rPr>
                <w:rFonts w:hint="eastAsia" w:ascii="Times New Roman" w:hAnsi="Times New Roman"/>
                <w:color w:val="auto"/>
                <w:sz w:val="24"/>
                <w:szCs w:val="24"/>
                <w:lang w:eastAsia="zh-CN"/>
              </w:rPr>
              <w:t>分</w:t>
            </w:r>
            <w:r>
              <w:rPr>
                <w:rFonts w:hint="eastAsia" w:ascii="Times New Roman" w:hAnsi="Times New Roman"/>
                <w:color w:val="auto"/>
                <w:sz w:val="24"/>
                <w:szCs w:val="24"/>
                <w:lang w:val="en-US" w:eastAsia="zh-CN"/>
              </w:rPr>
              <w:t>59.713</w:t>
            </w:r>
            <w:r>
              <w:rPr>
                <w:rFonts w:hint="eastAsia" w:ascii="Times New Roman" w:hAnsi="Times New Roman"/>
                <w:color w:val="auto"/>
                <w:sz w:val="24"/>
                <w:szCs w:val="24"/>
                <w:lang w:eastAsia="zh-CN"/>
              </w:rPr>
              <w:t>秒）</w:t>
            </w:r>
          </w:p>
        </w:tc>
      </w:tr>
      <w:tr w14:paraId="4BE7BC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7F511D45">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主要产品名称</w:t>
            </w:r>
          </w:p>
        </w:tc>
        <w:tc>
          <w:tcPr>
            <w:tcW w:w="7336" w:type="dxa"/>
            <w:gridSpan w:val="5"/>
            <w:vAlign w:val="center"/>
          </w:tcPr>
          <w:p w14:paraId="2FCC3A09">
            <w:pPr>
              <w:keepNext w:val="0"/>
              <w:keepLines w:val="0"/>
              <w:widowControl w:val="0"/>
              <w:suppressLineNumbers w:val="0"/>
              <w:spacing w:before="0" w:beforeAutospacing="0" w:after="0" w:afterAutospacing="0" w:line="240" w:lineRule="auto"/>
              <w:ind w:left="0" w:right="0" w:firstLine="0" w:firstLineChars="0"/>
              <w:jc w:val="center"/>
              <w:rPr>
                <w:rFonts w:hint="default" w:eastAsia="宋体"/>
                <w:color w:val="auto"/>
                <w:szCs w:val="24"/>
                <w:lang w:val="en-US" w:eastAsia="zh-CN"/>
              </w:rPr>
            </w:pPr>
            <w:r>
              <w:rPr>
                <w:rFonts w:hint="eastAsia"/>
                <w:color w:val="auto"/>
                <w:szCs w:val="24"/>
                <w:lang w:val="en-US" w:eastAsia="zh-CN"/>
              </w:rPr>
              <w:t>餐佐料</w:t>
            </w:r>
          </w:p>
        </w:tc>
      </w:tr>
      <w:tr w14:paraId="602B01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20F98F69">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设计生产能力</w:t>
            </w:r>
          </w:p>
        </w:tc>
        <w:tc>
          <w:tcPr>
            <w:tcW w:w="7336" w:type="dxa"/>
            <w:gridSpan w:val="5"/>
            <w:vAlign w:val="center"/>
          </w:tcPr>
          <w:p w14:paraId="511DDD47">
            <w:pPr>
              <w:keepNext w:val="0"/>
              <w:keepLines w:val="0"/>
              <w:widowControl w:val="0"/>
              <w:suppressLineNumbers w:val="0"/>
              <w:spacing w:before="0" w:beforeAutospacing="0" w:after="0" w:afterAutospacing="0" w:line="240" w:lineRule="auto"/>
              <w:ind w:left="0" w:right="0" w:firstLine="0" w:firstLineChars="0"/>
              <w:jc w:val="center"/>
              <w:rPr>
                <w:rFonts w:hint="default"/>
                <w:color w:val="auto"/>
                <w:szCs w:val="24"/>
                <w:lang w:val="en-US"/>
              </w:rPr>
            </w:pPr>
            <w:r>
              <w:rPr>
                <w:rFonts w:hint="eastAsia"/>
                <w:color w:val="auto"/>
                <w:szCs w:val="24"/>
                <w:lang w:val="en-US" w:eastAsia="zh-CN"/>
              </w:rPr>
              <w:t>年产餐佐料2</w:t>
            </w:r>
            <w:r>
              <w:rPr>
                <w:rFonts w:hint="eastAsia"/>
                <w:color w:val="auto"/>
                <w:sz w:val="24"/>
                <w:szCs w:val="24"/>
                <w:lang w:val="en-US" w:eastAsia="zh-CN"/>
              </w:rPr>
              <w:t>000吨、鸡精4000吨</w:t>
            </w:r>
          </w:p>
        </w:tc>
      </w:tr>
      <w:tr w14:paraId="5D79C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46B63C6A">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实际生产能力</w:t>
            </w:r>
          </w:p>
        </w:tc>
        <w:tc>
          <w:tcPr>
            <w:tcW w:w="7336" w:type="dxa"/>
            <w:gridSpan w:val="5"/>
            <w:vAlign w:val="center"/>
          </w:tcPr>
          <w:p w14:paraId="01221B08">
            <w:pPr>
              <w:keepNext w:val="0"/>
              <w:keepLines w:val="0"/>
              <w:widowControl w:val="0"/>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lang w:val="en-US" w:eastAsia="zh-CN"/>
              </w:rPr>
              <w:t>年产餐佐料2</w:t>
            </w:r>
            <w:r>
              <w:rPr>
                <w:rFonts w:hint="eastAsia"/>
                <w:color w:val="auto"/>
                <w:sz w:val="24"/>
                <w:szCs w:val="24"/>
                <w:lang w:val="en-US" w:eastAsia="zh-CN"/>
              </w:rPr>
              <w:t>000吨</w:t>
            </w:r>
          </w:p>
        </w:tc>
      </w:tr>
      <w:tr w14:paraId="3230B9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06198056">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项目环评时间</w:t>
            </w:r>
          </w:p>
        </w:tc>
        <w:tc>
          <w:tcPr>
            <w:tcW w:w="2107" w:type="dxa"/>
            <w:vAlign w:val="center"/>
          </w:tcPr>
          <w:p w14:paraId="1FF7D409">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default"/>
                <w:color w:val="auto"/>
                <w:szCs w:val="24"/>
              </w:rPr>
              <w:t>20</w:t>
            </w:r>
            <w:r>
              <w:rPr>
                <w:rFonts w:hint="eastAsia"/>
                <w:color w:val="auto"/>
                <w:szCs w:val="24"/>
                <w:lang w:val="en-US" w:eastAsia="zh-CN"/>
              </w:rPr>
              <w:t>19</w:t>
            </w:r>
            <w:r>
              <w:rPr>
                <w:rFonts w:hint="default"/>
                <w:color w:val="auto"/>
                <w:szCs w:val="24"/>
              </w:rPr>
              <w:t>年</w:t>
            </w:r>
            <w:r>
              <w:rPr>
                <w:rFonts w:hint="eastAsia"/>
                <w:color w:val="auto"/>
                <w:szCs w:val="24"/>
                <w:lang w:val="en-US" w:eastAsia="zh-CN"/>
              </w:rPr>
              <w:t>5</w:t>
            </w:r>
            <w:r>
              <w:rPr>
                <w:rFonts w:hint="default"/>
                <w:color w:val="auto"/>
                <w:szCs w:val="24"/>
              </w:rPr>
              <w:t>月</w:t>
            </w:r>
          </w:p>
        </w:tc>
        <w:tc>
          <w:tcPr>
            <w:tcW w:w="2020" w:type="dxa"/>
            <w:vAlign w:val="center"/>
          </w:tcPr>
          <w:p w14:paraId="26DA4731">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开工建设时间</w:t>
            </w:r>
          </w:p>
        </w:tc>
        <w:tc>
          <w:tcPr>
            <w:tcW w:w="3209" w:type="dxa"/>
            <w:gridSpan w:val="3"/>
            <w:vAlign w:val="center"/>
          </w:tcPr>
          <w:p w14:paraId="2531A09C">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lang w:val="en-US" w:eastAsia="zh-CN"/>
              </w:rPr>
              <w:t>2021</w:t>
            </w:r>
            <w:r>
              <w:rPr>
                <w:rFonts w:hint="default"/>
                <w:color w:val="auto"/>
                <w:szCs w:val="24"/>
              </w:rPr>
              <w:t>年</w:t>
            </w:r>
            <w:r>
              <w:rPr>
                <w:rFonts w:hint="eastAsia"/>
                <w:color w:val="auto"/>
                <w:szCs w:val="24"/>
                <w:lang w:val="en-US" w:eastAsia="zh-CN"/>
              </w:rPr>
              <w:t>3</w:t>
            </w:r>
            <w:r>
              <w:rPr>
                <w:rFonts w:hint="default"/>
                <w:color w:val="auto"/>
                <w:szCs w:val="24"/>
              </w:rPr>
              <w:t>月</w:t>
            </w:r>
          </w:p>
        </w:tc>
      </w:tr>
      <w:tr w14:paraId="75D04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085A0AD5">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项目</w:t>
            </w:r>
            <w:r>
              <w:rPr>
                <w:rFonts w:hint="eastAsia"/>
                <w:color w:val="auto"/>
                <w:szCs w:val="24"/>
                <w:lang w:eastAsia="zh-CN"/>
              </w:rPr>
              <w:t>调试</w:t>
            </w:r>
            <w:r>
              <w:rPr>
                <w:rFonts w:hint="eastAsia"/>
                <w:color w:val="auto"/>
                <w:szCs w:val="24"/>
              </w:rPr>
              <w:t>时间</w:t>
            </w:r>
          </w:p>
        </w:tc>
        <w:tc>
          <w:tcPr>
            <w:tcW w:w="2107" w:type="dxa"/>
            <w:vAlign w:val="center"/>
          </w:tcPr>
          <w:p w14:paraId="33087908">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default"/>
                <w:color w:val="auto"/>
                <w:szCs w:val="24"/>
              </w:rPr>
              <w:t>20</w:t>
            </w:r>
            <w:r>
              <w:rPr>
                <w:rFonts w:hint="eastAsia"/>
                <w:color w:val="auto"/>
                <w:szCs w:val="24"/>
                <w:lang w:val="en-US" w:eastAsia="zh-CN"/>
              </w:rPr>
              <w:t>24</w:t>
            </w:r>
            <w:r>
              <w:rPr>
                <w:rFonts w:hint="eastAsia"/>
                <w:color w:val="auto"/>
                <w:szCs w:val="24"/>
              </w:rPr>
              <w:t>年</w:t>
            </w:r>
            <w:r>
              <w:rPr>
                <w:rFonts w:hint="eastAsia"/>
                <w:color w:val="auto"/>
                <w:szCs w:val="24"/>
                <w:lang w:val="en-US" w:eastAsia="zh-CN"/>
              </w:rPr>
              <w:t>5</w:t>
            </w:r>
            <w:r>
              <w:rPr>
                <w:rFonts w:hint="eastAsia"/>
                <w:color w:val="auto"/>
                <w:szCs w:val="24"/>
              </w:rPr>
              <w:t>月</w:t>
            </w:r>
          </w:p>
        </w:tc>
        <w:tc>
          <w:tcPr>
            <w:tcW w:w="2020" w:type="dxa"/>
            <w:vAlign w:val="center"/>
          </w:tcPr>
          <w:p w14:paraId="11E18C4D">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验收现场</w:t>
            </w:r>
          </w:p>
          <w:p w14:paraId="48C8EA9E">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监测时间</w:t>
            </w:r>
          </w:p>
        </w:tc>
        <w:tc>
          <w:tcPr>
            <w:tcW w:w="3209" w:type="dxa"/>
            <w:gridSpan w:val="3"/>
            <w:vAlign w:val="center"/>
          </w:tcPr>
          <w:p w14:paraId="171070E7">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szCs w:val="24"/>
                <w:lang w:val="en-US" w:eastAsia="zh-CN"/>
              </w:rPr>
            </w:pPr>
            <w:r>
              <w:rPr>
                <w:rFonts w:hint="eastAsia"/>
                <w:color w:val="auto"/>
                <w:szCs w:val="24"/>
                <w:lang w:val="en-US" w:eastAsia="zh-CN"/>
              </w:rPr>
              <w:t>2024年7月</w:t>
            </w:r>
          </w:p>
        </w:tc>
      </w:tr>
      <w:tr w14:paraId="7AC838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12BFA558">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环评报告表</w:t>
            </w:r>
          </w:p>
          <w:p w14:paraId="548FC71D">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审批部门</w:t>
            </w:r>
          </w:p>
        </w:tc>
        <w:tc>
          <w:tcPr>
            <w:tcW w:w="2107" w:type="dxa"/>
            <w:vAlign w:val="center"/>
          </w:tcPr>
          <w:p w14:paraId="16C14E03">
            <w:pPr>
              <w:keepNext w:val="0"/>
              <w:keepLines w:val="0"/>
              <w:widowControl/>
              <w:suppressLineNumbers w:val="0"/>
              <w:spacing w:before="0" w:beforeAutospacing="0" w:after="0" w:afterAutospacing="0" w:line="240" w:lineRule="auto"/>
              <w:ind w:left="0" w:right="0" w:firstLine="0" w:firstLineChars="0"/>
              <w:jc w:val="center"/>
              <w:rPr>
                <w:rFonts w:hint="eastAsia" w:eastAsia="宋体"/>
                <w:color w:val="auto"/>
                <w:szCs w:val="24"/>
                <w:lang w:eastAsia="zh-CN"/>
              </w:rPr>
            </w:pPr>
            <w:r>
              <w:rPr>
                <w:rFonts w:hint="eastAsia"/>
                <w:color w:val="auto"/>
                <w:szCs w:val="24"/>
              </w:rPr>
              <w:t>眉山市东坡生态环境局</w:t>
            </w:r>
          </w:p>
        </w:tc>
        <w:tc>
          <w:tcPr>
            <w:tcW w:w="2020" w:type="dxa"/>
            <w:vAlign w:val="center"/>
          </w:tcPr>
          <w:p w14:paraId="5C9F2143">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环评报告表</w:t>
            </w:r>
          </w:p>
          <w:p w14:paraId="5270EE5F">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编制单位</w:t>
            </w:r>
          </w:p>
        </w:tc>
        <w:tc>
          <w:tcPr>
            <w:tcW w:w="3209" w:type="dxa"/>
            <w:gridSpan w:val="3"/>
            <w:vAlign w:val="center"/>
          </w:tcPr>
          <w:p w14:paraId="58B6F804">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szCs w:val="24"/>
                <w:lang w:val="en-US" w:eastAsia="zh-CN"/>
              </w:rPr>
            </w:pPr>
            <w:r>
              <w:rPr>
                <w:rFonts w:hint="eastAsia"/>
                <w:color w:val="auto"/>
                <w:szCs w:val="24"/>
                <w:lang w:val="en-US" w:eastAsia="zh-CN"/>
              </w:rPr>
              <w:t>睿柯环境工程有限公司</w:t>
            </w:r>
          </w:p>
        </w:tc>
      </w:tr>
      <w:tr w14:paraId="2A453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36" w:type="dxa"/>
            <w:vAlign w:val="center"/>
          </w:tcPr>
          <w:p w14:paraId="55011905">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环保设施</w:t>
            </w:r>
          </w:p>
          <w:p w14:paraId="07CE145F">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设计单位</w:t>
            </w:r>
          </w:p>
        </w:tc>
        <w:tc>
          <w:tcPr>
            <w:tcW w:w="2107" w:type="dxa"/>
            <w:vAlign w:val="center"/>
          </w:tcPr>
          <w:p w14:paraId="684865A6">
            <w:pPr>
              <w:keepNext w:val="0"/>
              <w:keepLines w:val="0"/>
              <w:widowControl/>
              <w:suppressLineNumbers w:val="0"/>
              <w:spacing w:before="0" w:beforeAutospacing="0" w:after="0" w:afterAutospacing="0" w:line="240" w:lineRule="auto"/>
              <w:ind w:left="0" w:right="0" w:firstLine="0" w:firstLineChars="0"/>
              <w:jc w:val="center"/>
              <w:rPr>
                <w:rFonts w:hint="eastAsia" w:eastAsia="宋体"/>
                <w:color w:val="auto"/>
                <w:szCs w:val="24"/>
                <w:lang w:eastAsia="zh-CN"/>
              </w:rPr>
            </w:pPr>
            <w:r>
              <w:rPr>
                <w:rFonts w:hint="eastAsia"/>
                <w:color w:val="auto"/>
                <w:szCs w:val="24"/>
                <w:lang w:val="en-US" w:eastAsia="zh-CN"/>
              </w:rPr>
              <w:t>/</w:t>
            </w:r>
          </w:p>
        </w:tc>
        <w:tc>
          <w:tcPr>
            <w:tcW w:w="2020" w:type="dxa"/>
            <w:vAlign w:val="center"/>
          </w:tcPr>
          <w:p w14:paraId="657F0ECB">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环保设施</w:t>
            </w:r>
          </w:p>
          <w:p w14:paraId="15404A23">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施工单位</w:t>
            </w:r>
          </w:p>
        </w:tc>
        <w:tc>
          <w:tcPr>
            <w:tcW w:w="3209" w:type="dxa"/>
            <w:gridSpan w:val="3"/>
            <w:vAlign w:val="center"/>
          </w:tcPr>
          <w:p w14:paraId="4038A88B">
            <w:pPr>
              <w:keepNext w:val="0"/>
              <w:keepLines w:val="0"/>
              <w:widowControl/>
              <w:suppressLineNumbers w:val="0"/>
              <w:spacing w:before="0" w:beforeAutospacing="0" w:after="0" w:afterAutospacing="0" w:line="240" w:lineRule="auto"/>
              <w:ind w:left="0" w:right="0" w:firstLine="0" w:firstLineChars="0"/>
              <w:jc w:val="center"/>
              <w:rPr>
                <w:rFonts w:hint="eastAsia" w:eastAsia="宋体"/>
                <w:color w:val="auto"/>
                <w:szCs w:val="24"/>
                <w:lang w:eastAsia="zh-CN"/>
              </w:rPr>
            </w:pPr>
            <w:r>
              <w:rPr>
                <w:rFonts w:hint="eastAsia"/>
                <w:color w:val="auto"/>
                <w:szCs w:val="24"/>
                <w:lang w:val="en-US" w:eastAsia="zh-CN"/>
              </w:rPr>
              <w:t>/</w:t>
            </w:r>
          </w:p>
        </w:tc>
      </w:tr>
      <w:tr w14:paraId="5F4671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167A9128">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投资总概算</w:t>
            </w:r>
          </w:p>
        </w:tc>
        <w:tc>
          <w:tcPr>
            <w:tcW w:w="2107" w:type="dxa"/>
            <w:vAlign w:val="center"/>
          </w:tcPr>
          <w:p w14:paraId="455A643D">
            <w:pPr>
              <w:keepNext w:val="0"/>
              <w:keepLines w:val="0"/>
              <w:widowControl w:val="0"/>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lang w:val="en-US" w:eastAsia="zh-CN"/>
              </w:rPr>
              <w:t>2000</w:t>
            </w:r>
            <w:r>
              <w:rPr>
                <w:rFonts w:hint="default"/>
                <w:color w:val="auto"/>
                <w:szCs w:val="24"/>
                <w:lang w:val="en-US" w:eastAsia="zh-CN"/>
              </w:rPr>
              <w:t>万元</w:t>
            </w:r>
          </w:p>
        </w:tc>
        <w:tc>
          <w:tcPr>
            <w:tcW w:w="2020" w:type="dxa"/>
            <w:vAlign w:val="center"/>
          </w:tcPr>
          <w:p w14:paraId="7F1AC482">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环保投资总概算</w:t>
            </w:r>
          </w:p>
        </w:tc>
        <w:tc>
          <w:tcPr>
            <w:tcW w:w="1440" w:type="dxa"/>
            <w:vAlign w:val="center"/>
          </w:tcPr>
          <w:p w14:paraId="125CAF27">
            <w:pPr>
              <w:keepNext w:val="0"/>
              <w:keepLines w:val="0"/>
              <w:widowControl w:val="0"/>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lang w:val="en-US" w:eastAsia="zh-CN"/>
              </w:rPr>
              <w:t>75.5</w:t>
            </w:r>
            <w:r>
              <w:rPr>
                <w:rFonts w:hint="default"/>
                <w:color w:val="auto"/>
                <w:szCs w:val="24"/>
              </w:rPr>
              <w:t>万元</w:t>
            </w:r>
          </w:p>
        </w:tc>
        <w:tc>
          <w:tcPr>
            <w:tcW w:w="813" w:type="dxa"/>
            <w:vAlign w:val="center"/>
          </w:tcPr>
          <w:p w14:paraId="6205054A">
            <w:pPr>
              <w:keepNext w:val="0"/>
              <w:keepLines w:val="0"/>
              <w:widowControl w:val="0"/>
              <w:suppressLineNumbers w:val="0"/>
              <w:spacing w:before="0" w:beforeAutospacing="0" w:after="0" w:afterAutospacing="0" w:line="240" w:lineRule="auto"/>
              <w:ind w:left="0" w:right="0" w:firstLine="0" w:firstLineChars="0"/>
              <w:jc w:val="center"/>
              <w:rPr>
                <w:rFonts w:hint="default"/>
                <w:color w:val="auto"/>
                <w:szCs w:val="24"/>
              </w:rPr>
            </w:pPr>
            <w:r>
              <w:rPr>
                <w:rFonts w:hint="default"/>
                <w:color w:val="auto"/>
                <w:szCs w:val="24"/>
              </w:rPr>
              <w:t>比例</w:t>
            </w:r>
          </w:p>
        </w:tc>
        <w:tc>
          <w:tcPr>
            <w:tcW w:w="956" w:type="dxa"/>
            <w:vAlign w:val="center"/>
          </w:tcPr>
          <w:p w14:paraId="44E87A21">
            <w:pPr>
              <w:keepNext w:val="0"/>
              <w:keepLines w:val="0"/>
              <w:widowControl w:val="0"/>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lang w:val="en-US" w:eastAsia="zh-CN"/>
              </w:rPr>
              <w:t>3.78</w:t>
            </w:r>
            <w:r>
              <w:rPr>
                <w:rFonts w:hint="default"/>
                <w:color w:val="auto"/>
                <w:szCs w:val="24"/>
              </w:rPr>
              <w:t>%</w:t>
            </w:r>
          </w:p>
        </w:tc>
      </w:tr>
      <w:tr w14:paraId="540B29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6" w:type="dxa"/>
            <w:vAlign w:val="center"/>
          </w:tcPr>
          <w:p w14:paraId="45F4A647">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实际投资</w:t>
            </w:r>
          </w:p>
        </w:tc>
        <w:tc>
          <w:tcPr>
            <w:tcW w:w="2107" w:type="dxa"/>
            <w:vAlign w:val="center"/>
          </w:tcPr>
          <w:p w14:paraId="6D671147">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lang w:val="en-US" w:eastAsia="zh-CN"/>
              </w:rPr>
              <w:t>2000</w:t>
            </w:r>
            <w:r>
              <w:rPr>
                <w:rFonts w:hint="default"/>
                <w:color w:val="auto"/>
                <w:szCs w:val="24"/>
                <w:lang w:val="en-US" w:eastAsia="zh-CN"/>
              </w:rPr>
              <w:t>万元</w:t>
            </w:r>
          </w:p>
        </w:tc>
        <w:tc>
          <w:tcPr>
            <w:tcW w:w="2020" w:type="dxa"/>
            <w:vAlign w:val="center"/>
          </w:tcPr>
          <w:p w14:paraId="35CC72F2">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szCs w:val="24"/>
              </w:rPr>
              <w:t>实际环保投资</w:t>
            </w:r>
          </w:p>
        </w:tc>
        <w:tc>
          <w:tcPr>
            <w:tcW w:w="1440" w:type="dxa"/>
            <w:vAlign w:val="center"/>
          </w:tcPr>
          <w:p w14:paraId="58EEA738">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lang w:val="en-US" w:eastAsia="zh-CN"/>
              </w:rPr>
              <w:t>70.5</w:t>
            </w:r>
            <w:r>
              <w:rPr>
                <w:rFonts w:hint="eastAsia"/>
                <w:color w:val="auto"/>
              </w:rPr>
              <w:t>万元</w:t>
            </w:r>
          </w:p>
        </w:tc>
        <w:tc>
          <w:tcPr>
            <w:tcW w:w="813" w:type="dxa"/>
            <w:vAlign w:val="center"/>
          </w:tcPr>
          <w:p w14:paraId="3FE3CBDD">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rPr>
              <w:t>比例</w:t>
            </w:r>
          </w:p>
        </w:tc>
        <w:tc>
          <w:tcPr>
            <w:tcW w:w="956" w:type="dxa"/>
            <w:vAlign w:val="center"/>
          </w:tcPr>
          <w:p w14:paraId="78B7B2BD">
            <w:pPr>
              <w:keepNext w:val="0"/>
              <w:keepLines w:val="0"/>
              <w:widowControl/>
              <w:suppressLineNumbers w:val="0"/>
              <w:spacing w:before="0" w:beforeAutospacing="0" w:after="0" w:afterAutospacing="0" w:line="240" w:lineRule="auto"/>
              <w:ind w:left="0" w:right="0" w:firstLine="0" w:firstLineChars="0"/>
              <w:jc w:val="center"/>
              <w:rPr>
                <w:rFonts w:hint="default"/>
                <w:color w:val="auto"/>
                <w:szCs w:val="24"/>
              </w:rPr>
            </w:pPr>
            <w:r>
              <w:rPr>
                <w:rFonts w:hint="eastAsia"/>
                <w:color w:val="auto"/>
                <w:lang w:val="en-US" w:eastAsia="zh-CN"/>
              </w:rPr>
              <w:t>3.525</w:t>
            </w:r>
            <w:r>
              <w:rPr>
                <w:rFonts w:hint="default"/>
                <w:color w:val="auto"/>
              </w:rPr>
              <w:t>%</w:t>
            </w:r>
          </w:p>
        </w:tc>
      </w:tr>
      <w:tr w14:paraId="3DF0E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736" w:type="dxa"/>
            <w:vAlign w:val="center"/>
          </w:tcPr>
          <w:p w14:paraId="49127DBA">
            <w:pPr>
              <w:keepNext w:val="0"/>
              <w:keepLines w:val="0"/>
              <w:widowControl/>
              <w:suppressLineNumbers w:val="0"/>
              <w:spacing w:before="0" w:beforeAutospacing="0" w:after="0" w:afterAutospacing="0"/>
              <w:ind w:left="0" w:right="0" w:firstLine="0" w:firstLineChars="0"/>
              <w:jc w:val="center"/>
              <w:rPr>
                <w:rFonts w:hint="default"/>
                <w:color w:val="auto"/>
                <w:szCs w:val="24"/>
              </w:rPr>
            </w:pPr>
            <w:r>
              <w:rPr>
                <w:rFonts w:hint="eastAsia"/>
                <w:color w:val="auto"/>
                <w:szCs w:val="24"/>
              </w:rPr>
              <w:t>验收监测依据</w:t>
            </w:r>
          </w:p>
        </w:tc>
        <w:tc>
          <w:tcPr>
            <w:tcW w:w="7336" w:type="dxa"/>
            <w:gridSpan w:val="5"/>
            <w:vAlign w:val="center"/>
          </w:tcPr>
          <w:p w14:paraId="710274A0">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、环境保护法规及规</w:t>
            </w:r>
            <w:r>
              <w:rPr>
                <w:rFonts w:hint="eastAsia"/>
                <w:color w:val="auto"/>
                <w:sz w:val="24"/>
                <w:szCs w:val="24"/>
                <w:lang w:eastAsia="zh-CN"/>
              </w:rPr>
              <w:t>范性</w:t>
            </w:r>
            <w:r>
              <w:rPr>
                <w:rFonts w:hint="eastAsia"/>
                <w:color w:val="auto"/>
                <w:sz w:val="24"/>
                <w:szCs w:val="24"/>
              </w:rPr>
              <w:t>文件</w:t>
            </w:r>
          </w:p>
          <w:p w14:paraId="1E0045AE">
            <w:pPr>
              <w:keepNext w:val="0"/>
              <w:keepLines w:val="0"/>
              <w:widowControl/>
              <w:suppressLineNumbers w:val="0"/>
              <w:tabs>
                <w:tab w:val="left" w:pos="8882"/>
              </w:tabs>
              <w:spacing w:before="0" w:beforeAutospacing="0" w:after="0" w:afterAutospacing="0"/>
              <w:ind w:left="0" w:right="0" w:firstLine="480"/>
              <w:jc w:val="left"/>
              <w:rPr>
                <w:rFonts w:hint="default"/>
                <w:iCs/>
                <w:color w:val="auto"/>
              </w:rPr>
            </w:pPr>
            <w:r>
              <w:rPr>
                <w:rFonts w:hint="eastAsia"/>
                <w:iCs/>
                <w:color w:val="auto"/>
              </w:rPr>
              <w:t>（</w:t>
            </w:r>
            <w:r>
              <w:rPr>
                <w:rFonts w:hint="default"/>
                <w:iCs/>
                <w:color w:val="auto"/>
              </w:rPr>
              <w:t>1</w:t>
            </w:r>
            <w:r>
              <w:rPr>
                <w:rFonts w:hint="eastAsia"/>
                <w:iCs/>
                <w:color w:val="auto"/>
              </w:rPr>
              <w:t>）《中华人民共和国环境保护法》（</w:t>
            </w:r>
            <w:r>
              <w:rPr>
                <w:rFonts w:hint="default"/>
                <w:iCs/>
                <w:color w:val="auto"/>
              </w:rPr>
              <w:t>2015</w:t>
            </w:r>
            <w:r>
              <w:rPr>
                <w:rFonts w:hint="eastAsia"/>
                <w:iCs/>
                <w:color w:val="auto"/>
              </w:rPr>
              <w:t>年</w:t>
            </w:r>
            <w:r>
              <w:rPr>
                <w:rFonts w:hint="default"/>
                <w:iCs/>
                <w:color w:val="auto"/>
              </w:rPr>
              <w:t>1</w:t>
            </w:r>
            <w:r>
              <w:rPr>
                <w:rFonts w:hint="eastAsia"/>
                <w:iCs/>
                <w:color w:val="auto"/>
              </w:rPr>
              <w:t>月</w:t>
            </w:r>
            <w:r>
              <w:rPr>
                <w:rFonts w:hint="default"/>
                <w:iCs/>
                <w:color w:val="auto"/>
              </w:rPr>
              <w:t>1</w:t>
            </w:r>
            <w:r>
              <w:rPr>
                <w:rFonts w:hint="eastAsia"/>
                <w:iCs/>
                <w:color w:val="auto"/>
              </w:rPr>
              <w:t>日起施行）；</w:t>
            </w:r>
          </w:p>
          <w:p w14:paraId="1C6B0BA6">
            <w:pPr>
              <w:keepNext w:val="0"/>
              <w:keepLines w:val="0"/>
              <w:widowControl/>
              <w:suppressLineNumbers w:val="0"/>
              <w:tabs>
                <w:tab w:val="left" w:pos="8882"/>
              </w:tabs>
              <w:spacing w:before="0" w:beforeAutospacing="0" w:after="0" w:afterAutospacing="0"/>
              <w:ind w:left="0" w:right="0" w:firstLine="480"/>
              <w:jc w:val="left"/>
              <w:rPr>
                <w:rFonts w:hint="default"/>
                <w:iCs/>
                <w:color w:val="auto"/>
              </w:rPr>
            </w:pPr>
            <w:r>
              <w:rPr>
                <w:rFonts w:hint="eastAsia"/>
                <w:iCs/>
                <w:color w:val="auto"/>
              </w:rPr>
              <w:t>（</w:t>
            </w:r>
            <w:r>
              <w:rPr>
                <w:rFonts w:hint="default"/>
                <w:iCs/>
                <w:color w:val="auto"/>
              </w:rPr>
              <w:t>2</w:t>
            </w:r>
            <w:r>
              <w:rPr>
                <w:rFonts w:hint="eastAsia"/>
                <w:iCs/>
                <w:color w:val="auto"/>
              </w:rPr>
              <w:t>）《中华人民共和国环境影响评价法》（</w:t>
            </w:r>
            <w:r>
              <w:rPr>
                <w:rFonts w:hint="default"/>
                <w:iCs/>
                <w:color w:val="auto"/>
              </w:rPr>
              <w:t>2018.12.29</w:t>
            </w:r>
            <w:r>
              <w:rPr>
                <w:rFonts w:hint="eastAsia"/>
                <w:iCs/>
                <w:color w:val="auto"/>
              </w:rPr>
              <w:t>修订）；</w:t>
            </w:r>
          </w:p>
          <w:p w14:paraId="1EB3C480">
            <w:pPr>
              <w:keepNext w:val="0"/>
              <w:keepLines w:val="0"/>
              <w:widowControl/>
              <w:suppressLineNumbers w:val="0"/>
              <w:tabs>
                <w:tab w:val="left" w:pos="8882"/>
              </w:tabs>
              <w:spacing w:before="0" w:beforeAutospacing="0" w:after="0" w:afterAutospacing="0"/>
              <w:ind w:left="0" w:right="0" w:firstLine="480"/>
              <w:jc w:val="left"/>
              <w:rPr>
                <w:rFonts w:hint="default"/>
                <w:iCs/>
                <w:color w:val="auto"/>
              </w:rPr>
            </w:pPr>
            <w:r>
              <w:rPr>
                <w:rFonts w:hint="eastAsia"/>
                <w:iCs/>
                <w:color w:val="auto"/>
              </w:rPr>
              <w:t>（</w:t>
            </w:r>
            <w:r>
              <w:rPr>
                <w:rFonts w:hint="default"/>
                <w:iCs/>
                <w:color w:val="auto"/>
              </w:rPr>
              <w:t>3</w:t>
            </w:r>
            <w:r>
              <w:rPr>
                <w:rFonts w:hint="eastAsia"/>
                <w:iCs/>
                <w:color w:val="auto"/>
              </w:rPr>
              <w:t>）《中华人民共和国大气污染防治法》（</w:t>
            </w:r>
            <w:r>
              <w:rPr>
                <w:rFonts w:hint="default"/>
                <w:iCs/>
                <w:color w:val="auto"/>
              </w:rPr>
              <w:t>2018.10.26</w:t>
            </w:r>
            <w:r>
              <w:rPr>
                <w:rFonts w:hint="eastAsia"/>
                <w:iCs/>
                <w:color w:val="auto"/>
              </w:rPr>
              <w:t>修订）；</w:t>
            </w:r>
          </w:p>
          <w:p w14:paraId="5832FC81">
            <w:pPr>
              <w:keepNext w:val="0"/>
              <w:keepLines w:val="0"/>
              <w:widowControl/>
              <w:suppressLineNumbers w:val="0"/>
              <w:tabs>
                <w:tab w:val="left" w:pos="8882"/>
              </w:tabs>
              <w:spacing w:before="0" w:beforeAutospacing="0" w:after="0" w:afterAutospacing="0"/>
              <w:ind w:left="0" w:right="0" w:firstLine="480"/>
              <w:jc w:val="left"/>
              <w:rPr>
                <w:rFonts w:hint="default"/>
                <w:iCs/>
                <w:color w:val="auto"/>
              </w:rPr>
            </w:pPr>
            <w:r>
              <w:rPr>
                <w:rFonts w:hint="eastAsia"/>
                <w:iCs/>
                <w:color w:val="auto"/>
              </w:rPr>
              <w:t>（</w:t>
            </w:r>
            <w:r>
              <w:rPr>
                <w:rFonts w:hint="default"/>
                <w:iCs/>
                <w:color w:val="auto"/>
              </w:rPr>
              <w:t>4</w:t>
            </w:r>
            <w:r>
              <w:rPr>
                <w:rFonts w:hint="eastAsia"/>
                <w:iCs/>
                <w:color w:val="auto"/>
              </w:rPr>
              <w:t>）《中华人民共和国水污染防治法》（</w:t>
            </w:r>
            <w:r>
              <w:rPr>
                <w:rFonts w:hint="default"/>
                <w:iCs/>
                <w:color w:val="auto"/>
              </w:rPr>
              <w:t>2017.6.27</w:t>
            </w:r>
            <w:r>
              <w:rPr>
                <w:rFonts w:hint="eastAsia"/>
                <w:iCs/>
                <w:color w:val="auto"/>
              </w:rPr>
              <w:t>修订）；</w:t>
            </w:r>
          </w:p>
          <w:p w14:paraId="1E6E265E">
            <w:pPr>
              <w:keepNext w:val="0"/>
              <w:keepLines w:val="0"/>
              <w:widowControl/>
              <w:suppressLineNumbers w:val="0"/>
              <w:tabs>
                <w:tab w:val="left" w:pos="8882"/>
              </w:tabs>
              <w:spacing w:before="0" w:beforeAutospacing="0" w:after="0" w:afterAutospacing="0"/>
              <w:ind w:left="0" w:right="0" w:firstLine="480"/>
              <w:jc w:val="left"/>
              <w:rPr>
                <w:rFonts w:hint="default"/>
                <w:iCs/>
                <w:color w:val="auto"/>
              </w:rPr>
            </w:pPr>
            <w:r>
              <w:rPr>
                <w:rFonts w:hint="eastAsia"/>
                <w:iCs/>
                <w:color w:val="auto"/>
              </w:rPr>
              <w:t>（</w:t>
            </w:r>
            <w:r>
              <w:rPr>
                <w:rFonts w:hint="default"/>
                <w:iCs/>
                <w:color w:val="auto"/>
              </w:rPr>
              <w:t>5</w:t>
            </w:r>
            <w:r>
              <w:rPr>
                <w:rFonts w:hint="eastAsia"/>
                <w:iCs/>
                <w:color w:val="auto"/>
              </w:rPr>
              <w:t>）《中华人民共和国环境噪声污染防治法》（</w:t>
            </w:r>
            <w:r>
              <w:rPr>
                <w:rFonts w:hint="default"/>
                <w:iCs/>
                <w:color w:val="auto"/>
              </w:rPr>
              <w:t>2018.12.29</w:t>
            </w:r>
            <w:r>
              <w:rPr>
                <w:rFonts w:hint="eastAsia"/>
                <w:iCs/>
                <w:color w:val="auto"/>
              </w:rPr>
              <w:t>修订）；</w:t>
            </w:r>
          </w:p>
          <w:p w14:paraId="6BEC11DA">
            <w:pPr>
              <w:keepNext w:val="0"/>
              <w:keepLines w:val="0"/>
              <w:widowControl/>
              <w:suppressLineNumbers w:val="0"/>
              <w:tabs>
                <w:tab w:val="left" w:pos="8882"/>
              </w:tabs>
              <w:spacing w:before="0" w:beforeAutospacing="0" w:after="0" w:afterAutospacing="0"/>
              <w:ind w:left="0" w:right="0" w:firstLine="480"/>
              <w:jc w:val="left"/>
              <w:rPr>
                <w:rFonts w:hint="default"/>
                <w:iCs/>
                <w:color w:val="auto"/>
              </w:rPr>
            </w:pPr>
            <w:r>
              <w:rPr>
                <w:rFonts w:hint="eastAsia"/>
                <w:iCs/>
                <w:color w:val="auto"/>
              </w:rPr>
              <w:t>（</w:t>
            </w:r>
            <w:r>
              <w:rPr>
                <w:rFonts w:hint="default"/>
                <w:iCs/>
                <w:color w:val="auto"/>
              </w:rPr>
              <w:t>6</w:t>
            </w:r>
            <w:r>
              <w:rPr>
                <w:rFonts w:hint="eastAsia"/>
                <w:iCs/>
                <w:color w:val="auto"/>
              </w:rPr>
              <w:t>）《中华人民共和国固体废物污染环境防治法》（2020.4.29修订）；</w:t>
            </w:r>
          </w:p>
          <w:p w14:paraId="1399974D">
            <w:pPr>
              <w:keepNext w:val="0"/>
              <w:keepLines w:val="0"/>
              <w:widowControl/>
              <w:suppressLineNumbers w:val="0"/>
              <w:tabs>
                <w:tab w:val="left" w:pos="8882"/>
              </w:tabs>
              <w:spacing w:before="0" w:beforeAutospacing="0" w:after="0" w:afterAutospacing="0"/>
              <w:ind w:left="0" w:right="0" w:firstLine="480"/>
              <w:jc w:val="left"/>
              <w:rPr>
                <w:rFonts w:hint="default"/>
                <w:iCs/>
                <w:color w:val="auto"/>
              </w:rPr>
            </w:pPr>
            <w:r>
              <w:rPr>
                <w:rFonts w:hint="eastAsia"/>
                <w:iCs/>
                <w:color w:val="auto"/>
              </w:rPr>
              <w:t>（</w:t>
            </w:r>
            <w:r>
              <w:rPr>
                <w:rFonts w:hint="default"/>
                <w:iCs/>
                <w:color w:val="auto"/>
              </w:rPr>
              <w:t>7</w:t>
            </w:r>
            <w:r>
              <w:rPr>
                <w:rFonts w:hint="eastAsia"/>
                <w:iCs/>
                <w:color w:val="auto"/>
              </w:rPr>
              <w:t>）《关于发布</w:t>
            </w:r>
            <w:r>
              <w:rPr>
                <w:rFonts w:hint="eastAsia"/>
                <w:iCs/>
                <w:color w:val="auto"/>
                <w:lang w:eastAsia="zh-CN"/>
              </w:rPr>
              <w:t>〈</w:t>
            </w:r>
            <w:r>
              <w:rPr>
                <w:rFonts w:hint="eastAsia"/>
                <w:iCs/>
                <w:color w:val="auto"/>
              </w:rPr>
              <w:t>建设项目竣工环境保护验收暂行办法</w:t>
            </w:r>
            <w:r>
              <w:rPr>
                <w:rFonts w:hint="eastAsia"/>
                <w:iCs/>
                <w:color w:val="auto"/>
                <w:lang w:eastAsia="zh-CN"/>
              </w:rPr>
              <w:t>〉</w:t>
            </w:r>
            <w:r>
              <w:rPr>
                <w:rFonts w:hint="eastAsia"/>
                <w:iCs/>
                <w:color w:val="auto"/>
              </w:rPr>
              <w:t>》（国环规环评</w:t>
            </w:r>
            <w:r>
              <w:rPr>
                <w:rFonts w:hint="default"/>
                <w:iCs/>
                <w:color w:val="auto"/>
              </w:rPr>
              <w:t>[2017]4</w:t>
            </w:r>
            <w:r>
              <w:rPr>
                <w:rFonts w:hint="eastAsia"/>
                <w:iCs/>
                <w:color w:val="auto"/>
              </w:rPr>
              <w:t>号）；</w:t>
            </w:r>
          </w:p>
          <w:p w14:paraId="2C1DDCD7">
            <w:pPr>
              <w:keepNext w:val="0"/>
              <w:keepLines w:val="0"/>
              <w:widowControl/>
              <w:suppressLineNumbers w:val="0"/>
              <w:spacing w:before="0" w:beforeAutospacing="0" w:after="0" w:afterAutospacing="0"/>
              <w:ind w:left="0" w:right="0" w:firstLine="480"/>
              <w:rPr>
                <w:rFonts w:hint="default"/>
                <w:color w:val="auto"/>
                <w:szCs w:val="24"/>
              </w:rPr>
            </w:pPr>
            <w:r>
              <w:rPr>
                <w:rFonts w:hint="eastAsia"/>
                <w:iCs/>
                <w:color w:val="auto"/>
              </w:rPr>
              <w:t>（</w:t>
            </w:r>
            <w:r>
              <w:rPr>
                <w:rFonts w:hint="default"/>
                <w:iCs/>
                <w:color w:val="auto"/>
              </w:rPr>
              <w:t>8</w:t>
            </w:r>
            <w:r>
              <w:rPr>
                <w:rFonts w:hint="eastAsia"/>
                <w:iCs/>
                <w:color w:val="auto"/>
              </w:rPr>
              <w:t>）</w:t>
            </w:r>
            <w:r>
              <w:rPr>
                <w:rFonts w:hint="eastAsia"/>
                <w:color w:val="auto"/>
                <w:szCs w:val="24"/>
              </w:rPr>
              <w:t>《关于发布</w:t>
            </w:r>
            <w:r>
              <w:rPr>
                <w:rFonts w:hint="eastAsia"/>
                <w:color w:val="auto"/>
                <w:szCs w:val="24"/>
                <w:lang w:eastAsia="zh-CN"/>
              </w:rPr>
              <w:t>〈</w:t>
            </w:r>
            <w:r>
              <w:rPr>
                <w:rFonts w:hint="eastAsia"/>
                <w:color w:val="auto"/>
                <w:szCs w:val="24"/>
              </w:rPr>
              <w:t>建设项目竣工环境保护验收技术指南</w:t>
            </w:r>
            <w:r>
              <w:rPr>
                <w:rFonts w:hint="default"/>
                <w:color w:val="auto"/>
                <w:szCs w:val="24"/>
              </w:rPr>
              <w:t xml:space="preserve"> </w:t>
            </w:r>
            <w:r>
              <w:rPr>
                <w:rFonts w:hint="eastAsia"/>
                <w:color w:val="auto"/>
                <w:szCs w:val="24"/>
              </w:rPr>
              <w:t>污染影响类</w:t>
            </w:r>
            <w:r>
              <w:rPr>
                <w:rFonts w:hint="eastAsia"/>
                <w:color w:val="auto"/>
                <w:szCs w:val="24"/>
                <w:lang w:eastAsia="zh-CN"/>
              </w:rPr>
              <w:t>〉</w:t>
            </w:r>
            <w:r>
              <w:rPr>
                <w:rFonts w:hint="eastAsia"/>
                <w:color w:val="auto"/>
                <w:szCs w:val="24"/>
              </w:rPr>
              <w:t>的公告》（生态环境部公告（公告</w:t>
            </w:r>
            <w:r>
              <w:rPr>
                <w:rFonts w:hint="default"/>
                <w:color w:val="auto"/>
                <w:szCs w:val="24"/>
              </w:rPr>
              <w:t>2018</w:t>
            </w:r>
            <w:r>
              <w:rPr>
                <w:rFonts w:hint="eastAsia"/>
                <w:color w:val="auto"/>
                <w:szCs w:val="24"/>
              </w:rPr>
              <w:t>年第</w:t>
            </w:r>
            <w:r>
              <w:rPr>
                <w:rFonts w:hint="default"/>
                <w:color w:val="auto"/>
                <w:szCs w:val="24"/>
              </w:rPr>
              <w:t>9</w:t>
            </w:r>
            <w:r>
              <w:rPr>
                <w:rFonts w:hint="eastAsia"/>
                <w:color w:val="auto"/>
                <w:szCs w:val="24"/>
              </w:rPr>
              <w:t>号）</w:t>
            </w:r>
            <w:r>
              <w:rPr>
                <w:rFonts w:hint="eastAsia"/>
                <w:color w:val="auto"/>
                <w:szCs w:val="24"/>
                <w:lang w:eastAsia="zh-CN"/>
              </w:rPr>
              <w:t>）</w:t>
            </w:r>
            <w:r>
              <w:rPr>
                <w:rFonts w:hint="eastAsia"/>
                <w:color w:val="auto"/>
                <w:szCs w:val="24"/>
              </w:rPr>
              <w:t>；</w:t>
            </w:r>
          </w:p>
          <w:p w14:paraId="586F73BA">
            <w:pPr>
              <w:keepNext w:val="0"/>
              <w:keepLines w:val="0"/>
              <w:widowControl/>
              <w:suppressLineNumbers w:val="0"/>
              <w:spacing w:before="0" w:beforeAutospacing="0" w:after="0" w:afterAutospacing="0"/>
              <w:ind w:left="0" w:right="0" w:firstLine="480"/>
              <w:rPr>
                <w:rFonts w:hint="default"/>
                <w:color w:val="auto"/>
                <w:szCs w:val="24"/>
              </w:rPr>
            </w:pPr>
            <w:r>
              <w:rPr>
                <w:rFonts w:hint="eastAsia"/>
                <w:color w:val="auto"/>
                <w:szCs w:val="24"/>
              </w:rPr>
              <w:t>（9）《关于印发污染影响类建设项目重大变动清单（试行）的通知》（环办环评函〔2020〕688号）。</w:t>
            </w:r>
          </w:p>
          <w:p w14:paraId="34F7EDD8">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2</w:t>
            </w:r>
            <w:r>
              <w:rPr>
                <w:rFonts w:hint="eastAsia"/>
                <w:color w:val="auto"/>
                <w:sz w:val="24"/>
                <w:szCs w:val="24"/>
              </w:rPr>
              <w:t>、工程资料及相关批复文件</w:t>
            </w:r>
          </w:p>
          <w:p w14:paraId="46992745">
            <w:pPr>
              <w:keepNext w:val="0"/>
              <w:keepLines w:val="0"/>
              <w:widowControl/>
              <w:suppressLineNumbers w:val="0"/>
              <w:kinsoku/>
              <w:wordWrap/>
              <w:overflowPunct/>
              <w:topLinePunct w:val="0"/>
              <w:bidi w:val="0"/>
              <w:spacing w:before="0" w:beforeAutospacing="0" w:after="0" w:afterAutospacing="0" w:line="360" w:lineRule="auto"/>
              <w:ind w:left="0" w:right="0" w:firstLine="480" w:firstLineChars="200"/>
              <w:rPr>
                <w:rFonts w:hint="default" w:ascii="Times New Roman" w:hAnsi="Times New Roman" w:cs="Times New Roman"/>
                <w:color w:val="auto"/>
                <w:kern w:val="24"/>
                <w:sz w:val="24"/>
                <w:szCs w:val="24"/>
              </w:rPr>
            </w:pPr>
            <w:r>
              <w:rPr>
                <w:rFonts w:hint="eastAsia"/>
                <w:color w:val="auto"/>
              </w:rPr>
              <w:t>（</w:t>
            </w:r>
            <w:r>
              <w:rPr>
                <w:rFonts w:hint="default"/>
                <w:color w:val="auto"/>
              </w:rPr>
              <w:t>1</w:t>
            </w:r>
            <w:r>
              <w:rPr>
                <w:rFonts w:hint="eastAsia"/>
                <w:color w:val="auto"/>
              </w:rPr>
              <w:t>）</w:t>
            </w:r>
            <w:r>
              <w:rPr>
                <w:rFonts w:hint="eastAsia" w:ascii="Times New Roman" w:hAnsi="Times New Roman" w:cs="Times New Roman"/>
                <w:color w:val="auto"/>
                <w:kern w:val="24"/>
                <w:sz w:val="24"/>
                <w:szCs w:val="24"/>
                <w:lang w:eastAsia="zh-CN"/>
              </w:rPr>
              <w:t>《</w:t>
            </w:r>
            <w:r>
              <w:rPr>
                <w:rFonts w:hint="eastAsia" w:cs="Times New Roman"/>
                <w:color w:val="auto"/>
                <w:kern w:val="24"/>
                <w:sz w:val="24"/>
                <w:szCs w:val="24"/>
                <w:lang w:eastAsia="zh-CN"/>
              </w:rPr>
              <w:t>四川金顶维食品有限公司</w:t>
            </w:r>
            <w:r>
              <w:rPr>
                <w:rFonts w:hint="eastAsia" w:ascii="Calibri" w:hAnsi="Calibri" w:cs="Times New Roman"/>
                <w:color w:val="auto"/>
                <w:kern w:val="2"/>
                <w:sz w:val="24"/>
                <w:szCs w:val="24"/>
                <w:shd w:val="clear" w:color="auto" w:fill="auto"/>
                <w:lang w:val="zh-TW" w:eastAsia="zh-CN" w:bidi="ar-SA"/>
              </w:rPr>
              <w:t>餐佐料生产线扩建项目</w:t>
            </w:r>
            <w:r>
              <w:rPr>
                <w:rFonts w:hint="eastAsia" w:ascii="Calibri" w:hAnsi="Calibri" w:eastAsia="宋体" w:cs="Times New Roman"/>
                <w:color w:val="auto"/>
                <w:kern w:val="2"/>
                <w:sz w:val="24"/>
                <w:szCs w:val="24"/>
                <w:shd w:val="clear" w:color="auto" w:fill="auto"/>
                <w:lang w:val="zh-TW" w:eastAsia="zh-CN" w:bidi="ar-SA"/>
              </w:rPr>
              <w:t>环境影响报告</w:t>
            </w:r>
            <w:r>
              <w:rPr>
                <w:rFonts w:hint="eastAsia" w:cs="Times New Roman"/>
                <w:color w:val="auto"/>
                <w:kern w:val="2"/>
                <w:sz w:val="24"/>
                <w:szCs w:val="24"/>
                <w:shd w:val="clear" w:color="auto" w:fill="auto"/>
                <w:lang w:val="zh-TW" w:eastAsia="zh-CN" w:bidi="ar-SA"/>
              </w:rPr>
              <w:t>表</w:t>
            </w:r>
            <w:r>
              <w:rPr>
                <w:rFonts w:hint="eastAsia" w:ascii="Calibri" w:hAnsi="Calibri" w:eastAsia="宋体" w:cs="Times New Roman"/>
                <w:color w:val="auto"/>
                <w:kern w:val="2"/>
                <w:sz w:val="24"/>
                <w:szCs w:val="24"/>
                <w:shd w:val="clear" w:color="auto" w:fill="auto"/>
                <w:lang w:val="en-US" w:eastAsia="zh-CN" w:bidi="ar-SA"/>
              </w:rPr>
              <w:t>》</w:t>
            </w:r>
            <w:r>
              <w:rPr>
                <w:rFonts w:hint="eastAsia" w:ascii="Times New Roman" w:hAnsi="Times New Roman" w:eastAsia="宋体" w:cs="Times New Roman"/>
                <w:color w:val="auto"/>
                <w:kern w:val="0"/>
                <w:sz w:val="24"/>
                <w:lang w:val="en-US" w:eastAsia="zh-CN"/>
              </w:rPr>
              <w:t>（20</w:t>
            </w:r>
            <w:r>
              <w:rPr>
                <w:rFonts w:hint="eastAsia" w:cs="Times New Roman"/>
                <w:color w:val="auto"/>
                <w:kern w:val="0"/>
                <w:sz w:val="24"/>
                <w:lang w:val="en-US" w:eastAsia="zh-CN"/>
              </w:rPr>
              <w:t>19</w:t>
            </w:r>
            <w:r>
              <w:rPr>
                <w:rFonts w:hint="eastAsia" w:ascii="Times New Roman" w:hAnsi="Times New Roman" w:eastAsia="宋体" w:cs="Times New Roman"/>
                <w:color w:val="auto"/>
                <w:kern w:val="0"/>
                <w:sz w:val="24"/>
                <w:lang w:val="en-US" w:eastAsia="zh-CN"/>
              </w:rPr>
              <w:t>年</w:t>
            </w:r>
            <w:r>
              <w:rPr>
                <w:rFonts w:hint="eastAsia" w:cs="Times New Roman"/>
                <w:color w:val="auto"/>
                <w:kern w:val="0"/>
                <w:sz w:val="24"/>
                <w:lang w:val="en-US" w:eastAsia="zh-CN"/>
              </w:rPr>
              <w:t>5</w:t>
            </w:r>
            <w:r>
              <w:rPr>
                <w:rFonts w:hint="eastAsia" w:ascii="Times New Roman" w:hAnsi="Times New Roman" w:eastAsia="宋体" w:cs="Times New Roman"/>
                <w:color w:val="auto"/>
                <w:kern w:val="0"/>
                <w:sz w:val="24"/>
                <w:lang w:val="en-US" w:eastAsia="zh-CN"/>
              </w:rPr>
              <w:t>月）；</w:t>
            </w:r>
          </w:p>
          <w:p w14:paraId="22A70C92">
            <w:pPr>
              <w:keepNext w:val="0"/>
              <w:keepLines w:val="0"/>
              <w:widowControl/>
              <w:suppressLineNumbers w:val="0"/>
              <w:kinsoku/>
              <w:wordWrap/>
              <w:overflowPunct/>
              <w:topLinePunct w:val="0"/>
              <w:bidi w:val="0"/>
              <w:spacing w:before="0" w:beforeAutospacing="0" w:after="0" w:afterAutospacing="0" w:line="360" w:lineRule="auto"/>
              <w:ind w:left="0" w:right="0" w:firstLine="480" w:firstLineChars="200"/>
              <w:rPr>
                <w:rFonts w:hint="eastAsia" w:ascii="Times New Roman" w:hAnsi="Times New Roman" w:eastAsia="宋体"/>
                <w:color w:val="auto"/>
                <w:kern w:val="24"/>
                <w:sz w:val="24"/>
                <w:lang w:eastAsia="zh-CN"/>
              </w:rPr>
            </w:pPr>
            <w:r>
              <w:rPr>
                <w:rFonts w:hint="eastAsia"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lang w:val="en-US" w:eastAsia="zh-CN"/>
              </w:rPr>
              <w:t>2</w:t>
            </w:r>
            <w:r>
              <w:rPr>
                <w:rFonts w:hint="eastAsia"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rPr>
              <w:t>眉山市</w:t>
            </w:r>
            <w:r>
              <w:rPr>
                <w:rFonts w:hint="eastAsia" w:ascii="Times New Roman" w:hAnsi="Times New Roman" w:eastAsia="宋体" w:cs="Times New Roman"/>
                <w:color w:val="auto"/>
                <w:kern w:val="0"/>
                <w:sz w:val="24"/>
                <w:lang w:eastAsia="zh-CN"/>
              </w:rPr>
              <w:t>东坡</w:t>
            </w:r>
            <w:r>
              <w:rPr>
                <w:rFonts w:hint="eastAsia" w:ascii="Times New Roman" w:hAnsi="Times New Roman" w:eastAsia="宋体" w:cs="Times New Roman"/>
                <w:color w:val="auto"/>
                <w:kern w:val="0"/>
                <w:sz w:val="24"/>
              </w:rPr>
              <w:t>生态环境局《关于</w:t>
            </w:r>
            <w:r>
              <w:rPr>
                <w:rFonts w:hint="eastAsia" w:cs="Times New Roman"/>
                <w:color w:val="auto"/>
                <w:kern w:val="24"/>
                <w:sz w:val="24"/>
                <w:szCs w:val="24"/>
                <w:lang w:eastAsia="zh-CN"/>
              </w:rPr>
              <w:t>四川金顶维食品有限公司</w:t>
            </w:r>
            <w:r>
              <w:rPr>
                <w:rFonts w:hint="eastAsia" w:ascii="Calibri" w:hAnsi="Calibri" w:cs="Times New Roman"/>
                <w:color w:val="auto"/>
                <w:kern w:val="2"/>
                <w:sz w:val="24"/>
                <w:szCs w:val="24"/>
                <w:shd w:val="clear" w:color="auto" w:fill="auto"/>
                <w:lang w:val="zh-TW" w:eastAsia="zh-CN" w:bidi="ar-SA"/>
              </w:rPr>
              <w:t>餐佐料生产线扩建项目</w:t>
            </w:r>
            <w:r>
              <w:rPr>
                <w:rFonts w:hint="eastAsia" w:ascii="Calibri" w:hAnsi="Calibri" w:eastAsia="宋体" w:cs="Times New Roman"/>
                <w:color w:val="auto"/>
                <w:kern w:val="2"/>
                <w:sz w:val="24"/>
                <w:szCs w:val="24"/>
                <w:shd w:val="clear" w:color="auto" w:fill="auto"/>
                <w:lang w:val="zh-TW" w:eastAsia="zh-CN" w:bidi="ar-SA"/>
              </w:rPr>
              <w:t>环境影响报告</w:t>
            </w:r>
            <w:r>
              <w:rPr>
                <w:rFonts w:hint="eastAsia" w:cs="Times New Roman"/>
                <w:color w:val="auto"/>
                <w:kern w:val="2"/>
                <w:sz w:val="24"/>
                <w:szCs w:val="24"/>
                <w:shd w:val="clear" w:color="auto" w:fill="auto"/>
                <w:lang w:val="zh-TW" w:eastAsia="zh-CN" w:bidi="ar-SA"/>
              </w:rPr>
              <w:t>表</w:t>
            </w:r>
            <w:r>
              <w:rPr>
                <w:rFonts w:hint="eastAsia" w:ascii="Times New Roman" w:hAnsi="Times New Roman" w:eastAsia="宋体" w:cs="Times New Roman"/>
                <w:color w:val="auto"/>
                <w:kern w:val="0"/>
                <w:sz w:val="24"/>
              </w:rPr>
              <w:t>的批复》（眉</w:t>
            </w:r>
            <w:r>
              <w:rPr>
                <w:rFonts w:hint="eastAsia" w:ascii="Times New Roman" w:hAnsi="Times New Roman" w:eastAsia="宋体" w:cs="Times New Roman"/>
                <w:color w:val="auto"/>
                <w:kern w:val="0"/>
                <w:sz w:val="24"/>
                <w:lang w:eastAsia="zh-CN"/>
              </w:rPr>
              <w:t>市环建</w:t>
            </w:r>
            <w:r>
              <w:rPr>
                <w:rFonts w:hint="eastAsia" w:cs="Times New Roman"/>
                <w:color w:val="auto"/>
                <w:kern w:val="0"/>
                <w:sz w:val="24"/>
                <w:lang w:eastAsia="zh-CN"/>
              </w:rPr>
              <w:t>函</w:t>
            </w:r>
            <w:r>
              <w:rPr>
                <w:rFonts w:hint="eastAsia" w:ascii="Times New Roman" w:hAnsi="Times New Roman" w:eastAsia="宋体" w:cs="Times New Roman"/>
                <w:color w:val="auto"/>
                <w:kern w:val="0"/>
                <w:sz w:val="24"/>
              </w:rPr>
              <w:t>〔20</w:t>
            </w:r>
            <w:r>
              <w:rPr>
                <w:rFonts w:hint="eastAsia" w:cs="Times New Roman"/>
                <w:color w:val="auto"/>
                <w:kern w:val="0"/>
                <w:sz w:val="24"/>
                <w:lang w:val="en-US" w:eastAsia="zh-CN"/>
              </w:rPr>
              <w:t>19</w:t>
            </w:r>
            <w:r>
              <w:rPr>
                <w:rFonts w:hint="eastAsia" w:ascii="Times New Roman" w:hAnsi="Times New Roman" w:eastAsia="宋体" w:cs="Times New Roman"/>
                <w:color w:val="auto"/>
                <w:kern w:val="0"/>
                <w:sz w:val="24"/>
              </w:rPr>
              <w:t>〕</w:t>
            </w:r>
            <w:r>
              <w:rPr>
                <w:rFonts w:hint="eastAsia" w:cs="Times New Roman"/>
                <w:color w:val="auto"/>
                <w:kern w:val="0"/>
                <w:sz w:val="24"/>
                <w:lang w:val="en-US" w:eastAsia="zh-CN"/>
              </w:rPr>
              <w:t>36</w:t>
            </w:r>
            <w:r>
              <w:rPr>
                <w:rFonts w:hint="eastAsia" w:ascii="Times New Roman" w:hAnsi="Times New Roman" w:eastAsia="宋体" w:cs="Times New Roman"/>
                <w:color w:val="auto"/>
                <w:kern w:val="0"/>
                <w:sz w:val="24"/>
              </w:rPr>
              <w:t>号）</w:t>
            </w:r>
            <w:r>
              <w:rPr>
                <w:rFonts w:hint="eastAsia" w:ascii="Times New Roman" w:hAnsi="Times New Roman" w:eastAsia="宋体"/>
                <w:color w:val="auto"/>
                <w:kern w:val="24"/>
                <w:sz w:val="24"/>
                <w:lang w:eastAsia="zh-CN"/>
              </w:rPr>
              <w:t>；</w:t>
            </w:r>
          </w:p>
          <w:p w14:paraId="49908AD1">
            <w:pPr>
              <w:keepNext w:val="0"/>
              <w:keepLines w:val="0"/>
              <w:widowControl/>
              <w:suppressLineNumbers w:val="0"/>
              <w:spacing w:before="0" w:beforeAutospacing="0" w:after="0" w:afterAutospacing="0"/>
              <w:ind w:left="0" w:right="0" w:firstLine="480"/>
              <w:rPr>
                <w:rFonts w:hint="default"/>
                <w:color w:val="auto"/>
              </w:rPr>
            </w:pPr>
            <w:r>
              <w:rPr>
                <w:rFonts w:hint="eastAsia"/>
                <w:color w:val="auto"/>
                <w:kern w:val="2"/>
              </w:rPr>
              <w:t>（</w:t>
            </w:r>
            <w:r>
              <w:rPr>
                <w:rFonts w:hint="default"/>
                <w:color w:val="auto"/>
                <w:kern w:val="2"/>
              </w:rPr>
              <w:t>3</w:t>
            </w:r>
            <w:r>
              <w:rPr>
                <w:rFonts w:hint="eastAsia"/>
                <w:color w:val="auto"/>
                <w:kern w:val="2"/>
              </w:rPr>
              <w:t>）建设项目环保设施设计、施工等资料。</w:t>
            </w:r>
          </w:p>
        </w:tc>
      </w:tr>
      <w:tr w14:paraId="266130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736" w:type="dxa"/>
            <w:tcBorders>
              <w:bottom w:val="single" w:color="auto" w:sz="8" w:space="0"/>
            </w:tcBorders>
            <w:vAlign w:val="center"/>
          </w:tcPr>
          <w:p w14:paraId="28A25F1C">
            <w:pPr>
              <w:keepNext w:val="0"/>
              <w:keepLines w:val="0"/>
              <w:widowControl/>
              <w:suppressLineNumbers w:val="0"/>
              <w:spacing w:before="0" w:beforeAutospacing="0" w:after="0" w:afterAutospacing="0"/>
              <w:ind w:left="0" w:right="0" w:firstLine="0" w:firstLineChars="0"/>
              <w:jc w:val="center"/>
              <w:rPr>
                <w:rFonts w:hint="default"/>
                <w:color w:val="auto"/>
                <w:szCs w:val="24"/>
              </w:rPr>
            </w:pPr>
            <w:r>
              <w:rPr>
                <w:rFonts w:hint="eastAsia"/>
                <w:color w:val="auto"/>
                <w:szCs w:val="24"/>
              </w:rPr>
              <w:t>验收监测评价标准、标号、级别、限值</w:t>
            </w:r>
          </w:p>
        </w:tc>
        <w:tc>
          <w:tcPr>
            <w:tcW w:w="7336" w:type="dxa"/>
            <w:gridSpan w:val="5"/>
            <w:tcBorders>
              <w:bottom w:val="single" w:color="auto" w:sz="8" w:space="0"/>
            </w:tcBorders>
            <w:vAlign w:val="center"/>
          </w:tcPr>
          <w:p w14:paraId="3C5FB247">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、执行标准</w:t>
            </w:r>
          </w:p>
          <w:p w14:paraId="5DB165CC">
            <w:pPr>
              <w:keepNext w:val="0"/>
              <w:keepLines w:val="0"/>
              <w:widowControl/>
              <w:suppressLineNumbers w:val="0"/>
              <w:spacing w:before="0" w:beforeAutospacing="0" w:after="0" w:afterAutospacing="0"/>
              <w:ind w:left="0" w:right="0" w:firstLine="480"/>
              <w:rPr>
                <w:rFonts w:hint="default"/>
                <w:color w:val="auto"/>
              </w:rPr>
            </w:pPr>
            <w:r>
              <w:rPr>
                <w:rFonts w:hint="eastAsia"/>
                <w:color w:val="auto"/>
              </w:rPr>
              <w:t>根据项目验收执行环境影响评价报告表中的排放标准，具体如下：</w:t>
            </w:r>
          </w:p>
          <w:p w14:paraId="7877DEB2">
            <w:pPr>
              <w:keepNext w:val="0"/>
              <w:keepLines w:val="0"/>
              <w:widowControl/>
              <w:numPr>
                <w:ilvl w:val="0"/>
                <w:numId w:val="1"/>
              </w:numPr>
              <w:suppressLineNumbers w:val="0"/>
              <w:spacing w:before="0" w:beforeAutospacing="0" w:after="0" w:afterAutospacing="0"/>
              <w:ind w:left="0" w:right="0" w:firstLine="480"/>
              <w:rPr>
                <w:rFonts w:hint="eastAsia"/>
                <w:color w:val="auto"/>
                <w:kern w:val="0"/>
                <w:sz w:val="24"/>
              </w:rPr>
            </w:pPr>
            <w:r>
              <w:rPr>
                <w:rFonts w:hint="eastAsia"/>
                <w:color w:val="auto"/>
              </w:rPr>
              <w:t>废水：</w:t>
            </w:r>
            <w:r>
              <w:rPr>
                <w:rFonts w:hint="eastAsia"/>
                <w:color w:val="auto"/>
                <w:lang w:eastAsia="zh-CN"/>
              </w:rPr>
              <w:t>废水执行</w:t>
            </w:r>
            <w:r>
              <w:rPr>
                <w:rFonts w:hint="default"/>
                <w:color w:val="auto"/>
                <w:kern w:val="0"/>
                <w:sz w:val="24"/>
              </w:rPr>
              <w:t>《污水综合排放标准》GB8978-1996中三级标准</w:t>
            </w:r>
            <w:r>
              <w:rPr>
                <w:rFonts w:hint="eastAsia"/>
                <w:color w:val="auto"/>
                <w:kern w:val="0"/>
                <w:sz w:val="24"/>
              </w:rPr>
              <w:t>，</w:t>
            </w:r>
            <w:r>
              <w:rPr>
                <w:rFonts w:hint="default" w:ascii="Times New Roman" w:hAnsi="Times New Roman" w:eastAsia="宋体" w:cs="Times New Roman"/>
                <w:snapToGrid w:val="0"/>
                <w:color w:val="auto"/>
                <w:kern w:val="0"/>
                <w:sz w:val="24"/>
                <w:szCs w:val="24"/>
                <w:lang w:val="en-US" w:eastAsia="zh-CN" w:bidi="ar-SA"/>
              </w:rPr>
              <w:t>色度、氨氮、总磷、总氮</w:t>
            </w:r>
            <w:r>
              <w:rPr>
                <w:rFonts w:hint="eastAsia"/>
                <w:color w:val="auto"/>
                <w:kern w:val="0"/>
                <w:sz w:val="24"/>
              </w:rPr>
              <w:t>参照《污水排入城镇下水道水质标准》（GB/T31962-2015）表1中B等级标准</w:t>
            </w:r>
            <w:r>
              <w:rPr>
                <w:rFonts w:hint="eastAsia"/>
                <w:color w:val="auto"/>
                <w:kern w:val="0"/>
                <w:sz w:val="24"/>
                <w:lang w:eastAsia="zh-CN"/>
              </w:rPr>
              <w:t>后排入泡菜园区污水处理厂</w:t>
            </w:r>
            <w:r>
              <w:rPr>
                <w:rFonts w:hint="default"/>
                <w:color w:val="auto"/>
                <w:kern w:val="0"/>
                <w:sz w:val="24"/>
              </w:rPr>
              <w:t>。</w:t>
            </w:r>
            <w:r>
              <w:rPr>
                <w:rFonts w:hint="eastAsia"/>
                <w:color w:val="auto"/>
                <w:kern w:val="0"/>
                <w:sz w:val="24"/>
                <w:lang w:eastAsia="zh-CN"/>
              </w:rPr>
              <w:t>厂区外排污水</w:t>
            </w:r>
            <w:r>
              <w:rPr>
                <w:rFonts w:hint="eastAsia"/>
                <w:color w:val="auto"/>
                <w:kern w:val="0"/>
                <w:sz w:val="24"/>
              </w:rPr>
              <w:t>经园区污水处理厂处理</w:t>
            </w:r>
            <w:r>
              <w:rPr>
                <w:rFonts w:hint="eastAsia"/>
                <w:color w:val="auto"/>
                <w:kern w:val="0"/>
                <w:sz w:val="24"/>
                <w:lang w:eastAsia="zh-CN"/>
              </w:rPr>
              <w:t>达到</w:t>
            </w:r>
            <w:r>
              <w:rPr>
                <w:rFonts w:hint="eastAsia"/>
                <w:color w:val="auto"/>
                <w:kern w:val="0"/>
                <w:sz w:val="24"/>
              </w:rPr>
              <w:t>《四川省岷江、沱江流域水污染物排放标准》（DB51/ 2311—2016）中工业园区集中式污水处理厂标准</w:t>
            </w:r>
            <w:r>
              <w:rPr>
                <w:rFonts w:hint="eastAsia"/>
                <w:color w:val="auto"/>
                <w:kern w:val="0"/>
                <w:sz w:val="24"/>
                <w:lang w:eastAsia="zh-CN"/>
              </w:rPr>
              <w:t>后排入岷江</w:t>
            </w:r>
            <w:r>
              <w:rPr>
                <w:rFonts w:hint="eastAsia"/>
                <w:color w:val="auto"/>
                <w:kern w:val="0"/>
                <w:sz w:val="24"/>
              </w:rPr>
              <w:t>。</w:t>
            </w:r>
          </w:p>
          <w:p w14:paraId="7E91C0E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lang w:val="en-US" w:eastAsia="zh-CN"/>
              </w:rPr>
            </w:pPr>
            <w:r>
              <w:rPr>
                <w:rFonts w:hint="eastAsia"/>
                <w:color w:val="auto"/>
                <w:lang w:val="en-US" w:eastAsia="zh-CN"/>
              </w:rPr>
              <w:t>（2）废气：油烟执行《饮食业油烟排放标准》（GB18483-2001）中相关限值要求、</w:t>
            </w:r>
            <w:r>
              <w:rPr>
                <w:rFonts w:hint="eastAsia" w:ascii="Times New Roman" w:hAnsi="Times New Roman" w:eastAsia="宋体" w:cs="Times New Roman"/>
                <w:color w:val="auto"/>
                <w:lang w:val="en-US" w:eastAsia="zh-CN"/>
              </w:rPr>
              <w:t>氨、硫化氢、臭气浓度执行《恶臭污染物排放标准》（GB14554-93）中相关限值标准。</w:t>
            </w:r>
          </w:p>
          <w:p w14:paraId="02F0E33B">
            <w:pPr>
              <w:keepNext w:val="0"/>
              <w:keepLines w:val="0"/>
              <w:widowControl/>
              <w:suppressLineNumbers w:val="0"/>
              <w:spacing w:before="0" w:beforeAutospacing="0" w:after="0" w:afterAutospacing="0"/>
              <w:ind w:left="0" w:right="0" w:firstLine="480"/>
              <w:rPr>
                <w:rFonts w:hint="default"/>
                <w:color w:val="auto"/>
              </w:rPr>
            </w:pPr>
            <w:r>
              <w:rPr>
                <w:rFonts w:hint="eastAsia"/>
                <w:color w:val="auto"/>
              </w:rPr>
              <w:t>（</w:t>
            </w:r>
            <w:r>
              <w:rPr>
                <w:rFonts w:hint="default"/>
                <w:color w:val="auto"/>
              </w:rPr>
              <w:t>3</w:t>
            </w:r>
            <w:r>
              <w:rPr>
                <w:rFonts w:hint="eastAsia"/>
                <w:color w:val="auto"/>
              </w:rPr>
              <w:t>）噪声：执行《工业企业厂界环境噪声排放标准》</w:t>
            </w:r>
            <w:r>
              <w:rPr>
                <w:rFonts w:hint="eastAsia"/>
                <w:color w:val="auto"/>
                <w:lang w:eastAsia="zh-CN"/>
              </w:rPr>
              <w:t>（</w:t>
            </w:r>
            <w:r>
              <w:rPr>
                <w:rFonts w:hint="default"/>
                <w:color w:val="auto"/>
              </w:rPr>
              <w:t>GB12348-2008</w:t>
            </w:r>
            <w:r>
              <w:rPr>
                <w:rFonts w:hint="eastAsia"/>
                <w:color w:val="auto"/>
                <w:lang w:eastAsia="zh-CN"/>
              </w:rPr>
              <w:t>）</w:t>
            </w:r>
            <w:r>
              <w:rPr>
                <w:rFonts w:hint="eastAsia"/>
                <w:color w:val="auto"/>
                <w:lang w:val="en-US" w:eastAsia="zh-CN"/>
              </w:rPr>
              <w:t>3</w:t>
            </w:r>
            <w:r>
              <w:rPr>
                <w:rFonts w:hint="eastAsia"/>
                <w:color w:val="auto"/>
              </w:rPr>
              <w:t>类标准。</w:t>
            </w:r>
          </w:p>
          <w:p w14:paraId="5646EE4C">
            <w:pPr>
              <w:keepNext w:val="0"/>
              <w:keepLines w:val="0"/>
              <w:widowControl/>
              <w:suppressLineNumbers w:val="0"/>
              <w:spacing w:before="0" w:beforeAutospacing="0" w:after="0" w:afterAutospacing="0"/>
              <w:ind w:left="0" w:right="0" w:firstLine="480"/>
              <w:rPr>
                <w:rFonts w:hint="default"/>
                <w:color w:val="auto"/>
                <w:kern w:val="2"/>
              </w:rPr>
            </w:pPr>
            <w:r>
              <w:rPr>
                <w:rFonts w:hint="eastAsia"/>
                <w:color w:val="auto"/>
              </w:rPr>
              <w:t>（</w:t>
            </w:r>
            <w:r>
              <w:rPr>
                <w:rFonts w:hint="default"/>
                <w:color w:val="auto"/>
              </w:rPr>
              <w:t>4</w:t>
            </w:r>
            <w:r>
              <w:rPr>
                <w:rFonts w:hint="eastAsia"/>
                <w:color w:val="auto"/>
              </w:rPr>
              <w:t>）一般工业固体废物按《一般工业固体废物贮存和填埋污染控制标准》（GB18599-2020）、《危险废物贮存污染控制标准》（GB18597-20</w:t>
            </w:r>
            <w:r>
              <w:rPr>
                <w:rFonts w:hint="eastAsia"/>
                <w:color w:val="auto"/>
                <w:lang w:val="en-US" w:eastAsia="zh-CN"/>
              </w:rPr>
              <w:t>23</w:t>
            </w:r>
            <w:r>
              <w:rPr>
                <w:rFonts w:hint="eastAsia"/>
                <w:color w:val="auto"/>
              </w:rPr>
              <w:t>）中的有关规定要求处置</w:t>
            </w:r>
            <w:r>
              <w:rPr>
                <w:rFonts w:hint="eastAsia"/>
                <w:color w:val="auto"/>
                <w:kern w:val="2"/>
              </w:rPr>
              <w:t>。</w:t>
            </w:r>
          </w:p>
          <w:p w14:paraId="47653342">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2</w:t>
            </w:r>
            <w:r>
              <w:rPr>
                <w:rFonts w:hint="eastAsia"/>
                <w:color w:val="auto"/>
                <w:sz w:val="24"/>
                <w:szCs w:val="24"/>
              </w:rPr>
              <w:t>、环评、验收执行标准对照</w:t>
            </w:r>
          </w:p>
          <w:p w14:paraId="1A503465">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项目验收</w:t>
            </w:r>
            <w:r>
              <w:rPr>
                <w:rFonts w:hint="eastAsia"/>
                <w:color w:val="auto"/>
                <w:kern w:val="2"/>
                <w:szCs w:val="24"/>
                <w:lang w:val="en-US" w:eastAsia="zh-CN"/>
              </w:rPr>
              <w:t>监测</w:t>
            </w:r>
            <w:r>
              <w:rPr>
                <w:rFonts w:hint="eastAsia"/>
                <w:color w:val="auto"/>
                <w:kern w:val="2"/>
                <w:szCs w:val="24"/>
              </w:rPr>
              <w:t>标准与环评标准限值见表</w:t>
            </w:r>
            <w:r>
              <w:rPr>
                <w:rFonts w:hint="default"/>
                <w:color w:val="auto"/>
                <w:kern w:val="2"/>
                <w:szCs w:val="24"/>
              </w:rPr>
              <w:t>1-1</w:t>
            </w:r>
            <w:r>
              <w:rPr>
                <w:rFonts w:hint="eastAsia"/>
                <w:color w:val="auto"/>
                <w:kern w:val="2"/>
                <w:szCs w:val="24"/>
              </w:rPr>
              <w:t>。</w:t>
            </w:r>
          </w:p>
          <w:p w14:paraId="3050F17E">
            <w:pPr>
              <w:pStyle w:val="61"/>
              <w:keepNext w:val="0"/>
              <w:keepLines w:val="0"/>
              <w:suppressLineNumbers w:val="0"/>
              <w:spacing w:before="0" w:beforeAutospacing="0" w:after="0" w:afterAutospacing="0" w:line="240" w:lineRule="auto"/>
              <w:ind w:left="0" w:right="0"/>
              <w:rPr>
                <w:rFonts w:hint="default"/>
                <w:color w:val="auto"/>
              </w:rPr>
            </w:pPr>
            <w:r>
              <w:rPr>
                <w:rFonts w:hint="eastAsia"/>
                <w:color w:val="auto"/>
              </w:rPr>
              <w:t>表</w:t>
            </w:r>
            <w:r>
              <w:rPr>
                <w:rFonts w:hint="default"/>
                <w:color w:val="auto"/>
              </w:rPr>
              <w:t xml:space="preserve">1-1 </w:t>
            </w:r>
            <w:r>
              <w:rPr>
                <w:rFonts w:hint="eastAsia"/>
                <w:color w:val="auto"/>
              </w:rPr>
              <w:t>环评、验收</w:t>
            </w:r>
            <w:r>
              <w:rPr>
                <w:rFonts w:hint="eastAsia"/>
                <w:color w:val="auto"/>
                <w:lang w:val="en-US" w:eastAsia="zh-CN"/>
              </w:rPr>
              <w:t>监测</w:t>
            </w:r>
            <w:r>
              <w:rPr>
                <w:rFonts w:hint="eastAsia"/>
                <w:color w:val="auto"/>
              </w:rPr>
              <w:t>执行标准对照表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657"/>
              <w:gridCol w:w="1021"/>
              <w:gridCol w:w="2349"/>
              <w:gridCol w:w="2353"/>
            </w:tblGrid>
            <w:tr w14:paraId="44CB6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513" w:type="pct"/>
                  <w:tcBorders>
                    <w:top w:val="single" w:color="auto" w:sz="4" w:space="0"/>
                    <w:left w:val="single" w:color="auto" w:sz="4" w:space="0"/>
                    <w:bottom w:val="single" w:color="auto" w:sz="4" w:space="0"/>
                    <w:right w:val="single" w:color="auto" w:sz="4" w:space="0"/>
                  </w:tcBorders>
                  <w:vAlign w:val="center"/>
                </w:tcPr>
                <w:p w14:paraId="28BA0584">
                  <w:pPr>
                    <w:pStyle w:val="72"/>
                    <w:keepNext w:val="0"/>
                    <w:keepLines w:val="0"/>
                    <w:suppressLineNumbers w:val="0"/>
                    <w:spacing w:before="0" w:beforeAutospacing="0" w:after="0" w:afterAutospacing="0"/>
                    <w:ind w:left="0" w:right="0"/>
                    <w:rPr>
                      <w:rFonts w:hint="default"/>
                      <w:b/>
                      <w:bCs w:val="0"/>
                      <w:color w:val="auto"/>
                    </w:rPr>
                  </w:pPr>
                  <w:r>
                    <w:rPr>
                      <w:rFonts w:hint="eastAsia"/>
                      <w:b/>
                      <w:bCs w:val="0"/>
                      <w:color w:val="auto"/>
                    </w:rPr>
                    <w:t>类型</w:t>
                  </w:r>
                </w:p>
              </w:tc>
              <w:tc>
                <w:tcPr>
                  <w:tcW w:w="1180" w:type="pct"/>
                  <w:gridSpan w:val="2"/>
                  <w:tcBorders>
                    <w:top w:val="single" w:color="auto" w:sz="4" w:space="0"/>
                    <w:left w:val="single" w:color="auto" w:sz="4" w:space="0"/>
                    <w:bottom w:val="single" w:color="auto" w:sz="4" w:space="0"/>
                    <w:right w:val="single" w:color="auto" w:sz="4" w:space="0"/>
                  </w:tcBorders>
                  <w:vAlign w:val="center"/>
                </w:tcPr>
                <w:p w14:paraId="66A53994">
                  <w:pPr>
                    <w:pStyle w:val="72"/>
                    <w:keepNext w:val="0"/>
                    <w:keepLines w:val="0"/>
                    <w:suppressLineNumbers w:val="0"/>
                    <w:spacing w:before="0" w:beforeAutospacing="0" w:after="0" w:afterAutospacing="0"/>
                    <w:ind w:left="0" w:right="0"/>
                    <w:rPr>
                      <w:rFonts w:hint="default"/>
                      <w:b/>
                      <w:bCs w:val="0"/>
                      <w:color w:val="auto"/>
                    </w:rPr>
                  </w:pPr>
                  <w:r>
                    <w:rPr>
                      <w:rFonts w:hint="eastAsia"/>
                      <w:b/>
                      <w:bCs w:val="0"/>
                      <w:color w:val="auto"/>
                    </w:rPr>
                    <w:t>污染因子</w:t>
                  </w:r>
                </w:p>
              </w:tc>
              <w:tc>
                <w:tcPr>
                  <w:tcW w:w="1652" w:type="pct"/>
                  <w:tcBorders>
                    <w:top w:val="single" w:color="auto" w:sz="4" w:space="0"/>
                    <w:left w:val="single" w:color="auto" w:sz="4" w:space="0"/>
                    <w:bottom w:val="single" w:color="auto" w:sz="4" w:space="0"/>
                    <w:right w:val="single" w:color="auto" w:sz="4" w:space="0"/>
                  </w:tcBorders>
                  <w:vAlign w:val="center"/>
                </w:tcPr>
                <w:p w14:paraId="0F4B855F">
                  <w:pPr>
                    <w:pStyle w:val="72"/>
                    <w:keepNext w:val="0"/>
                    <w:keepLines w:val="0"/>
                    <w:suppressLineNumbers w:val="0"/>
                    <w:spacing w:before="0" w:beforeAutospacing="0" w:after="0" w:afterAutospacing="0"/>
                    <w:ind w:left="0" w:right="0"/>
                    <w:rPr>
                      <w:rFonts w:hint="default"/>
                      <w:b/>
                      <w:bCs w:val="0"/>
                      <w:color w:val="auto"/>
                    </w:rPr>
                  </w:pPr>
                  <w:r>
                    <w:rPr>
                      <w:rFonts w:hint="eastAsia"/>
                      <w:b/>
                      <w:bCs w:val="0"/>
                      <w:color w:val="auto"/>
                    </w:rPr>
                    <w:t>环评标准</w:t>
                  </w:r>
                </w:p>
              </w:tc>
              <w:tc>
                <w:tcPr>
                  <w:tcW w:w="1654" w:type="pct"/>
                  <w:tcBorders>
                    <w:top w:val="single" w:color="auto" w:sz="4" w:space="0"/>
                    <w:left w:val="single" w:color="auto" w:sz="4" w:space="0"/>
                    <w:bottom w:val="single" w:color="auto" w:sz="4" w:space="0"/>
                    <w:right w:val="single" w:color="auto" w:sz="4" w:space="0"/>
                  </w:tcBorders>
                  <w:vAlign w:val="center"/>
                </w:tcPr>
                <w:p w14:paraId="4F04BD37">
                  <w:pPr>
                    <w:pStyle w:val="72"/>
                    <w:keepNext w:val="0"/>
                    <w:keepLines w:val="0"/>
                    <w:suppressLineNumbers w:val="0"/>
                    <w:spacing w:before="0" w:beforeAutospacing="0" w:after="0" w:afterAutospacing="0"/>
                    <w:ind w:left="0" w:right="0"/>
                    <w:rPr>
                      <w:rFonts w:hint="default"/>
                      <w:b/>
                      <w:bCs w:val="0"/>
                      <w:color w:val="auto"/>
                    </w:rPr>
                  </w:pPr>
                  <w:r>
                    <w:rPr>
                      <w:rFonts w:hint="eastAsia"/>
                      <w:b/>
                      <w:bCs w:val="0"/>
                      <w:color w:val="auto"/>
                    </w:rPr>
                    <w:t>验收标准</w:t>
                  </w:r>
                </w:p>
              </w:tc>
            </w:tr>
            <w:tr w14:paraId="66C34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513" w:type="pct"/>
                  <w:vMerge w:val="restart"/>
                  <w:tcBorders>
                    <w:left w:val="single" w:color="auto" w:sz="4" w:space="0"/>
                    <w:right w:val="single" w:color="auto" w:sz="4" w:space="0"/>
                  </w:tcBorders>
                  <w:vAlign w:val="center"/>
                </w:tcPr>
                <w:p w14:paraId="033ED79E">
                  <w:pPr>
                    <w:pStyle w:val="72"/>
                    <w:keepNext w:val="0"/>
                    <w:keepLines w:val="0"/>
                    <w:suppressLineNumbers w:val="0"/>
                    <w:spacing w:before="0" w:beforeAutospacing="0" w:after="0" w:afterAutospacing="0"/>
                    <w:ind w:left="0" w:right="0"/>
                    <w:rPr>
                      <w:rFonts w:hint="eastAsia" w:eastAsia="宋体"/>
                      <w:b w:val="0"/>
                      <w:bCs/>
                      <w:color w:val="auto"/>
                      <w:lang w:eastAsia="zh-CN"/>
                    </w:rPr>
                  </w:pPr>
                  <w:r>
                    <w:rPr>
                      <w:rFonts w:hint="eastAsia"/>
                      <w:b w:val="0"/>
                      <w:bCs/>
                      <w:color w:val="auto"/>
                      <w:lang w:eastAsia="zh-CN"/>
                    </w:rPr>
                    <w:t>有组织废气</w:t>
                  </w:r>
                </w:p>
              </w:tc>
              <w:tc>
                <w:tcPr>
                  <w:tcW w:w="1180" w:type="pct"/>
                  <w:gridSpan w:val="2"/>
                  <w:vMerge w:val="restart"/>
                  <w:tcBorders>
                    <w:left w:val="single" w:color="auto" w:sz="4" w:space="0"/>
                    <w:right w:val="single" w:color="auto" w:sz="4" w:space="0"/>
                  </w:tcBorders>
                  <w:vAlign w:val="center"/>
                </w:tcPr>
                <w:p w14:paraId="583785DE">
                  <w:pPr>
                    <w:pStyle w:val="72"/>
                    <w:keepNext w:val="0"/>
                    <w:keepLines w:val="0"/>
                    <w:suppressLineNumbers w:val="0"/>
                    <w:spacing w:before="0" w:beforeAutospacing="0" w:after="0" w:afterAutospacing="0"/>
                    <w:ind w:left="0" w:right="0"/>
                    <w:rPr>
                      <w:rFonts w:hint="eastAsia"/>
                      <w:b w:val="0"/>
                      <w:bCs/>
                      <w:color w:val="auto"/>
                      <w:lang w:val="en-US" w:eastAsia="zh-CN"/>
                    </w:rPr>
                  </w:pPr>
                  <w:r>
                    <w:rPr>
                      <w:rFonts w:hint="eastAsia"/>
                      <w:b w:val="0"/>
                      <w:bCs/>
                      <w:color w:val="auto"/>
                      <w:lang w:val="en-US" w:eastAsia="zh-CN"/>
                    </w:rPr>
                    <w:t>油烟</w:t>
                  </w:r>
                </w:p>
              </w:tc>
              <w:tc>
                <w:tcPr>
                  <w:tcW w:w="1652" w:type="pct"/>
                  <w:tcBorders>
                    <w:top w:val="single" w:color="auto" w:sz="4" w:space="0"/>
                    <w:left w:val="single" w:color="auto" w:sz="4" w:space="0"/>
                    <w:bottom w:val="single" w:color="auto" w:sz="4" w:space="0"/>
                    <w:right w:val="single" w:color="auto" w:sz="4" w:space="0"/>
                  </w:tcBorders>
                  <w:vAlign w:val="center"/>
                </w:tcPr>
                <w:p w14:paraId="67310DD8">
                  <w:pPr>
                    <w:pStyle w:val="72"/>
                    <w:keepNext w:val="0"/>
                    <w:keepLines w:val="0"/>
                    <w:suppressLineNumbers w:val="0"/>
                    <w:spacing w:before="0" w:beforeAutospacing="0" w:after="0" w:afterAutospacing="0"/>
                    <w:ind w:left="0" w:right="0"/>
                    <w:rPr>
                      <w:rFonts w:hint="eastAsia"/>
                      <w:b w:val="0"/>
                      <w:bCs/>
                      <w:color w:val="auto"/>
                      <w:lang w:val="en-US" w:eastAsia="zh-CN"/>
                    </w:rPr>
                  </w:pPr>
                  <w:r>
                    <w:rPr>
                      <w:rFonts w:hint="eastAsia"/>
                      <w:b w:val="0"/>
                      <w:bCs/>
                      <w:color w:val="auto"/>
                      <w:lang w:val="en-US" w:eastAsia="zh-CN"/>
                    </w:rPr>
                    <w:t>《饮食业油烟排放标准》（GB18483-2001）</w:t>
                  </w:r>
                </w:p>
              </w:tc>
              <w:tc>
                <w:tcPr>
                  <w:tcW w:w="1654" w:type="pct"/>
                  <w:tcBorders>
                    <w:top w:val="single" w:color="auto" w:sz="4" w:space="0"/>
                    <w:left w:val="single" w:color="auto" w:sz="4" w:space="0"/>
                    <w:bottom w:val="single" w:color="auto" w:sz="4" w:space="0"/>
                    <w:right w:val="single" w:color="auto" w:sz="4" w:space="0"/>
                  </w:tcBorders>
                  <w:vAlign w:val="center"/>
                </w:tcPr>
                <w:p w14:paraId="2B470BFC">
                  <w:pPr>
                    <w:pStyle w:val="72"/>
                    <w:keepNext w:val="0"/>
                    <w:keepLines w:val="0"/>
                    <w:suppressLineNumbers w:val="0"/>
                    <w:spacing w:before="0" w:beforeAutospacing="0" w:after="0" w:afterAutospacing="0"/>
                    <w:ind w:left="0" w:right="0"/>
                    <w:rPr>
                      <w:rFonts w:hint="eastAsia"/>
                      <w:b w:val="0"/>
                      <w:bCs/>
                      <w:color w:val="auto"/>
                      <w:lang w:val="en-US" w:eastAsia="zh-CN"/>
                    </w:rPr>
                  </w:pPr>
                  <w:r>
                    <w:rPr>
                      <w:rFonts w:hint="eastAsia"/>
                      <w:b w:val="0"/>
                      <w:bCs/>
                      <w:color w:val="auto"/>
                      <w:lang w:val="en-US" w:eastAsia="zh-CN"/>
                    </w:rPr>
                    <w:t>《饮食业油烟排放标准》（GB18483-2001）</w:t>
                  </w:r>
                </w:p>
              </w:tc>
            </w:tr>
            <w:tr w14:paraId="6DC64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513" w:type="pct"/>
                  <w:vMerge w:val="continue"/>
                  <w:tcBorders>
                    <w:left w:val="single" w:color="auto" w:sz="4" w:space="0"/>
                    <w:right w:val="single" w:color="auto" w:sz="4" w:space="0"/>
                  </w:tcBorders>
                  <w:vAlign w:val="center"/>
                </w:tcPr>
                <w:p w14:paraId="658D8E24">
                  <w:pPr>
                    <w:pStyle w:val="72"/>
                    <w:keepNext w:val="0"/>
                    <w:keepLines w:val="0"/>
                    <w:suppressLineNumbers w:val="0"/>
                    <w:spacing w:before="0" w:beforeAutospacing="0" w:after="0" w:afterAutospacing="0"/>
                    <w:ind w:left="0" w:right="0"/>
                    <w:rPr>
                      <w:rFonts w:hint="default"/>
                      <w:b w:val="0"/>
                      <w:bCs/>
                      <w:color w:val="auto"/>
                    </w:rPr>
                  </w:pPr>
                </w:p>
              </w:tc>
              <w:tc>
                <w:tcPr>
                  <w:tcW w:w="1180" w:type="pct"/>
                  <w:gridSpan w:val="2"/>
                  <w:vMerge w:val="continue"/>
                  <w:tcBorders>
                    <w:left w:val="single" w:color="auto" w:sz="4" w:space="0"/>
                    <w:right w:val="single" w:color="auto" w:sz="4" w:space="0"/>
                  </w:tcBorders>
                  <w:vAlign w:val="center"/>
                </w:tcPr>
                <w:p w14:paraId="76E0CDA8">
                  <w:pPr>
                    <w:pStyle w:val="72"/>
                    <w:keepNext w:val="0"/>
                    <w:keepLines w:val="0"/>
                    <w:suppressLineNumbers w:val="0"/>
                    <w:spacing w:before="0" w:beforeAutospacing="0" w:after="0" w:afterAutospacing="0"/>
                    <w:ind w:left="0" w:right="0"/>
                    <w:rPr>
                      <w:rFonts w:hint="eastAsia"/>
                      <w:b w:val="0"/>
                      <w:bCs/>
                      <w:color w:val="auto"/>
                      <w:lang w:val="en-US" w:eastAsia="zh-CN"/>
                    </w:rPr>
                  </w:pPr>
                </w:p>
              </w:tc>
              <w:tc>
                <w:tcPr>
                  <w:tcW w:w="1652" w:type="pct"/>
                  <w:tcBorders>
                    <w:top w:val="single" w:color="auto" w:sz="4" w:space="0"/>
                    <w:left w:val="single" w:color="auto" w:sz="4" w:space="0"/>
                    <w:bottom w:val="single" w:color="auto" w:sz="4" w:space="0"/>
                    <w:right w:val="single" w:color="auto" w:sz="4" w:space="0"/>
                  </w:tcBorders>
                  <w:vAlign w:val="center"/>
                </w:tcPr>
                <w:p w14:paraId="70753320">
                  <w:pPr>
                    <w:pStyle w:val="72"/>
                    <w:keepNext w:val="0"/>
                    <w:keepLines w:val="0"/>
                    <w:suppressLineNumbers w:val="0"/>
                    <w:spacing w:before="0" w:beforeAutospacing="0" w:after="0" w:afterAutospacing="0"/>
                    <w:ind w:left="0" w:right="0"/>
                    <w:rPr>
                      <w:rFonts w:hint="default"/>
                      <w:b w:val="0"/>
                      <w:bCs/>
                      <w:color w:val="auto"/>
                      <w:lang w:val="en-US" w:eastAsia="zh-CN"/>
                    </w:rPr>
                  </w:pPr>
                  <w:r>
                    <w:rPr>
                      <w:rFonts w:hint="eastAsia"/>
                      <w:b w:val="0"/>
                      <w:bCs/>
                      <w:color w:val="auto"/>
                      <w:lang w:val="en-US" w:eastAsia="zh-CN"/>
                    </w:rPr>
                    <w:t>2.0mg/m</w:t>
                  </w:r>
                  <w:r>
                    <w:rPr>
                      <w:rFonts w:hint="eastAsia"/>
                      <w:b w:val="0"/>
                      <w:bCs/>
                      <w:color w:val="auto"/>
                      <w:vertAlign w:val="superscript"/>
                      <w:lang w:val="en-US" w:eastAsia="zh-CN"/>
                    </w:rPr>
                    <w:t>3</w:t>
                  </w:r>
                </w:p>
              </w:tc>
              <w:tc>
                <w:tcPr>
                  <w:tcW w:w="1654" w:type="pct"/>
                  <w:tcBorders>
                    <w:top w:val="single" w:color="auto" w:sz="4" w:space="0"/>
                    <w:left w:val="single" w:color="auto" w:sz="4" w:space="0"/>
                    <w:bottom w:val="single" w:color="auto" w:sz="4" w:space="0"/>
                    <w:right w:val="single" w:color="auto" w:sz="4" w:space="0"/>
                  </w:tcBorders>
                  <w:vAlign w:val="center"/>
                </w:tcPr>
                <w:p w14:paraId="2E841390">
                  <w:pPr>
                    <w:pStyle w:val="72"/>
                    <w:keepNext w:val="0"/>
                    <w:keepLines w:val="0"/>
                    <w:suppressLineNumbers w:val="0"/>
                    <w:spacing w:before="0" w:beforeAutospacing="0" w:after="0" w:afterAutospacing="0"/>
                    <w:ind w:left="0" w:right="0"/>
                    <w:rPr>
                      <w:rFonts w:hint="default"/>
                      <w:b w:val="0"/>
                      <w:bCs/>
                      <w:color w:val="auto"/>
                      <w:lang w:val="en-US" w:eastAsia="zh-CN"/>
                    </w:rPr>
                  </w:pPr>
                  <w:r>
                    <w:rPr>
                      <w:rFonts w:hint="eastAsia"/>
                      <w:b w:val="0"/>
                      <w:bCs/>
                      <w:color w:val="auto"/>
                      <w:lang w:val="en-US" w:eastAsia="zh-CN"/>
                    </w:rPr>
                    <w:t>2.0mg/m</w:t>
                  </w:r>
                  <w:r>
                    <w:rPr>
                      <w:rFonts w:hint="eastAsia"/>
                      <w:b w:val="0"/>
                      <w:bCs/>
                      <w:color w:val="auto"/>
                      <w:vertAlign w:val="superscript"/>
                      <w:lang w:val="en-US" w:eastAsia="zh-CN"/>
                    </w:rPr>
                    <w:t>3</w:t>
                  </w:r>
                </w:p>
              </w:tc>
            </w:tr>
            <w:tr w14:paraId="3FC9D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restart"/>
                  <w:tcBorders>
                    <w:left w:val="single" w:color="auto" w:sz="4" w:space="0"/>
                    <w:right w:val="single" w:color="auto" w:sz="4" w:space="0"/>
                  </w:tcBorders>
                  <w:vAlign w:val="center"/>
                </w:tcPr>
                <w:p w14:paraId="0D818509">
                  <w:pPr>
                    <w:pStyle w:val="72"/>
                    <w:keepNext w:val="0"/>
                    <w:keepLines w:val="0"/>
                    <w:suppressLineNumbers w:val="0"/>
                    <w:spacing w:before="0" w:beforeAutospacing="0" w:after="0" w:afterAutospacing="0"/>
                    <w:ind w:left="0" w:right="0"/>
                    <w:rPr>
                      <w:rFonts w:hint="default" w:eastAsia="宋体"/>
                      <w:b w:val="0"/>
                      <w:bCs/>
                      <w:color w:val="auto"/>
                      <w:lang w:val="en-US" w:eastAsia="zh-CN"/>
                    </w:rPr>
                  </w:pPr>
                  <w:r>
                    <w:rPr>
                      <w:rFonts w:hint="eastAsia"/>
                      <w:b w:val="0"/>
                      <w:bCs/>
                      <w:color w:val="auto"/>
                      <w:lang w:val="en-US" w:eastAsia="zh-CN"/>
                    </w:rPr>
                    <w:t>无组织废气</w:t>
                  </w:r>
                </w:p>
              </w:tc>
              <w:tc>
                <w:tcPr>
                  <w:tcW w:w="1180" w:type="pct"/>
                  <w:gridSpan w:val="2"/>
                  <w:tcBorders>
                    <w:top w:val="single" w:color="auto" w:sz="4" w:space="0"/>
                    <w:left w:val="single" w:color="auto" w:sz="4" w:space="0"/>
                    <w:bottom w:val="single" w:color="auto" w:sz="4" w:space="0"/>
                    <w:right w:val="single" w:color="auto" w:sz="4" w:space="0"/>
                  </w:tcBorders>
                  <w:vAlign w:val="center"/>
                </w:tcPr>
                <w:p w14:paraId="5508B65A">
                  <w:pPr>
                    <w:pStyle w:val="72"/>
                    <w:keepNext w:val="0"/>
                    <w:keepLines w:val="0"/>
                    <w:suppressLineNumbers w:val="0"/>
                    <w:spacing w:before="0" w:beforeAutospacing="0" w:after="0" w:afterAutospacing="0"/>
                    <w:ind w:left="0" w:right="0"/>
                    <w:rPr>
                      <w:rFonts w:hint="default"/>
                      <w:b w:val="0"/>
                      <w:bCs/>
                      <w:color w:val="auto"/>
                      <w:lang w:val="en-US" w:eastAsia="zh-CN"/>
                    </w:rPr>
                  </w:pPr>
                  <w:r>
                    <w:rPr>
                      <w:rFonts w:hint="eastAsia"/>
                      <w:b w:val="0"/>
                      <w:bCs/>
                      <w:color w:val="auto"/>
                      <w:lang w:val="en-US" w:eastAsia="zh-CN"/>
                    </w:rPr>
                    <w:t>氨、硫化氢、臭气浓度</w:t>
                  </w:r>
                </w:p>
              </w:tc>
              <w:tc>
                <w:tcPr>
                  <w:tcW w:w="1652" w:type="pct"/>
                  <w:tcBorders>
                    <w:top w:val="single" w:color="auto" w:sz="4" w:space="0"/>
                    <w:left w:val="single" w:color="auto" w:sz="4" w:space="0"/>
                    <w:bottom w:val="single" w:color="auto" w:sz="4" w:space="0"/>
                    <w:right w:val="single" w:color="auto" w:sz="4" w:space="0"/>
                  </w:tcBorders>
                  <w:vAlign w:val="center"/>
                </w:tcPr>
                <w:p w14:paraId="0F5815A0">
                  <w:pPr>
                    <w:pStyle w:val="72"/>
                    <w:keepNext w:val="0"/>
                    <w:keepLines w:val="0"/>
                    <w:suppressLineNumbers w:val="0"/>
                    <w:spacing w:before="0" w:beforeAutospacing="0" w:after="0" w:afterAutospacing="0"/>
                    <w:ind w:left="0" w:right="0"/>
                    <w:rPr>
                      <w:rFonts w:hint="eastAsia"/>
                      <w:b w:val="0"/>
                      <w:bCs/>
                      <w:color w:val="auto"/>
                      <w:lang w:val="en-US" w:eastAsia="zh-CN"/>
                    </w:rPr>
                  </w:pPr>
                  <w:r>
                    <w:rPr>
                      <w:rFonts w:hint="eastAsia" w:ascii="Times New Roman" w:hAnsi="Times New Roman" w:eastAsia="宋体" w:cs="Times New Roman"/>
                      <w:b w:val="0"/>
                      <w:bCs/>
                      <w:color w:val="auto"/>
                      <w:lang w:val="en-US" w:eastAsia="zh-CN"/>
                    </w:rPr>
                    <w:t>《恶臭污染物排放标准》（GB14554-93）</w:t>
                  </w:r>
                </w:p>
              </w:tc>
              <w:tc>
                <w:tcPr>
                  <w:tcW w:w="1654" w:type="pct"/>
                  <w:tcBorders>
                    <w:top w:val="single" w:color="auto" w:sz="4" w:space="0"/>
                    <w:left w:val="single" w:color="auto" w:sz="4" w:space="0"/>
                    <w:bottom w:val="single" w:color="auto" w:sz="4" w:space="0"/>
                    <w:right w:val="single" w:color="auto" w:sz="4" w:space="0"/>
                  </w:tcBorders>
                  <w:vAlign w:val="center"/>
                </w:tcPr>
                <w:p w14:paraId="0BD347D4">
                  <w:pPr>
                    <w:pStyle w:val="72"/>
                    <w:keepNext w:val="0"/>
                    <w:keepLines w:val="0"/>
                    <w:suppressLineNumbers w:val="0"/>
                    <w:spacing w:before="0" w:beforeAutospacing="0" w:after="0" w:afterAutospacing="0"/>
                    <w:ind w:left="0" w:right="0"/>
                    <w:rPr>
                      <w:rFonts w:hint="eastAsia"/>
                      <w:b w:val="0"/>
                      <w:bCs/>
                      <w:color w:val="auto"/>
                      <w:lang w:val="en-US" w:eastAsia="zh-CN"/>
                    </w:rPr>
                  </w:pPr>
                  <w:r>
                    <w:rPr>
                      <w:rFonts w:hint="eastAsia" w:ascii="Times New Roman" w:hAnsi="Times New Roman" w:eastAsia="宋体" w:cs="Times New Roman"/>
                      <w:b w:val="0"/>
                      <w:bCs/>
                      <w:color w:val="auto"/>
                      <w:lang w:val="en-US" w:eastAsia="zh-CN"/>
                    </w:rPr>
                    <w:t>《恶臭污染物排放标准》（GB14554-93）</w:t>
                  </w:r>
                </w:p>
              </w:tc>
            </w:tr>
            <w:tr w14:paraId="30120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429B0FE4">
                  <w:pPr>
                    <w:pStyle w:val="72"/>
                    <w:keepNext w:val="0"/>
                    <w:keepLines w:val="0"/>
                    <w:suppressLineNumbers w:val="0"/>
                    <w:spacing w:before="0" w:beforeAutospacing="0" w:after="0" w:afterAutospacing="0"/>
                    <w:ind w:left="0" w:right="0"/>
                    <w:rPr>
                      <w:rFonts w:hint="eastAsia"/>
                      <w:b w:val="0"/>
                      <w:bCs/>
                      <w:color w:val="auto"/>
                      <w:lang w:val="en-US" w:eastAsia="zh-CN"/>
                    </w:rPr>
                  </w:pPr>
                </w:p>
              </w:tc>
              <w:tc>
                <w:tcPr>
                  <w:tcW w:w="1180" w:type="pct"/>
                  <w:gridSpan w:val="2"/>
                  <w:tcBorders>
                    <w:top w:val="single" w:color="auto" w:sz="4" w:space="0"/>
                    <w:left w:val="single" w:color="auto" w:sz="4" w:space="0"/>
                    <w:bottom w:val="single" w:color="auto" w:sz="4" w:space="0"/>
                    <w:right w:val="single" w:color="auto" w:sz="4" w:space="0"/>
                  </w:tcBorders>
                  <w:vAlign w:val="center"/>
                </w:tcPr>
                <w:p w14:paraId="12D82EE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b w:val="0"/>
                      <w:bCs/>
                      <w:color w:val="auto"/>
                      <w:lang w:val="en-US" w:eastAsia="zh-CN"/>
                    </w:rPr>
                  </w:pPr>
                  <w:r>
                    <w:rPr>
                      <w:rFonts w:hint="eastAsia"/>
                      <w:b w:val="0"/>
                      <w:bCs/>
                      <w:color w:val="auto"/>
                      <w:lang w:val="en-US" w:eastAsia="zh-CN"/>
                    </w:rPr>
                    <w:t>氨</w:t>
                  </w:r>
                </w:p>
              </w:tc>
              <w:tc>
                <w:tcPr>
                  <w:tcW w:w="1652" w:type="pct"/>
                  <w:tcBorders>
                    <w:top w:val="single" w:color="auto" w:sz="4" w:space="0"/>
                    <w:left w:val="single" w:color="auto" w:sz="4" w:space="0"/>
                    <w:bottom w:val="single" w:color="auto" w:sz="4" w:space="0"/>
                    <w:right w:val="single" w:color="auto" w:sz="4" w:space="0"/>
                  </w:tcBorders>
                  <w:vAlign w:val="center"/>
                </w:tcPr>
                <w:p w14:paraId="1DADAE4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b w:val="0"/>
                      <w:bCs/>
                      <w:color w:val="auto"/>
                      <w:sz w:val="21"/>
                      <w:szCs w:val="21"/>
                      <w:lang w:val="en-US" w:eastAsia="zh-CN"/>
                    </w:rPr>
                  </w:pPr>
                  <w:r>
                    <w:rPr>
                      <w:rFonts w:hint="eastAsia"/>
                      <w:b w:val="0"/>
                      <w:bCs/>
                      <w:color w:val="auto"/>
                      <w:sz w:val="21"/>
                      <w:szCs w:val="21"/>
                      <w:lang w:val="en-US" w:eastAsia="zh-CN"/>
                    </w:rPr>
                    <w:t>1.5</w:t>
                  </w:r>
                  <w:r>
                    <w:rPr>
                      <w:rFonts w:hint="default"/>
                      <w:b w:val="0"/>
                      <w:bCs/>
                      <w:color w:val="auto"/>
                      <w:sz w:val="21"/>
                      <w:szCs w:val="21"/>
                    </w:rPr>
                    <w:t>mg/m³</w:t>
                  </w:r>
                </w:p>
              </w:tc>
              <w:tc>
                <w:tcPr>
                  <w:tcW w:w="1654" w:type="pct"/>
                  <w:tcBorders>
                    <w:top w:val="single" w:color="auto" w:sz="4" w:space="0"/>
                    <w:left w:val="single" w:color="auto" w:sz="4" w:space="0"/>
                    <w:bottom w:val="single" w:color="auto" w:sz="4" w:space="0"/>
                    <w:right w:val="single" w:color="auto" w:sz="4" w:space="0"/>
                  </w:tcBorders>
                  <w:vAlign w:val="center"/>
                </w:tcPr>
                <w:p w14:paraId="35D79F5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b w:val="0"/>
                      <w:bCs/>
                      <w:color w:val="auto"/>
                      <w:sz w:val="21"/>
                      <w:szCs w:val="21"/>
                      <w:lang w:val="en-US" w:eastAsia="zh-CN"/>
                    </w:rPr>
                  </w:pPr>
                  <w:r>
                    <w:rPr>
                      <w:rFonts w:hint="eastAsia"/>
                      <w:b w:val="0"/>
                      <w:bCs/>
                      <w:color w:val="auto"/>
                      <w:sz w:val="21"/>
                      <w:szCs w:val="21"/>
                      <w:lang w:val="en-US" w:eastAsia="zh-CN"/>
                    </w:rPr>
                    <w:t>1.5</w:t>
                  </w:r>
                  <w:r>
                    <w:rPr>
                      <w:rFonts w:hint="default"/>
                      <w:b w:val="0"/>
                      <w:bCs/>
                      <w:color w:val="auto"/>
                      <w:sz w:val="21"/>
                      <w:szCs w:val="21"/>
                    </w:rPr>
                    <w:t>mg/m³</w:t>
                  </w:r>
                </w:p>
              </w:tc>
            </w:tr>
            <w:tr w14:paraId="1B5DA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6F4507A6">
                  <w:pPr>
                    <w:pStyle w:val="72"/>
                    <w:keepNext w:val="0"/>
                    <w:keepLines w:val="0"/>
                    <w:suppressLineNumbers w:val="0"/>
                    <w:spacing w:before="0" w:beforeAutospacing="0" w:after="0" w:afterAutospacing="0"/>
                    <w:ind w:left="0" w:right="0"/>
                    <w:rPr>
                      <w:rFonts w:hint="default"/>
                      <w:b w:val="0"/>
                      <w:bCs/>
                      <w:color w:val="auto"/>
                    </w:rPr>
                  </w:pPr>
                </w:p>
              </w:tc>
              <w:tc>
                <w:tcPr>
                  <w:tcW w:w="1180" w:type="pct"/>
                  <w:gridSpan w:val="2"/>
                  <w:tcBorders>
                    <w:top w:val="single" w:color="auto" w:sz="4" w:space="0"/>
                    <w:left w:val="single" w:color="auto" w:sz="4" w:space="0"/>
                    <w:bottom w:val="single" w:color="auto" w:sz="4" w:space="0"/>
                    <w:right w:val="single" w:color="auto" w:sz="4" w:space="0"/>
                  </w:tcBorders>
                  <w:vAlign w:val="center"/>
                </w:tcPr>
                <w:p w14:paraId="7935A2B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eastAsia="宋体"/>
                      <w:b w:val="0"/>
                      <w:bCs/>
                      <w:color w:val="auto"/>
                      <w:lang w:val="en-US" w:eastAsia="zh-CN"/>
                    </w:rPr>
                  </w:pPr>
                  <w:r>
                    <w:rPr>
                      <w:rFonts w:hint="eastAsia"/>
                      <w:b w:val="0"/>
                      <w:bCs/>
                      <w:color w:val="auto"/>
                      <w:lang w:val="en-US" w:eastAsia="zh-CN"/>
                    </w:rPr>
                    <w:t>硫化氢</w:t>
                  </w:r>
                </w:p>
              </w:tc>
              <w:tc>
                <w:tcPr>
                  <w:tcW w:w="1652" w:type="pct"/>
                  <w:tcBorders>
                    <w:top w:val="single" w:color="auto" w:sz="4" w:space="0"/>
                    <w:left w:val="single" w:color="auto" w:sz="4" w:space="0"/>
                    <w:bottom w:val="single" w:color="auto" w:sz="4" w:space="0"/>
                    <w:right w:val="single" w:color="auto" w:sz="4" w:space="0"/>
                  </w:tcBorders>
                  <w:vAlign w:val="center"/>
                </w:tcPr>
                <w:p w14:paraId="53DACA0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b w:val="0"/>
                      <w:bCs/>
                      <w:color w:val="auto"/>
                      <w:sz w:val="21"/>
                      <w:szCs w:val="21"/>
                    </w:rPr>
                  </w:pPr>
                  <w:r>
                    <w:rPr>
                      <w:rFonts w:hint="eastAsia"/>
                      <w:b w:val="0"/>
                      <w:bCs/>
                      <w:color w:val="auto"/>
                      <w:sz w:val="21"/>
                      <w:szCs w:val="21"/>
                      <w:lang w:val="en-US" w:eastAsia="zh-CN"/>
                    </w:rPr>
                    <w:t>0.06</w:t>
                  </w:r>
                  <w:r>
                    <w:rPr>
                      <w:rFonts w:hint="default"/>
                      <w:b w:val="0"/>
                      <w:bCs/>
                      <w:color w:val="auto"/>
                      <w:sz w:val="21"/>
                      <w:szCs w:val="21"/>
                    </w:rPr>
                    <w:t>mg/m³</w:t>
                  </w:r>
                </w:p>
              </w:tc>
              <w:tc>
                <w:tcPr>
                  <w:tcW w:w="1654" w:type="pct"/>
                  <w:tcBorders>
                    <w:top w:val="single" w:color="auto" w:sz="4" w:space="0"/>
                    <w:left w:val="single" w:color="auto" w:sz="4" w:space="0"/>
                    <w:bottom w:val="single" w:color="auto" w:sz="4" w:space="0"/>
                    <w:right w:val="single" w:color="auto" w:sz="4" w:space="0"/>
                  </w:tcBorders>
                  <w:vAlign w:val="center"/>
                </w:tcPr>
                <w:p w14:paraId="7E77FA51">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b w:val="0"/>
                      <w:bCs/>
                      <w:color w:val="auto"/>
                      <w:sz w:val="21"/>
                      <w:szCs w:val="21"/>
                    </w:rPr>
                  </w:pPr>
                  <w:r>
                    <w:rPr>
                      <w:rFonts w:hint="eastAsia"/>
                      <w:b w:val="0"/>
                      <w:bCs/>
                      <w:color w:val="auto"/>
                      <w:sz w:val="21"/>
                      <w:szCs w:val="21"/>
                      <w:lang w:val="en-US" w:eastAsia="zh-CN"/>
                    </w:rPr>
                    <w:t>0.06</w:t>
                  </w:r>
                  <w:r>
                    <w:rPr>
                      <w:rFonts w:hint="default"/>
                      <w:b w:val="0"/>
                      <w:bCs/>
                      <w:color w:val="auto"/>
                      <w:sz w:val="21"/>
                      <w:szCs w:val="21"/>
                    </w:rPr>
                    <w:t>mg/m³</w:t>
                  </w:r>
                </w:p>
              </w:tc>
            </w:tr>
            <w:tr w14:paraId="0E1D3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72049267">
                  <w:pPr>
                    <w:pStyle w:val="72"/>
                    <w:keepNext w:val="0"/>
                    <w:keepLines w:val="0"/>
                    <w:suppressLineNumbers w:val="0"/>
                    <w:spacing w:before="0" w:beforeAutospacing="0" w:after="0" w:afterAutospacing="0"/>
                    <w:ind w:left="0" w:right="0"/>
                    <w:rPr>
                      <w:rFonts w:hint="default"/>
                      <w:b w:val="0"/>
                      <w:bCs/>
                      <w:color w:val="auto"/>
                    </w:rPr>
                  </w:pPr>
                </w:p>
              </w:tc>
              <w:tc>
                <w:tcPr>
                  <w:tcW w:w="1180" w:type="pct"/>
                  <w:gridSpan w:val="2"/>
                  <w:tcBorders>
                    <w:top w:val="single" w:color="auto" w:sz="4" w:space="0"/>
                    <w:left w:val="single" w:color="auto" w:sz="4" w:space="0"/>
                    <w:bottom w:val="single" w:color="auto" w:sz="4" w:space="0"/>
                    <w:right w:val="single" w:color="auto" w:sz="4" w:space="0"/>
                  </w:tcBorders>
                  <w:vAlign w:val="center"/>
                </w:tcPr>
                <w:p w14:paraId="78B9341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臭气浓度</w:t>
                  </w:r>
                </w:p>
              </w:tc>
              <w:tc>
                <w:tcPr>
                  <w:tcW w:w="1652" w:type="pct"/>
                  <w:tcBorders>
                    <w:top w:val="single" w:color="auto" w:sz="4" w:space="0"/>
                    <w:left w:val="single" w:color="auto" w:sz="4" w:space="0"/>
                    <w:bottom w:val="single" w:color="auto" w:sz="4" w:space="0"/>
                    <w:right w:val="single" w:color="auto" w:sz="4" w:space="0"/>
                  </w:tcBorders>
                  <w:vAlign w:val="center"/>
                </w:tcPr>
                <w:p w14:paraId="639D9E0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20（无量纲）</w:t>
                  </w:r>
                </w:p>
              </w:tc>
              <w:tc>
                <w:tcPr>
                  <w:tcW w:w="1654" w:type="pct"/>
                  <w:tcBorders>
                    <w:top w:val="single" w:color="auto" w:sz="4" w:space="0"/>
                    <w:left w:val="single" w:color="auto" w:sz="4" w:space="0"/>
                    <w:bottom w:val="single" w:color="auto" w:sz="4" w:space="0"/>
                    <w:right w:val="single" w:color="auto" w:sz="4" w:space="0"/>
                  </w:tcBorders>
                  <w:vAlign w:val="center"/>
                </w:tcPr>
                <w:p w14:paraId="5C690DCF">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20（无量纲）</w:t>
                  </w:r>
                </w:p>
              </w:tc>
            </w:tr>
            <w:tr w14:paraId="0CC0E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restart"/>
                  <w:tcBorders>
                    <w:left w:val="single" w:color="auto" w:sz="4" w:space="0"/>
                    <w:right w:val="single" w:color="auto" w:sz="4" w:space="0"/>
                  </w:tcBorders>
                  <w:vAlign w:val="center"/>
                </w:tcPr>
                <w:p w14:paraId="778B8E4F">
                  <w:pPr>
                    <w:pStyle w:val="72"/>
                    <w:keepNext w:val="0"/>
                    <w:keepLines w:val="0"/>
                    <w:suppressLineNumbers w:val="0"/>
                    <w:spacing w:before="0" w:beforeAutospacing="0" w:after="0" w:afterAutospacing="0"/>
                    <w:ind w:left="0" w:right="0"/>
                    <w:rPr>
                      <w:rFonts w:hint="eastAsia" w:eastAsia="宋体"/>
                      <w:b w:val="0"/>
                      <w:bCs/>
                      <w:color w:val="auto"/>
                      <w:lang w:eastAsia="zh-CN"/>
                    </w:rPr>
                  </w:pPr>
                  <w:r>
                    <w:rPr>
                      <w:rFonts w:hint="eastAsia"/>
                      <w:b w:val="0"/>
                      <w:bCs/>
                      <w:color w:val="auto"/>
                      <w:lang w:eastAsia="zh-CN"/>
                    </w:rPr>
                    <w:t>废水</w:t>
                  </w:r>
                </w:p>
              </w:tc>
              <w:tc>
                <w:tcPr>
                  <w:tcW w:w="462" w:type="pct"/>
                  <w:vMerge w:val="restart"/>
                  <w:tcBorders>
                    <w:top w:val="single" w:color="auto" w:sz="4" w:space="0"/>
                    <w:left w:val="single" w:color="auto" w:sz="4" w:space="0"/>
                    <w:right w:val="single" w:color="auto" w:sz="4" w:space="0"/>
                  </w:tcBorders>
                  <w:vAlign w:val="center"/>
                </w:tcPr>
                <w:p w14:paraId="78D051B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综合废水</w:t>
                  </w:r>
                </w:p>
              </w:tc>
              <w:tc>
                <w:tcPr>
                  <w:tcW w:w="718" w:type="pct"/>
                  <w:tcBorders>
                    <w:top w:val="single" w:color="auto" w:sz="4" w:space="0"/>
                    <w:left w:val="single" w:color="auto" w:sz="4" w:space="0"/>
                    <w:bottom w:val="single" w:color="auto" w:sz="4" w:space="0"/>
                    <w:right w:val="single" w:color="auto" w:sz="4" w:space="0"/>
                  </w:tcBorders>
                  <w:vAlign w:val="center"/>
                </w:tcPr>
                <w:p w14:paraId="54458C2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1652" w:type="pct"/>
                  <w:tcBorders>
                    <w:top w:val="single" w:color="auto" w:sz="4" w:space="0"/>
                    <w:left w:val="single" w:color="auto" w:sz="4" w:space="0"/>
                    <w:bottom w:val="single" w:color="auto" w:sz="4" w:space="0"/>
                    <w:right w:val="single" w:color="auto" w:sz="4" w:space="0"/>
                  </w:tcBorders>
                  <w:vAlign w:val="center"/>
                </w:tcPr>
                <w:p w14:paraId="47425FA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《污水综合排放标准》GB8978-1996中三级标准，氨氮参照《污水排入城镇下水道水质标准》（GB/T31962-2015）表1中B等级标准</w:t>
                  </w:r>
                </w:p>
              </w:tc>
              <w:tc>
                <w:tcPr>
                  <w:tcW w:w="1654" w:type="pct"/>
                  <w:tcBorders>
                    <w:top w:val="single" w:color="auto" w:sz="4" w:space="0"/>
                    <w:left w:val="single" w:color="auto" w:sz="4" w:space="0"/>
                    <w:bottom w:val="single" w:color="auto" w:sz="4" w:space="0"/>
                    <w:right w:val="single" w:color="auto" w:sz="4" w:space="0"/>
                  </w:tcBorders>
                  <w:vAlign w:val="center"/>
                </w:tcPr>
                <w:p w14:paraId="358C891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《污水综合排放标准》GB8978-1996中三级标准，氨氮</w:t>
                  </w:r>
                  <w:r>
                    <w:rPr>
                      <w:rFonts w:hint="eastAsia" w:cs="Times New Roman"/>
                      <w:b w:val="0"/>
                      <w:bCs/>
                      <w:color w:val="auto"/>
                      <w:sz w:val="21"/>
                      <w:szCs w:val="21"/>
                      <w:lang w:val="en-US" w:eastAsia="zh-CN"/>
                    </w:rPr>
                    <w:t>、色度、总磷、总氮</w:t>
                  </w:r>
                  <w:r>
                    <w:rPr>
                      <w:rFonts w:hint="eastAsia" w:ascii="Times New Roman" w:hAnsi="Times New Roman" w:eastAsia="宋体" w:cs="Times New Roman"/>
                      <w:b w:val="0"/>
                      <w:bCs/>
                      <w:color w:val="auto"/>
                      <w:sz w:val="21"/>
                      <w:szCs w:val="21"/>
                      <w:lang w:val="en-US" w:eastAsia="zh-CN"/>
                    </w:rPr>
                    <w:t>参照《污水排入城镇下水道水质标准》（GB/T31962-2015）表1中B等级标准</w:t>
                  </w:r>
                </w:p>
              </w:tc>
            </w:tr>
            <w:tr w14:paraId="22DB7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1242612C">
                  <w:pPr>
                    <w:pStyle w:val="72"/>
                    <w:keepNext w:val="0"/>
                    <w:keepLines w:val="0"/>
                    <w:suppressLineNumbers w:val="0"/>
                    <w:spacing w:before="0" w:beforeAutospacing="0" w:after="0" w:afterAutospacing="0"/>
                    <w:ind w:left="0" w:right="0"/>
                    <w:rPr>
                      <w:rFonts w:hint="eastAsia"/>
                      <w:b w:val="0"/>
                      <w:bCs/>
                      <w:color w:val="auto"/>
                      <w:lang w:eastAsia="zh-CN"/>
                    </w:rPr>
                  </w:pPr>
                </w:p>
              </w:tc>
              <w:tc>
                <w:tcPr>
                  <w:tcW w:w="462" w:type="pct"/>
                  <w:vMerge w:val="continue"/>
                  <w:tcBorders>
                    <w:left w:val="single" w:color="auto" w:sz="4" w:space="0"/>
                    <w:right w:val="single" w:color="auto" w:sz="4" w:space="0"/>
                  </w:tcBorders>
                  <w:vAlign w:val="center"/>
                </w:tcPr>
                <w:p w14:paraId="624DE81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51CAA9C7">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pH</w:t>
                  </w:r>
                </w:p>
              </w:tc>
              <w:tc>
                <w:tcPr>
                  <w:tcW w:w="1652" w:type="pct"/>
                  <w:tcBorders>
                    <w:top w:val="single" w:color="auto" w:sz="4" w:space="0"/>
                    <w:left w:val="single" w:color="auto" w:sz="4" w:space="0"/>
                    <w:bottom w:val="single" w:color="auto" w:sz="4" w:space="0"/>
                    <w:right w:val="single" w:color="auto" w:sz="4" w:space="0"/>
                  </w:tcBorders>
                  <w:vAlign w:val="center"/>
                </w:tcPr>
                <w:p w14:paraId="28A1A03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6~9</w:t>
                  </w:r>
                </w:p>
              </w:tc>
              <w:tc>
                <w:tcPr>
                  <w:tcW w:w="1654" w:type="pct"/>
                  <w:tcBorders>
                    <w:top w:val="single" w:color="auto" w:sz="4" w:space="0"/>
                    <w:left w:val="single" w:color="auto" w:sz="4" w:space="0"/>
                    <w:bottom w:val="single" w:color="auto" w:sz="4" w:space="0"/>
                    <w:right w:val="single" w:color="auto" w:sz="4" w:space="0"/>
                  </w:tcBorders>
                  <w:vAlign w:val="center"/>
                </w:tcPr>
                <w:p w14:paraId="45D38310">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6~9</w:t>
                  </w:r>
                </w:p>
              </w:tc>
            </w:tr>
            <w:tr w14:paraId="3B477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190E7212">
                  <w:pPr>
                    <w:pStyle w:val="72"/>
                    <w:keepNext w:val="0"/>
                    <w:keepLines w:val="0"/>
                    <w:suppressLineNumbers w:val="0"/>
                    <w:spacing w:before="0" w:beforeAutospacing="0" w:after="0" w:afterAutospacing="0"/>
                    <w:ind w:left="0" w:right="0"/>
                    <w:rPr>
                      <w:rFonts w:hint="eastAsia"/>
                      <w:b w:val="0"/>
                      <w:bCs/>
                      <w:color w:val="auto"/>
                      <w:lang w:eastAsia="zh-CN"/>
                    </w:rPr>
                  </w:pPr>
                </w:p>
              </w:tc>
              <w:tc>
                <w:tcPr>
                  <w:tcW w:w="462" w:type="pct"/>
                  <w:vMerge w:val="continue"/>
                  <w:tcBorders>
                    <w:left w:val="single" w:color="auto" w:sz="4" w:space="0"/>
                    <w:right w:val="single" w:color="auto" w:sz="4" w:space="0"/>
                  </w:tcBorders>
                  <w:vAlign w:val="center"/>
                </w:tcPr>
                <w:p w14:paraId="31E18911">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43D20869">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COD</w:t>
                  </w:r>
                </w:p>
              </w:tc>
              <w:tc>
                <w:tcPr>
                  <w:tcW w:w="1652" w:type="pct"/>
                  <w:tcBorders>
                    <w:top w:val="single" w:color="auto" w:sz="4" w:space="0"/>
                    <w:left w:val="single" w:color="auto" w:sz="4" w:space="0"/>
                    <w:bottom w:val="single" w:color="auto" w:sz="4" w:space="0"/>
                    <w:right w:val="single" w:color="auto" w:sz="4" w:space="0"/>
                  </w:tcBorders>
                  <w:vAlign w:val="center"/>
                </w:tcPr>
                <w:p w14:paraId="11995B2D">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500</w:t>
                  </w:r>
                </w:p>
              </w:tc>
              <w:tc>
                <w:tcPr>
                  <w:tcW w:w="1654" w:type="pct"/>
                  <w:tcBorders>
                    <w:top w:val="single" w:color="auto" w:sz="4" w:space="0"/>
                    <w:left w:val="single" w:color="auto" w:sz="4" w:space="0"/>
                    <w:bottom w:val="single" w:color="auto" w:sz="4" w:space="0"/>
                    <w:right w:val="single" w:color="auto" w:sz="4" w:space="0"/>
                  </w:tcBorders>
                  <w:vAlign w:val="center"/>
                </w:tcPr>
                <w:p w14:paraId="560CC91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500</w:t>
                  </w:r>
                </w:p>
              </w:tc>
            </w:tr>
            <w:tr w14:paraId="6A438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2E31CAEA">
                  <w:pPr>
                    <w:pStyle w:val="72"/>
                    <w:keepNext w:val="0"/>
                    <w:keepLines w:val="0"/>
                    <w:suppressLineNumbers w:val="0"/>
                    <w:spacing w:before="0" w:beforeAutospacing="0" w:after="0" w:afterAutospacing="0"/>
                    <w:ind w:left="0" w:right="0"/>
                    <w:rPr>
                      <w:rFonts w:hint="eastAsia"/>
                      <w:b w:val="0"/>
                      <w:bCs/>
                      <w:color w:val="auto"/>
                      <w:lang w:eastAsia="zh-CN"/>
                    </w:rPr>
                  </w:pPr>
                </w:p>
              </w:tc>
              <w:tc>
                <w:tcPr>
                  <w:tcW w:w="462" w:type="pct"/>
                  <w:vMerge w:val="continue"/>
                  <w:tcBorders>
                    <w:left w:val="single" w:color="auto" w:sz="4" w:space="0"/>
                    <w:right w:val="single" w:color="auto" w:sz="4" w:space="0"/>
                  </w:tcBorders>
                  <w:vAlign w:val="center"/>
                </w:tcPr>
                <w:p w14:paraId="7733C35A">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28AFC8AB">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BOD</w:t>
                  </w:r>
                  <w:r>
                    <w:rPr>
                      <w:rFonts w:hint="eastAsia" w:ascii="Times New Roman" w:hAnsi="Times New Roman" w:eastAsia="宋体" w:cs="Times New Roman"/>
                      <w:color w:val="auto"/>
                      <w:sz w:val="21"/>
                      <w:szCs w:val="21"/>
                      <w:vertAlign w:val="subscript"/>
                      <w:lang w:val="en-US" w:eastAsia="zh-CN"/>
                    </w:rPr>
                    <w:t>5</w:t>
                  </w:r>
                </w:p>
              </w:tc>
              <w:tc>
                <w:tcPr>
                  <w:tcW w:w="1652" w:type="pct"/>
                  <w:tcBorders>
                    <w:top w:val="single" w:color="auto" w:sz="4" w:space="0"/>
                    <w:left w:val="single" w:color="auto" w:sz="4" w:space="0"/>
                    <w:bottom w:val="single" w:color="auto" w:sz="4" w:space="0"/>
                    <w:right w:val="single" w:color="auto" w:sz="4" w:space="0"/>
                  </w:tcBorders>
                  <w:vAlign w:val="center"/>
                </w:tcPr>
                <w:p w14:paraId="60F2EB28">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300</w:t>
                  </w:r>
                </w:p>
              </w:tc>
              <w:tc>
                <w:tcPr>
                  <w:tcW w:w="1654" w:type="pct"/>
                  <w:tcBorders>
                    <w:top w:val="single" w:color="auto" w:sz="4" w:space="0"/>
                    <w:left w:val="single" w:color="auto" w:sz="4" w:space="0"/>
                    <w:bottom w:val="single" w:color="auto" w:sz="4" w:space="0"/>
                    <w:right w:val="single" w:color="auto" w:sz="4" w:space="0"/>
                  </w:tcBorders>
                  <w:vAlign w:val="center"/>
                </w:tcPr>
                <w:p w14:paraId="173F3F1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300</w:t>
                  </w:r>
                </w:p>
              </w:tc>
            </w:tr>
            <w:tr w14:paraId="54F7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04FD1665">
                  <w:pPr>
                    <w:pStyle w:val="72"/>
                    <w:keepNext w:val="0"/>
                    <w:keepLines w:val="0"/>
                    <w:suppressLineNumbers w:val="0"/>
                    <w:spacing w:before="0" w:beforeAutospacing="0" w:after="0" w:afterAutospacing="0"/>
                    <w:ind w:left="0" w:right="0"/>
                    <w:rPr>
                      <w:rFonts w:hint="eastAsia"/>
                      <w:b w:val="0"/>
                      <w:bCs/>
                      <w:color w:val="auto"/>
                      <w:lang w:eastAsia="zh-CN"/>
                    </w:rPr>
                  </w:pPr>
                </w:p>
              </w:tc>
              <w:tc>
                <w:tcPr>
                  <w:tcW w:w="462" w:type="pct"/>
                  <w:vMerge w:val="continue"/>
                  <w:tcBorders>
                    <w:left w:val="single" w:color="auto" w:sz="4" w:space="0"/>
                    <w:right w:val="single" w:color="auto" w:sz="4" w:space="0"/>
                  </w:tcBorders>
                  <w:vAlign w:val="center"/>
                </w:tcPr>
                <w:p w14:paraId="5F1AD36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037F83B5">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SS</w:t>
                  </w:r>
                </w:p>
              </w:tc>
              <w:tc>
                <w:tcPr>
                  <w:tcW w:w="1652" w:type="pct"/>
                  <w:tcBorders>
                    <w:top w:val="single" w:color="auto" w:sz="4" w:space="0"/>
                    <w:left w:val="single" w:color="auto" w:sz="4" w:space="0"/>
                    <w:bottom w:val="single" w:color="auto" w:sz="4" w:space="0"/>
                    <w:right w:val="single" w:color="auto" w:sz="4" w:space="0"/>
                  </w:tcBorders>
                  <w:vAlign w:val="center"/>
                </w:tcPr>
                <w:p w14:paraId="1DEE26E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400</w:t>
                  </w:r>
                </w:p>
              </w:tc>
              <w:tc>
                <w:tcPr>
                  <w:tcW w:w="1654" w:type="pct"/>
                  <w:tcBorders>
                    <w:top w:val="single" w:color="auto" w:sz="4" w:space="0"/>
                    <w:left w:val="single" w:color="auto" w:sz="4" w:space="0"/>
                    <w:bottom w:val="single" w:color="auto" w:sz="4" w:space="0"/>
                    <w:right w:val="single" w:color="auto" w:sz="4" w:space="0"/>
                  </w:tcBorders>
                  <w:vAlign w:val="center"/>
                </w:tcPr>
                <w:p w14:paraId="006DC8D5">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sz w:val="21"/>
                      <w:szCs w:val="21"/>
                      <w:lang w:val="en-US" w:eastAsia="zh-CN"/>
                    </w:rPr>
                    <w:t>400</w:t>
                  </w:r>
                </w:p>
              </w:tc>
            </w:tr>
            <w:tr w14:paraId="49BF9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69E5BC7A">
                  <w:pPr>
                    <w:pStyle w:val="72"/>
                    <w:keepNext w:val="0"/>
                    <w:keepLines w:val="0"/>
                    <w:suppressLineNumbers w:val="0"/>
                    <w:spacing w:before="0" w:beforeAutospacing="0" w:after="0" w:afterAutospacing="0"/>
                    <w:ind w:left="0" w:right="0"/>
                    <w:rPr>
                      <w:rFonts w:hint="eastAsia"/>
                      <w:b w:val="0"/>
                      <w:bCs/>
                      <w:color w:val="auto"/>
                      <w:lang w:eastAsia="zh-CN"/>
                    </w:rPr>
                  </w:pPr>
                </w:p>
              </w:tc>
              <w:tc>
                <w:tcPr>
                  <w:tcW w:w="462" w:type="pct"/>
                  <w:vMerge w:val="continue"/>
                  <w:tcBorders>
                    <w:left w:val="single" w:color="auto" w:sz="4" w:space="0"/>
                    <w:right w:val="single" w:color="auto" w:sz="4" w:space="0"/>
                  </w:tcBorders>
                  <w:vAlign w:val="center"/>
                </w:tcPr>
                <w:p w14:paraId="6B494EA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01653C53">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NH</w:t>
                  </w:r>
                  <w:r>
                    <w:rPr>
                      <w:rFonts w:hint="eastAsia" w:ascii="Times New Roman" w:hAnsi="Times New Roman" w:eastAsia="宋体" w:cs="Times New Roman"/>
                      <w:color w:val="auto"/>
                      <w:sz w:val="21"/>
                      <w:szCs w:val="21"/>
                      <w:vertAlign w:val="subscript"/>
                      <w:lang w:val="en-US" w:eastAsia="zh-CN"/>
                    </w:rPr>
                    <w:t>3</w:t>
                  </w:r>
                  <w:r>
                    <w:rPr>
                      <w:rFonts w:hint="eastAsia" w:ascii="Times New Roman" w:hAnsi="Times New Roman" w:eastAsia="宋体" w:cs="Times New Roman"/>
                      <w:color w:val="auto"/>
                      <w:sz w:val="21"/>
                      <w:szCs w:val="21"/>
                      <w:lang w:val="en-US" w:eastAsia="zh-CN"/>
                    </w:rPr>
                    <w:t>-N</w:t>
                  </w:r>
                </w:p>
              </w:tc>
              <w:tc>
                <w:tcPr>
                  <w:tcW w:w="1652" w:type="pct"/>
                  <w:tcBorders>
                    <w:top w:val="single" w:color="auto" w:sz="4" w:space="0"/>
                    <w:left w:val="single" w:color="auto" w:sz="4" w:space="0"/>
                    <w:bottom w:val="single" w:color="auto" w:sz="4" w:space="0"/>
                    <w:right w:val="single" w:color="auto" w:sz="4" w:space="0"/>
                  </w:tcBorders>
                  <w:vAlign w:val="center"/>
                </w:tcPr>
                <w:p w14:paraId="3F7102F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45</w:t>
                  </w:r>
                </w:p>
              </w:tc>
              <w:tc>
                <w:tcPr>
                  <w:tcW w:w="1654" w:type="pct"/>
                  <w:tcBorders>
                    <w:top w:val="single" w:color="auto" w:sz="4" w:space="0"/>
                    <w:left w:val="single" w:color="auto" w:sz="4" w:space="0"/>
                    <w:bottom w:val="single" w:color="auto" w:sz="4" w:space="0"/>
                    <w:right w:val="single" w:color="auto" w:sz="4" w:space="0"/>
                  </w:tcBorders>
                  <w:vAlign w:val="center"/>
                </w:tcPr>
                <w:p w14:paraId="79597EC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cs="Times New Roman"/>
                      <w:b w:val="0"/>
                      <w:bCs w:val="0"/>
                      <w:color w:val="auto"/>
                      <w:kern w:val="2"/>
                      <w:sz w:val="21"/>
                      <w:szCs w:val="21"/>
                      <w:lang w:val="en-US" w:eastAsia="zh-CN" w:bidi="ar-SA"/>
                    </w:rPr>
                    <w:t>45</w:t>
                  </w:r>
                </w:p>
              </w:tc>
            </w:tr>
            <w:tr w14:paraId="22F4D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7ABDD81E">
                  <w:pPr>
                    <w:pStyle w:val="72"/>
                    <w:keepNext w:val="0"/>
                    <w:keepLines w:val="0"/>
                    <w:suppressLineNumbers w:val="0"/>
                    <w:spacing w:before="0" w:beforeAutospacing="0" w:after="0" w:afterAutospacing="0"/>
                    <w:ind w:left="0" w:right="0"/>
                    <w:rPr>
                      <w:rFonts w:hint="default"/>
                      <w:b w:val="0"/>
                      <w:bCs/>
                      <w:color w:val="auto"/>
                    </w:rPr>
                  </w:pPr>
                </w:p>
              </w:tc>
              <w:tc>
                <w:tcPr>
                  <w:tcW w:w="462" w:type="pct"/>
                  <w:vMerge w:val="continue"/>
                  <w:tcBorders>
                    <w:left w:val="single" w:color="auto" w:sz="4" w:space="0"/>
                    <w:right w:val="single" w:color="auto" w:sz="4" w:space="0"/>
                  </w:tcBorders>
                  <w:vAlign w:val="center"/>
                </w:tcPr>
                <w:p w14:paraId="4AD8937D">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112E9206">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动植物油</w:t>
                  </w:r>
                </w:p>
              </w:tc>
              <w:tc>
                <w:tcPr>
                  <w:tcW w:w="1652" w:type="pct"/>
                  <w:tcBorders>
                    <w:top w:val="single" w:color="auto" w:sz="4" w:space="0"/>
                    <w:left w:val="single" w:color="auto" w:sz="4" w:space="0"/>
                    <w:bottom w:val="single" w:color="auto" w:sz="4" w:space="0"/>
                    <w:right w:val="single" w:color="auto" w:sz="4" w:space="0"/>
                  </w:tcBorders>
                  <w:vAlign w:val="center"/>
                </w:tcPr>
                <w:p w14:paraId="19A11EB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100</w:t>
                  </w:r>
                </w:p>
              </w:tc>
              <w:tc>
                <w:tcPr>
                  <w:tcW w:w="1654" w:type="pct"/>
                  <w:tcBorders>
                    <w:top w:val="single" w:color="auto" w:sz="4" w:space="0"/>
                    <w:left w:val="single" w:color="auto" w:sz="4" w:space="0"/>
                    <w:bottom w:val="single" w:color="auto" w:sz="4" w:space="0"/>
                    <w:right w:val="single" w:color="auto" w:sz="4" w:space="0"/>
                  </w:tcBorders>
                  <w:vAlign w:val="center"/>
                </w:tcPr>
                <w:p w14:paraId="4E2D7FC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100</w:t>
                  </w:r>
                </w:p>
              </w:tc>
            </w:tr>
            <w:tr w14:paraId="3F1C6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73178790">
                  <w:pPr>
                    <w:pStyle w:val="72"/>
                    <w:keepNext w:val="0"/>
                    <w:keepLines w:val="0"/>
                    <w:suppressLineNumbers w:val="0"/>
                    <w:spacing w:before="0" w:beforeAutospacing="0" w:after="0" w:afterAutospacing="0"/>
                    <w:ind w:left="0" w:right="0"/>
                    <w:rPr>
                      <w:rFonts w:hint="default"/>
                      <w:b w:val="0"/>
                      <w:bCs/>
                      <w:color w:val="auto"/>
                    </w:rPr>
                  </w:pPr>
                </w:p>
              </w:tc>
              <w:tc>
                <w:tcPr>
                  <w:tcW w:w="462" w:type="pct"/>
                  <w:vMerge w:val="continue"/>
                  <w:tcBorders>
                    <w:left w:val="single" w:color="auto" w:sz="4" w:space="0"/>
                    <w:right w:val="single" w:color="auto" w:sz="4" w:space="0"/>
                  </w:tcBorders>
                  <w:vAlign w:val="center"/>
                </w:tcPr>
                <w:p w14:paraId="23EF9C7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252AE442">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bidi="ar-SA"/>
                    </w:rPr>
                    <w:t>色度</w:t>
                  </w:r>
                </w:p>
              </w:tc>
              <w:tc>
                <w:tcPr>
                  <w:tcW w:w="1652" w:type="pct"/>
                  <w:tcBorders>
                    <w:top w:val="single" w:color="auto" w:sz="4" w:space="0"/>
                    <w:left w:val="single" w:color="auto" w:sz="4" w:space="0"/>
                    <w:bottom w:val="single" w:color="auto" w:sz="4" w:space="0"/>
                    <w:right w:val="single" w:color="auto" w:sz="4" w:space="0"/>
                  </w:tcBorders>
                  <w:vAlign w:val="center"/>
                </w:tcPr>
                <w:p w14:paraId="23F762FD">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1654" w:type="pct"/>
                  <w:tcBorders>
                    <w:top w:val="single" w:color="auto" w:sz="4" w:space="0"/>
                    <w:left w:val="single" w:color="auto" w:sz="4" w:space="0"/>
                    <w:bottom w:val="single" w:color="auto" w:sz="4" w:space="0"/>
                    <w:right w:val="single" w:color="auto" w:sz="4" w:space="0"/>
                  </w:tcBorders>
                  <w:vAlign w:val="center"/>
                </w:tcPr>
                <w:p w14:paraId="5F70D1A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64</w:t>
                  </w:r>
                </w:p>
              </w:tc>
            </w:tr>
            <w:tr w14:paraId="1342E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4408AC3D">
                  <w:pPr>
                    <w:pStyle w:val="72"/>
                    <w:keepNext w:val="0"/>
                    <w:keepLines w:val="0"/>
                    <w:suppressLineNumbers w:val="0"/>
                    <w:spacing w:before="0" w:beforeAutospacing="0" w:after="0" w:afterAutospacing="0"/>
                    <w:ind w:left="0" w:right="0"/>
                    <w:rPr>
                      <w:rFonts w:hint="default"/>
                      <w:b w:val="0"/>
                      <w:bCs/>
                      <w:color w:val="auto"/>
                    </w:rPr>
                  </w:pPr>
                </w:p>
              </w:tc>
              <w:tc>
                <w:tcPr>
                  <w:tcW w:w="462" w:type="pct"/>
                  <w:vMerge w:val="continue"/>
                  <w:tcBorders>
                    <w:left w:val="single" w:color="auto" w:sz="4" w:space="0"/>
                    <w:right w:val="single" w:color="auto" w:sz="4" w:space="0"/>
                  </w:tcBorders>
                  <w:vAlign w:val="center"/>
                </w:tcPr>
                <w:p w14:paraId="00035C8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6102116E">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bidi="ar-SA"/>
                    </w:rPr>
                    <w:t>总磷</w:t>
                  </w:r>
                </w:p>
              </w:tc>
              <w:tc>
                <w:tcPr>
                  <w:tcW w:w="1652" w:type="pct"/>
                  <w:tcBorders>
                    <w:top w:val="single" w:color="auto" w:sz="4" w:space="0"/>
                    <w:left w:val="single" w:color="auto" w:sz="4" w:space="0"/>
                    <w:bottom w:val="single" w:color="auto" w:sz="4" w:space="0"/>
                    <w:right w:val="single" w:color="auto" w:sz="4" w:space="0"/>
                  </w:tcBorders>
                  <w:vAlign w:val="center"/>
                </w:tcPr>
                <w:p w14:paraId="0CB47DC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1654" w:type="pct"/>
                  <w:tcBorders>
                    <w:top w:val="single" w:color="auto" w:sz="4" w:space="0"/>
                    <w:left w:val="single" w:color="auto" w:sz="4" w:space="0"/>
                    <w:bottom w:val="single" w:color="auto" w:sz="4" w:space="0"/>
                    <w:right w:val="single" w:color="auto" w:sz="4" w:space="0"/>
                  </w:tcBorders>
                  <w:vAlign w:val="center"/>
                </w:tcPr>
                <w:p w14:paraId="3E313443">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8</w:t>
                  </w:r>
                </w:p>
              </w:tc>
            </w:tr>
            <w:tr w14:paraId="33A8C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13" w:type="pct"/>
                  <w:vMerge w:val="continue"/>
                  <w:tcBorders>
                    <w:left w:val="single" w:color="auto" w:sz="4" w:space="0"/>
                    <w:right w:val="single" w:color="auto" w:sz="4" w:space="0"/>
                  </w:tcBorders>
                  <w:vAlign w:val="center"/>
                </w:tcPr>
                <w:p w14:paraId="6D5FDDCD">
                  <w:pPr>
                    <w:pStyle w:val="72"/>
                    <w:keepNext w:val="0"/>
                    <w:keepLines w:val="0"/>
                    <w:suppressLineNumbers w:val="0"/>
                    <w:spacing w:before="0" w:beforeAutospacing="0" w:after="0" w:afterAutospacing="0"/>
                    <w:ind w:left="0" w:right="0"/>
                    <w:rPr>
                      <w:rFonts w:hint="default"/>
                      <w:b w:val="0"/>
                      <w:bCs/>
                      <w:color w:val="auto"/>
                    </w:rPr>
                  </w:pPr>
                </w:p>
              </w:tc>
              <w:tc>
                <w:tcPr>
                  <w:tcW w:w="462" w:type="pct"/>
                  <w:vMerge w:val="continue"/>
                  <w:tcBorders>
                    <w:left w:val="single" w:color="auto" w:sz="4" w:space="0"/>
                    <w:bottom w:val="single" w:color="auto" w:sz="4" w:space="0"/>
                    <w:right w:val="single" w:color="auto" w:sz="4" w:space="0"/>
                  </w:tcBorders>
                  <w:vAlign w:val="center"/>
                </w:tcPr>
                <w:p w14:paraId="77C0B453">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18" w:type="pct"/>
                  <w:tcBorders>
                    <w:top w:val="single" w:color="auto" w:sz="4" w:space="0"/>
                    <w:left w:val="single" w:color="auto" w:sz="4" w:space="0"/>
                    <w:bottom w:val="single" w:color="auto" w:sz="4" w:space="0"/>
                    <w:right w:val="single" w:color="auto" w:sz="4" w:space="0"/>
                  </w:tcBorders>
                  <w:vAlign w:val="center"/>
                </w:tcPr>
                <w:p w14:paraId="696B0AE2">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bidi="ar-SA"/>
                    </w:rPr>
                    <w:t>总氮</w:t>
                  </w:r>
                </w:p>
              </w:tc>
              <w:tc>
                <w:tcPr>
                  <w:tcW w:w="1652" w:type="pct"/>
                  <w:tcBorders>
                    <w:top w:val="single" w:color="auto" w:sz="4" w:space="0"/>
                    <w:left w:val="single" w:color="auto" w:sz="4" w:space="0"/>
                    <w:bottom w:val="single" w:color="auto" w:sz="4" w:space="0"/>
                    <w:right w:val="single" w:color="auto" w:sz="4" w:space="0"/>
                  </w:tcBorders>
                  <w:vAlign w:val="center"/>
                </w:tcPr>
                <w:p w14:paraId="1050829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1654" w:type="pct"/>
                  <w:tcBorders>
                    <w:top w:val="single" w:color="auto" w:sz="4" w:space="0"/>
                    <w:left w:val="single" w:color="auto" w:sz="4" w:space="0"/>
                    <w:bottom w:val="single" w:color="auto" w:sz="4" w:space="0"/>
                    <w:right w:val="single" w:color="auto" w:sz="4" w:space="0"/>
                  </w:tcBorders>
                  <w:vAlign w:val="center"/>
                </w:tcPr>
                <w:p w14:paraId="6A91754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s="Times New Roman"/>
                      <w:b w:val="0"/>
                      <w:bCs/>
                      <w:color w:val="auto"/>
                      <w:kern w:val="2"/>
                      <w:sz w:val="21"/>
                      <w:szCs w:val="21"/>
                      <w:lang w:val="en-US" w:eastAsia="zh-CN" w:bidi="ar-SA"/>
                    </w:rPr>
                  </w:pPr>
                  <w:r>
                    <w:rPr>
                      <w:rFonts w:hint="eastAsia" w:cs="Times New Roman"/>
                      <w:b w:val="0"/>
                      <w:bCs/>
                      <w:color w:val="auto"/>
                      <w:kern w:val="2"/>
                      <w:sz w:val="21"/>
                      <w:szCs w:val="21"/>
                      <w:lang w:val="en-US" w:eastAsia="zh-CN" w:bidi="ar-SA"/>
                    </w:rPr>
                    <w:t>70</w:t>
                  </w:r>
                </w:p>
              </w:tc>
            </w:tr>
            <w:tr w14:paraId="70C4A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jc w:val="center"/>
              </w:trPr>
              <w:tc>
                <w:tcPr>
                  <w:tcW w:w="513" w:type="pct"/>
                  <w:vMerge w:val="restart"/>
                  <w:tcBorders>
                    <w:top w:val="single" w:color="auto" w:sz="4" w:space="0"/>
                    <w:left w:val="single" w:color="auto" w:sz="4" w:space="0"/>
                    <w:bottom w:val="single" w:color="auto" w:sz="4" w:space="0"/>
                    <w:right w:val="single" w:color="auto" w:sz="4" w:space="0"/>
                  </w:tcBorders>
                  <w:vAlign w:val="center"/>
                </w:tcPr>
                <w:p w14:paraId="7D65D7C4">
                  <w:pPr>
                    <w:pStyle w:val="72"/>
                    <w:keepNext w:val="0"/>
                    <w:keepLines w:val="0"/>
                    <w:suppressLineNumbers w:val="0"/>
                    <w:spacing w:before="0" w:beforeAutospacing="0" w:after="0" w:afterAutospacing="0"/>
                    <w:ind w:left="0" w:right="0"/>
                    <w:rPr>
                      <w:rFonts w:hint="default"/>
                      <w:b w:val="0"/>
                      <w:bCs/>
                      <w:color w:val="auto"/>
                    </w:rPr>
                  </w:pPr>
                  <w:r>
                    <w:rPr>
                      <w:rFonts w:hint="eastAsia"/>
                      <w:b w:val="0"/>
                      <w:bCs/>
                      <w:color w:val="auto"/>
                    </w:rPr>
                    <w:t>厂界噪声</w:t>
                  </w:r>
                </w:p>
              </w:tc>
              <w:tc>
                <w:tcPr>
                  <w:tcW w:w="1180" w:type="pct"/>
                  <w:gridSpan w:val="2"/>
                  <w:tcBorders>
                    <w:top w:val="single" w:color="auto" w:sz="4" w:space="0"/>
                    <w:left w:val="single" w:color="auto" w:sz="4" w:space="0"/>
                    <w:bottom w:val="single" w:color="auto" w:sz="4" w:space="0"/>
                    <w:right w:val="single" w:color="auto" w:sz="4" w:space="0"/>
                  </w:tcBorders>
                  <w:vAlign w:val="center"/>
                </w:tcPr>
                <w:p w14:paraId="1FB1A81D">
                  <w:pPr>
                    <w:pStyle w:val="72"/>
                    <w:keepNext w:val="0"/>
                    <w:keepLines w:val="0"/>
                    <w:suppressLineNumbers w:val="0"/>
                    <w:spacing w:before="0" w:beforeAutospacing="0" w:after="0" w:afterAutospacing="0"/>
                    <w:ind w:left="0" w:right="0"/>
                    <w:rPr>
                      <w:rFonts w:hint="eastAsia" w:eastAsia="宋体"/>
                      <w:b w:val="0"/>
                      <w:bCs/>
                      <w:color w:val="auto"/>
                      <w:lang w:eastAsia="zh-CN"/>
                    </w:rPr>
                  </w:pPr>
                  <w:r>
                    <w:rPr>
                      <w:rFonts w:hint="eastAsia"/>
                      <w:b w:val="0"/>
                      <w:bCs/>
                      <w:color w:val="auto"/>
                      <w:lang w:val="en-US" w:eastAsia="zh-CN"/>
                    </w:rPr>
                    <w:t>/</w:t>
                  </w:r>
                </w:p>
              </w:tc>
              <w:tc>
                <w:tcPr>
                  <w:tcW w:w="1652" w:type="pct"/>
                  <w:tcBorders>
                    <w:top w:val="single" w:color="auto" w:sz="4" w:space="0"/>
                    <w:left w:val="single" w:color="auto" w:sz="4" w:space="0"/>
                    <w:bottom w:val="single" w:color="auto" w:sz="4" w:space="0"/>
                    <w:right w:val="single" w:color="auto" w:sz="4" w:space="0"/>
                  </w:tcBorders>
                  <w:vAlign w:val="center"/>
                </w:tcPr>
                <w:p w14:paraId="732F9975">
                  <w:pPr>
                    <w:pStyle w:val="72"/>
                    <w:keepNext w:val="0"/>
                    <w:keepLines w:val="0"/>
                    <w:suppressLineNumbers w:val="0"/>
                    <w:spacing w:before="0" w:beforeAutospacing="0" w:after="0" w:afterAutospacing="0"/>
                    <w:ind w:left="0" w:right="0"/>
                    <w:rPr>
                      <w:rFonts w:hint="default"/>
                      <w:b w:val="0"/>
                      <w:bCs/>
                      <w:color w:val="auto"/>
                    </w:rPr>
                  </w:pPr>
                  <w:r>
                    <w:rPr>
                      <w:rFonts w:hint="eastAsia"/>
                      <w:b w:val="0"/>
                      <w:bCs/>
                      <w:color w:val="auto"/>
                    </w:rPr>
                    <w:t>《工业企业厂界环境噪声排放标准》</w:t>
                  </w:r>
                  <w:r>
                    <w:rPr>
                      <w:rFonts w:hint="default"/>
                      <w:b w:val="0"/>
                      <w:bCs/>
                      <w:color w:val="auto"/>
                    </w:rPr>
                    <w:t>GB12348-2008)</w:t>
                  </w:r>
                  <w:r>
                    <w:rPr>
                      <w:rFonts w:hint="eastAsia"/>
                      <w:b w:val="0"/>
                      <w:bCs/>
                      <w:color w:val="auto"/>
                      <w:lang w:val="en-US" w:eastAsia="zh-CN"/>
                    </w:rPr>
                    <w:t>3</w:t>
                  </w:r>
                  <w:r>
                    <w:rPr>
                      <w:rFonts w:hint="eastAsia"/>
                      <w:b w:val="0"/>
                      <w:bCs/>
                      <w:color w:val="auto"/>
                    </w:rPr>
                    <w:t>类</w:t>
                  </w:r>
                </w:p>
              </w:tc>
              <w:tc>
                <w:tcPr>
                  <w:tcW w:w="1654" w:type="pct"/>
                  <w:tcBorders>
                    <w:top w:val="single" w:color="auto" w:sz="4" w:space="0"/>
                    <w:left w:val="single" w:color="auto" w:sz="4" w:space="0"/>
                    <w:bottom w:val="single" w:color="auto" w:sz="4" w:space="0"/>
                    <w:right w:val="single" w:color="auto" w:sz="4" w:space="0"/>
                  </w:tcBorders>
                  <w:vAlign w:val="center"/>
                </w:tcPr>
                <w:p w14:paraId="089AAA33">
                  <w:pPr>
                    <w:pStyle w:val="72"/>
                    <w:keepNext w:val="0"/>
                    <w:keepLines w:val="0"/>
                    <w:suppressLineNumbers w:val="0"/>
                    <w:spacing w:before="0" w:beforeAutospacing="0" w:after="0" w:afterAutospacing="0"/>
                    <w:ind w:left="0" w:right="0"/>
                    <w:rPr>
                      <w:rFonts w:hint="default"/>
                      <w:b w:val="0"/>
                      <w:bCs/>
                      <w:color w:val="auto"/>
                    </w:rPr>
                  </w:pPr>
                  <w:r>
                    <w:rPr>
                      <w:rFonts w:hint="eastAsia"/>
                      <w:b w:val="0"/>
                      <w:bCs/>
                      <w:color w:val="auto"/>
                    </w:rPr>
                    <w:t>《工业企业厂界环境噪声排放标准》</w:t>
                  </w:r>
                  <w:r>
                    <w:rPr>
                      <w:rFonts w:hint="default"/>
                      <w:b w:val="0"/>
                      <w:bCs/>
                      <w:color w:val="auto"/>
                    </w:rPr>
                    <w:t>GB12348-2008)</w:t>
                  </w:r>
                  <w:r>
                    <w:rPr>
                      <w:rFonts w:hint="eastAsia"/>
                      <w:b w:val="0"/>
                      <w:bCs/>
                      <w:color w:val="auto"/>
                      <w:lang w:val="en-US" w:eastAsia="zh-CN"/>
                    </w:rPr>
                    <w:t>3</w:t>
                  </w:r>
                  <w:r>
                    <w:rPr>
                      <w:rFonts w:hint="eastAsia"/>
                      <w:b w:val="0"/>
                      <w:bCs/>
                      <w:color w:val="auto"/>
                    </w:rPr>
                    <w:t>类</w:t>
                  </w:r>
                </w:p>
              </w:tc>
            </w:tr>
            <w:tr w14:paraId="78D3B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513" w:type="pct"/>
                  <w:vMerge w:val="continue"/>
                  <w:tcBorders>
                    <w:top w:val="single" w:color="auto" w:sz="4" w:space="0"/>
                    <w:left w:val="single" w:color="auto" w:sz="4" w:space="0"/>
                    <w:bottom w:val="single" w:color="auto" w:sz="4" w:space="0"/>
                    <w:right w:val="single" w:color="auto" w:sz="4" w:space="0"/>
                  </w:tcBorders>
                  <w:vAlign w:val="center"/>
                </w:tcPr>
                <w:p w14:paraId="2AEAB408">
                  <w:pPr>
                    <w:pStyle w:val="72"/>
                    <w:keepNext w:val="0"/>
                    <w:keepLines w:val="0"/>
                    <w:suppressLineNumbers w:val="0"/>
                    <w:spacing w:before="0" w:beforeAutospacing="0" w:after="0" w:afterAutospacing="0"/>
                    <w:ind w:left="0" w:right="0"/>
                    <w:rPr>
                      <w:rFonts w:hint="default"/>
                      <w:b w:val="0"/>
                      <w:bCs/>
                      <w:color w:val="auto"/>
                    </w:rPr>
                  </w:pPr>
                </w:p>
              </w:tc>
              <w:tc>
                <w:tcPr>
                  <w:tcW w:w="1180" w:type="pct"/>
                  <w:gridSpan w:val="2"/>
                  <w:tcBorders>
                    <w:top w:val="single" w:color="auto" w:sz="4" w:space="0"/>
                    <w:left w:val="single" w:color="auto" w:sz="4" w:space="0"/>
                    <w:bottom w:val="single" w:color="auto" w:sz="4" w:space="0"/>
                    <w:right w:val="single" w:color="auto" w:sz="4" w:space="0"/>
                  </w:tcBorders>
                  <w:vAlign w:val="center"/>
                </w:tcPr>
                <w:p w14:paraId="7466DAEF">
                  <w:pPr>
                    <w:pStyle w:val="72"/>
                    <w:keepNext w:val="0"/>
                    <w:keepLines w:val="0"/>
                    <w:suppressLineNumbers w:val="0"/>
                    <w:spacing w:before="0" w:beforeAutospacing="0" w:after="0" w:afterAutospacing="0"/>
                    <w:ind w:left="0" w:right="0"/>
                    <w:rPr>
                      <w:rFonts w:hint="default"/>
                      <w:b w:val="0"/>
                      <w:bCs/>
                      <w:color w:val="auto"/>
                    </w:rPr>
                  </w:pPr>
                  <w:r>
                    <w:rPr>
                      <w:rFonts w:hint="eastAsia"/>
                      <w:b w:val="0"/>
                      <w:bCs/>
                      <w:color w:val="auto"/>
                    </w:rPr>
                    <w:t>昼间</w:t>
                  </w:r>
                </w:p>
              </w:tc>
              <w:tc>
                <w:tcPr>
                  <w:tcW w:w="1652" w:type="pct"/>
                  <w:tcBorders>
                    <w:top w:val="single" w:color="auto" w:sz="4" w:space="0"/>
                    <w:left w:val="single" w:color="auto" w:sz="4" w:space="0"/>
                    <w:bottom w:val="single" w:color="auto" w:sz="4" w:space="0"/>
                    <w:right w:val="single" w:color="auto" w:sz="4" w:space="0"/>
                  </w:tcBorders>
                  <w:vAlign w:val="center"/>
                </w:tcPr>
                <w:p w14:paraId="788CC589">
                  <w:pPr>
                    <w:pStyle w:val="72"/>
                    <w:keepNext w:val="0"/>
                    <w:keepLines w:val="0"/>
                    <w:suppressLineNumbers w:val="0"/>
                    <w:spacing w:before="0" w:beforeAutospacing="0" w:after="0" w:afterAutospacing="0"/>
                    <w:ind w:left="0" w:right="0"/>
                    <w:rPr>
                      <w:rFonts w:hint="default"/>
                      <w:b w:val="0"/>
                      <w:bCs/>
                      <w:color w:val="auto"/>
                    </w:rPr>
                  </w:pPr>
                  <w:r>
                    <w:rPr>
                      <w:rFonts w:hint="eastAsia"/>
                      <w:b w:val="0"/>
                      <w:bCs/>
                      <w:color w:val="auto"/>
                      <w:lang w:val="en-US" w:eastAsia="zh-CN"/>
                    </w:rPr>
                    <w:t>65</w:t>
                  </w:r>
                  <w:r>
                    <w:rPr>
                      <w:rFonts w:hint="default"/>
                      <w:b w:val="0"/>
                      <w:bCs/>
                      <w:color w:val="auto"/>
                    </w:rPr>
                    <w:t>dB(A)</w:t>
                  </w:r>
                </w:p>
              </w:tc>
              <w:tc>
                <w:tcPr>
                  <w:tcW w:w="1654" w:type="pct"/>
                  <w:tcBorders>
                    <w:top w:val="single" w:color="auto" w:sz="4" w:space="0"/>
                    <w:left w:val="single" w:color="auto" w:sz="4" w:space="0"/>
                    <w:bottom w:val="single" w:color="auto" w:sz="4" w:space="0"/>
                    <w:right w:val="single" w:color="auto" w:sz="4" w:space="0"/>
                  </w:tcBorders>
                  <w:vAlign w:val="center"/>
                </w:tcPr>
                <w:p w14:paraId="61693A52">
                  <w:pPr>
                    <w:pStyle w:val="72"/>
                    <w:keepNext w:val="0"/>
                    <w:keepLines w:val="0"/>
                    <w:suppressLineNumbers w:val="0"/>
                    <w:spacing w:before="0" w:beforeAutospacing="0" w:after="0" w:afterAutospacing="0"/>
                    <w:ind w:left="0" w:leftChars="0" w:right="0" w:rightChars="0" w:firstLine="0" w:firstLineChars="0"/>
                    <w:rPr>
                      <w:rFonts w:hint="default"/>
                      <w:b w:val="0"/>
                      <w:bCs/>
                      <w:color w:val="auto"/>
                    </w:rPr>
                  </w:pPr>
                  <w:r>
                    <w:rPr>
                      <w:rFonts w:hint="eastAsia"/>
                      <w:b w:val="0"/>
                      <w:bCs/>
                      <w:color w:val="auto"/>
                      <w:lang w:val="en-US" w:eastAsia="zh-CN"/>
                    </w:rPr>
                    <w:t>65</w:t>
                  </w:r>
                  <w:r>
                    <w:rPr>
                      <w:rFonts w:hint="default"/>
                      <w:b w:val="0"/>
                      <w:bCs/>
                      <w:color w:val="auto"/>
                    </w:rPr>
                    <w:t>dB(A)</w:t>
                  </w:r>
                </w:p>
              </w:tc>
            </w:tr>
          </w:tbl>
          <w:p w14:paraId="05C82DC2">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3</w:t>
            </w:r>
            <w:r>
              <w:rPr>
                <w:rFonts w:hint="eastAsia"/>
                <w:color w:val="auto"/>
                <w:sz w:val="24"/>
                <w:szCs w:val="24"/>
              </w:rPr>
              <w:t>、总量控制指标</w:t>
            </w:r>
          </w:p>
          <w:p w14:paraId="0C03CA0A">
            <w:pPr>
              <w:keepNext w:val="0"/>
              <w:keepLines w:val="0"/>
              <w:widowControl/>
              <w:suppressLineNumbers w:val="0"/>
              <w:spacing w:before="0" w:beforeAutospacing="0" w:after="0" w:afterAutospacing="0"/>
              <w:ind w:left="0" w:right="0" w:firstLine="480"/>
              <w:rPr>
                <w:rFonts w:hint="default"/>
                <w:bCs/>
                <w:color w:val="auto"/>
              </w:rPr>
            </w:pPr>
            <w:r>
              <w:rPr>
                <w:rFonts w:hint="eastAsia"/>
                <w:bCs/>
                <w:color w:val="auto"/>
              </w:rPr>
              <w:t>（</w:t>
            </w:r>
            <w:r>
              <w:rPr>
                <w:rFonts w:hint="default"/>
                <w:bCs/>
                <w:color w:val="auto"/>
              </w:rPr>
              <w:t>1</w:t>
            </w:r>
            <w:r>
              <w:rPr>
                <w:rFonts w:hint="eastAsia"/>
                <w:bCs/>
                <w:color w:val="auto"/>
              </w:rPr>
              <w:t>）环评</w:t>
            </w:r>
            <w:r>
              <w:rPr>
                <w:rFonts w:hint="eastAsia"/>
                <w:bCs/>
                <w:color w:val="auto"/>
                <w:lang w:val="en-US" w:eastAsia="zh-CN"/>
              </w:rPr>
              <w:t>及批复</w:t>
            </w:r>
            <w:r>
              <w:rPr>
                <w:rFonts w:hint="eastAsia"/>
                <w:bCs/>
                <w:color w:val="auto"/>
              </w:rPr>
              <w:t>要求</w:t>
            </w:r>
          </w:p>
          <w:p w14:paraId="73FADDBF">
            <w:pPr>
              <w:keepNext w:val="0"/>
              <w:keepLines w:val="0"/>
              <w:widowControl w:val="0"/>
              <w:suppressLineNumbers w:val="0"/>
              <w:autoSpaceDE w:val="0"/>
              <w:autoSpaceDN w:val="0"/>
              <w:spacing w:before="0" w:beforeAutospacing="0" w:after="0" w:afterAutospacing="0"/>
              <w:ind w:left="0" w:right="0" w:firstLine="480"/>
              <w:rPr>
                <w:rFonts w:hint="default"/>
                <w:color w:val="auto"/>
              </w:rPr>
            </w:pPr>
            <w:r>
              <w:rPr>
                <w:rFonts w:hint="eastAsia"/>
                <w:color w:val="auto"/>
              </w:rPr>
              <w:t>根据</w:t>
            </w:r>
            <w:r>
              <w:rPr>
                <w:rFonts w:hint="eastAsia"/>
                <w:color w:val="auto"/>
                <w:lang w:val="en-US" w:eastAsia="zh-CN"/>
              </w:rPr>
              <w:t>项目</w:t>
            </w:r>
            <w:r>
              <w:rPr>
                <w:rFonts w:hint="eastAsia"/>
                <w:color w:val="auto"/>
              </w:rPr>
              <w:t>环评</w:t>
            </w:r>
            <w:r>
              <w:rPr>
                <w:rFonts w:hint="eastAsia"/>
                <w:color w:val="auto"/>
                <w:lang w:val="en-US" w:eastAsia="zh-CN"/>
              </w:rPr>
              <w:t>及</w:t>
            </w:r>
            <w:r>
              <w:rPr>
                <w:rFonts w:hint="eastAsia"/>
                <w:color w:val="auto"/>
              </w:rPr>
              <w:t>批复</w:t>
            </w:r>
            <w:r>
              <w:rPr>
                <w:rFonts w:hint="eastAsia"/>
                <w:color w:val="auto"/>
                <w:lang w:eastAsia="zh-CN"/>
              </w:rPr>
              <w:t>可</w:t>
            </w:r>
            <w:r>
              <w:rPr>
                <w:rFonts w:hint="eastAsia"/>
                <w:color w:val="auto"/>
                <w:lang w:val="en-US" w:eastAsia="zh-CN"/>
              </w:rPr>
              <w:t>知</w:t>
            </w:r>
            <w:r>
              <w:rPr>
                <w:rFonts w:hint="eastAsia"/>
                <w:color w:val="auto"/>
              </w:rPr>
              <w:t>，</w:t>
            </w:r>
            <w:r>
              <w:rPr>
                <w:rFonts w:hint="eastAsia"/>
                <w:color w:val="auto"/>
                <w:lang w:eastAsia="zh-CN"/>
              </w:rPr>
              <w:t>本项目扩建部分</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：0.0072t/a，NOx：0.637t/a、粉尘0.064t/a；废水</w:t>
            </w:r>
            <w:r>
              <w:rPr>
                <w:rFonts w:hint="eastAsia"/>
                <w:color w:val="auto"/>
              </w:rPr>
              <w:t>总量控制指标为</w:t>
            </w:r>
            <w:r>
              <w:rPr>
                <w:rFonts w:hint="eastAsia"/>
                <w:color w:val="auto"/>
                <w:lang w:val="en-US" w:eastAsia="zh-CN"/>
              </w:rPr>
              <w:t>：COD：0.13t/a，氨氮：0.013t/a。建厂后全厂</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：0.0092t/a，NOx：0.813t/a、粉尘0.064t/a；废水</w:t>
            </w:r>
            <w:r>
              <w:rPr>
                <w:rFonts w:hint="eastAsia"/>
                <w:color w:val="auto"/>
              </w:rPr>
              <w:t>总量控制指标为</w:t>
            </w:r>
            <w:r>
              <w:rPr>
                <w:rFonts w:hint="eastAsia"/>
                <w:color w:val="auto"/>
                <w:lang w:val="en-US" w:eastAsia="zh-CN"/>
              </w:rPr>
              <w:t>：COD：0.23t/a，氨氮：0.023t/a。</w:t>
            </w:r>
          </w:p>
          <w:p w14:paraId="4A38F2CC">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2</w:t>
            </w:r>
            <w:r>
              <w:rPr>
                <w:rFonts w:hint="eastAsia" w:hAnsi="宋体"/>
                <w:color w:val="auto"/>
                <w:szCs w:val="24"/>
              </w:rPr>
              <w:t>）排污许可登记</w:t>
            </w:r>
          </w:p>
          <w:p w14:paraId="49334921">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lang w:val="en-US" w:eastAsia="zh-CN"/>
              </w:rPr>
              <w:t>四川金顶维食品有限公司</w:t>
            </w:r>
            <w:r>
              <w:rPr>
                <w:rFonts w:hint="eastAsia" w:hAnsi="宋体"/>
                <w:color w:val="auto"/>
                <w:szCs w:val="24"/>
              </w:rPr>
              <w:t>已填报</w:t>
            </w:r>
            <w:r>
              <w:rPr>
                <w:rFonts w:hint="eastAsia" w:hAnsi="宋体"/>
                <w:color w:val="auto"/>
                <w:szCs w:val="24"/>
                <w:lang w:eastAsia="zh-CN"/>
              </w:rPr>
              <w:t>，</w:t>
            </w:r>
            <w:r>
              <w:rPr>
                <w:rFonts w:hint="eastAsia" w:hAnsi="宋体"/>
                <w:color w:val="auto"/>
                <w:szCs w:val="24"/>
                <w:lang w:val="en-US" w:eastAsia="zh-CN"/>
              </w:rPr>
              <w:t>并取得固定污染源排污许可证（许可证编号：91511402098552144K001Q）。</w:t>
            </w:r>
          </w:p>
          <w:p w14:paraId="68584D68">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3</w:t>
            </w:r>
            <w:r>
              <w:rPr>
                <w:rFonts w:hint="eastAsia" w:hAnsi="宋体"/>
                <w:color w:val="auto"/>
                <w:szCs w:val="24"/>
              </w:rPr>
              <w:t>）验收核查</w:t>
            </w:r>
          </w:p>
          <w:p w14:paraId="7CE7BD97">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①废水</w:t>
            </w:r>
          </w:p>
          <w:p w14:paraId="258B570B">
            <w:pPr>
              <w:keepNext w:val="0"/>
              <w:keepLines w:val="0"/>
              <w:widowControl w:val="0"/>
              <w:suppressLineNumbers w:val="0"/>
              <w:adjustRightInd/>
              <w:snapToGrid/>
              <w:spacing w:before="0" w:beforeAutospacing="0" w:after="0" w:afterAutospacing="0"/>
              <w:ind w:left="0" w:right="0" w:firstLine="480"/>
              <w:jc w:val="left"/>
              <w:rPr>
                <w:rFonts w:hint="default"/>
                <w:color w:val="auto"/>
                <w:kern w:val="0"/>
                <w:sz w:val="24"/>
              </w:rPr>
            </w:pPr>
            <w:r>
              <w:rPr>
                <w:rFonts w:hint="eastAsia" w:hAnsi="宋体"/>
                <w:color w:val="auto"/>
                <w:szCs w:val="24"/>
                <w:lang w:val="en-US" w:eastAsia="zh-CN"/>
              </w:rPr>
              <w:t>厂区综合污水经厂区自建污水处理站处理达</w:t>
            </w:r>
            <w:r>
              <w:rPr>
                <w:rFonts w:hint="default"/>
                <w:color w:val="auto"/>
                <w:kern w:val="0"/>
                <w:sz w:val="24"/>
              </w:rPr>
              <w:t>《污水综合排放标准》GB8978-1996中三级标准</w:t>
            </w:r>
            <w:r>
              <w:rPr>
                <w:rFonts w:hint="eastAsia"/>
                <w:color w:val="auto"/>
                <w:kern w:val="0"/>
                <w:sz w:val="24"/>
              </w:rPr>
              <w:t>，氨氮参照《污水排入城镇下水道水质标准》（GB/T31962-2015）表1中B等级标准</w:t>
            </w:r>
            <w:r>
              <w:rPr>
                <w:rFonts w:hint="eastAsia"/>
                <w:color w:val="auto"/>
                <w:kern w:val="0"/>
                <w:sz w:val="24"/>
                <w:lang w:eastAsia="zh-CN"/>
              </w:rPr>
              <w:t>后排入泡菜园区污水处理厂</w:t>
            </w:r>
            <w:r>
              <w:rPr>
                <w:rFonts w:hint="default"/>
                <w:color w:val="auto"/>
                <w:kern w:val="0"/>
                <w:sz w:val="24"/>
              </w:rPr>
              <w:t>。</w:t>
            </w:r>
          </w:p>
          <w:p w14:paraId="245F3E0A">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②废气</w:t>
            </w:r>
          </w:p>
          <w:p w14:paraId="1D15FD49">
            <w:pPr>
              <w:keepNext w:val="0"/>
              <w:keepLines w:val="0"/>
              <w:widowControl w:val="0"/>
              <w:suppressLineNumbers w:val="0"/>
              <w:adjustRightInd/>
              <w:snapToGrid/>
              <w:spacing w:before="0" w:beforeAutospacing="0" w:after="0" w:afterAutospacing="0"/>
              <w:ind w:left="0" w:right="0" w:firstLine="480"/>
              <w:jc w:val="left"/>
              <w:rPr>
                <w:rFonts w:hint="default" w:hAnsi="宋体" w:eastAsia="宋体"/>
                <w:color w:val="auto"/>
                <w:szCs w:val="24"/>
                <w:lang w:val="en-US" w:eastAsia="zh-CN"/>
              </w:rPr>
            </w:pPr>
            <w:r>
              <w:rPr>
                <w:rFonts w:hint="eastAsia" w:hAnsi="宋体"/>
                <w:color w:val="auto"/>
                <w:szCs w:val="24"/>
              </w:rPr>
              <w:t>本项目</w:t>
            </w:r>
            <w:r>
              <w:rPr>
                <w:rFonts w:hint="eastAsia" w:hAnsi="宋体"/>
                <w:color w:val="auto"/>
                <w:szCs w:val="24"/>
                <w:lang w:val="en-US" w:eastAsia="zh-CN"/>
              </w:rPr>
              <w:t>1#生产厂房的油烟、异味经集气罩收集至水喷淋装置+油烟净化器处理后经15m排气筒（DA001）排放；2#生产厂房的油烟、异味经集气罩收集至水喷淋装置+油烟净化器处理后经15m排气筒(DA002排放；1#研发实验室产生的油烟经油烟净化器处理后经15m排气筒（DA003）排放；2#研发实验室产生的油烟经油烟净化器处理后经15m排气筒（DA004）排放；食堂油烟经集气罩收集至油烟净化器处理后引至屋顶排放（DA005）。</w:t>
            </w:r>
          </w:p>
          <w:p w14:paraId="140C4086">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ascii="Times New Roman" w:hAnsi="Times New Roman"/>
                <w:color w:val="auto"/>
                <w:sz w:val="24"/>
                <w:szCs w:val="24"/>
              </w:rPr>
              <w:t>，项目</w:t>
            </w:r>
            <w:r>
              <w:rPr>
                <w:rFonts w:hint="eastAsia"/>
                <w:color w:val="auto"/>
                <w:sz w:val="24"/>
                <w:szCs w:val="24"/>
                <w:lang w:eastAsia="zh-CN"/>
              </w:rPr>
              <w:t>废水及</w:t>
            </w:r>
            <w:r>
              <w:rPr>
                <w:rFonts w:hint="eastAsia" w:ascii="Times New Roman" w:hAnsi="Times New Roman"/>
                <w:color w:val="auto"/>
                <w:sz w:val="24"/>
                <w:szCs w:val="24"/>
              </w:rPr>
              <w:t>有组织废气核算结果如下：</w:t>
            </w:r>
          </w:p>
          <w:p w14:paraId="07A6086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color w:val="auto"/>
                <w:sz w:val="24"/>
                <w:szCs w:val="24"/>
                <w:lang w:eastAsia="zh-CN"/>
              </w:rPr>
            </w:pPr>
            <w:r>
              <w:rPr>
                <w:rFonts w:hint="eastAsia"/>
                <w:color w:val="auto"/>
                <w:sz w:val="24"/>
                <w:szCs w:val="24"/>
                <w:lang w:eastAsia="zh-CN"/>
              </w:rPr>
              <w:t>废水：</w:t>
            </w:r>
          </w:p>
          <w:p w14:paraId="78AE2951">
            <w:pPr>
              <w:pStyle w:val="33"/>
              <w:keepNext w:val="0"/>
              <w:keepLines w:val="0"/>
              <w:suppressLineNumbers w:val="0"/>
              <w:spacing w:before="0" w:beforeAutospacing="0" w:after="0" w:afterAutospacing="0"/>
              <w:ind w:left="0" w:right="0"/>
              <w:rPr>
                <w:rFonts w:hint="eastAsia"/>
                <w:color w:val="auto"/>
                <w:lang w:eastAsia="zh-CN"/>
              </w:rPr>
            </w:pPr>
            <w:r>
              <w:rPr>
                <w:rFonts w:hint="eastAsia"/>
                <w:color w:val="auto"/>
                <w:lang w:eastAsia="zh-CN"/>
              </w:rPr>
              <w:t>企业排口：</w:t>
            </w:r>
          </w:p>
          <w:p w14:paraId="0CE563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67</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0.169</w:t>
            </w:r>
            <w:r>
              <w:rPr>
                <w:rFonts w:hint="eastAsia" w:ascii="Times New Roman" w:hAnsi="Times New Roman" w:eastAsia="宋体" w:cs="Times New Roman"/>
                <w:color w:val="auto"/>
                <w:kern w:val="0"/>
                <w:sz w:val="24"/>
                <w:szCs w:val="24"/>
                <w:lang w:val="en-US" w:eastAsia="zh-CN"/>
              </w:rPr>
              <w:t>t/a；</w:t>
            </w:r>
          </w:p>
          <w:p w14:paraId="46161B04">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2.65</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0.007</w:t>
            </w:r>
            <w:r>
              <w:rPr>
                <w:rFonts w:hint="eastAsia" w:ascii="Times New Roman" w:hAnsi="Times New Roman" w:eastAsia="宋体" w:cs="Times New Roman"/>
                <w:color w:val="auto"/>
                <w:kern w:val="0"/>
                <w:sz w:val="24"/>
                <w:szCs w:val="24"/>
                <w:lang w:val="en-US" w:eastAsia="zh-CN"/>
              </w:rPr>
              <w:t>t/a。</w:t>
            </w:r>
          </w:p>
          <w:p w14:paraId="103347FE">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cs="Times New Roman"/>
                <w:color w:val="auto"/>
                <w:sz w:val="24"/>
                <w:szCs w:val="24"/>
                <w:lang w:val="en-US" w:eastAsia="zh-CN" w:bidi="ar-SA"/>
              </w:rPr>
            </w:pPr>
            <w:r>
              <w:rPr>
                <w:rFonts w:hint="eastAsia" w:ascii="Times New Roman" w:hAnsi="Times New Roman" w:cs="Times New Roman"/>
                <w:color w:val="auto"/>
                <w:sz w:val="24"/>
                <w:szCs w:val="24"/>
                <w:lang w:val="en-US" w:eastAsia="zh-CN" w:bidi="ar-SA"/>
              </w:rPr>
              <w:t>园区污水处理站排口：</w:t>
            </w:r>
          </w:p>
          <w:p w14:paraId="6ACE081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/a×40mg/L=</w:t>
            </w:r>
            <w:r>
              <w:rPr>
                <w:rFonts w:hint="eastAsia" w:cs="Times New Roman"/>
                <w:color w:val="auto"/>
                <w:kern w:val="0"/>
                <w:sz w:val="24"/>
                <w:szCs w:val="24"/>
                <w:lang w:val="en-US" w:eastAsia="zh-CN"/>
              </w:rPr>
              <w:t>0.101</w:t>
            </w:r>
            <w:r>
              <w:rPr>
                <w:rFonts w:hint="eastAsia" w:ascii="Times New Roman" w:hAnsi="Times New Roman" w:eastAsia="宋体" w:cs="Times New Roman"/>
                <w:color w:val="auto"/>
                <w:kern w:val="0"/>
                <w:sz w:val="24"/>
                <w:szCs w:val="24"/>
                <w:lang w:val="en-US" w:eastAsia="zh-CN"/>
              </w:rPr>
              <w:t>t/a；</w:t>
            </w:r>
          </w:p>
          <w:p w14:paraId="3E319EF3">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/a×3mg/L=</w:t>
            </w:r>
            <w:r>
              <w:rPr>
                <w:rFonts w:hint="eastAsia" w:cs="Times New Roman"/>
                <w:color w:val="auto"/>
                <w:kern w:val="0"/>
                <w:sz w:val="24"/>
                <w:szCs w:val="24"/>
                <w:lang w:val="en-US" w:eastAsia="zh-CN"/>
              </w:rPr>
              <w:t>0.008</w:t>
            </w:r>
            <w:r>
              <w:rPr>
                <w:rFonts w:hint="eastAsia" w:ascii="Times New Roman" w:hAnsi="Times New Roman" w:eastAsia="宋体" w:cs="Times New Roman"/>
                <w:color w:val="auto"/>
                <w:kern w:val="0"/>
                <w:sz w:val="24"/>
                <w:szCs w:val="24"/>
                <w:lang w:val="en-US" w:eastAsia="zh-CN"/>
              </w:rPr>
              <w:t>t/a。</w:t>
            </w:r>
          </w:p>
          <w:p w14:paraId="01E6FF1C">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废气：</w:t>
            </w:r>
          </w:p>
          <w:p w14:paraId="71C19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ind w:left="0" w:right="0" w:firstLine="480"/>
              <w:jc w:val="left"/>
              <w:textAlignment w:val="auto"/>
              <w:rPr>
                <w:rFonts w:hint="eastAsia" w:ascii="Times New Roman" w:hAnsi="Times New Roman" w:eastAsia="宋体"/>
                <w:color w:val="auto"/>
                <w:sz w:val="24"/>
                <w:szCs w:val="24"/>
                <w:lang w:eastAsia="zh-CN"/>
              </w:rPr>
            </w:pPr>
            <w:r>
              <w:rPr>
                <w:rFonts w:hint="eastAsia"/>
                <w:color w:val="auto"/>
                <w:sz w:val="24"/>
                <w:szCs w:val="24"/>
                <w:lang w:eastAsia="zh-CN"/>
              </w:rPr>
              <w:t>项目鸡精生产线还未建设，全厂仅有油烟、氨、硫化氢和臭气浓度排放，环评及批复中无油烟、氨、硫化氢和臭气浓度的总量控制指标。</w:t>
            </w:r>
          </w:p>
          <w:p w14:paraId="7126D25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ind w:left="0" w:right="0" w:firstLine="480"/>
              <w:jc w:val="left"/>
              <w:textAlignment w:val="auto"/>
              <w:rPr>
                <w:rFonts w:hint="default" w:ascii="Times New Roman" w:hAnsi="Times New Roman" w:eastAsia="宋体"/>
                <w:color w:val="auto"/>
                <w:sz w:val="24"/>
                <w:szCs w:val="24"/>
              </w:rPr>
            </w:pPr>
            <w:r>
              <w:rPr>
                <w:rFonts w:hint="eastAsia" w:ascii="Times New Roman" w:hAnsi="Times New Roman"/>
                <w:color w:val="auto"/>
                <w:sz w:val="24"/>
                <w:szCs w:val="24"/>
              </w:rPr>
              <w:t>综上，项目</w:t>
            </w: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ascii="Times New Roman" w:hAnsi="Times New Roman"/>
                <w:color w:val="auto"/>
                <w:sz w:val="24"/>
                <w:szCs w:val="24"/>
              </w:rPr>
              <w:t>排放量满足总量控制要求</w:t>
            </w:r>
            <w:r>
              <w:rPr>
                <w:rFonts w:hint="default" w:ascii="Times New Roman" w:hAnsi="Times New Roman" w:eastAsia="宋体"/>
                <w:color w:val="auto"/>
                <w:sz w:val="24"/>
                <w:szCs w:val="24"/>
              </w:rPr>
              <w:t>。</w:t>
            </w:r>
          </w:p>
          <w:p w14:paraId="19C9F179">
            <w:pPr>
              <w:pStyle w:val="2"/>
              <w:rPr>
                <w:rFonts w:hint="default" w:ascii="Times New Roman" w:hAnsi="Times New Roman" w:eastAsia="宋体"/>
                <w:color w:val="auto"/>
                <w:sz w:val="24"/>
                <w:szCs w:val="24"/>
              </w:rPr>
            </w:pPr>
          </w:p>
          <w:p w14:paraId="65208F0D">
            <w:pPr>
              <w:pStyle w:val="2"/>
              <w:rPr>
                <w:rFonts w:hint="default" w:ascii="Times New Roman" w:hAnsi="Times New Roman" w:eastAsia="宋体"/>
                <w:color w:val="auto"/>
                <w:sz w:val="24"/>
                <w:szCs w:val="24"/>
              </w:rPr>
            </w:pPr>
          </w:p>
          <w:p w14:paraId="1B1B8EBF">
            <w:pPr>
              <w:pStyle w:val="2"/>
              <w:rPr>
                <w:rFonts w:hint="default" w:ascii="Times New Roman" w:hAnsi="Times New Roman" w:eastAsia="宋体"/>
                <w:color w:val="auto"/>
                <w:sz w:val="24"/>
                <w:szCs w:val="24"/>
              </w:rPr>
            </w:pPr>
          </w:p>
          <w:p w14:paraId="422B631F">
            <w:pPr>
              <w:pStyle w:val="2"/>
              <w:rPr>
                <w:rFonts w:hint="default" w:ascii="Times New Roman" w:hAnsi="Times New Roman" w:eastAsia="宋体"/>
                <w:color w:val="auto"/>
                <w:sz w:val="24"/>
                <w:szCs w:val="24"/>
              </w:rPr>
            </w:pPr>
          </w:p>
          <w:p w14:paraId="24B2EF47">
            <w:pPr>
              <w:pStyle w:val="2"/>
              <w:rPr>
                <w:rFonts w:hint="default" w:ascii="Times New Roman" w:hAnsi="Times New Roman" w:eastAsia="宋体"/>
                <w:color w:val="auto"/>
                <w:sz w:val="24"/>
                <w:szCs w:val="24"/>
              </w:rPr>
            </w:pPr>
          </w:p>
          <w:p w14:paraId="7E8C9C61">
            <w:pPr>
              <w:pStyle w:val="2"/>
              <w:rPr>
                <w:rFonts w:hint="default" w:ascii="Times New Roman" w:hAnsi="Times New Roman" w:eastAsia="宋体"/>
                <w:color w:val="auto"/>
                <w:sz w:val="24"/>
                <w:szCs w:val="24"/>
              </w:rPr>
            </w:pPr>
          </w:p>
          <w:p w14:paraId="2D58BB31">
            <w:pPr>
              <w:pStyle w:val="2"/>
              <w:rPr>
                <w:rFonts w:hint="default" w:ascii="Times New Roman" w:hAnsi="Times New Roman" w:eastAsia="宋体"/>
                <w:color w:val="auto"/>
                <w:sz w:val="24"/>
                <w:szCs w:val="24"/>
              </w:rPr>
            </w:pPr>
          </w:p>
          <w:p w14:paraId="25FC1034">
            <w:pPr>
              <w:pStyle w:val="2"/>
              <w:rPr>
                <w:rFonts w:hint="default" w:ascii="Times New Roman" w:hAnsi="Times New Roman" w:eastAsia="宋体"/>
                <w:color w:val="auto"/>
                <w:sz w:val="24"/>
                <w:szCs w:val="24"/>
              </w:rPr>
            </w:pPr>
          </w:p>
          <w:p w14:paraId="324E5176">
            <w:pPr>
              <w:pStyle w:val="2"/>
              <w:rPr>
                <w:rFonts w:hint="default" w:ascii="Times New Roman" w:hAnsi="Times New Roman" w:eastAsia="宋体"/>
                <w:color w:val="auto"/>
                <w:sz w:val="24"/>
                <w:szCs w:val="24"/>
              </w:rPr>
            </w:pPr>
          </w:p>
          <w:p w14:paraId="1146175B">
            <w:pPr>
              <w:pStyle w:val="2"/>
              <w:rPr>
                <w:rFonts w:hint="default" w:ascii="Times New Roman" w:hAnsi="Times New Roman" w:eastAsia="宋体"/>
                <w:color w:val="auto"/>
                <w:sz w:val="24"/>
                <w:szCs w:val="24"/>
              </w:rPr>
            </w:pPr>
          </w:p>
          <w:p w14:paraId="3F9E90C7">
            <w:pPr>
              <w:pStyle w:val="2"/>
              <w:rPr>
                <w:rFonts w:hint="default" w:ascii="Times New Roman" w:hAnsi="Times New Roman" w:eastAsia="宋体"/>
                <w:color w:val="auto"/>
                <w:sz w:val="24"/>
                <w:szCs w:val="24"/>
              </w:rPr>
            </w:pPr>
          </w:p>
          <w:p w14:paraId="39B49FC3">
            <w:pPr>
              <w:pStyle w:val="2"/>
              <w:rPr>
                <w:rFonts w:hint="default" w:ascii="Times New Roman" w:hAnsi="Times New Roman" w:eastAsia="宋体"/>
                <w:color w:val="auto"/>
                <w:sz w:val="24"/>
                <w:szCs w:val="24"/>
              </w:rPr>
            </w:pPr>
          </w:p>
          <w:p w14:paraId="521ADAA6">
            <w:pPr>
              <w:pStyle w:val="2"/>
              <w:rPr>
                <w:rFonts w:hint="default" w:ascii="Times New Roman" w:hAnsi="Times New Roman" w:eastAsia="宋体"/>
                <w:color w:val="auto"/>
                <w:sz w:val="24"/>
                <w:szCs w:val="24"/>
              </w:rPr>
            </w:pPr>
          </w:p>
          <w:p w14:paraId="322B11E0">
            <w:pPr>
              <w:pStyle w:val="2"/>
              <w:rPr>
                <w:rFonts w:hint="default" w:ascii="Times New Roman" w:hAnsi="Times New Roman" w:eastAsia="宋体"/>
                <w:color w:val="auto"/>
                <w:sz w:val="24"/>
                <w:szCs w:val="24"/>
              </w:rPr>
            </w:pPr>
          </w:p>
          <w:p w14:paraId="3201E31A">
            <w:pPr>
              <w:pStyle w:val="2"/>
              <w:rPr>
                <w:rFonts w:hint="default" w:ascii="Times New Roman" w:hAnsi="Times New Roman" w:eastAsia="宋体"/>
                <w:color w:val="auto"/>
                <w:sz w:val="24"/>
                <w:szCs w:val="24"/>
              </w:rPr>
            </w:pPr>
          </w:p>
          <w:p w14:paraId="5FE34880">
            <w:pPr>
              <w:pStyle w:val="2"/>
              <w:rPr>
                <w:rFonts w:hint="default" w:ascii="Times New Roman" w:hAnsi="Times New Roman" w:eastAsia="宋体"/>
                <w:color w:val="auto"/>
                <w:sz w:val="24"/>
                <w:szCs w:val="24"/>
              </w:rPr>
            </w:pPr>
          </w:p>
          <w:p w14:paraId="28596031">
            <w:pPr>
              <w:pStyle w:val="2"/>
              <w:rPr>
                <w:rFonts w:hint="default" w:ascii="Times New Roman" w:hAnsi="Times New Roman" w:eastAsia="宋体"/>
                <w:color w:val="auto"/>
                <w:sz w:val="24"/>
                <w:szCs w:val="24"/>
              </w:rPr>
            </w:pPr>
          </w:p>
          <w:p w14:paraId="0F02D53D">
            <w:pPr>
              <w:pStyle w:val="2"/>
              <w:rPr>
                <w:rFonts w:hint="default" w:ascii="Times New Roman" w:hAnsi="Times New Roman" w:eastAsia="宋体"/>
                <w:color w:val="auto"/>
                <w:sz w:val="24"/>
                <w:szCs w:val="24"/>
              </w:rPr>
            </w:pPr>
          </w:p>
          <w:p w14:paraId="26BC6A79">
            <w:pPr>
              <w:pStyle w:val="2"/>
              <w:rPr>
                <w:rFonts w:hint="default" w:ascii="Times New Roman" w:hAnsi="Times New Roman" w:eastAsia="宋体"/>
                <w:color w:val="auto"/>
                <w:sz w:val="24"/>
                <w:szCs w:val="24"/>
              </w:rPr>
            </w:pPr>
          </w:p>
          <w:p w14:paraId="05411AA7">
            <w:pPr>
              <w:pStyle w:val="2"/>
              <w:rPr>
                <w:rFonts w:hint="default" w:ascii="Times New Roman" w:hAnsi="Times New Roman" w:eastAsia="宋体"/>
                <w:color w:val="auto"/>
                <w:sz w:val="24"/>
                <w:szCs w:val="24"/>
              </w:rPr>
            </w:pPr>
          </w:p>
          <w:p w14:paraId="08A64526">
            <w:pPr>
              <w:pStyle w:val="2"/>
              <w:rPr>
                <w:rFonts w:hint="default" w:ascii="Times New Roman" w:hAnsi="Times New Roman" w:eastAsia="宋体"/>
                <w:color w:val="auto"/>
                <w:sz w:val="24"/>
                <w:szCs w:val="24"/>
              </w:rPr>
            </w:pPr>
          </w:p>
          <w:p w14:paraId="2FC35F4E">
            <w:pPr>
              <w:pStyle w:val="2"/>
              <w:rPr>
                <w:rFonts w:hint="default" w:ascii="Times New Roman" w:hAnsi="Times New Roman" w:eastAsia="宋体"/>
                <w:color w:val="auto"/>
                <w:sz w:val="24"/>
                <w:szCs w:val="24"/>
              </w:rPr>
            </w:pPr>
          </w:p>
          <w:p w14:paraId="37E7062C">
            <w:pPr>
              <w:pStyle w:val="2"/>
              <w:rPr>
                <w:rFonts w:hint="default" w:ascii="Times New Roman" w:hAnsi="Times New Roman" w:eastAsia="宋体"/>
                <w:color w:val="auto"/>
                <w:sz w:val="24"/>
                <w:szCs w:val="24"/>
              </w:rPr>
            </w:pPr>
          </w:p>
          <w:p w14:paraId="685BDD7E">
            <w:pPr>
              <w:pStyle w:val="2"/>
              <w:rPr>
                <w:rFonts w:hint="default" w:ascii="Times New Roman" w:hAnsi="Times New Roman" w:eastAsia="宋体"/>
                <w:color w:val="auto"/>
                <w:sz w:val="24"/>
                <w:szCs w:val="24"/>
              </w:rPr>
            </w:pPr>
          </w:p>
          <w:p w14:paraId="58C3EA88">
            <w:pPr>
              <w:pStyle w:val="2"/>
              <w:rPr>
                <w:rFonts w:hint="default" w:ascii="Times New Roman" w:hAnsi="Times New Roman" w:eastAsia="宋体"/>
                <w:color w:val="auto"/>
                <w:sz w:val="24"/>
                <w:szCs w:val="24"/>
              </w:rPr>
            </w:pPr>
          </w:p>
          <w:p w14:paraId="0C251F9D">
            <w:pPr>
              <w:pStyle w:val="2"/>
              <w:rPr>
                <w:rFonts w:hint="default" w:ascii="Times New Roman" w:hAnsi="Times New Roman" w:eastAsia="宋体"/>
                <w:color w:val="auto"/>
                <w:sz w:val="24"/>
                <w:szCs w:val="24"/>
              </w:rPr>
            </w:pPr>
          </w:p>
          <w:p w14:paraId="6374EC57">
            <w:pPr>
              <w:pStyle w:val="2"/>
              <w:rPr>
                <w:rFonts w:hint="default" w:ascii="Times New Roman" w:hAnsi="Times New Roman" w:eastAsia="宋体"/>
                <w:color w:val="auto"/>
                <w:sz w:val="24"/>
                <w:szCs w:val="24"/>
              </w:rPr>
            </w:pPr>
          </w:p>
          <w:p w14:paraId="0C79B32C">
            <w:pPr>
              <w:pStyle w:val="2"/>
              <w:rPr>
                <w:rFonts w:hint="default" w:ascii="Times New Roman" w:hAnsi="Times New Roman" w:eastAsia="宋体"/>
                <w:color w:val="auto"/>
                <w:sz w:val="24"/>
                <w:szCs w:val="24"/>
              </w:rPr>
            </w:pPr>
          </w:p>
          <w:p w14:paraId="21BCF26D">
            <w:pPr>
              <w:pStyle w:val="2"/>
              <w:rPr>
                <w:rFonts w:hint="default" w:ascii="Times New Roman" w:hAnsi="Times New Roman" w:eastAsia="宋体"/>
                <w:color w:val="auto"/>
                <w:sz w:val="24"/>
                <w:szCs w:val="24"/>
              </w:rPr>
            </w:pPr>
          </w:p>
          <w:p w14:paraId="77ABA8D9">
            <w:pPr>
              <w:pStyle w:val="2"/>
              <w:rPr>
                <w:rFonts w:hint="default" w:ascii="Times New Roman" w:hAnsi="Times New Roman" w:eastAsia="宋体"/>
                <w:color w:val="auto"/>
                <w:sz w:val="24"/>
                <w:szCs w:val="24"/>
              </w:rPr>
            </w:pPr>
          </w:p>
          <w:p w14:paraId="0A3AA912">
            <w:pPr>
              <w:pStyle w:val="2"/>
              <w:rPr>
                <w:rFonts w:hint="default" w:ascii="Times New Roman" w:hAnsi="Times New Roman" w:eastAsia="宋体"/>
                <w:color w:val="auto"/>
                <w:sz w:val="24"/>
                <w:szCs w:val="24"/>
              </w:rPr>
            </w:pPr>
          </w:p>
          <w:p w14:paraId="3D82138C">
            <w:pPr>
              <w:pStyle w:val="2"/>
              <w:rPr>
                <w:rFonts w:hint="default" w:ascii="Times New Roman" w:hAnsi="Times New Roman" w:eastAsia="宋体"/>
                <w:color w:val="auto"/>
                <w:sz w:val="24"/>
                <w:szCs w:val="24"/>
              </w:rPr>
            </w:pPr>
          </w:p>
          <w:p w14:paraId="7EE9E6F4">
            <w:pPr>
              <w:pStyle w:val="2"/>
              <w:rPr>
                <w:rFonts w:hint="default" w:ascii="Times New Roman" w:hAnsi="Times New Roman" w:eastAsia="宋体"/>
                <w:color w:val="auto"/>
                <w:sz w:val="24"/>
                <w:szCs w:val="24"/>
              </w:rPr>
            </w:pPr>
          </w:p>
          <w:p w14:paraId="6C3A6326">
            <w:pPr>
              <w:pStyle w:val="2"/>
              <w:rPr>
                <w:rFonts w:hint="default" w:ascii="Times New Roman" w:hAnsi="Times New Roman" w:eastAsia="宋体"/>
                <w:color w:val="auto"/>
                <w:sz w:val="24"/>
                <w:szCs w:val="24"/>
              </w:rPr>
            </w:pPr>
          </w:p>
          <w:p w14:paraId="0A109A9D">
            <w:pPr>
              <w:pStyle w:val="2"/>
              <w:rPr>
                <w:rFonts w:hint="default" w:ascii="Times New Roman" w:hAnsi="Times New Roman" w:eastAsia="宋体"/>
                <w:color w:val="auto"/>
                <w:sz w:val="24"/>
                <w:szCs w:val="24"/>
              </w:rPr>
            </w:pPr>
          </w:p>
          <w:p w14:paraId="558AB710">
            <w:pPr>
              <w:pStyle w:val="2"/>
              <w:rPr>
                <w:rFonts w:hint="default" w:ascii="Times New Roman" w:hAnsi="Times New Roman" w:eastAsia="宋体"/>
                <w:color w:val="auto"/>
                <w:sz w:val="24"/>
                <w:szCs w:val="24"/>
              </w:rPr>
            </w:pPr>
          </w:p>
        </w:tc>
      </w:tr>
    </w:tbl>
    <w:p w14:paraId="0952B555">
      <w:pPr>
        <w:ind w:firstLine="480"/>
        <w:rPr>
          <w:color w:val="auto"/>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bookmarkStart w:id="3" w:name="_Toc519515357"/>
    </w:p>
    <w:p w14:paraId="4490FE2A">
      <w:pPr>
        <w:pStyle w:val="3"/>
        <w:rPr>
          <w:color w:val="auto"/>
        </w:rPr>
      </w:pPr>
      <w:bookmarkStart w:id="4" w:name="_Toc519594901"/>
      <w:bookmarkStart w:id="5" w:name="_Toc2219"/>
      <w:r>
        <w:rPr>
          <w:rFonts w:hint="eastAsia"/>
          <w:color w:val="auto"/>
        </w:rPr>
        <w:t>表二</w:t>
      </w:r>
      <w:r>
        <w:rPr>
          <w:color w:val="auto"/>
        </w:rPr>
        <w:t xml:space="preserve">  </w:t>
      </w:r>
      <w:r>
        <w:rPr>
          <w:rFonts w:hint="eastAsia"/>
          <w:color w:val="auto"/>
        </w:rPr>
        <w:t>工程建设内容</w:t>
      </w:r>
      <w:bookmarkEnd w:id="3"/>
      <w:bookmarkEnd w:id="4"/>
      <w:bookmarkEnd w:id="5"/>
    </w:p>
    <w:tbl>
      <w:tblPr>
        <w:tblStyle w:val="27"/>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072"/>
      </w:tblGrid>
      <w:tr w14:paraId="22CBC1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6" w:hRule="atLeast"/>
          <w:jc w:val="center"/>
        </w:trPr>
        <w:tc>
          <w:tcPr>
            <w:tcW w:w="8826" w:type="dxa"/>
            <w:tcBorders>
              <w:top w:val="single" w:color="auto" w:sz="8" w:space="0"/>
            </w:tcBorders>
          </w:tcPr>
          <w:p w14:paraId="000B0175">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一、工程建设内容</w:t>
            </w:r>
          </w:p>
          <w:p w14:paraId="7C936560">
            <w:pPr>
              <w:pStyle w:val="5"/>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、验收项目概况</w:t>
            </w:r>
          </w:p>
          <w:p w14:paraId="647941DE">
            <w:pPr>
              <w:keepNext w:val="0"/>
              <w:keepLines w:val="0"/>
              <w:widowControl/>
              <w:suppressLineNumbers w:val="0"/>
              <w:spacing w:before="0" w:beforeAutospacing="0" w:after="0" w:afterAutospacing="0"/>
              <w:ind w:left="0" w:right="0" w:firstLine="480"/>
              <w:rPr>
                <w:rFonts w:hint="default"/>
                <w:color w:val="auto"/>
              </w:rPr>
            </w:pPr>
            <w:r>
              <w:rPr>
                <w:rFonts w:hint="eastAsia"/>
                <w:color w:val="auto"/>
                <w:sz w:val="24"/>
                <w:szCs w:val="24"/>
              </w:rPr>
              <w:t>20</w:t>
            </w:r>
            <w:r>
              <w:rPr>
                <w:rFonts w:hint="eastAsia"/>
                <w:color w:val="auto"/>
                <w:sz w:val="24"/>
                <w:szCs w:val="24"/>
                <w:lang w:val="en-US" w:eastAsia="zh-CN"/>
              </w:rPr>
              <w:t>19</w:t>
            </w:r>
            <w:r>
              <w:rPr>
                <w:rFonts w:hint="eastAsia"/>
                <w:color w:val="auto"/>
                <w:sz w:val="24"/>
                <w:szCs w:val="24"/>
              </w:rPr>
              <w:t>年</w:t>
            </w:r>
            <w:r>
              <w:rPr>
                <w:rFonts w:hint="eastAsia"/>
                <w:color w:val="auto"/>
                <w:sz w:val="24"/>
                <w:szCs w:val="24"/>
                <w:lang w:val="en-US" w:eastAsia="zh-CN"/>
              </w:rPr>
              <w:t>1</w:t>
            </w:r>
            <w:r>
              <w:rPr>
                <w:rFonts w:hint="eastAsia"/>
                <w:color w:val="auto"/>
                <w:sz w:val="24"/>
                <w:szCs w:val="24"/>
              </w:rPr>
              <w:t>月</w:t>
            </w:r>
            <w:r>
              <w:rPr>
                <w:rFonts w:hint="eastAsia"/>
                <w:color w:val="auto"/>
                <w:sz w:val="24"/>
                <w:szCs w:val="24"/>
                <w:lang w:val="en-US" w:eastAsia="zh-CN"/>
              </w:rPr>
              <w:t>15</w:t>
            </w:r>
            <w:r>
              <w:rPr>
                <w:rFonts w:hint="eastAsia"/>
                <w:color w:val="auto"/>
                <w:sz w:val="24"/>
                <w:szCs w:val="24"/>
              </w:rPr>
              <w:t>日，</w:t>
            </w:r>
            <w:r>
              <w:rPr>
                <w:rFonts w:hint="eastAsia"/>
                <w:color w:val="auto"/>
                <w:sz w:val="24"/>
                <w:szCs w:val="24"/>
                <w:lang w:eastAsia="zh-CN"/>
              </w:rPr>
              <w:t>四川金顶维食品有限公司</w:t>
            </w:r>
            <w:r>
              <w:rPr>
                <w:rFonts w:hint="eastAsia"/>
                <w:color w:val="auto"/>
                <w:sz w:val="24"/>
                <w:szCs w:val="24"/>
              </w:rPr>
              <w:t>在东坡区经济和信息化局备案“</w:t>
            </w:r>
            <w:r>
              <w:rPr>
                <w:rFonts w:hint="eastAsia"/>
                <w:color w:val="auto"/>
                <w:sz w:val="24"/>
                <w:szCs w:val="24"/>
                <w:lang w:eastAsia="zh-CN"/>
              </w:rPr>
              <w:t>餐佐料生产线扩建项目</w:t>
            </w:r>
            <w:r>
              <w:rPr>
                <w:rFonts w:hint="eastAsia"/>
                <w:color w:val="auto"/>
                <w:sz w:val="24"/>
                <w:szCs w:val="24"/>
              </w:rPr>
              <w:t>”，备案号为：川投资备【</w:t>
            </w:r>
            <w:r>
              <w:rPr>
                <w:rFonts w:hint="eastAsia"/>
                <w:color w:val="auto"/>
                <w:sz w:val="24"/>
                <w:szCs w:val="24"/>
                <w:lang w:val="en-US" w:eastAsia="zh-CN"/>
              </w:rPr>
              <w:t>2019</w:t>
            </w:r>
            <w:r>
              <w:rPr>
                <w:rFonts w:hint="default"/>
                <w:color w:val="auto"/>
                <w:sz w:val="24"/>
                <w:szCs w:val="24"/>
              </w:rPr>
              <w:t>-51140</w:t>
            </w:r>
            <w:r>
              <w:rPr>
                <w:rFonts w:hint="eastAsia"/>
                <w:color w:val="auto"/>
                <w:sz w:val="24"/>
                <w:szCs w:val="24"/>
                <w:lang w:val="en-US" w:eastAsia="zh-CN"/>
              </w:rPr>
              <w:t>2</w:t>
            </w:r>
            <w:r>
              <w:rPr>
                <w:rFonts w:hint="default"/>
                <w:color w:val="auto"/>
                <w:sz w:val="24"/>
                <w:szCs w:val="24"/>
              </w:rPr>
              <w:t>-</w:t>
            </w:r>
            <w:r>
              <w:rPr>
                <w:rFonts w:hint="eastAsia"/>
                <w:color w:val="auto"/>
                <w:sz w:val="24"/>
                <w:szCs w:val="24"/>
                <w:lang w:val="en-US" w:eastAsia="zh-CN"/>
              </w:rPr>
              <w:t>14</w:t>
            </w:r>
            <w:r>
              <w:rPr>
                <w:rFonts w:hint="default"/>
                <w:color w:val="auto"/>
                <w:sz w:val="24"/>
                <w:szCs w:val="24"/>
              </w:rPr>
              <w:t>-0</w:t>
            </w:r>
            <w:r>
              <w:rPr>
                <w:rFonts w:hint="eastAsia"/>
                <w:color w:val="auto"/>
                <w:sz w:val="24"/>
                <w:szCs w:val="24"/>
                <w:lang w:val="en-US" w:eastAsia="zh-CN"/>
              </w:rPr>
              <w:t>3-327511</w:t>
            </w:r>
            <w:r>
              <w:rPr>
                <w:rFonts w:hint="eastAsia"/>
                <w:color w:val="auto"/>
                <w:sz w:val="24"/>
                <w:szCs w:val="24"/>
              </w:rPr>
              <w:t>】JXQB-0</w:t>
            </w:r>
            <w:r>
              <w:rPr>
                <w:rFonts w:hint="eastAsia"/>
                <w:color w:val="auto"/>
                <w:sz w:val="24"/>
                <w:szCs w:val="24"/>
                <w:lang w:val="en-US" w:eastAsia="zh-CN"/>
              </w:rPr>
              <w:t>012</w:t>
            </w:r>
            <w:r>
              <w:rPr>
                <w:rFonts w:hint="eastAsia"/>
                <w:color w:val="auto"/>
                <w:sz w:val="24"/>
                <w:szCs w:val="24"/>
              </w:rPr>
              <w:t>号</w:t>
            </w:r>
            <w:r>
              <w:rPr>
                <w:rFonts w:hint="eastAsia"/>
                <w:color w:val="auto"/>
                <w:sz w:val="24"/>
                <w:szCs w:val="24"/>
                <w:lang w:eastAsia="zh-CN"/>
              </w:rPr>
              <w:t>；</w:t>
            </w:r>
            <w:r>
              <w:rPr>
                <w:rFonts w:hint="eastAsia"/>
                <w:bCs/>
                <w:color w:val="auto"/>
                <w:lang w:val="en-US" w:eastAsia="zh-CN"/>
              </w:rPr>
              <w:t>2019年5月，委托睿柯环境工程有限公司编制完成了《四川金顶维食品有限公司餐佐料生产线扩建项目环境影响报告表》；2019年7月4日，眉山市东坡生态环境局以眉东环建函</w:t>
            </w:r>
            <w:r>
              <w:rPr>
                <w:rFonts w:hint="eastAsia"/>
                <w:color w:val="auto"/>
                <w:szCs w:val="28"/>
                <w:lang w:eastAsia="zh-CN"/>
              </w:rPr>
              <w:t>【</w:t>
            </w:r>
            <w:r>
              <w:rPr>
                <w:rFonts w:hint="eastAsia"/>
                <w:color w:val="auto"/>
                <w:szCs w:val="28"/>
                <w:lang w:val="en-US" w:eastAsia="zh-CN"/>
              </w:rPr>
              <w:t>2019</w:t>
            </w:r>
            <w:r>
              <w:rPr>
                <w:rFonts w:hint="eastAsia"/>
                <w:color w:val="auto"/>
                <w:szCs w:val="28"/>
                <w:lang w:eastAsia="zh-CN"/>
              </w:rPr>
              <w:t>】</w:t>
            </w:r>
            <w:r>
              <w:rPr>
                <w:rFonts w:hint="eastAsia"/>
                <w:color w:val="auto"/>
                <w:szCs w:val="28"/>
                <w:lang w:val="en-US" w:eastAsia="zh-CN"/>
              </w:rPr>
              <w:t>36</w:t>
            </w:r>
            <w:r>
              <w:rPr>
                <w:rFonts w:hint="eastAsia"/>
                <w:color w:val="auto"/>
                <w:szCs w:val="28"/>
              </w:rPr>
              <w:t>号</w:t>
            </w:r>
            <w:r>
              <w:rPr>
                <w:rFonts w:hint="eastAsia"/>
                <w:bCs/>
                <w:color w:val="auto"/>
                <w:lang w:val="en-US" w:eastAsia="zh-CN"/>
              </w:rPr>
              <w:t>文对该项目环境影响报告表作了批复。该项目于2021年3月开工建设，</w:t>
            </w:r>
            <w:r>
              <w:rPr>
                <w:rFonts w:hint="eastAsia"/>
                <w:color w:val="auto"/>
              </w:rPr>
              <w:t>目前，项目</w:t>
            </w:r>
            <w:r>
              <w:rPr>
                <w:rFonts w:hint="eastAsia"/>
                <w:color w:val="auto"/>
                <w:lang w:val="en-US" w:eastAsia="zh-CN"/>
              </w:rPr>
              <w:t>在进行试运行，运行稳定，</w:t>
            </w:r>
            <w:r>
              <w:rPr>
                <w:rFonts w:hint="eastAsia"/>
                <w:color w:val="auto"/>
              </w:rPr>
              <w:t>具备验收条件，根据中华人民共和国环境保护部</w:t>
            </w:r>
            <w:r>
              <w:rPr>
                <w:rFonts w:hint="default"/>
                <w:color w:val="auto"/>
              </w:rPr>
              <w:t>2017</w:t>
            </w:r>
            <w:r>
              <w:rPr>
                <w:rFonts w:hint="eastAsia"/>
                <w:color w:val="auto"/>
              </w:rPr>
              <w:t>年</w:t>
            </w:r>
            <w:r>
              <w:rPr>
                <w:rFonts w:hint="default"/>
                <w:color w:val="auto"/>
              </w:rPr>
              <w:t>11</w:t>
            </w:r>
            <w:r>
              <w:rPr>
                <w:rFonts w:hint="eastAsia"/>
                <w:color w:val="auto"/>
              </w:rPr>
              <w:t>月</w:t>
            </w:r>
            <w:r>
              <w:rPr>
                <w:rFonts w:hint="default"/>
                <w:color w:val="auto"/>
              </w:rPr>
              <w:t>22</w:t>
            </w:r>
            <w:r>
              <w:rPr>
                <w:rFonts w:hint="eastAsia"/>
                <w:color w:val="auto"/>
              </w:rPr>
              <w:t>日颁布《关于发布</w:t>
            </w:r>
            <w:r>
              <w:rPr>
                <w:rFonts w:hint="eastAsia"/>
                <w:color w:val="auto"/>
                <w:lang w:eastAsia="zh-CN"/>
              </w:rPr>
              <w:t>〈</w:t>
            </w:r>
            <w:r>
              <w:rPr>
                <w:rFonts w:hint="eastAsia"/>
                <w:color w:val="auto"/>
              </w:rPr>
              <w:t>建设项目竣工环境保护验收暂行办法</w:t>
            </w:r>
            <w:r>
              <w:rPr>
                <w:rFonts w:hint="eastAsia"/>
                <w:color w:val="auto"/>
                <w:lang w:eastAsia="zh-CN"/>
              </w:rPr>
              <w:t>〉</w:t>
            </w:r>
            <w:r>
              <w:rPr>
                <w:rFonts w:hint="eastAsia"/>
                <w:color w:val="auto"/>
              </w:rPr>
              <w:t>》（国环规环评</w:t>
            </w:r>
            <w:r>
              <w:rPr>
                <w:rFonts w:hint="default"/>
                <w:color w:val="auto"/>
              </w:rPr>
              <w:t>[2017]4</w:t>
            </w:r>
            <w:r>
              <w:rPr>
                <w:rFonts w:hint="eastAsia"/>
                <w:color w:val="auto"/>
              </w:rPr>
              <w:t>号）及附件所规定要求，</w:t>
            </w:r>
            <w:r>
              <w:rPr>
                <w:rFonts w:hint="eastAsia"/>
                <w:bCs/>
                <w:color w:val="auto"/>
              </w:rPr>
              <w:t>编制</w:t>
            </w:r>
            <w:r>
              <w:rPr>
                <w:rFonts w:hint="eastAsia"/>
                <w:bCs/>
                <w:color w:val="auto"/>
                <w:lang w:val="en-US" w:eastAsia="zh-CN"/>
              </w:rPr>
              <w:t>了</w:t>
            </w:r>
            <w:r>
              <w:rPr>
                <w:rFonts w:hint="eastAsia"/>
                <w:bCs/>
                <w:color w:val="auto"/>
              </w:rPr>
              <w:t>“</w:t>
            </w:r>
            <w:r>
              <w:rPr>
                <w:rFonts w:hint="eastAsia"/>
                <w:bCs/>
                <w:color w:val="auto"/>
                <w:lang w:val="en-US" w:eastAsia="zh-CN"/>
              </w:rPr>
              <w:t>四川金顶维食品有限公司餐佐料生产线扩建项目</w:t>
            </w:r>
            <w:r>
              <w:rPr>
                <w:rFonts w:hint="eastAsia"/>
                <w:bCs/>
                <w:color w:val="auto"/>
              </w:rPr>
              <w:t>”竣工环境保护验收监测报告表</w:t>
            </w:r>
            <w:r>
              <w:rPr>
                <w:rFonts w:hint="eastAsia"/>
                <w:color w:val="auto"/>
              </w:rPr>
              <w:t>。本次验收内容</w:t>
            </w:r>
            <w:r>
              <w:rPr>
                <w:rFonts w:hint="eastAsia" w:ascii="宋体" w:hAnsi="宋体"/>
                <w:color w:val="auto"/>
                <w:kern w:val="2"/>
                <w:szCs w:val="24"/>
              </w:rPr>
              <w:t>为项目的</w:t>
            </w:r>
            <w:r>
              <w:rPr>
                <w:rFonts w:hint="eastAsia"/>
                <w:color w:val="auto"/>
                <w:szCs w:val="24"/>
              </w:rPr>
              <w:t>主体工程、环保设施及其他配套设施。</w:t>
            </w:r>
          </w:p>
          <w:p w14:paraId="1578645B">
            <w:pPr>
              <w:keepNext w:val="0"/>
              <w:keepLines w:val="0"/>
              <w:widowControl/>
              <w:suppressLineNumbers w:val="0"/>
              <w:spacing w:before="0" w:beforeAutospacing="0" w:after="0" w:afterAutospacing="0"/>
              <w:ind w:left="0" w:right="0" w:firstLine="480"/>
              <w:rPr>
                <w:rFonts w:hint="default"/>
                <w:color w:val="auto"/>
              </w:rPr>
            </w:pPr>
            <w:r>
              <w:rPr>
                <w:rFonts w:hint="eastAsia"/>
                <w:color w:val="auto"/>
              </w:rPr>
              <w:t>根据项目环评和批复要求以及实际排污情况制定监测方案，</w:t>
            </w:r>
            <w:r>
              <w:rPr>
                <w:rFonts w:hint="eastAsia"/>
                <w:color w:val="auto"/>
                <w:lang w:val="en-US" w:eastAsia="zh-CN"/>
              </w:rPr>
              <w:t>我公司</w:t>
            </w:r>
            <w:r>
              <w:rPr>
                <w:rFonts w:hint="eastAsia"/>
                <w:bCs/>
                <w:color w:val="auto"/>
              </w:rPr>
              <w:t>委托</w:t>
            </w:r>
            <w:r>
              <w:rPr>
                <w:rFonts w:hint="eastAsia"/>
                <w:bCs/>
                <w:color w:val="auto"/>
                <w:lang w:val="en-US" w:eastAsia="zh-CN"/>
              </w:rPr>
              <w:t>成都风行绿洲科技有限公司</w:t>
            </w:r>
            <w:r>
              <w:rPr>
                <w:rFonts w:hint="eastAsia"/>
                <w:bCs/>
                <w:color w:val="auto"/>
              </w:rPr>
              <w:t>对污染源进行了</w:t>
            </w:r>
            <w:r>
              <w:rPr>
                <w:rFonts w:hint="eastAsia"/>
                <w:bCs/>
                <w:color w:val="auto"/>
                <w:lang w:val="en-US" w:eastAsia="zh-CN"/>
              </w:rPr>
              <w:t>检测</w:t>
            </w:r>
            <w:r>
              <w:rPr>
                <w:rFonts w:hint="eastAsia"/>
                <w:bCs/>
                <w:color w:val="auto"/>
              </w:rPr>
              <w:t>。根据资料查阅、现场查验和验收</w:t>
            </w:r>
            <w:r>
              <w:rPr>
                <w:rFonts w:hint="eastAsia"/>
                <w:bCs/>
                <w:color w:val="auto"/>
                <w:lang w:val="en-US" w:eastAsia="zh-CN"/>
              </w:rPr>
              <w:t>监测</w:t>
            </w:r>
            <w:r>
              <w:rPr>
                <w:rFonts w:hint="eastAsia"/>
                <w:bCs/>
                <w:color w:val="auto"/>
              </w:rPr>
              <w:t>结果，</w:t>
            </w:r>
            <w:r>
              <w:rPr>
                <w:rFonts w:hint="eastAsia"/>
                <w:color w:val="auto"/>
              </w:rPr>
              <w:t>按照《建设项目竣工环境保护验收技术指南</w:t>
            </w:r>
            <w:r>
              <w:rPr>
                <w:rFonts w:hint="default"/>
                <w:color w:val="auto"/>
              </w:rPr>
              <w:t xml:space="preserve"> </w:t>
            </w:r>
            <w:r>
              <w:rPr>
                <w:rFonts w:hint="eastAsia"/>
                <w:color w:val="auto"/>
              </w:rPr>
              <w:t>污染物影响类》要求，编制完成了《</w:t>
            </w:r>
            <w:r>
              <w:rPr>
                <w:rFonts w:hint="eastAsia"/>
                <w:bCs/>
                <w:color w:val="auto"/>
                <w:lang w:eastAsia="zh-CN"/>
              </w:rPr>
              <w:t>四川金顶维食品有限公司餐佐料生产线扩建项目</w:t>
            </w:r>
            <w:r>
              <w:rPr>
                <w:rFonts w:hint="eastAsia"/>
                <w:color w:val="auto"/>
              </w:rPr>
              <w:t>竣工环境保护验收监测报告表》。</w:t>
            </w:r>
          </w:p>
          <w:p w14:paraId="4FD4E940">
            <w:pPr>
              <w:pStyle w:val="5"/>
              <w:keepNext w:val="0"/>
              <w:keepLines w:val="0"/>
              <w:suppressLineNumbers w:val="0"/>
              <w:spacing w:before="0" w:beforeAutospacing="0" w:after="0" w:afterAutospacing="0"/>
              <w:ind w:left="0" w:right="0"/>
              <w:rPr>
                <w:rFonts w:hint="default"/>
                <w:color w:val="auto"/>
                <w:sz w:val="24"/>
                <w:szCs w:val="24"/>
              </w:rPr>
            </w:pPr>
            <w:bookmarkStart w:id="6" w:name="_Toc519150473"/>
            <w:r>
              <w:rPr>
                <w:rFonts w:hint="default"/>
                <w:color w:val="auto"/>
                <w:sz w:val="24"/>
                <w:szCs w:val="24"/>
              </w:rPr>
              <w:t>2</w:t>
            </w:r>
            <w:r>
              <w:rPr>
                <w:rFonts w:hint="eastAsia"/>
                <w:color w:val="auto"/>
                <w:sz w:val="24"/>
                <w:szCs w:val="24"/>
              </w:rPr>
              <w:t>、地理位置及平面布置</w:t>
            </w:r>
            <w:bookmarkEnd w:id="6"/>
          </w:p>
          <w:p w14:paraId="2312A626">
            <w:pPr>
              <w:keepNext w:val="0"/>
              <w:keepLines w:val="0"/>
              <w:widowControl/>
              <w:suppressLineNumbers w:val="0"/>
              <w:spacing w:before="0" w:beforeAutospacing="0" w:after="0" w:afterAutospacing="0"/>
              <w:ind w:left="0" w:right="0" w:firstLine="480"/>
              <w:rPr>
                <w:rFonts w:hint="default"/>
                <w:color w:val="auto"/>
              </w:rPr>
            </w:pPr>
            <w:bookmarkStart w:id="7" w:name="_Toc519150474"/>
            <w:r>
              <w:rPr>
                <w:rFonts w:hint="eastAsia"/>
                <w:color w:val="auto"/>
              </w:rPr>
              <w:t>（</w:t>
            </w:r>
            <w:r>
              <w:rPr>
                <w:rFonts w:hint="default"/>
                <w:color w:val="auto"/>
              </w:rPr>
              <w:t>1</w:t>
            </w:r>
            <w:r>
              <w:rPr>
                <w:rFonts w:hint="eastAsia"/>
                <w:color w:val="auto"/>
              </w:rPr>
              <w:t>）地理位置</w:t>
            </w:r>
          </w:p>
          <w:p w14:paraId="16B7DCAB">
            <w:pPr>
              <w:keepNext w:val="0"/>
              <w:keepLines w:val="0"/>
              <w:widowControl/>
              <w:suppressLineNumbers w:val="0"/>
              <w:spacing w:before="0" w:beforeAutospacing="0" w:after="0" w:afterAutospacing="0"/>
              <w:ind w:left="0" w:right="0" w:firstLine="480"/>
              <w:rPr>
                <w:rFonts w:hint="default"/>
                <w:bCs/>
                <w:color w:val="auto"/>
              </w:rPr>
            </w:pPr>
            <w:r>
              <w:rPr>
                <w:rFonts w:hint="default"/>
                <w:color w:val="auto"/>
                <w:szCs w:val="24"/>
              </w:rPr>
              <w:t>本项目</w:t>
            </w:r>
            <w:r>
              <w:rPr>
                <w:rFonts w:hint="eastAsia"/>
                <w:color w:val="auto"/>
                <w:szCs w:val="24"/>
                <w:lang w:eastAsia="zh-CN"/>
              </w:rPr>
              <w:t>位于</w:t>
            </w:r>
            <w:r>
              <w:rPr>
                <w:rFonts w:hint="eastAsia" w:ascii="宋体" w:hAnsi="宋体" w:cs="宋体"/>
                <w:color w:val="auto"/>
                <w:sz w:val="24"/>
                <w:szCs w:val="24"/>
                <w:lang w:eastAsia="zh-CN"/>
              </w:rPr>
              <w:t>眉山高新技术产业园区东区</w:t>
            </w:r>
            <w:r>
              <w:rPr>
                <w:rFonts w:hint="eastAsia"/>
                <w:color w:val="auto"/>
                <w:szCs w:val="24"/>
                <w:lang w:eastAsia="zh-CN"/>
              </w:rPr>
              <w:t>（</w:t>
            </w:r>
            <w:r>
              <w:rPr>
                <w:rFonts w:hint="eastAsia"/>
                <w:color w:val="auto"/>
                <w:szCs w:val="24"/>
                <w:lang w:val="en-US" w:eastAsia="zh-CN"/>
              </w:rPr>
              <w:t>103</w:t>
            </w:r>
            <w:r>
              <w:rPr>
                <w:rFonts w:hint="eastAsia"/>
                <w:color w:val="auto"/>
                <w:szCs w:val="24"/>
                <w:lang w:eastAsia="zh-CN"/>
              </w:rPr>
              <w:t>度</w:t>
            </w:r>
            <w:r>
              <w:rPr>
                <w:rFonts w:hint="eastAsia"/>
                <w:color w:val="auto"/>
                <w:szCs w:val="24"/>
                <w:lang w:val="en-US" w:eastAsia="zh-CN"/>
              </w:rPr>
              <w:t>50</w:t>
            </w:r>
            <w:r>
              <w:rPr>
                <w:rFonts w:hint="eastAsia"/>
                <w:color w:val="auto"/>
                <w:szCs w:val="24"/>
                <w:lang w:eastAsia="zh-CN"/>
              </w:rPr>
              <w:t>分</w:t>
            </w:r>
            <w:r>
              <w:rPr>
                <w:rFonts w:hint="eastAsia"/>
                <w:color w:val="auto"/>
                <w:szCs w:val="24"/>
                <w:lang w:val="en-US" w:eastAsia="zh-CN"/>
              </w:rPr>
              <w:t>45.378</w:t>
            </w:r>
            <w:r>
              <w:rPr>
                <w:rFonts w:hint="eastAsia"/>
                <w:color w:val="auto"/>
                <w:szCs w:val="24"/>
                <w:lang w:eastAsia="zh-CN"/>
              </w:rPr>
              <w:t>秒，</w:t>
            </w:r>
            <w:r>
              <w:rPr>
                <w:rFonts w:hint="eastAsia"/>
                <w:color w:val="auto"/>
                <w:szCs w:val="24"/>
                <w:lang w:val="en-US" w:eastAsia="zh-CN"/>
              </w:rPr>
              <w:t>30</w:t>
            </w:r>
            <w:r>
              <w:rPr>
                <w:rFonts w:hint="eastAsia"/>
                <w:color w:val="auto"/>
                <w:szCs w:val="24"/>
                <w:lang w:eastAsia="zh-CN"/>
              </w:rPr>
              <w:t>度</w:t>
            </w:r>
            <w:r>
              <w:rPr>
                <w:rFonts w:hint="eastAsia"/>
                <w:color w:val="auto"/>
                <w:szCs w:val="24"/>
                <w:lang w:val="en-US" w:eastAsia="zh-CN"/>
              </w:rPr>
              <w:t>0</w:t>
            </w:r>
            <w:r>
              <w:rPr>
                <w:rFonts w:hint="eastAsia"/>
                <w:color w:val="auto"/>
                <w:szCs w:val="24"/>
                <w:lang w:eastAsia="zh-CN"/>
              </w:rPr>
              <w:t>分</w:t>
            </w:r>
            <w:r>
              <w:rPr>
                <w:rFonts w:hint="eastAsia"/>
                <w:color w:val="auto"/>
                <w:szCs w:val="24"/>
                <w:lang w:val="en-US" w:eastAsia="zh-CN"/>
              </w:rPr>
              <w:t>58.842</w:t>
            </w:r>
            <w:r>
              <w:rPr>
                <w:rFonts w:hint="eastAsia"/>
                <w:color w:val="auto"/>
                <w:szCs w:val="24"/>
                <w:lang w:eastAsia="zh-CN"/>
              </w:rPr>
              <w:t>秒），</w:t>
            </w:r>
            <w:r>
              <w:rPr>
                <w:rFonts w:hint="default"/>
                <w:color w:val="auto"/>
                <w:szCs w:val="24"/>
              </w:rPr>
              <w:t>与环评</w:t>
            </w:r>
            <w:r>
              <w:rPr>
                <w:rFonts w:hint="eastAsia"/>
                <w:color w:val="auto"/>
                <w:szCs w:val="24"/>
              </w:rPr>
              <w:t>报告和批复中建设地址</w:t>
            </w:r>
            <w:r>
              <w:rPr>
                <w:rFonts w:hint="default"/>
                <w:color w:val="auto"/>
                <w:szCs w:val="24"/>
              </w:rPr>
              <w:t>一致。项目地理位置见附图1。</w:t>
            </w:r>
          </w:p>
          <w:p w14:paraId="28EAEB36">
            <w:pPr>
              <w:keepNext w:val="0"/>
              <w:keepLines w:val="0"/>
              <w:widowControl/>
              <w:suppressLineNumbers w:val="0"/>
              <w:spacing w:before="0" w:beforeAutospacing="0" w:after="0" w:afterAutospacing="0"/>
              <w:ind w:left="0" w:right="0" w:firstLine="480"/>
              <w:rPr>
                <w:rFonts w:hint="default"/>
                <w:color w:val="auto"/>
              </w:rPr>
            </w:pPr>
            <w:r>
              <w:rPr>
                <w:rFonts w:hint="eastAsia"/>
                <w:color w:val="auto"/>
              </w:rPr>
              <w:t>（</w:t>
            </w:r>
            <w:r>
              <w:rPr>
                <w:rFonts w:hint="default"/>
                <w:color w:val="auto"/>
              </w:rPr>
              <w:t>2</w:t>
            </w:r>
            <w:r>
              <w:rPr>
                <w:rFonts w:hint="eastAsia"/>
                <w:color w:val="auto"/>
              </w:rPr>
              <w:t>）外环境关系</w:t>
            </w:r>
          </w:p>
          <w:p w14:paraId="29BD423C">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eastAsia"/>
                <w:color w:val="auto"/>
                <w:kern w:val="0"/>
                <w:sz w:val="24"/>
              </w:rPr>
            </w:pPr>
            <w:r>
              <w:rPr>
                <w:rFonts w:hint="eastAsia"/>
                <w:color w:val="auto"/>
                <w:kern w:val="0"/>
                <w:sz w:val="24"/>
              </w:rPr>
              <w:t>本项目位于眉山市东坡区“中国泡菜城”。根据现场勘查可知，项目外环境关系如下：</w:t>
            </w:r>
          </w:p>
          <w:p w14:paraId="6A4D1120">
            <w:pPr>
              <w:pStyle w:val="94"/>
              <w:keepNext w:val="0"/>
              <w:keepLines w:val="0"/>
              <w:widowControl/>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lang w:val="en-US" w:eastAsia="zh-CN"/>
              </w:rPr>
              <w:t>表</w:t>
            </w:r>
            <w:r>
              <w:rPr>
                <w:rFonts w:hint="eastAsia" w:cs="Times New Roman"/>
                <w:color w:val="auto"/>
                <w:sz w:val="21"/>
                <w:szCs w:val="21"/>
                <w:lang w:val="en-US" w:eastAsia="zh-CN"/>
              </w:rPr>
              <w:t>2-1</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lang w:val="en-US" w:eastAsia="zh-CN"/>
              </w:rPr>
              <w:t>外环境关系一览表</w:t>
            </w:r>
          </w:p>
          <w:tbl>
            <w:tblPr>
              <w:tblStyle w:val="28"/>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3514"/>
              <w:gridCol w:w="1006"/>
              <w:gridCol w:w="1438"/>
              <w:gridCol w:w="2102"/>
            </w:tblGrid>
            <w:tr w14:paraId="45D967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71DD12F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序号</w:t>
                  </w:r>
                </w:p>
              </w:tc>
              <w:tc>
                <w:tcPr>
                  <w:tcW w:w="1984" w:type="pct"/>
                  <w:noWrap w:val="0"/>
                  <w:vAlign w:val="center"/>
                </w:tcPr>
                <w:p w14:paraId="5C83FD1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企业名称</w:t>
                  </w:r>
                </w:p>
              </w:tc>
              <w:tc>
                <w:tcPr>
                  <w:tcW w:w="568" w:type="pct"/>
                  <w:noWrap w:val="0"/>
                  <w:vAlign w:val="center"/>
                </w:tcPr>
                <w:p w14:paraId="1CAD64E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方向</w:t>
                  </w:r>
                </w:p>
              </w:tc>
              <w:tc>
                <w:tcPr>
                  <w:tcW w:w="812" w:type="pct"/>
                  <w:noWrap w:val="0"/>
                  <w:vAlign w:val="center"/>
                </w:tcPr>
                <w:p w14:paraId="31AC4ED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距离</w:t>
                  </w:r>
                </w:p>
              </w:tc>
              <w:tc>
                <w:tcPr>
                  <w:tcW w:w="1187" w:type="pct"/>
                  <w:noWrap w:val="0"/>
                  <w:vAlign w:val="center"/>
                </w:tcPr>
                <w:p w14:paraId="40275A3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行业类别</w:t>
                  </w:r>
                </w:p>
              </w:tc>
            </w:tr>
            <w:tr w14:paraId="725573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671EA83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w:t>
                  </w:r>
                </w:p>
              </w:tc>
              <w:tc>
                <w:tcPr>
                  <w:tcW w:w="1984" w:type="pct"/>
                  <w:noWrap w:val="0"/>
                  <w:vAlign w:val="center"/>
                </w:tcPr>
                <w:p w14:paraId="4D0CB5A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eastAsia="宋体"/>
                      <w:color w:val="auto"/>
                      <w:sz w:val="21"/>
                      <w:szCs w:val="21"/>
                      <w:lang w:val="en-US" w:eastAsia="zh-CN"/>
                    </w:rPr>
                    <w:t>四川憨乐憨食品有限公司</w:t>
                  </w:r>
                </w:p>
              </w:tc>
              <w:tc>
                <w:tcPr>
                  <w:tcW w:w="568" w:type="pct"/>
                  <w:noWrap w:val="0"/>
                  <w:vAlign w:val="center"/>
                </w:tcPr>
                <w:p w14:paraId="2BB878B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南</w:t>
                  </w:r>
                </w:p>
              </w:tc>
              <w:tc>
                <w:tcPr>
                  <w:tcW w:w="812" w:type="pct"/>
                  <w:noWrap w:val="0"/>
                  <w:vAlign w:val="center"/>
                </w:tcPr>
                <w:p w14:paraId="29A5035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紧邻</w:t>
                  </w:r>
                </w:p>
              </w:tc>
              <w:tc>
                <w:tcPr>
                  <w:tcW w:w="1187" w:type="pct"/>
                  <w:noWrap w:val="0"/>
                  <w:vAlign w:val="center"/>
                </w:tcPr>
                <w:p w14:paraId="7551E5A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食品制造</w:t>
                  </w:r>
                </w:p>
              </w:tc>
            </w:tr>
            <w:tr w14:paraId="3E24A8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2B4676F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2</w:t>
                  </w:r>
                </w:p>
              </w:tc>
              <w:tc>
                <w:tcPr>
                  <w:tcW w:w="1984" w:type="pct"/>
                  <w:noWrap w:val="0"/>
                  <w:vAlign w:val="center"/>
                </w:tcPr>
                <w:p w14:paraId="2838198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四川</w:t>
                  </w:r>
                  <w:r>
                    <w:rPr>
                      <w:rFonts w:hint="eastAsia"/>
                      <w:color w:val="auto"/>
                      <w:sz w:val="21"/>
                      <w:szCs w:val="21"/>
                      <w:lang w:val="en-US" w:eastAsia="zh-CN"/>
                    </w:rPr>
                    <w:t>眉山黄记酱菜食品</w:t>
                  </w:r>
                  <w:r>
                    <w:rPr>
                      <w:rFonts w:hint="eastAsia" w:eastAsia="宋体"/>
                      <w:color w:val="auto"/>
                      <w:sz w:val="21"/>
                      <w:szCs w:val="21"/>
                      <w:lang w:val="en-US" w:eastAsia="zh-CN"/>
                    </w:rPr>
                    <w:t>有限公司</w:t>
                  </w:r>
                </w:p>
              </w:tc>
              <w:tc>
                <w:tcPr>
                  <w:tcW w:w="568" w:type="pct"/>
                  <w:noWrap w:val="0"/>
                  <w:vAlign w:val="center"/>
                </w:tcPr>
                <w:p w14:paraId="27D825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北</w:t>
                  </w:r>
                </w:p>
              </w:tc>
              <w:tc>
                <w:tcPr>
                  <w:tcW w:w="812" w:type="pct"/>
                  <w:noWrap w:val="0"/>
                  <w:vAlign w:val="center"/>
                </w:tcPr>
                <w:p w14:paraId="652A3B1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紧邻</w:t>
                  </w:r>
                </w:p>
              </w:tc>
              <w:tc>
                <w:tcPr>
                  <w:tcW w:w="1187" w:type="pct"/>
                  <w:noWrap w:val="0"/>
                  <w:vAlign w:val="center"/>
                </w:tcPr>
                <w:p w14:paraId="470E668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sz w:val="21"/>
                      <w:szCs w:val="21"/>
                      <w:lang w:val="en-US" w:eastAsia="zh-CN"/>
                    </w:rPr>
                  </w:pPr>
                  <w:r>
                    <w:rPr>
                      <w:rFonts w:hint="eastAsia" w:ascii="Times New Roman" w:hAnsi="Times New Roman" w:eastAsia="宋体" w:cs="Times New Roman"/>
                      <w:color w:val="auto"/>
                      <w:kern w:val="0"/>
                      <w:sz w:val="21"/>
                      <w:szCs w:val="21"/>
                      <w:lang w:val="en-US" w:eastAsia="zh-CN"/>
                    </w:rPr>
                    <w:t>食品制造</w:t>
                  </w:r>
                </w:p>
              </w:tc>
            </w:tr>
            <w:tr w14:paraId="0115F9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4983965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w:t>
                  </w:r>
                </w:p>
              </w:tc>
              <w:tc>
                <w:tcPr>
                  <w:tcW w:w="1984" w:type="pct"/>
                  <w:noWrap w:val="0"/>
                  <w:vAlign w:val="center"/>
                </w:tcPr>
                <w:p w14:paraId="5DADA26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color w:val="auto"/>
                      <w:sz w:val="21"/>
                      <w:szCs w:val="21"/>
                      <w:lang w:val="en-US" w:eastAsia="zh-CN"/>
                    </w:rPr>
                    <w:t>四川大有食品</w:t>
                  </w:r>
                  <w:r>
                    <w:rPr>
                      <w:rFonts w:hint="eastAsia" w:eastAsia="宋体"/>
                      <w:color w:val="auto"/>
                      <w:sz w:val="21"/>
                      <w:szCs w:val="21"/>
                      <w:lang w:val="en-US" w:eastAsia="zh-CN"/>
                    </w:rPr>
                    <w:t>有限公司</w:t>
                  </w:r>
                </w:p>
              </w:tc>
              <w:tc>
                <w:tcPr>
                  <w:tcW w:w="568" w:type="pct"/>
                  <w:noWrap w:val="0"/>
                  <w:vAlign w:val="center"/>
                </w:tcPr>
                <w:p w14:paraId="16174B7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东</w:t>
                  </w:r>
                  <w:r>
                    <w:rPr>
                      <w:rFonts w:hint="eastAsia" w:cs="Times New Roman"/>
                      <w:color w:val="auto"/>
                      <w:kern w:val="0"/>
                      <w:sz w:val="21"/>
                      <w:szCs w:val="21"/>
                      <w:lang w:eastAsia="zh-CN"/>
                    </w:rPr>
                    <w:t>北</w:t>
                  </w:r>
                </w:p>
              </w:tc>
              <w:tc>
                <w:tcPr>
                  <w:tcW w:w="812" w:type="pct"/>
                  <w:noWrap w:val="0"/>
                  <w:vAlign w:val="center"/>
                </w:tcPr>
                <w:p w14:paraId="0604980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30m</w:t>
                  </w:r>
                </w:p>
              </w:tc>
              <w:tc>
                <w:tcPr>
                  <w:tcW w:w="1187" w:type="pct"/>
                  <w:noWrap w:val="0"/>
                  <w:vAlign w:val="center"/>
                </w:tcPr>
                <w:p w14:paraId="19989AB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val="en-US" w:eastAsia="zh-CN"/>
                    </w:rPr>
                    <w:t>食品制造</w:t>
                  </w:r>
                </w:p>
              </w:tc>
            </w:tr>
            <w:tr w14:paraId="0537D7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0ECA77B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w:t>
                  </w:r>
                </w:p>
              </w:tc>
              <w:tc>
                <w:tcPr>
                  <w:tcW w:w="1984" w:type="pct"/>
                  <w:noWrap w:val="0"/>
                  <w:vAlign w:val="center"/>
                </w:tcPr>
                <w:p w14:paraId="097BCAD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color w:val="auto"/>
                      <w:sz w:val="21"/>
                      <w:szCs w:val="21"/>
                      <w:lang w:val="en-US" w:eastAsia="zh-CN"/>
                    </w:rPr>
                    <w:t>四川宏福食品</w:t>
                  </w:r>
                  <w:r>
                    <w:rPr>
                      <w:rFonts w:hint="eastAsia" w:eastAsia="宋体"/>
                      <w:color w:val="auto"/>
                      <w:sz w:val="21"/>
                      <w:szCs w:val="21"/>
                      <w:lang w:val="en-US" w:eastAsia="zh-CN"/>
                    </w:rPr>
                    <w:t>有限公司</w:t>
                  </w:r>
                </w:p>
              </w:tc>
              <w:tc>
                <w:tcPr>
                  <w:tcW w:w="568" w:type="pct"/>
                  <w:noWrap w:val="0"/>
                  <w:vAlign w:val="center"/>
                </w:tcPr>
                <w:p w14:paraId="2ABF495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东南</w:t>
                  </w:r>
                </w:p>
              </w:tc>
              <w:tc>
                <w:tcPr>
                  <w:tcW w:w="812" w:type="pct"/>
                  <w:noWrap w:val="0"/>
                  <w:vAlign w:val="center"/>
                </w:tcPr>
                <w:p w14:paraId="1F657F6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20</w:t>
                  </w:r>
                  <w:r>
                    <w:rPr>
                      <w:rFonts w:hint="eastAsia" w:ascii="Times New Roman" w:hAnsi="Times New Roman" w:eastAsia="宋体" w:cs="Times New Roman"/>
                      <w:color w:val="auto"/>
                      <w:kern w:val="0"/>
                      <w:sz w:val="21"/>
                      <w:szCs w:val="21"/>
                      <w:lang w:val="en-US" w:eastAsia="zh-CN"/>
                    </w:rPr>
                    <w:t>m</w:t>
                  </w:r>
                </w:p>
              </w:tc>
              <w:tc>
                <w:tcPr>
                  <w:tcW w:w="1187" w:type="pct"/>
                  <w:noWrap w:val="0"/>
                  <w:vAlign w:val="center"/>
                </w:tcPr>
                <w:p w14:paraId="2FEB3F6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val="en-US" w:eastAsia="zh-CN"/>
                    </w:rPr>
                    <w:t>食品制造</w:t>
                  </w:r>
                </w:p>
              </w:tc>
            </w:tr>
            <w:tr w14:paraId="5CE5D6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1E4DBE2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5</w:t>
                  </w:r>
                </w:p>
              </w:tc>
              <w:tc>
                <w:tcPr>
                  <w:tcW w:w="1984" w:type="pct"/>
                  <w:noWrap w:val="0"/>
                  <w:vAlign w:val="center"/>
                </w:tcPr>
                <w:p w14:paraId="2CBF869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sz w:val="21"/>
                      <w:szCs w:val="21"/>
                      <w:lang w:val="en-US" w:eastAsia="zh-CN"/>
                    </w:rPr>
                  </w:pPr>
                  <w:r>
                    <w:rPr>
                      <w:rFonts w:hint="eastAsia" w:eastAsia="宋体"/>
                      <w:color w:val="auto"/>
                      <w:sz w:val="21"/>
                      <w:szCs w:val="21"/>
                      <w:lang w:val="en-US" w:eastAsia="zh-CN"/>
                    </w:rPr>
                    <w:t>四川</w:t>
                  </w:r>
                  <w:r>
                    <w:rPr>
                      <w:rFonts w:hint="eastAsia"/>
                      <w:color w:val="auto"/>
                      <w:sz w:val="21"/>
                      <w:szCs w:val="21"/>
                      <w:lang w:val="en-US" w:eastAsia="zh-CN"/>
                    </w:rPr>
                    <w:t>味之浓</w:t>
                  </w:r>
                  <w:r>
                    <w:rPr>
                      <w:rFonts w:hint="eastAsia" w:eastAsia="宋体"/>
                      <w:color w:val="auto"/>
                      <w:sz w:val="21"/>
                      <w:szCs w:val="21"/>
                      <w:lang w:val="en-US" w:eastAsia="zh-CN"/>
                    </w:rPr>
                    <w:t>有限公司</w:t>
                  </w:r>
                </w:p>
              </w:tc>
              <w:tc>
                <w:tcPr>
                  <w:tcW w:w="568" w:type="pct"/>
                  <w:noWrap w:val="0"/>
                  <w:vAlign w:val="center"/>
                </w:tcPr>
                <w:p w14:paraId="4CFE248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东</w:t>
                  </w:r>
                </w:p>
              </w:tc>
              <w:tc>
                <w:tcPr>
                  <w:tcW w:w="812" w:type="pct"/>
                  <w:noWrap w:val="0"/>
                  <w:vAlign w:val="center"/>
                </w:tcPr>
                <w:p w14:paraId="4DCF435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20m</w:t>
                  </w:r>
                </w:p>
              </w:tc>
              <w:tc>
                <w:tcPr>
                  <w:tcW w:w="1187" w:type="pct"/>
                  <w:noWrap w:val="0"/>
                  <w:vAlign w:val="center"/>
                </w:tcPr>
                <w:p w14:paraId="7F186F6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val="en-US" w:eastAsia="zh-CN"/>
                    </w:rPr>
                    <w:t>食品制造</w:t>
                  </w:r>
                </w:p>
              </w:tc>
            </w:tr>
            <w:tr w14:paraId="24CCC6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7" w:type="pct"/>
                  <w:noWrap w:val="0"/>
                  <w:vAlign w:val="center"/>
                </w:tcPr>
                <w:p w14:paraId="7F8DBFD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6</w:t>
                  </w:r>
                </w:p>
              </w:tc>
              <w:tc>
                <w:tcPr>
                  <w:tcW w:w="1984" w:type="pct"/>
                  <w:noWrap w:val="0"/>
                  <w:vAlign w:val="center"/>
                </w:tcPr>
                <w:p w14:paraId="7BB92AB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color w:val="auto"/>
                      <w:sz w:val="21"/>
                      <w:szCs w:val="21"/>
                      <w:lang w:val="en-US" w:eastAsia="zh-CN"/>
                    </w:rPr>
                    <w:t>四川与美食品有限公司</w:t>
                  </w:r>
                </w:p>
              </w:tc>
              <w:tc>
                <w:tcPr>
                  <w:tcW w:w="568" w:type="pct"/>
                  <w:noWrap w:val="0"/>
                  <w:vAlign w:val="center"/>
                </w:tcPr>
                <w:p w14:paraId="1751F05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西</w:t>
                  </w:r>
                  <w:r>
                    <w:rPr>
                      <w:rFonts w:hint="eastAsia" w:ascii="Times New Roman" w:hAnsi="Times New Roman" w:eastAsia="宋体" w:cs="Times New Roman"/>
                      <w:color w:val="auto"/>
                      <w:kern w:val="0"/>
                      <w:sz w:val="21"/>
                      <w:szCs w:val="21"/>
                      <w:lang w:eastAsia="zh-CN"/>
                    </w:rPr>
                    <w:t>南</w:t>
                  </w:r>
                </w:p>
              </w:tc>
              <w:tc>
                <w:tcPr>
                  <w:tcW w:w="812" w:type="pct"/>
                  <w:noWrap w:val="0"/>
                  <w:vAlign w:val="center"/>
                </w:tcPr>
                <w:p w14:paraId="1CB632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w:t>
                  </w:r>
                  <w:r>
                    <w:rPr>
                      <w:rFonts w:hint="eastAsia" w:cs="Times New Roman"/>
                      <w:color w:val="auto"/>
                      <w:kern w:val="0"/>
                      <w:sz w:val="21"/>
                      <w:szCs w:val="21"/>
                      <w:lang w:val="en-US" w:eastAsia="zh-CN"/>
                    </w:rPr>
                    <w:t>7</w:t>
                  </w:r>
                  <w:r>
                    <w:rPr>
                      <w:rFonts w:hint="eastAsia" w:ascii="Times New Roman" w:hAnsi="Times New Roman" w:eastAsia="宋体" w:cs="Times New Roman"/>
                      <w:color w:val="auto"/>
                      <w:kern w:val="0"/>
                      <w:sz w:val="21"/>
                      <w:szCs w:val="21"/>
                      <w:lang w:val="en-US" w:eastAsia="zh-CN"/>
                    </w:rPr>
                    <w:t>0m</w:t>
                  </w:r>
                </w:p>
              </w:tc>
              <w:tc>
                <w:tcPr>
                  <w:tcW w:w="1187" w:type="pct"/>
                  <w:noWrap w:val="0"/>
                  <w:vAlign w:val="center"/>
                </w:tcPr>
                <w:p w14:paraId="4D8D2CC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val="en-US" w:eastAsia="zh-CN"/>
                    </w:rPr>
                    <w:t>食品制造</w:t>
                  </w:r>
                </w:p>
              </w:tc>
            </w:tr>
            <w:tr w14:paraId="5D4821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18FB756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7</w:t>
                  </w:r>
                </w:p>
              </w:tc>
              <w:tc>
                <w:tcPr>
                  <w:tcW w:w="1984" w:type="pct"/>
                  <w:noWrap w:val="0"/>
                  <w:vAlign w:val="center"/>
                </w:tcPr>
                <w:p w14:paraId="5CAB214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val="en-US" w:eastAsia="zh-CN"/>
                    </w:rPr>
                  </w:pPr>
                  <w:r>
                    <w:rPr>
                      <w:rFonts w:hint="eastAsia" w:cs="Times New Roman"/>
                      <w:color w:val="auto"/>
                      <w:kern w:val="0"/>
                      <w:sz w:val="21"/>
                      <w:szCs w:val="21"/>
                      <w:lang w:val="en-US" w:eastAsia="zh-CN"/>
                    </w:rPr>
                    <w:t>四川川辣源食品</w:t>
                  </w:r>
                  <w:r>
                    <w:rPr>
                      <w:rFonts w:hint="eastAsia" w:ascii="Times New Roman" w:hAnsi="Times New Roman" w:eastAsia="宋体" w:cs="Times New Roman"/>
                      <w:color w:val="auto"/>
                      <w:kern w:val="0"/>
                      <w:sz w:val="21"/>
                      <w:szCs w:val="21"/>
                      <w:lang w:val="en-US" w:eastAsia="zh-CN"/>
                    </w:rPr>
                    <w:t>有限公司</w:t>
                  </w:r>
                </w:p>
              </w:tc>
              <w:tc>
                <w:tcPr>
                  <w:tcW w:w="568" w:type="pct"/>
                  <w:noWrap w:val="0"/>
                  <w:vAlign w:val="center"/>
                </w:tcPr>
                <w:p w14:paraId="6AE7514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西</w:t>
                  </w:r>
                  <w:r>
                    <w:rPr>
                      <w:rFonts w:hint="eastAsia" w:ascii="Times New Roman" w:hAnsi="Times New Roman" w:eastAsia="宋体" w:cs="Times New Roman"/>
                      <w:color w:val="auto"/>
                      <w:kern w:val="0"/>
                      <w:sz w:val="21"/>
                      <w:szCs w:val="21"/>
                      <w:lang w:val="en-US" w:eastAsia="zh-CN"/>
                    </w:rPr>
                    <w:t>南</w:t>
                  </w:r>
                </w:p>
              </w:tc>
              <w:tc>
                <w:tcPr>
                  <w:tcW w:w="812" w:type="pct"/>
                  <w:noWrap w:val="0"/>
                  <w:vAlign w:val="center"/>
                </w:tcPr>
                <w:p w14:paraId="4DEA4A3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3</w:t>
                  </w:r>
                  <w:r>
                    <w:rPr>
                      <w:rFonts w:hint="eastAsia" w:ascii="Times New Roman" w:hAnsi="Times New Roman" w:eastAsia="宋体" w:cs="Times New Roman"/>
                      <w:color w:val="auto"/>
                      <w:kern w:val="0"/>
                      <w:sz w:val="21"/>
                      <w:szCs w:val="21"/>
                      <w:lang w:val="en-US" w:eastAsia="zh-CN"/>
                    </w:rPr>
                    <w:t>0m</w:t>
                  </w:r>
                </w:p>
              </w:tc>
              <w:tc>
                <w:tcPr>
                  <w:tcW w:w="1187" w:type="pct"/>
                  <w:noWrap w:val="0"/>
                  <w:vAlign w:val="center"/>
                </w:tcPr>
                <w:p w14:paraId="6DA68F3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val="en-US" w:eastAsia="zh-CN"/>
                    </w:rPr>
                  </w:pPr>
                  <w:r>
                    <w:rPr>
                      <w:rFonts w:hint="eastAsia" w:ascii="Times New Roman" w:hAnsi="Times New Roman" w:eastAsia="宋体" w:cs="Times New Roman"/>
                      <w:color w:val="auto"/>
                      <w:kern w:val="0"/>
                      <w:sz w:val="21"/>
                      <w:szCs w:val="21"/>
                      <w:lang w:val="en-US" w:eastAsia="zh-CN"/>
                    </w:rPr>
                    <w:t>食品制造</w:t>
                  </w:r>
                </w:p>
              </w:tc>
            </w:tr>
            <w:tr w14:paraId="702695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174397C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8</w:t>
                  </w:r>
                </w:p>
              </w:tc>
              <w:tc>
                <w:tcPr>
                  <w:tcW w:w="1984" w:type="pct"/>
                  <w:noWrap w:val="0"/>
                  <w:vAlign w:val="center"/>
                </w:tcPr>
                <w:p w14:paraId="07B3EA9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四川</w:t>
                  </w:r>
                  <w:r>
                    <w:rPr>
                      <w:rFonts w:hint="eastAsia" w:cs="Times New Roman"/>
                      <w:color w:val="auto"/>
                      <w:kern w:val="0"/>
                      <w:sz w:val="21"/>
                      <w:szCs w:val="21"/>
                      <w:lang w:val="en-US" w:eastAsia="zh-CN"/>
                    </w:rPr>
                    <w:t>蜀州龙食品</w:t>
                  </w:r>
                  <w:r>
                    <w:rPr>
                      <w:rFonts w:hint="eastAsia" w:ascii="Times New Roman" w:hAnsi="Times New Roman" w:eastAsia="宋体" w:cs="Times New Roman"/>
                      <w:color w:val="auto"/>
                      <w:kern w:val="0"/>
                      <w:sz w:val="21"/>
                      <w:szCs w:val="21"/>
                      <w:lang w:val="en-US" w:eastAsia="zh-CN"/>
                    </w:rPr>
                    <w:t>有限公司</w:t>
                  </w:r>
                </w:p>
              </w:tc>
              <w:tc>
                <w:tcPr>
                  <w:tcW w:w="568" w:type="pct"/>
                  <w:noWrap w:val="0"/>
                  <w:vAlign w:val="center"/>
                </w:tcPr>
                <w:p w14:paraId="092436E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东</w:t>
                  </w:r>
                </w:p>
              </w:tc>
              <w:tc>
                <w:tcPr>
                  <w:tcW w:w="812" w:type="pct"/>
                  <w:noWrap w:val="0"/>
                  <w:vAlign w:val="center"/>
                </w:tcPr>
                <w:p w14:paraId="2EE689A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0m</w:t>
                  </w:r>
                </w:p>
              </w:tc>
              <w:tc>
                <w:tcPr>
                  <w:tcW w:w="1187" w:type="pct"/>
                  <w:noWrap w:val="0"/>
                  <w:vAlign w:val="center"/>
                </w:tcPr>
                <w:p w14:paraId="2DC9FE6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食品制造</w:t>
                  </w:r>
                </w:p>
              </w:tc>
            </w:tr>
            <w:tr w14:paraId="2ACF7D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1F82413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9</w:t>
                  </w:r>
                </w:p>
              </w:tc>
              <w:tc>
                <w:tcPr>
                  <w:tcW w:w="1984" w:type="pct"/>
                  <w:noWrap w:val="0"/>
                  <w:vAlign w:val="center"/>
                </w:tcPr>
                <w:p w14:paraId="655B3E7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红四方食品</w:t>
                  </w:r>
                  <w:r>
                    <w:rPr>
                      <w:rFonts w:hint="eastAsia" w:ascii="Times New Roman" w:hAnsi="Times New Roman" w:eastAsia="宋体" w:cs="Times New Roman"/>
                      <w:color w:val="auto"/>
                      <w:kern w:val="0"/>
                      <w:sz w:val="21"/>
                      <w:szCs w:val="21"/>
                      <w:lang w:val="en-US" w:eastAsia="zh-CN"/>
                    </w:rPr>
                    <w:t>有限公司</w:t>
                  </w:r>
                </w:p>
              </w:tc>
              <w:tc>
                <w:tcPr>
                  <w:tcW w:w="568" w:type="pct"/>
                  <w:noWrap w:val="0"/>
                  <w:vAlign w:val="center"/>
                </w:tcPr>
                <w:p w14:paraId="007D05F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北</w:t>
                  </w:r>
                </w:p>
              </w:tc>
              <w:tc>
                <w:tcPr>
                  <w:tcW w:w="812" w:type="pct"/>
                  <w:noWrap w:val="0"/>
                  <w:vAlign w:val="center"/>
                </w:tcPr>
                <w:p w14:paraId="5AFFF0F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3</w:t>
                  </w:r>
                  <w:r>
                    <w:rPr>
                      <w:rFonts w:hint="eastAsia" w:ascii="Times New Roman" w:hAnsi="Times New Roman" w:eastAsia="宋体" w:cs="Times New Roman"/>
                      <w:color w:val="auto"/>
                      <w:kern w:val="0"/>
                      <w:sz w:val="21"/>
                      <w:szCs w:val="21"/>
                      <w:lang w:val="en-US" w:eastAsia="zh-CN"/>
                    </w:rPr>
                    <w:t>0m</w:t>
                  </w:r>
                </w:p>
              </w:tc>
              <w:tc>
                <w:tcPr>
                  <w:tcW w:w="1187" w:type="pct"/>
                  <w:noWrap w:val="0"/>
                  <w:vAlign w:val="center"/>
                </w:tcPr>
                <w:p w14:paraId="118AC62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食品制造</w:t>
                  </w:r>
                </w:p>
              </w:tc>
            </w:tr>
            <w:tr w14:paraId="7735C5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201218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10</w:t>
                  </w:r>
                </w:p>
              </w:tc>
              <w:tc>
                <w:tcPr>
                  <w:tcW w:w="1984" w:type="pct"/>
                  <w:noWrap w:val="0"/>
                  <w:vAlign w:val="center"/>
                </w:tcPr>
                <w:p w14:paraId="0F33D46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废墟啤酒（眉山）有限责任公司</w:t>
                  </w:r>
                </w:p>
              </w:tc>
              <w:tc>
                <w:tcPr>
                  <w:tcW w:w="568" w:type="pct"/>
                  <w:noWrap w:val="0"/>
                  <w:vAlign w:val="center"/>
                </w:tcPr>
                <w:p w14:paraId="08E94B7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东</w:t>
                  </w:r>
                  <w:r>
                    <w:rPr>
                      <w:rFonts w:hint="eastAsia" w:cs="Times New Roman"/>
                      <w:color w:val="auto"/>
                      <w:kern w:val="0"/>
                      <w:sz w:val="21"/>
                      <w:szCs w:val="21"/>
                      <w:lang w:eastAsia="zh-CN"/>
                    </w:rPr>
                    <w:t>北</w:t>
                  </w:r>
                </w:p>
              </w:tc>
              <w:tc>
                <w:tcPr>
                  <w:tcW w:w="812" w:type="pct"/>
                  <w:noWrap w:val="0"/>
                  <w:vAlign w:val="center"/>
                </w:tcPr>
                <w:p w14:paraId="204100A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130m</w:t>
                  </w:r>
                </w:p>
              </w:tc>
              <w:tc>
                <w:tcPr>
                  <w:tcW w:w="1187" w:type="pct"/>
                  <w:noWrap w:val="0"/>
                  <w:vAlign w:val="center"/>
                </w:tcPr>
                <w:p w14:paraId="17404E2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啤酒</w:t>
                  </w:r>
                  <w:r>
                    <w:rPr>
                      <w:rFonts w:hint="eastAsia" w:ascii="Times New Roman" w:hAnsi="Times New Roman" w:eastAsia="宋体" w:cs="Times New Roman"/>
                      <w:color w:val="auto"/>
                      <w:kern w:val="0"/>
                      <w:sz w:val="21"/>
                      <w:szCs w:val="21"/>
                      <w:lang w:val="en-US" w:eastAsia="zh-CN"/>
                    </w:rPr>
                    <w:t>制造</w:t>
                  </w:r>
                </w:p>
              </w:tc>
            </w:tr>
            <w:tr w14:paraId="6C6A37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7" w:type="pct"/>
                  <w:noWrap w:val="0"/>
                  <w:vAlign w:val="center"/>
                </w:tcPr>
                <w:p w14:paraId="3C46DD0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11</w:t>
                  </w:r>
                </w:p>
              </w:tc>
              <w:tc>
                <w:tcPr>
                  <w:tcW w:w="1984" w:type="pct"/>
                  <w:noWrap w:val="0"/>
                  <w:vAlign w:val="center"/>
                </w:tcPr>
                <w:p w14:paraId="3BC2624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四川</w:t>
                  </w:r>
                  <w:r>
                    <w:rPr>
                      <w:rFonts w:hint="eastAsia" w:cs="Times New Roman"/>
                      <w:color w:val="auto"/>
                      <w:kern w:val="0"/>
                      <w:sz w:val="21"/>
                      <w:szCs w:val="21"/>
                      <w:lang w:val="en-US" w:eastAsia="zh-CN"/>
                    </w:rPr>
                    <w:t>省宫廷食品</w:t>
                  </w:r>
                  <w:r>
                    <w:rPr>
                      <w:rFonts w:hint="eastAsia" w:ascii="Times New Roman" w:hAnsi="Times New Roman" w:eastAsia="宋体" w:cs="Times New Roman"/>
                      <w:color w:val="auto"/>
                      <w:kern w:val="0"/>
                      <w:sz w:val="21"/>
                      <w:szCs w:val="21"/>
                      <w:lang w:val="en-US" w:eastAsia="zh-CN"/>
                    </w:rPr>
                    <w:t>有限公司</w:t>
                  </w:r>
                </w:p>
              </w:tc>
              <w:tc>
                <w:tcPr>
                  <w:tcW w:w="568" w:type="pct"/>
                  <w:noWrap w:val="0"/>
                  <w:vAlign w:val="center"/>
                </w:tcPr>
                <w:p w14:paraId="08A71BB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eastAsia="zh-CN"/>
                    </w:rPr>
                  </w:pPr>
                  <w:r>
                    <w:rPr>
                      <w:rFonts w:hint="eastAsia" w:ascii="Times New Roman" w:hAnsi="Times New Roman" w:eastAsia="宋体" w:cs="Times New Roman"/>
                      <w:color w:val="auto"/>
                      <w:kern w:val="0"/>
                      <w:sz w:val="21"/>
                      <w:szCs w:val="21"/>
                      <w:lang w:eastAsia="zh-CN"/>
                    </w:rPr>
                    <w:t>东北</w:t>
                  </w:r>
                </w:p>
              </w:tc>
              <w:tc>
                <w:tcPr>
                  <w:tcW w:w="812" w:type="pct"/>
                  <w:noWrap w:val="0"/>
                  <w:vAlign w:val="center"/>
                </w:tcPr>
                <w:p w14:paraId="04F1E76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200</w:t>
                  </w:r>
                  <w:r>
                    <w:rPr>
                      <w:rFonts w:hint="eastAsia" w:ascii="Times New Roman" w:hAnsi="Times New Roman" w:eastAsia="宋体" w:cs="Times New Roman"/>
                      <w:color w:val="auto"/>
                      <w:kern w:val="0"/>
                      <w:sz w:val="21"/>
                      <w:szCs w:val="21"/>
                      <w:lang w:val="en-US" w:eastAsia="zh-CN"/>
                    </w:rPr>
                    <w:t>m</w:t>
                  </w:r>
                </w:p>
              </w:tc>
              <w:tc>
                <w:tcPr>
                  <w:tcW w:w="1187" w:type="pct"/>
                  <w:noWrap w:val="0"/>
                  <w:vAlign w:val="center"/>
                </w:tcPr>
                <w:p w14:paraId="5B4A69B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食品制造</w:t>
                  </w:r>
                </w:p>
              </w:tc>
            </w:tr>
          </w:tbl>
          <w:p w14:paraId="51FCE4CD">
            <w:pPr>
              <w:keepNext w:val="0"/>
              <w:keepLines w:val="0"/>
              <w:widowControl/>
              <w:suppressLineNumbers w:val="0"/>
              <w:spacing w:before="0" w:beforeAutospacing="0" w:after="0" w:afterAutospacing="0"/>
              <w:ind w:left="0" w:right="0" w:firstLine="482"/>
              <w:rPr>
                <w:rFonts w:hint="eastAsia" w:eastAsia="宋体"/>
                <w:color w:val="auto"/>
                <w:kern w:val="2"/>
                <w:szCs w:val="24"/>
                <w:lang w:eastAsia="zh-CN"/>
              </w:rPr>
            </w:pPr>
            <w:r>
              <w:rPr>
                <w:rFonts w:hint="eastAsia"/>
                <w:b w:val="0"/>
                <w:bCs/>
                <w:color w:val="auto"/>
                <w:szCs w:val="24"/>
              </w:rPr>
              <w:t>项目主要保护目标见下表所示</w:t>
            </w:r>
            <w:r>
              <w:rPr>
                <w:rFonts w:hint="eastAsia"/>
                <w:b w:val="0"/>
                <w:bCs/>
                <w:color w:val="auto"/>
                <w:szCs w:val="24"/>
                <w:lang w:eastAsia="zh-CN"/>
              </w:rPr>
              <w:t>：</w:t>
            </w:r>
          </w:p>
          <w:p w14:paraId="72012F6F">
            <w:pPr>
              <w:pStyle w:val="61"/>
              <w:keepNext w:val="0"/>
              <w:keepLines w:val="0"/>
              <w:suppressLineNumbers w:val="0"/>
              <w:spacing w:before="0" w:beforeAutospacing="0" w:after="0" w:afterAutospacing="0" w:line="240" w:lineRule="auto"/>
              <w:ind w:left="0" w:right="0"/>
              <w:rPr>
                <w:rFonts w:hint="eastAsia"/>
                <w:color w:val="auto"/>
                <w:sz w:val="21"/>
                <w:szCs w:val="21"/>
              </w:rPr>
            </w:pPr>
            <w:r>
              <w:rPr>
                <w:rFonts w:hint="eastAsia"/>
                <w:color w:val="auto"/>
                <w:sz w:val="21"/>
                <w:szCs w:val="21"/>
              </w:rPr>
              <w:t>表</w:t>
            </w:r>
            <w:r>
              <w:rPr>
                <w:rFonts w:hint="default"/>
                <w:color w:val="auto"/>
                <w:sz w:val="21"/>
                <w:szCs w:val="21"/>
              </w:rPr>
              <w:t>2-</w:t>
            </w:r>
            <w:r>
              <w:rPr>
                <w:rFonts w:hint="eastAsia"/>
                <w:color w:val="auto"/>
                <w:sz w:val="21"/>
                <w:szCs w:val="21"/>
                <w:lang w:val="en-US" w:eastAsia="zh-CN"/>
              </w:rPr>
              <w:t>2</w:t>
            </w:r>
            <w:r>
              <w:rPr>
                <w:rFonts w:hint="default"/>
                <w:color w:val="auto"/>
                <w:sz w:val="21"/>
                <w:szCs w:val="21"/>
              </w:rPr>
              <w:t xml:space="preserve"> </w:t>
            </w:r>
            <w:r>
              <w:rPr>
                <w:rFonts w:hint="eastAsia"/>
                <w:color w:val="auto"/>
                <w:sz w:val="21"/>
                <w:szCs w:val="21"/>
              </w:rPr>
              <w:t>项目环境保护目标</w:t>
            </w:r>
          </w:p>
          <w:tbl>
            <w:tblPr>
              <w:tblStyle w:val="27"/>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6"/>
              <w:gridCol w:w="1982"/>
              <w:gridCol w:w="732"/>
              <w:gridCol w:w="3038"/>
              <w:gridCol w:w="897"/>
              <w:gridCol w:w="1071"/>
            </w:tblGrid>
            <w:tr w14:paraId="31FCF4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23" w:type="dxa"/>
                  <w:noWrap w:val="0"/>
                  <w:vAlign w:val="center"/>
                </w:tcPr>
                <w:p w14:paraId="4DC32D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2"/>
                    </w:rPr>
                  </w:pPr>
                  <w:r>
                    <w:rPr>
                      <w:rFonts w:hint="eastAsia" w:ascii="Times New Roman" w:hAnsi="Times New Roman" w:eastAsia="宋体" w:cs="Times New Roman"/>
                      <w:b/>
                      <w:bCs/>
                      <w:color w:val="auto"/>
                      <w:sz w:val="21"/>
                      <w:szCs w:val="22"/>
                    </w:rPr>
                    <w:t>名称</w:t>
                  </w:r>
                </w:p>
              </w:tc>
              <w:tc>
                <w:tcPr>
                  <w:tcW w:w="1785" w:type="dxa"/>
                  <w:noWrap w:val="0"/>
                  <w:vAlign w:val="center"/>
                </w:tcPr>
                <w:p w14:paraId="213048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2"/>
                    </w:rPr>
                  </w:pPr>
                  <w:r>
                    <w:rPr>
                      <w:rFonts w:hint="eastAsia" w:ascii="Times New Roman" w:hAnsi="Times New Roman" w:eastAsia="宋体" w:cs="Times New Roman"/>
                      <w:b/>
                      <w:bCs/>
                      <w:color w:val="auto"/>
                      <w:sz w:val="21"/>
                      <w:szCs w:val="22"/>
                    </w:rPr>
                    <w:t>保护对象</w:t>
                  </w:r>
                </w:p>
              </w:tc>
              <w:tc>
                <w:tcPr>
                  <w:tcW w:w="659" w:type="dxa"/>
                  <w:noWrap w:val="0"/>
                  <w:vAlign w:val="center"/>
                </w:tcPr>
                <w:p w14:paraId="28D3DCC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2"/>
                    </w:rPr>
                  </w:pPr>
                  <w:r>
                    <w:rPr>
                      <w:rFonts w:hint="eastAsia" w:ascii="Times New Roman" w:hAnsi="Times New Roman" w:eastAsia="宋体" w:cs="Times New Roman"/>
                      <w:b/>
                      <w:bCs/>
                      <w:color w:val="auto"/>
                      <w:sz w:val="21"/>
                      <w:szCs w:val="22"/>
                    </w:rPr>
                    <w:t>保护</w:t>
                  </w:r>
                </w:p>
                <w:p w14:paraId="0172A5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2"/>
                    </w:rPr>
                  </w:pPr>
                  <w:r>
                    <w:rPr>
                      <w:rFonts w:hint="eastAsia" w:ascii="Times New Roman" w:hAnsi="Times New Roman" w:eastAsia="宋体" w:cs="Times New Roman"/>
                      <w:b/>
                      <w:bCs/>
                      <w:color w:val="auto"/>
                      <w:sz w:val="21"/>
                      <w:szCs w:val="22"/>
                    </w:rPr>
                    <w:t>内容</w:t>
                  </w:r>
                </w:p>
              </w:tc>
              <w:tc>
                <w:tcPr>
                  <w:tcW w:w="2735" w:type="dxa"/>
                  <w:noWrap w:val="0"/>
                  <w:vAlign w:val="center"/>
                </w:tcPr>
                <w:p w14:paraId="17C9CE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2"/>
                    </w:rPr>
                  </w:pPr>
                  <w:r>
                    <w:rPr>
                      <w:rFonts w:hint="eastAsia" w:ascii="Times New Roman" w:hAnsi="Times New Roman" w:eastAsia="宋体" w:cs="Times New Roman"/>
                      <w:b/>
                      <w:bCs/>
                      <w:color w:val="auto"/>
                      <w:sz w:val="21"/>
                      <w:szCs w:val="22"/>
                    </w:rPr>
                    <w:t>环境功能区</w:t>
                  </w:r>
                </w:p>
              </w:tc>
              <w:tc>
                <w:tcPr>
                  <w:tcW w:w="808" w:type="dxa"/>
                  <w:noWrap w:val="0"/>
                  <w:vAlign w:val="center"/>
                </w:tcPr>
                <w:p w14:paraId="44CF1C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2"/>
                    </w:rPr>
                  </w:pPr>
                  <w:r>
                    <w:rPr>
                      <w:rFonts w:hint="eastAsia" w:ascii="Times New Roman" w:hAnsi="Times New Roman" w:eastAsia="宋体" w:cs="Times New Roman"/>
                      <w:b/>
                      <w:bCs/>
                      <w:color w:val="auto"/>
                      <w:sz w:val="21"/>
                      <w:szCs w:val="22"/>
                    </w:rPr>
                    <w:t>相对厂址方向</w:t>
                  </w:r>
                </w:p>
              </w:tc>
              <w:tc>
                <w:tcPr>
                  <w:tcW w:w="964" w:type="dxa"/>
                  <w:noWrap w:val="0"/>
                  <w:vAlign w:val="center"/>
                </w:tcPr>
                <w:p w14:paraId="112276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2"/>
                    </w:rPr>
                  </w:pPr>
                  <w:r>
                    <w:rPr>
                      <w:rFonts w:hint="eastAsia" w:ascii="Times New Roman" w:hAnsi="Times New Roman" w:eastAsia="宋体" w:cs="Times New Roman"/>
                      <w:b/>
                      <w:bCs/>
                      <w:color w:val="auto"/>
                      <w:sz w:val="21"/>
                      <w:szCs w:val="22"/>
                    </w:rPr>
                    <w:t>相对厂址距离</w:t>
                  </w:r>
                </w:p>
              </w:tc>
            </w:tr>
            <w:tr w14:paraId="1C4A75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023" w:type="dxa"/>
                  <w:noWrap w:val="0"/>
                  <w:vAlign w:val="center"/>
                </w:tcPr>
                <w:p w14:paraId="288BB7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项目周边大气环境</w:t>
                  </w:r>
                </w:p>
              </w:tc>
              <w:tc>
                <w:tcPr>
                  <w:tcW w:w="1785" w:type="dxa"/>
                  <w:noWrap w:val="0"/>
                  <w:vAlign w:val="center"/>
                </w:tcPr>
                <w:p w14:paraId="58883A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lang w:eastAsia="zh-CN"/>
                    </w:rPr>
                  </w:pPr>
                  <w:r>
                    <w:rPr>
                      <w:rFonts w:hint="eastAsia" w:ascii="Times New Roman" w:hAnsi="Times New Roman" w:eastAsia="宋体" w:cs="Times New Roman"/>
                      <w:color w:val="auto"/>
                      <w:sz w:val="21"/>
                      <w:szCs w:val="22"/>
                      <w:lang w:eastAsia="zh-CN"/>
                    </w:rPr>
                    <w:t>无</w:t>
                  </w:r>
                </w:p>
              </w:tc>
              <w:tc>
                <w:tcPr>
                  <w:tcW w:w="659" w:type="dxa"/>
                  <w:noWrap w:val="0"/>
                  <w:vAlign w:val="center"/>
                </w:tcPr>
                <w:p w14:paraId="6A02FE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环境</w:t>
                  </w:r>
                </w:p>
                <w:p w14:paraId="5C5CD0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空气</w:t>
                  </w:r>
                </w:p>
              </w:tc>
              <w:tc>
                <w:tcPr>
                  <w:tcW w:w="2735" w:type="dxa"/>
                  <w:noWrap w:val="0"/>
                  <w:vAlign w:val="center"/>
                </w:tcPr>
                <w:p w14:paraId="2CB2B0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《环境空气质量标准》（GB3095-2012）二级标准</w:t>
                  </w:r>
                </w:p>
              </w:tc>
              <w:tc>
                <w:tcPr>
                  <w:tcW w:w="808" w:type="dxa"/>
                  <w:noWrap w:val="0"/>
                  <w:vAlign w:val="center"/>
                </w:tcPr>
                <w:p w14:paraId="259314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四周</w:t>
                  </w:r>
                </w:p>
              </w:tc>
              <w:tc>
                <w:tcPr>
                  <w:tcW w:w="964" w:type="dxa"/>
                  <w:noWrap w:val="0"/>
                  <w:vAlign w:val="center"/>
                </w:tcPr>
                <w:p w14:paraId="163AFC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0-500m</w:t>
                  </w:r>
                </w:p>
              </w:tc>
            </w:tr>
            <w:tr w14:paraId="694282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023" w:type="dxa"/>
                  <w:noWrap w:val="0"/>
                  <w:vAlign w:val="center"/>
                </w:tcPr>
                <w:p w14:paraId="217FDE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项目周边声环境</w:t>
                  </w:r>
                </w:p>
              </w:tc>
              <w:tc>
                <w:tcPr>
                  <w:tcW w:w="1785" w:type="dxa"/>
                  <w:noWrap w:val="0"/>
                  <w:vAlign w:val="center"/>
                </w:tcPr>
                <w:p w14:paraId="0FB0EB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无</w:t>
                  </w:r>
                </w:p>
              </w:tc>
              <w:tc>
                <w:tcPr>
                  <w:tcW w:w="659" w:type="dxa"/>
                  <w:noWrap w:val="0"/>
                  <w:vAlign w:val="center"/>
                </w:tcPr>
                <w:p w14:paraId="36D89CD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声环境</w:t>
                  </w:r>
                </w:p>
              </w:tc>
              <w:tc>
                <w:tcPr>
                  <w:tcW w:w="2735" w:type="dxa"/>
                  <w:noWrap w:val="0"/>
                  <w:vAlign w:val="center"/>
                </w:tcPr>
                <w:p w14:paraId="2CE7BC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《声环境质量标准》（GB3096-2008）中3类区功能</w:t>
                  </w:r>
                </w:p>
              </w:tc>
              <w:tc>
                <w:tcPr>
                  <w:tcW w:w="808" w:type="dxa"/>
                  <w:noWrap w:val="0"/>
                  <w:vAlign w:val="center"/>
                </w:tcPr>
                <w:p w14:paraId="7A4024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四周</w:t>
                  </w:r>
                </w:p>
              </w:tc>
              <w:tc>
                <w:tcPr>
                  <w:tcW w:w="964" w:type="dxa"/>
                  <w:noWrap w:val="0"/>
                  <w:vAlign w:val="center"/>
                </w:tcPr>
                <w:p w14:paraId="642778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0-50m</w:t>
                  </w:r>
                </w:p>
              </w:tc>
            </w:tr>
            <w:tr w14:paraId="50F782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023" w:type="dxa"/>
                  <w:noWrap w:val="0"/>
                  <w:vAlign w:val="center"/>
                </w:tcPr>
                <w:p w14:paraId="30A36E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lang w:eastAsia="zh-CN"/>
                    </w:rPr>
                  </w:pPr>
                  <w:r>
                    <w:rPr>
                      <w:rFonts w:hint="eastAsia" w:ascii="Times New Roman" w:hAnsi="Times New Roman" w:eastAsia="宋体" w:cs="Times New Roman"/>
                      <w:color w:val="auto"/>
                      <w:sz w:val="21"/>
                      <w:szCs w:val="22"/>
                      <w:lang w:eastAsia="zh-CN"/>
                    </w:rPr>
                    <w:t>河流</w:t>
                  </w:r>
                </w:p>
              </w:tc>
              <w:tc>
                <w:tcPr>
                  <w:tcW w:w="1785" w:type="dxa"/>
                  <w:noWrap w:val="0"/>
                  <w:vAlign w:val="center"/>
                </w:tcPr>
                <w:p w14:paraId="0B48E9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lang w:eastAsia="zh-CN"/>
                    </w:rPr>
                  </w:pPr>
                  <w:r>
                    <w:rPr>
                      <w:rFonts w:hint="eastAsia" w:ascii="Times New Roman" w:hAnsi="Times New Roman" w:eastAsia="宋体" w:cs="Times New Roman"/>
                      <w:color w:val="auto"/>
                      <w:sz w:val="21"/>
                      <w:szCs w:val="22"/>
                      <w:lang w:eastAsia="zh-CN"/>
                    </w:rPr>
                    <w:t>岷江</w:t>
                  </w:r>
                </w:p>
              </w:tc>
              <w:tc>
                <w:tcPr>
                  <w:tcW w:w="659" w:type="dxa"/>
                  <w:noWrap w:val="0"/>
                  <w:vAlign w:val="center"/>
                </w:tcPr>
                <w:p w14:paraId="45DA05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地表水</w:t>
                  </w:r>
                </w:p>
              </w:tc>
              <w:tc>
                <w:tcPr>
                  <w:tcW w:w="2735" w:type="dxa"/>
                  <w:noWrap w:val="0"/>
                  <w:vAlign w:val="center"/>
                </w:tcPr>
                <w:p w14:paraId="02F9CD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《地表水环境质量标准》（GB3838-2002）中Ⅲ类标准</w:t>
                  </w:r>
                </w:p>
              </w:tc>
              <w:tc>
                <w:tcPr>
                  <w:tcW w:w="808" w:type="dxa"/>
                  <w:noWrap w:val="0"/>
                  <w:vAlign w:val="center"/>
                </w:tcPr>
                <w:p w14:paraId="784006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西侧</w:t>
                  </w:r>
                </w:p>
              </w:tc>
              <w:tc>
                <w:tcPr>
                  <w:tcW w:w="964" w:type="dxa"/>
                  <w:noWrap w:val="0"/>
                  <w:vAlign w:val="center"/>
                </w:tcPr>
                <w:p w14:paraId="4D3588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2"/>
                      <w:lang w:val="en-US" w:eastAsia="zh-CN"/>
                    </w:rPr>
                  </w:pPr>
                  <w:r>
                    <w:rPr>
                      <w:rFonts w:hint="eastAsia" w:cs="Times New Roman"/>
                      <w:color w:val="auto"/>
                      <w:sz w:val="21"/>
                      <w:szCs w:val="22"/>
                      <w:lang w:val="en-US" w:eastAsia="zh-CN"/>
                    </w:rPr>
                    <w:t>1.1k</w:t>
                  </w:r>
                  <w:r>
                    <w:rPr>
                      <w:rFonts w:hint="eastAsia" w:ascii="Times New Roman" w:hAnsi="Times New Roman" w:eastAsia="宋体" w:cs="Times New Roman"/>
                      <w:color w:val="auto"/>
                      <w:sz w:val="21"/>
                      <w:szCs w:val="22"/>
                      <w:lang w:val="en-US" w:eastAsia="zh-CN"/>
                    </w:rPr>
                    <w:t>m</w:t>
                  </w:r>
                </w:p>
              </w:tc>
            </w:tr>
            <w:tr w14:paraId="32B384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023" w:type="dxa"/>
                  <w:noWrap w:val="0"/>
                  <w:vAlign w:val="center"/>
                </w:tcPr>
                <w:p w14:paraId="4C6755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项目周边生态环境</w:t>
                  </w:r>
                </w:p>
              </w:tc>
              <w:tc>
                <w:tcPr>
                  <w:tcW w:w="1785" w:type="dxa"/>
                  <w:noWrap w:val="0"/>
                  <w:vAlign w:val="center"/>
                </w:tcPr>
                <w:p w14:paraId="76A0F7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不因项目建设加剧水土流失</w:t>
                  </w:r>
                </w:p>
              </w:tc>
              <w:tc>
                <w:tcPr>
                  <w:tcW w:w="659" w:type="dxa"/>
                  <w:noWrap w:val="0"/>
                  <w:vAlign w:val="center"/>
                </w:tcPr>
                <w:p w14:paraId="3422CF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生态环境</w:t>
                  </w:r>
                </w:p>
              </w:tc>
              <w:tc>
                <w:tcPr>
                  <w:tcW w:w="2735" w:type="dxa"/>
                  <w:noWrap w:val="0"/>
                  <w:vAlign w:val="center"/>
                </w:tcPr>
                <w:p w14:paraId="228FEF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水土流失可控</w:t>
                  </w:r>
                </w:p>
              </w:tc>
              <w:tc>
                <w:tcPr>
                  <w:tcW w:w="1772" w:type="dxa"/>
                  <w:gridSpan w:val="2"/>
                  <w:noWrap w:val="0"/>
                  <w:vAlign w:val="center"/>
                </w:tcPr>
                <w:p w14:paraId="5E9D14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2"/>
                    </w:rPr>
                  </w:pPr>
                  <w:r>
                    <w:rPr>
                      <w:rFonts w:hint="eastAsia" w:ascii="Times New Roman" w:hAnsi="Times New Roman" w:eastAsia="宋体" w:cs="Times New Roman"/>
                      <w:color w:val="auto"/>
                      <w:sz w:val="21"/>
                      <w:szCs w:val="22"/>
                    </w:rPr>
                    <w:t>项目占地范围</w:t>
                  </w:r>
                </w:p>
              </w:tc>
            </w:tr>
          </w:tbl>
          <w:p w14:paraId="1DE04F40">
            <w:pPr>
              <w:keepNext w:val="0"/>
              <w:keepLines w:val="0"/>
              <w:widowControl/>
              <w:suppressLineNumbers w:val="0"/>
              <w:spacing w:before="0" w:beforeAutospacing="0" w:after="0" w:afterAutospacing="0"/>
              <w:ind w:left="0" w:right="0" w:firstLine="480"/>
              <w:rPr>
                <w:rFonts w:hint="default"/>
                <w:color w:val="auto"/>
                <w:szCs w:val="24"/>
              </w:rPr>
            </w:pPr>
            <w:r>
              <w:rPr>
                <w:rFonts w:hint="eastAsia"/>
                <w:color w:val="auto"/>
                <w:szCs w:val="24"/>
              </w:rPr>
              <w:t>（3）平面布置</w:t>
            </w:r>
          </w:p>
          <w:p w14:paraId="71D4E41D">
            <w:pPr>
              <w:pStyle w:val="1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default"/>
                <w:color w:val="auto"/>
                <w:szCs w:val="24"/>
              </w:rPr>
            </w:pPr>
            <w:r>
              <w:rPr>
                <w:rFonts w:hint="eastAsia"/>
                <w:color w:val="auto"/>
                <w:szCs w:val="24"/>
              </w:rPr>
              <w:t>经调查，企业位于</w:t>
            </w:r>
            <w:r>
              <w:rPr>
                <w:rFonts w:hint="eastAsia" w:ascii="宋体" w:hAnsi="宋体" w:cs="宋体"/>
                <w:color w:val="auto"/>
                <w:sz w:val="24"/>
                <w:szCs w:val="24"/>
                <w:lang w:eastAsia="zh-CN"/>
              </w:rPr>
              <w:t>眉山高新技术产业园区东区（泡菜园区）</w:t>
            </w:r>
            <w:r>
              <w:rPr>
                <w:rFonts w:hint="eastAsia" w:ascii="Times New Roman" w:hAnsi="Times New Roman" w:eastAsia="宋体" w:cs="Times New Roman"/>
                <w:color w:val="auto"/>
                <w:kern w:val="0"/>
                <w:sz w:val="24"/>
                <w:szCs w:val="24"/>
                <w:shd w:val="clear" w:color="auto" w:fill="auto"/>
                <w:lang w:val="en-US" w:eastAsia="zh-CN"/>
              </w:rPr>
              <w:t>，占地约</w:t>
            </w:r>
            <w:r>
              <w:rPr>
                <w:rFonts w:hint="eastAsia" w:cs="Times New Roman"/>
                <w:color w:val="auto"/>
                <w:kern w:val="0"/>
                <w:sz w:val="24"/>
                <w:szCs w:val="24"/>
                <w:shd w:val="clear" w:color="auto" w:fill="auto"/>
                <w:lang w:val="en-US" w:eastAsia="zh-CN"/>
              </w:rPr>
              <w:t>13333.33</w:t>
            </w:r>
            <w:r>
              <w:rPr>
                <w:rFonts w:hint="eastAsia" w:ascii="Times New Roman" w:hAnsi="Times New Roman" w:eastAsia="宋体" w:cs="Times New Roman"/>
                <w:color w:val="auto"/>
                <w:kern w:val="0"/>
                <w:sz w:val="24"/>
                <w:szCs w:val="24"/>
                <w:shd w:val="clear" w:color="auto" w:fill="auto"/>
                <w:lang w:val="en-US" w:eastAsia="zh-CN"/>
              </w:rPr>
              <w:t>m</w:t>
            </w:r>
            <w:r>
              <w:rPr>
                <w:rFonts w:hint="eastAsia" w:ascii="Times New Roman" w:hAnsi="Times New Roman" w:eastAsia="宋体" w:cs="Times New Roman"/>
                <w:color w:val="auto"/>
                <w:kern w:val="0"/>
                <w:sz w:val="24"/>
                <w:szCs w:val="24"/>
                <w:shd w:val="clear" w:color="auto" w:fill="auto"/>
                <w:vertAlign w:val="superscript"/>
                <w:lang w:val="en-US" w:eastAsia="zh-CN"/>
              </w:rPr>
              <w:t>2</w:t>
            </w:r>
            <w:r>
              <w:rPr>
                <w:rFonts w:hint="eastAsia"/>
                <w:color w:val="auto"/>
                <w:szCs w:val="24"/>
                <w:lang w:val="en-US" w:eastAsia="zh-CN"/>
              </w:rPr>
              <w:t>，</w:t>
            </w:r>
            <w:r>
              <w:rPr>
                <w:rFonts w:hint="eastAsia"/>
                <w:color w:val="auto"/>
                <w:sz w:val="24"/>
                <w:szCs w:val="32"/>
                <w:lang w:eastAsia="zh-CN"/>
              </w:rPr>
              <w:t>厂区大门朝东南侧，紧邻坛香路，大门右侧为门卫室，向内依次办公楼、宿舍楼、</w:t>
            </w:r>
            <w:r>
              <w:rPr>
                <w:rFonts w:hint="eastAsia"/>
                <w:color w:val="auto"/>
                <w:sz w:val="24"/>
                <w:szCs w:val="32"/>
                <w:lang w:val="en-US" w:eastAsia="zh-CN"/>
              </w:rPr>
              <w:t>2个生产车间、原料及成品库房以及辅助用房</w:t>
            </w:r>
            <w:r>
              <w:rPr>
                <w:rFonts w:hint="eastAsia"/>
                <w:color w:val="auto"/>
                <w:sz w:val="24"/>
                <w:szCs w:val="32"/>
                <w:lang w:eastAsia="zh-CN"/>
              </w:rPr>
              <w:t>。</w:t>
            </w:r>
            <w:r>
              <w:rPr>
                <w:rFonts w:hint="eastAsia"/>
                <w:color w:val="auto"/>
                <w:szCs w:val="24"/>
              </w:rPr>
              <w:t>平面布置图详见附图。</w:t>
            </w:r>
          </w:p>
          <w:p w14:paraId="695A026D">
            <w:pPr>
              <w:pStyle w:val="5"/>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3</w:t>
            </w:r>
            <w:r>
              <w:rPr>
                <w:rFonts w:hint="eastAsia"/>
                <w:color w:val="auto"/>
                <w:sz w:val="24"/>
                <w:szCs w:val="24"/>
              </w:rPr>
              <w:t>、建设内容</w:t>
            </w:r>
            <w:bookmarkEnd w:id="7"/>
          </w:p>
          <w:p w14:paraId="7340C625">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70" w:firstLineChars="196"/>
              <w:textAlignment w:val="auto"/>
              <w:rPr>
                <w:rFonts w:hint="default" w:eastAsia="宋体"/>
                <w:color w:val="auto"/>
                <w:szCs w:val="24"/>
                <w:lang w:val="en-US" w:eastAsia="zh-CN"/>
              </w:rPr>
            </w:pPr>
            <w:r>
              <w:rPr>
                <w:rFonts w:hint="eastAsia"/>
                <w:color w:val="auto"/>
                <w:kern w:val="2"/>
                <w:szCs w:val="24"/>
              </w:rPr>
              <w:t>（</w:t>
            </w:r>
            <w:r>
              <w:rPr>
                <w:rFonts w:hint="default"/>
                <w:color w:val="auto"/>
                <w:kern w:val="2"/>
                <w:szCs w:val="24"/>
              </w:rPr>
              <w:t>1</w:t>
            </w:r>
            <w:r>
              <w:rPr>
                <w:rFonts w:hint="eastAsia"/>
                <w:color w:val="auto"/>
                <w:kern w:val="2"/>
                <w:szCs w:val="24"/>
              </w:rPr>
              <w:t>）项目名称：</w:t>
            </w:r>
            <w:r>
              <w:rPr>
                <w:rFonts w:hint="eastAsia"/>
                <w:bCs/>
                <w:color w:val="auto"/>
                <w:lang w:val="en-US" w:eastAsia="zh-CN"/>
              </w:rPr>
              <w:t>餐佐料生产线扩建项目</w:t>
            </w:r>
          </w:p>
          <w:p w14:paraId="34F11B57">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eastAsia" w:eastAsia="宋体"/>
                <w:color w:val="auto"/>
                <w:lang w:eastAsia="zh-CN"/>
              </w:rPr>
            </w:pPr>
            <w:r>
              <w:rPr>
                <w:rFonts w:hint="eastAsia"/>
                <w:color w:val="auto"/>
                <w:lang w:eastAsia="zh-CN"/>
              </w:rPr>
              <w:t>（</w:t>
            </w:r>
            <w:r>
              <w:rPr>
                <w:rFonts w:hint="eastAsia"/>
                <w:color w:val="auto"/>
                <w:lang w:val="en-US" w:eastAsia="zh-CN"/>
              </w:rPr>
              <w:t>2</w:t>
            </w:r>
            <w:r>
              <w:rPr>
                <w:rFonts w:hint="eastAsia"/>
                <w:color w:val="auto"/>
                <w:lang w:eastAsia="zh-CN"/>
              </w:rPr>
              <w:t>）建设性质：扩建</w:t>
            </w:r>
          </w:p>
          <w:p w14:paraId="71777581">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eastAsia"/>
                <w:bCs/>
                <w:color w:val="auto"/>
                <w:lang w:val="en-US" w:eastAsia="zh-CN"/>
              </w:rPr>
            </w:pPr>
            <w:r>
              <w:rPr>
                <w:rFonts w:hint="eastAsia"/>
                <w:color w:val="auto"/>
              </w:rPr>
              <w:t>（</w:t>
            </w:r>
            <w:r>
              <w:rPr>
                <w:rFonts w:hint="default"/>
                <w:color w:val="auto"/>
              </w:rPr>
              <w:t>3</w:t>
            </w:r>
            <w:r>
              <w:rPr>
                <w:rFonts w:hint="eastAsia"/>
                <w:color w:val="auto"/>
              </w:rPr>
              <w:t>）建设单位：</w:t>
            </w:r>
            <w:r>
              <w:rPr>
                <w:rFonts w:hint="eastAsia"/>
                <w:bCs/>
                <w:color w:val="auto"/>
                <w:lang w:val="en-US" w:eastAsia="zh-CN"/>
              </w:rPr>
              <w:t>四川金顶维食品有限公司</w:t>
            </w:r>
          </w:p>
          <w:p w14:paraId="4B147293">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hint="default"/>
                <w:bCs/>
                <w:color w:val="auto"/>
              </w:rPr>
            </w:pPr>
            <w:r>
              <w:rPr>
                <w:rFonts w:hint="eastAsia"/>
                <w:color w:val="auto"/>
              </w:rPr>
              <w:t>（</w:t>
            </w:r>
            <w:r>
              <w:rPr>
                <w:rFonts w:hint="eastAsia"/>
                <w:color w:val="auto"/>
                <w:lang w:val="en-US" w:eastAsia="zh-CN"/>
              </w:rPr>
              <w:t>4</w:t>
            </w:r>
            <w:r>
              <w:rPr>
                <w:rFonts w:hint="eastAsia"/>
                <w:color w:val="auto"/>
              </w:rPr>
              <w:t>）建设地点：</w:t>
            </w:r>
            <w:r>
              <w:rPr>
                <w:rFonts w:hint="eastAsia"/>
                <w:color w:val="auto"/>
                <w:sz w:val="24"/>
                <w:szCs w:val="24"/>
              </w:rPr>
              <w:t>眉山</w:t>
            </w:r>
            <w:r>
              <w:rPr>
                <w:rFonts w:hint="eastAsia"/>
                <w:color w:val="auto"/>
                <w:sz w:val="24"/>
                <w:szCs w:val="24"/>
                <w:lang w:eastAsia="zh-CN"/>
              </w:rPr>
              <w:t>高新技术产业园区东区</w:t>
            </w:r>
            <w:r>
              <w:rPr>
                <w:rFonts w:hint="eastAsia"/>
                <w:color w:val="auto"/>
                <w:sz w:val="24"/>
                <w:szCs w:val="24"/>
              </w:rPr>
              <w:t>（泡菜园区）</w:t>
            </w:r>
            <w:r>
              <w:rPr>
                <w:rFonts w:hint="eastAsia"/>
                <w:bCs/>
                <w:color w:val="auto"/>
              </w:rPr>
              <w:t>（</w:t>
            </w:r>
            <w:r>
              <w:rPr>
                <w:rFonts w:hint="eastAsia"/>
                <w:color w:val="auto"/>
                <w:szCs w:val="24"/>
                <w:lang w:val="en-US" w:eastAsia="zh-CN"/>
              </w:rPr>
              <w:t>103</w:t>
            </w:r>
            <w:r>
              <w:rPr>
                <w:rFonts w:hint="eastAsia"/>
                <w:color w:val="auto"/>
                <w:szCs w:val="24"/>
                <w:lang w:eastAsia="zh-CN"/>
              </w:rPr>
              <w:t>度</w:t>
            </w:r>
            <w:r>
              <w:rPr>
                <w:rFonts w:hint="eastAsia"/>
                <w:color w:val="auto"/>
                <w:szCs w:val="24"/>
                <w:lang w:val="en-US" w:eastAsia="zh-CN"/>
              </w:rPr>
              <w:t>50</w:t>
            </w:r>
            <w:r>
              <w:rPr>
                <w:rFonts w:hint="eastAsia"/>
                <w:color w:val="auto"/>
                <w:szCs w:val="24"/>
                <w:lang w:eastAsia="zh-CN"/>
              </w:rPr>
              <w:t>分</w:t>
            </w:r>
            <w:r>
              <w:rPr>
                <w:rFonts w:hint="eastAsia"/>
                <w:color w:val="auto"/>
                <w:szCs w:val="24"/>
                <w:lang w:val="en-US" w:eastAsia="zh-CN"/>
              </w:rPr>
              <w:t>45.378</w:t>
            </w:r>
            <w:r>
              <w:rPr>
                <w:rFonts w:hint="eastAsia"/>
                <w:color w:val="auto"/>
                <w:szCs w:val="24"/>
                <w:lang w:eastAsia="zh-CN"/>
              </w:rPr>
              <w:t>秒，</w:t>
            </w:r>
            <w:r>
              <w:rPr>
                <w:rFonts w:hint="eastAsia"/>
                <w:color w:val="auto"/>
                <w:szCs w:val="24"/>
                <w:lang w:val="en-US" w:eastAsia="zh-CN"/>
              </w:rPr>
              <w:t>30</w:t>
            </w:r>
            <w:r>
              <w:rPr>
                <w:rFonts w:hint="eastAsia"/>
                <w:color w:val="auto"/>
                <w:szCs w:val="24"/>
                <w:lang w:eastAsia="zh-CN"/>
              </w:rPr>
              <w:t>度</w:t>
            </w:r>
            <w:r>
              <w:rPr>
                <w:rFonts w:hint="eastAsia"/>
                <w:color w:val="auto"/>
                <w:szCs w:val="24"/>
                <w:lang w:val="en-US" w:eastAsia="zh-CN"/>
              </w:rPr>
              <w:t>0</w:t>
            </w:r>
            <w:r>
              <w:rPr>
                <w:rFonts w:hint="eastAsia"/>
                <w:color w:val="auto"/>
                <w:szCs w:val="24"/>
                <w:lang w:eastAsia="zh-CN"/>
              </w:rPr>
              <w:t>分</w:t>
            </w:r>
            <w:r>
              <w:rPr>
                <w:rFonts w:hint="eastAsia"/>
                <w:color w:val="auto"/>
                <w:szCs w:val="24"/>
                <w:lang w:val="en-US" w:eastAsia="zh-CN"/>
              </w:rPr>
              <w:t>58.842</w:t>
            </w:r>
            <w:r>
              <w:rPr>
                <w:rFonts w:hint="eastAsia"/>
                <w:color w:val="auto"/>
                <w:szCs w:val="24"/>
                <w:lang w:eastAsia="zh-CN"/>
              </w:rPr>
              <w:t>秒</w:t>
            </w:r>
            <w:r>
              <w:rPr>
                <w:rFonts w:hint="eastAsia"/>
                <w:bCs/>
                <w:color w:val="auto"/>
              </w:rPr>
              <w:t>）</w:t>
            </w:r>
          </w:p>
          <w:p w14:paraId="57FD4D6A">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default"/>
                <w:color w:val="auto"/>
                <w:sz w:val="24"/>
                <w:szCs w:val="24"/>
                <w:lang w:val="en-US" w:eastAsia="zh-CN"/>
              </w:rPr>
            </w:pPr>
            <w:r>
              <w:rPr>
                <w:rFonts w:hint="eastAsia"/>
                <w:color w:val="auto"/>
              </w:rPr>
              <w:t>（</w:t>
            </w:r>
            <w:r>
              <w:rPr>
                <w:rFonts w:hint="eastAsia"/>
                <w:color w:val="auto"/>
                <w:lang w:val="en-US" w:eastAsia="zh-CN"/>
              </w:rPr>
              <w:t>5</w:t>
            </w:r>
            <w:r>
              <w:rPr>
                <w:rFonts w:hint="eastAsia"/>
                <w:color w:val="auto"/>
              </w:rPr>
              <w:t>）建设规模及内容</w:t>
            </w:r>
            <w:r>
              <w:rPr>
                <w:rFonts w:hint="eastAsia"/>
                <w:color w:val="auto"/>
                <w:szCs w:val="24"/>
              </w:rPr>
              <w:t>：</w:t>
            </w:r>
            <w:r>
              <w:rPr>
                <w:rFonts w:hint="eastAsia"/>
                <w:color w:val="auto"/>
                <w:szCs w:val="24"/>
                <w:lang w:eastAsia="zh-CN"/>
              </w:rPr>
              <w:t>本项目新建</w:t>
            </w:r>
            <w:r>
              <w:rPr>
                <w:rFonts w:hint="eastAsia"/>
                <w:color w:val="auto"/>
                <w:szCs w:val="24"/>
                <w:lang w:val="en-US" w:eastAsia="zh-CN"/>
              </w:rPr>
              <w:t>2#厂房基础设施8000平方米，建设2000吨的餐佐料生产线1条，并对1#厂房的废气装置进行升级改造</w:t>
            </w:r>
            <w:r>
              <w:rPr>
                <w:rFonts w:hint="eastAsia"/>
                <w:color w:val="auto"/>
                <w:sz w:val="24"/>
                <w:szCs w:val="24"/>
                <w:lang w:eastAsia="zh-CN"/>
              </w:rPr>
              <w:t>。环评中建设内容为建设</w:t>
            </w:r>
            <w:r>
              <w:rPr>
                <w:rFonts w:hint="eastAsia"/>
                <w:color w:val="auto"/>
                <w:sz w:val="24"/>
                <w:szCs w:val="24"/>
                <w:lang w:val="en-US" w:eastAsia="zh-CN"/>
              </w:rPr>
              <w:t>1条</w:t>
            </w:r>
            <w:r>
              <w:rPr>
                <w:rFonts w:hint="eastAsia"/>
                <w:color w:val="auto"/>
                <w:sz w:val="24"/>
                <w:szCs w:val="24"/>
                <w:lang w:eastAsia="zh-CN"/>
              </w:rPr>
              <w:t>餐佐料生产线和</w:t>
            </w:r>
            <w:r>
              <w:rPr>
                <w:rFonts w:hint="eastAsia"/>
                <w:color w:val="auto"/>
                <w:sz w:val="24"/>
                <w:szCs w:val="24"/>
                <w:lang w:val="en-US" w:eastAsia="zh-CN"/>
              </w:rPr>
              <w:t>1条鸡精生产线，现验收阶段实际未建设鸡精生产线，若后续鸡精生产线建成，需另行该生产线其配套设施的环境保护验收。</w:t>
            </w:r>
          </w:p>
          <w:p w14:paraId="37249DD3">
            <w:pPr>
              <w:keepNext w:val="0"/>
              <w:keepLines w:val="0"/>
              <w:widowControl/>
              <w:suppressLineNumbers w:val="0"/>
              <w:spacing w:before="0" w:beforeAutospacing="0" w:after="0" w:afterAutospacing="0"/>
              <w:ind w:left="0" w:right="0" w:firstLine="480"/>
              <w:rPr>
                <w:rFonts w:hint="eastAsia" w:eastAsia="宋体"/>
                <w:color w:val="auto"/>
                <w:lang w:eastAsia="zh-CN"/>
              </w:rPr>
            </w:pPr>
            <w:r>
              <w:rPr>
                <w:rFonts w:hint="eastAsia"/>
                <w:color w:val="auto"/>
              </w:rPr>
              <w:t>（</w:t>
            </w:r>
            <w:r>
              <w:rPr>
                <w:rFonts w:hint="eastAsia"/>
                <w:color w:val="auto"/>
                <w:lang w:val="en-US" w:eastAsia="zh-CN"/>
              </w:rPr>
              <w:t>6</w:t>
            </w:r>
            <w:r>
              <w:rPr>
                <w:rFonts w:hint="eastAsia"/>
                <w:color w:val="auto"/>
              </w:rPr>
              <w:t>）项目总投资：总投资</w:t>
            </w:r>
            <w:r>
              <w:rPr>
                <w:rFonts w:hint="eastAsia"/>
                <w:color w:val="auto"/>
                <w:lang w:val="en-US" w:eastAsia="zh-CN"/>
              </w:rPr>
              <w:t>2000万</w:t>
            </w:r>
            <w:r>
              <w:rPr>
                <w:rFonts w:hint="eastAsia"/>
                <w:color w:val="auto"/>
              </w:rPr>
              <w:t>元</w:t>
            </w:r>
            <w:r>
              <w:rPr>
                <w:rFonts w:hint="eastAsia"/>
                <w:color w:val="auto"/>
                <w:lang w:eastAsia="zh-CN"/>
              </w:rPr>
              <w:t>。</w:t>
            </w:r>
          </w:p>
          <w:p w14:paraId="3CF86DF4">
            <w:pPr>
              <w:keepNext w:val="0"/>
              <w:keepLines w:val="0"/>
              <w:widowControl/>
              <w:suppressLineNumbers w:val="0"/>
              <w:spacing w:before="0" w:beforeAutospacing="0" w:after="0" w:afterAutospacing="0"/>
              <w:ind w:left="0" w:right="0" w:firstLine="480"/>
              <w:rPr>
                <w:rFonts w:hint="default"/>
                <w:b/>
                <w:color w:val="auto"/>
              </w:rPr>
            </w:pPr>
            <w:r>
              <w:rPr>
                <w:rFonts w:hint="eastAsia"/>
                <w:color w:val="auto"/>
              </w:rPr>
              <w:t>（</w:t>
            </w:r>
            <w:r>
              <w:rPr>
                <w:rFonts w:hint="eastAsia"/>
                <w:color w:val="auto"/>
                <w:lang w:val="en-US" w:eastAsia="zh-CN"/>
              </w:rPr>
              <w:t>7</w:t>
            </w:r>
            <w:r>
              <w:rPr>
                <w:rFonts w:hint="eastAsia"/>
                <w:color w:val="auto"/>
              </w:rPr>
              <w:t>）劳动定员及生产制度：</w:t>
            </w:r>
            <w:r>
              <w:rPr>
                <w:rFonts w:hint="eastAsia"/>
                <w:color w:val="auto"/>
                <w:lang w:eastAsia="zh-CN"/>
              </w:rPr>
              <w:t>厂区原有人数</w:t>
            </w:r>
            <w:r>
              <w:rPr>
                <w:rFonts w:hint="eastAsia"/>
                <w:color w:val="auto"/>
                <w:lang w:val="en-US" w:eastAsia="zh-CN"/>
              </w:rPr>
              <w:t>32人，本次扩建新增40人，每天工作8小时，</w:t>
            </w:r>
            <w:r>
              <w:rPr>
                <w:rFonts w:hint="eastAsia"/>
                <w:color w:val="auto"/>
              </w:rPr>
              <w:t>年工作日</w:t>
            </w:r>
            <w:r>
              <w:rPr>
                <w:rFonts w:hint="eastAsia"/>
                <w:color w:val="auto"/>
                <w:lang w:val="en-US" w:eastAsia="zh-CN"/>
              </w:rPr>
              <w:t>300</w:t>
            </w:r>
            <w:r>
              <w:rPr>
                <w:rFonts w:hint="eastAsia"/>
                <w:color w:val="auto"/>
              </w:rPr>
              <w:t>天</w:t>
            </w:r>
            <w:r>
              <w:rPr>
                <w:rFonts w:hint="default"/>
                <w:color w:val="auto"/>
              </w:rPr>
              <w:t>。</w:t>
            </w:r>
          </w:p>
          <w:p w14:paraId="2A2322EB">
            <w:pPr>
              <w:keepNext w:val="0"/>
              <w:keepLines w:val="0"/>
              <w:widowControl/>
              <w:suppressLineNumbers w:val="0"/>
              <w:spacing w:before="0" w:beforeAutospacing="0" w:after="0" w:afterAutospacing="0"/>
              <w:ind w:left="0" w:right="0" w:firstLine="480"/>
              <w:rPr>
                <w:rFonts w:hint="default" w:cs="宋体"/>
                <w:bCs/>
                <w:color w:val="auto"/>
                <w:szCs w:val="24"/>
              </w:rPr>
            </w:pPr>
            <w:r>
              <w:rPr>
                <w:rFonts w:hint="eastAsia" w:cs="宋体"/>
                <w:bCs/>
                <w:color w:val="auto"/>
                <w:szCs w:val="24"/>
              </w:rPr>
              <w:t>（</w:t>
            </w:r>
            <w:r>
              <w:rPr>
                <w:rFonts w:hint="eastAsia" w:cs="宋体"/>
                <w:bCs/>
                <w:color w:val="auto"/>
                <w:szCs w:val="24"/>
                <w:lang w:val="en-US" w:eastAsia="zh-CN"/>
              </w:rPr>
              <w:t>8</w:t>
            </w:r>
            <w:r>
              <w:rPr>
                <w:rFonts w:hint="eastAsia" w:cs="宋体"/>
                <w:bCs/>
                <w:color w:val="auto"/>
                <w:szCs w:val="24"/>
              </w:rPr>
              <w:t>）项目组成及主要环境问题</w:t>
            </w:r>
          </w:p>
          <w:p w14:paraId="6FBB5220">
            <w:pPr>
              <w:keepNext w:val="0"/>
              <w:keepLines w:val="0"/>
              <w:widowControl/>
              <w:suppressLineNumbers w:val="0"/>
              <w:spacing w:before="0" w:beforeAutospacing="0" w:after="0" w:afterAutospacing="0"/>
              <w:ind w:left="0" w:right="0" w:firstLine="480"/>
              <w:rPr>
                <w:rFonts w:hint="eastAsia"/>
                <w:color w:val="auto"/>
              </w:rPr>
            </w:pPr>
            <w:r>
              <w:rPr>
                <w:rFonts w:hint="eastAsia"/>
                <w:color w:val="auto"/>
              </w:rPr>
              <w:t>项目组成表及主要环境问题见下表。</w:t>
            </w:r>
          </w:p>
          <w:p w14:paraId="254B012D">
            <w:pPr>
              <w:pStyle w:val="61"/>
              <w:keepNext w:val="0"/>
              <w:keepLines w:val="0"/>
              <w:suppressLineNumbers w:val="0"/>
              <w:spacing w:before="0" w:beforeAutospacing="0" w:after="0" w:afterAutospacing="0" w:line="240" w:lineRule="auto"/>
              <w:ind w:left="0" w:right="0"/>
              <w:rPr>
                <w:rFonts w:hint="eastAsia"/>
                <w:color w:val="auto"/>
              </w:rPr>
            </w:pPr>
            <w:r>
              <w:rPr>
                <w:rFonts w:hint="eastAsia"/>
                <w:color w:val="auto"/>
              </w:rPr>
              <w:t>表</w:t>
            </w:r>
            <w:r>
              <w:rPr>
                <w:rFonts w:hint="default"/>
                <w:color w:val="auto"/>
              </w:rPr>
              <w:t>2-</w:t>
            </w:r>
            <w:r>
              <w:rPr>
                <w:rFonts w:hint="eastAsia"/>
                <w:color w:val="auto"/>
                <w:lang w:val="en-US" w:eastAsia="zh-CN"/>
              </w:rPr>
              <w:t>3</w:t>
            </w:r>
            <w:r>
              <w:rPr>
                <w:rFonts w:hint="default"/>
                <w:color w:val="auto"/>
              </w:rPr>
              <w:t xml:space="preserve"> </w:t>
            </w:r>
            <w:r>
              <w:rPr>
                <w:rFonts w:hint="eastAsia"/>
                <w:color w:val="auto"/>
              </w:rPr>
              <w:t>项目组成及主要环境问题</w:t>
            </w:r>
          </w:p>
          <w:tbl>
            <w:tblPr>
              <w:tblStyle w:val="27"/>
              <w:tblW w:w="48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775"/>
              <w:gridCol w:w="2401"/>
              <w:gridCol w:w="2042"/>
              <w:gridCol w:w="819"/>
              <w:gridCol w:w="853"/>
              <w:gridCol w:w="1122"/>
            </w:tblGrid>
            <w:tr w14:paraId="56507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312" w:type="pct"/>
                  <w:noWrap w:val="0"/>
                  <w:vAlign w:val="center"/>
                </w:tcPr>
                <w:p w14:paraId="5F6A4D1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default"/>
                      <w:b/>
                      <w:bCs/>
                      <w:color w:val="auto"/>
                      <w:sz w:val="21"/>
                      <w:szCs w:val="21"/>
                    </w:rPr>
                    <w:t>类别</w:t>
                  </w:r>
                </w:p>
                <w:p w14:paraId="5A3A4EB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p>
              </w:tc>
              <w:tc>
                <w:tcPr>
                  <w:tcW w:w="453" w:type="pct"/>
                  <w:noWrap w:val="0"/>
                  <w:vAlign w:val="center"/>
                </w:tcPr>
                <w:p w14:paraId="6981F92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default"/>
                      <w:b/>
                      <w:bCs/>
                      <w:color w:val="auto"/>
                      <w:sz w:val="21"/>
                      <w:szCs w:val="21"/>
                    </w:rPr>
                    <w:t>建设项目组成</w:t>
                  </w:r>
                </w:p>
              </w:tc>
              <w:tc>
                <w:tcPr>
                  <w:tcW w:w="1404" w:type="pct"/>
                  <w:noWrap w:val="0"/>
                  <w:vAlign w:val="center"/>
                </w:tcPr>
                <w:p w14:paraId="27ED98E2">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lang w:eastAsia="zh-CN"/>
                    </w:rPr>
                    <w:t>环评</w:t>
                  </w:r>
                  <w:r>
                    <w:rPr>
                      <w:rFonts w:hint="default"/>
                      <w:b/>
                      <w:bCs/>
                      <w:color w:val="auto"/>
                      <w:sz w:val="21"/>
                      <w:szCs w:val="21"/>
                    </w:rPr>
                    <w:t>建设内容</w:t>
                  </w:r>
                </w:p>
              </w:tc>
              <w:tc>
                <w:tcPr>
                  <w:tcW w:w="1194" w:type="pct"/>
                  <w:noWrap w:val="0"/>
                  <w:vAlign w:val="center"/>
                </w:tcPr>
                <w:p w14:paraId="0EA25E4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lang w:eastAsia="zh-CN"/>
                    </w:rPr>
                    <w:t>实际环评</w:t>
                  </w:r>
                  <w:r>
                    <w:rPr>
                      <w:rFonts w:hint="default"/>
                      <w:b/>
                      <w:bCs/>
                      <w:color w:val="auto"/>
                      <w:sz w:val="21"/>
                      <w:szCs w:val="21"/>
                    </w:rPr>
                    <w:t>建设内容</w:t>
                  </w:r>
                </w:p>
              </w:tc>
              <w:tc>
                <w:tcPr>
                  <w:tcW w:w="479" w:type="pct"/>
                  <w:noWrap w:val="0"/>
                  <w:vAlign w:val="center"/>
                </w:tcPr>
                <w:p w14:paraId="4F8E858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营运期主要环境问题</w:t>
                  </w:r>
                </w:p>
              </w:tc>
              <w:tc>
                <w:tcPr>
                  <w:tcW w:w="499" w:type="pct"/>
                  <w:noWrap w:val="0"/>
                  <w:vAlign w:val="center"/>
                </w:tcPr>
                <w:p w14:paraId="60A678C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default"/>
                      <w:b/>
                      <w:bCs/>
                      <w:color w:val="auto"/>
                      <w:sz w:val="21"/>
                      <w:szCs w:val="21"/>
                    </w:rPr>
                    <w:t>备注</w:t>
                  </w:r>
                </w:p>
              </w:tc>
              <w:tc>
                <w:tcPr>
                  <w:tcW w:w="656" w:type="pct"/>
                  <w:noWrap w:val="0"/>
                  <w:vAlign w:val="center"/>
                </w:tcPr>
                <w:p w14:paraId="2FB9F26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eastAsia="宋体"/>
                      <w:b/>
                      <w:bCs/>
                      <w:color w:val="auto"/>
                      <w:sz w:val="21"/>
                      <w:szCs w:val="21"/>
                      <w:lang w:eastAsia="zh-CN"/>
                    </w:rPr>
                  </w:pPr>
                  <w:r>
                    <w:rPr>
                      <w:rFonts w:hint="eastAsia"/>
                      <w:b/>
                      <w:bCs/>
                      <w:color w:val="auto"/>
                      <w:sz w:val="21"/>
                      <w:szCs w:val="21"/>
                      <w:lang w:eastAsia="zh-CN"/>
                    </w:rPr>
                    <w:t>与环评对照</w:t>
                  </w:r>
                </w:p>
              </w:tc>
            </w:tr>
            <w:tr w14:paraId="2890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atLeast"/>
                <w:jc w:val="center"/>
              </w:trPr>
              <w:tc>
                <w:tcPr>
                  <w:tcW w:w="312" w:type="pct"/>
                  <w:vMerge w:val="restart"/>
                  <w:noWrap w:val="0"/>
                  <w:vAlign w:val="center"/>
                </w:tcPr>
                <w:p w14:paraId="559EE8F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r>
                    <w:rPr>
                      <w:rFonts w:hint="eastAsia"/>
                      <w:color w:val="auto"/>
                      <w:sz w:val="21"/>
                      <w:szCs w:val="21"/>
                      <w:lang w:eastAsia="zh-CN"/>
                    </w:rPr>
                    <w:t>主体工程</w:t>
                  </w:r>
                </w:p>
              </w:tc>
              <w:tc>
                <w:tcPr>
                  <w:tcW w:w="453" w:type="pct"/>
                  <w:noWrap w:val="0"/>
                  <w:vAlign w:val="center"/>
                </w:tcPr>
                <w:p w14:paraId="64B6A41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1#生产厂房</w:t>
                  </w:r>
                </w:p>
              </w:tc>
              <w:tc>
                <w:tcPr>
                  <w:tcW w:w="1404" w:type="pct"/>
                  <w:noWrap w:val="0"/>
                  <w:vAlign w:val="center"/>
                </w:tcPr>
                <w:p w14:paraId="7474B26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lang w:val="en-US" w:eastAsia="zh-CN"/>
                    </w:rPr>
                  </w:pPr>
                  <w:r>
                    <w:rPr>
                      <w:rFonts w:hint="eastAsia"/>
                      <w:b/>
                      <w:bCs/>
                      <w:color w:val="auto"/>
                      <w:sz w:val="21"/>
                      <w:szCs w:val="21"/>
                      <w:lang w:val="en-US" w:eastAsia="zh-CN"/>
                    </w:rPr>
                    <w:t>占地面积1857.85m</w:t>
                  </w:r>
                  <w:r>
                    <w:rPr>
                      <w:rFonts w:hint="eastAsia"/>
                      <w:b/>
                      <w:bCs/>
                      <w:color w:val="auto"/>
                      <w:sz w:val="21"/>
                      <w:szCs w:val="21"/>
                      <w:vertAlign w:val="superscript"/>
                      <w:lang w:val="en-US" w:eastAsia="zh-CN"/>
                    </w:rPr>
                    <w:t>2</w:t>
                  </w:r>
                  <w:r>
                    <w:rPr>
                      <w:rFonts w:hint="eastAsia"/>
                      <w:b/>
                      <w:bCs/>
                      <w:color w:val="auto"/>
                      <w:sz w:val="21"/>
                      <w:szCs w:val="21"/>
                      <w:lang w:val="en-US" w:eastAsia="zh-CN"/>
                    </w:rPr>
                    <w:t>，2F，钢筋混凝土结构，已布置餐佐料生产线一条，其中二楼为生产车间及原料库房，一楼为成品库房、包装车间。对1#车间废气设施进行改造，新增除异味装置，并将排放口改成1根排放。</w:t>
                  </w:r>
                </w:p>
              </w:tc>
              <w:tc>
                <w:tcPr>
                  <w:tcW w:w="1194" w:type="pct"/>
                  <w:noWrap w:val="0"/>
                  <w:vAlign w:val="center"/>
                </w:tcPr>
                <w:p w14:paraId="5DB4783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lang w:val="en-US" w:eastAsia="zh-CN"/>
                    </w:rPr>
                  </w:pPr>
                  <w:r>
                    <w:rPr>
                      <w:rFonts w:hint="eastAsia"/>
                      <w:b/>
                      <w:bCs/>
                      <w:color w:val="auto"/>
                      <w:sz w:val="21"/>
                      <w:szCs w:val="21"/>
                      <w:lang w:val="en-US" w:eastAsia="zh-CN"/>
                    </w:rPr>
                    <w:t>占地面积1857.85m</w:t>
                  </w:r>
                  <w:r>
                    <w:rPr>
                      <w:rFonts w:hint="eastAsia"/>
                      <w:b/>
                      <w:bCs/>
                      <w:color w:val="auto"/>
                      <w:sz w:val="21"/>
                      <w:szCs w:val="21"/>
                      <w:vertAlign w:val="superscript"/>
                      <w:lang w:val="en-US" w:eastAsia="zh-CN"/>
                    </w:rPr>
                    <w:t>2</w:t>
                  </w:r>
                  <w:r>
                    <w:rPr>
                      <w:rFonts w:hint="eastAsia"/>
                      <w:b/>
                      <w:bCs/>
                      <w:color w:val="auto"/>
                      <w:sz w:val="21"/>
                      <w:szCs w:val="21"/>
                      <w:lang w:val="en-US" w:eastAsia="zh-CN"/>
                    </w:rPr>
                    <w:t>，2F，钢筋混凝土结构，已布置餐佐料生产线一条，其中二楼为生产车间及原料库房，一楼为成品库房、包装车间。对1#车间废气设施进行改造，新增除异味装置，并将排放口改成1根排放。</w:t>
                  </w:r>
                </w:p>
              </w:tc>
              <w:tc>
                <w:tcPr>
                  <w:tcW w:w="479" w:type="pct"/>
                  <w:noWrap w:val="0"/>
                  <w:vAlign w:val="center"/>
                </w:tcPr>
                <w:p w14:paraId="2C19634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废气、废水、噪声、固废</w:t>
                  </w:r>
                </w:p>
              </w:tc>
              <w:tc>
                <w:tcPr>
                  <w:tcW w:w="499" w:type="pct"/>
                  <w:noWrap w:val="0"/>
                  <w:vAlign w:val="center"/>
                </w:tcPr>
                <w:p w14:paraId="2D36D85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val="en-US" w:eastAsia="zh-CN"/>
                    </w:rPr>
                  </w:pPr>
                  <w:r>
                    <w:rPr>
                      <w:rFonts w:hint="eastAsia" w:eastAsia="宋体"/>
                      <w:b/>
                      <w:bCs/>
                      <w:color w:val="auto"/>
                      <w:sz w:val="21"/>
                      <w:szCs w:val="21"/>
                      <w:lang w:val="en-US" w:eastAsia="zh-CN"/>
                    </w:rPr>
                    <w:t>本次验收内容</w:t>
                  </w:r>
                </w:p>
              </w:tc>
              <w:tc>
                <w:tcPr>
                  <w:tcW w:w="656" w:type="pct"/>
                  <w:noWrap w:val="0"/>
                  <w:vAlign w:val="center"/>
                </w:tcPr>
                <w:p w14:paraId="27ECB29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一致</w:t>
                  </w:r>
                </w:p>
              </w:tc>
            </w:tr>
            <w:tr w14:paraId="15C53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312" w:type="pct"/>
                  <w:vMerge w:val="continue"/>
                  <w:noWrap w:val="0"/>
                  <w:vAlign w:val="center"/>
                </w:tcPr>
                <w:p w14:paraId="5542CED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noWrap w:val="0"/>
                  <w:vAlign w:val="center"/>
                </w:tcPr>
                <w:p w14:paraId="30DAD4D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2#生产厂房</w:t>
                  </w:r>
                </w:p>
              </w:tc>
              <w:tc>
                <w:tcPr>
                  <w:tcW w:w="1404" w:type="pct"/>
                  <w:noWrap w:val="0"/>
                  <w:vAlign w:val="center"/>
                </w:tcPr>
                <w:p w14:paraId="18BE8BD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lang w:val="en-US" w:eastAsia="zh-CN"/>
                    </w:rPr>
                  </w:pPr>
                  <w:r>
                    <w:rPr>
                      <w:rFonts w:hint="eastAsia"/>
                      <w:b/>
                      <w:bCs/>
                      <w:color w:val="auto"/>
                      <w:sz w:val="21"/>
                      <w:szCs w:val="21"/>
                      <w:lang w:val="en-US" w:eastAsia="zh-CN"/>
                    </w:rPr>
                    <w:t>占地面积2000m</w:t>
                  </w:r>
                  <w:r>
                    <w:rPr>
                      <w:rFonts w:hint="eastAsia"/>
                      <w:b/>
                      <w:bCs/>
                      <w:color w:val="auto"/>
                      <w:sz w:val="21"/>
                      <w:szCs w:val="21"/>
                      <w:vertAlign w:val="superscript"/>
                      <w:lang w:val="en-US" w:eastAsia="zh-CN"/>
                    </w:rPr>
                    <w:t>2</w:t>
                  </w:r>
                  <w:r>
                    <w:rPr>
                      <w:rFonts w:hint="eastAsia"/>
                      <w:b/>
                      <w:bCs/>
                      <w:color w:val="auto"/>
                      <w:sz w:val="21"/>
                      <w:szCs w:val="21"/>
                      <w:lang w:val="en-US" w:eastAsia="zh-CN"/>
                    </w:rPr>
                    <w:t>，4F，建筑面积8000m</w:t>
                  </w:r>
                  <w:r>
                    <w:rPr>
                      <w:rFonts w:hint="eastAsia"/>
                      <w:b/>
                      <w:bCs/>
                      <w:color w:val="auto"/>
                      <w:sz w:val="21"/>
                      <w:szCs w:val="21"/>
                      <w:vertAlign w:val="superscript"/>
                      <w:lang w:val="en-US" w:eastAsia="zh-CN"/>
                    </w:rPr>
                    <w:t>2</w:t>
                  </w:r>
                  <w:r>
                    <w:rPr>
                      <w:rFonts w:hint="eastAsia"/>
                      <w:b/>
                      <w:bCs/>
                      <w:color w:val="auto"/>
                      <w:sz w:val="21"/>
                      <w:szCs w:val="21"/>
                      <w:lang w:val="en-US" w:eastAsia="zh-CN"/>
                    </w:rPr>
                    <w:t>，设置餐佐料、鸡精生产线各一条；厂内楼层布置自上而下分别是原料库房、生产间、包装车间、成品库房。</w:t>
                  </w:r>
                </w:p>
              </w:tc>
              <w:tc>
                <w:tcPr>
                  <w:tcW w:w="1194" w:type="pct"/>
                  <w:noWrap w:val="0"/>
                  <w:vAlign w:val="center"/>
                </w:tcPr>
                <w:p w14:paraId="14473C8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val="en-US" w:eastAsia="zh-CN"/>
                    </w:rPr>
                  </w:pPr>
                  <w:r>
                    <w:rPr>
                      <w:rFonts w:hint="eastAsia"/>
                      <w:b/>
                      <w:bCs/>
                      <w:color w:val="auto"/>
                      <w:sz w:val="21"/>
                      <w:szCs w:val="21"/>
                      <w:lang w:val="en-US" w:eastAsia="zh-CN"/>
                    </w:rPr>
                    <w:t>占地面积2000m</w:t>
                  </w:r>
                  <w:r>
                    <w:rPr>
                      <w:rFonts w:hint="eastAsia"/>
                      <w:b/>
                      <w:bCs/>
                      <w:color w:val="auto"/>
                      <w:sz w:val="21"/>
                      <w:szCs w:val="21"/>
                      <w:vertAlign w:val="superscript"/>
                      <w:lang w:val="en-US" w:eastAsia="zh-CN"/>
                    </w:rPr>
                    <w:t>2</w:t>
                  </w:r>
                  <w:r>
                    <w:rPr>
                      <w:rFonts w:hint="eastAsia"/>
                      <w:b/>
                      <w:bCs/>
                      <w:color w:val="auto"/>
                      <w:sz w:val="21"/>
                      <w:szCs w:val="21"/>
                      <w:lang w:val="en-US" w:eastAsia="zh-CN"/>
                    </w:rPr>
                    <w:t>，1F，设置餐佐料一条，内置炒锅、冷却设备。</w:t>
                  </w:r>
                </w:p>
              </w:tc>
              <w:tc>
                <w:tcPr>
                  <w:tcW w:w="479" w:type="pct"/>
                  <w:noWrap w:val="0"/>
                  <w:vAlign w:val="center"/>
                </w:tcPr>
                <w:p w14:paraId="07F0880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废气、废水、噪声、固废</w:t>
                  </w:r>
                </w:p>
              </w:tc>
              <w:tc>
                <w:tcPr>
                  <w:tcW w:w="499" w:type="pct"/>
                  <w:noWrap w:val="0"/>
                  <w:vAlign w:val="center"/>
                </w:tcPr>
                <w:p w14:paraId="50AEB01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eastAsia="宋体"/>
                      <w:b/>
                      <w:bCs/>
                      <w:color w:val="auto"/>
                      <w:sz w:val="21"/>
                      <w:szCs w:val="21"/>
                      <w:lang w:val="en-US" w:eastAsia="zh-CN"/>
                    </w:rPr>
                    <w:t>本次验收内容</w:t>
                  </w:r>
                </w:p>
              </w:tc>
              <w:tc>
                <w:tcPr>
                  <w:tcW w:w="656" w:type="pct"/>
                  <w:noWrap w:val="0"/>
                  <w:vAlign w:val="center"/>
                </w:tcPr>
                <w:p w14:paraId="1A82212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color w:val="auto"/>
                      <w:sz w:val="21"/>
                      <w:szCs w:val="21"/>
                      <w:lang w:val="en-US" w:eastAsia="zh-CN"/>
                    </w:rPr>
                  </w:pPr>
                  <w:r>
                    <w:rPr>
                      <w:rFonts w:hint="eastAsia"/>
                      <w:b/>
                      <w:bCs/>
                      <w:color w:val="auto"/>
                      <w:sz w:val="21"/>
                      <w:szCs w:val="21"/>
                      <w:lang w:eastAsia="zh-CN"/>
                    </w:rPr>
                    <w:t>鸡精生产线未建，实际</w:t>
                  </w:r>
                  <w:r>
                    <w:rPr>
                      <w:rFonts w:hint="eastAsia"/>
                      <w:b/>
                      <w:bCs/>
                      <w:color w:val="auto"/>
                      <w:sz w:val="21"/>
                      <w:szCs w:val="21"/>
                      <w:lang w:val="en-US" w:eastAsia="zh-CN"/>
                    </w:rPr>
                    <w:t>2#生产车间为1F,库房单独设置，不属于重大变动。</w:t>
                  </w:r>
                </w:p>
              </w:tc>
            </w:tr>
            <w:tr w14:paraId="280F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312" w:type="pct"/>
                  <w:vMerge w:val="restart"/>
                  <w:noWrap w:val="0"/>
                  <w:vAlign w:val="center"/>
                </w:tcPr>
                <w:p w14:paraId="4C8B884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r>
                    <w:rPr>
                      <w:rFonts w:hint="eastAsia"/>
                      <w:color w:val="auto"/>
                      <w:sz w:val="21"/>
                      <w:szCs w:val="21"/>
                      <w:lang w:eastAsia="zh-CN"/>
                    </w:rPr>
                    <w:t>辅助工程</w:t>
                  </w:r>
                </w:p>
              </w:tc>
              <w:tc>
                <w:tcPr>
                  <w:tcW w:w="453" w:type="pct"/>
                  <w:noWrap w:val="0"/>
                  <w:vAlign w:val="center"/>
                </w:tcPr>
                <w:p w14:paraId="02D8CBB3">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仓库</w:t>
                  </w:r>
                </w:p>
              </w:tc>
              <w:tc>
                <w:tcPr>
                  <w:tcW w:w="1404" w:type="pct"/>
                  <w:noWrap w:val="0"/>
                  <w:vAlign w:val="center"/>
                </w:tcPr>
                <w:p w14:paraId="6B38E6D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原料及成品仓库均设置与生产厂房内部。</w:t>
                  </w:r>
                </w:p>
              </w:tc>
              <w:tc>
                <w:tcPr>
                  <w:tcW w:w="1194" w:type="pct"/>
                  <w:noWrap w:val="0"/>
                  <w:vAlign w:val="center"/>
                </w:tcPr>
                <w:p w14:paraId="10ADD18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单独建设一座仓库用于存放原料及成品，1F，位于2F厂房西北侧。</w:t>
                  </w:r>
                </w:p>
              </w:tc>
              <w:tc>
                <w:tcPr>
                  <w:tcW w:w="479" w:type="pct"/>
                  <w:noWrap w:val="0"/>
                  <w:vAlign w:val="center"/>
                </w:tcPr>
                <w:p w14:paraId="2C03E42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固废</w:t>
                  </w:r>
                </w:p>
              </w:tc>
              <w:tc>
                <w:tcPr>
                  <w:tcW w:w="499" w:type="pct"/>
                  <w:noWrap w:val="0"/>
                  <w:vAlign w:val="center"/>
                </w:tcPr>
                <w:p w14:paraId="77476993">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val="en-US" w:eastAsia="zh-CN"/>
                    </w:rPr>
                  </w:pPr>
                  <w:r>
                    <w:rPr>
                      <w:rFonts w:hint="eastAsia" w:eastAsia="宋体"/>
                      <w:b/>
                      <w:bCs/>
                      <w:color w:val="auto"/>
                      <w:sz w:val="21"/>
                      <w:szCs w:val="21"/>
                      <w:lang w:val="en-US" w:eastAsia="zh-CN"/>
                    </w:rPr>
                    <w:t>本次验收内容</w:t>
                  </w:r>
                </w:p>
              </w:tc>
              <w:tc>
                <w:tcPr>
                  <w:tcW w:w="656" w:type="pct"/>
                  <w:noWrap w:val="0"/>
                  <w:vAlign w:val="center"/>
                </w:tcPr>
                <w:p w14:paraId="7888A84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不属于重大变动</w:t>
                  </w:r>
                </w:p>
              </w:tc>
            </w:tr>
            <w:tr w14:paraId="015C6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312" w:type="pct"/>
                  <w:vMerge w:val="continue"/>
                  <w:noWrap w:val="0"/>
                  <w:vAlign w:val="center"/>
                </w:tcPr>
                <w:p w14:paraId="53F4542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p>
              </w:tc>
              <w:tc>
                <w:tcPr>
                  <w:tcW w:w="453" w:type="pct"/>
                  <w:noWrap w:val="0"/>
                  <w:vAlign w:val="center"/>
                </w:tcPr>
                <w:p w14:paraId="4F53E332">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配电房</w:t>
                  </w:r>
                </w:p>
              </w:tc>
              <w:tc>
                <w:tcPr>
                  <w:tcW w:w="1404" w:type="pct"/>
                  <w:noWrap w:val="0"/>
                  <w:vAlign w:val="center"/>
                </w:tcPr>
                <w:p w14:paraId="7EC3567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rPr>
                  </w:pPr>
                  <w:r>
                    <w:rPr>
                      <w:rFonts w:hint="eastAsia"/>
                      <w:b/>
                      <w:bCs/>
                      <w:color w:val="auto"/>
                      <w:sz w:val="21"/>
                      <w:szCs w:val="21"/>
                      <w:lang w:val="en-US" w:eastAsia="zh-CN"/>
                    </w:rPr>
                    <w:t>位于厂区东南面，占地20m</w:t>
                  </w:r>
                  <w:r>
                    <w:rPr>
                      <w:rFonts w:hint="eastAsia"/>
                      <w:b/>
                      <w:bCs/>
                      <w:color w:val="auto"/>
                      <w:sz w:val="21"/>
                      <w:szCs w:val="21"/>
                      <w:vertAlign w:val="superscript"/>
                      <w:lang w:val="en-US" w:eastAsia="zh-CN"/>
                    </w:rPr>
                    <w:t>2</w:t>
                  </w:r>
                </w:p>
              </w:tc>
              <w:tc>
                <w:tcPr>
                  <w:tcW w:w="1194" w:type="pct"/>
                  <w:noWrap w:val="0"/>
                  <w:vAlign w:val="center"/>
                </w:tcPr>
                <w:p w14:paraId="655499D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lang w:val="en-US" w:eastAsia="zh-CN"/>
                    </w:rPr>
                    <w:t>位于厂区西北侧，占地20m</w:t>
                  </w:r>
                  <w:r>
                    <w:rPr>
                      <w:rFonts w:hint="eastAsia"/>
                      <w:b/>
                      <w:bCs/>
                      <w:color w:val="auto"/>
                      <w:sz w:val="21"/>
                      <w:szCs w:val="21"/>
                      <w:vertAlign w:val="superscript"/>
                      <w:lang w:val="en-US" w:eastAsia="zh-CN"/>
                    </w:rPr>
                    <w:t>2</w:t>
                  </w:r>
                </w:p>
              </w:tc>
              <w:tc>
                <w:tcPr>
                  <w:tcW w:w="479" w:type="pct"/>
                  <w:noWrap w:val="0"/>
                  <w:vAlign w:val="center"/>
                </w:tcPr>
                <w:p w14:paraId="1D60EE0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val="en-US" w:eastAsia="zh-CN"/>
                    </w:rPr>
                  </w:pPr>
                  <w:r>
                    <w:rPr>
                      <w:rFonts w:hint="eastAsia"/>
                      <w:b/>
                      <w:bCs/>
                      <w:color w:val="auto"/>
                      <w:sz w:val="21"/>
                      <w:szCs w:val="21"/>
                      <w:lang w:val="en-US" w:eastAsia="zh-CN"/>
                    </w:rPr>
                    <w:t>/</w:t>
                  </w:r>
                </w:p>
              </w:tc>
              <w:tc>
                <w:tcPr>
                  <w:tcW w:w="499" w:type="pct"/>
                  <w:noWrap w:val="0"/>
                  <w:vAlign w:val="center"/>
                </w:tcPr>
                <w:p w14:paraId="28CE685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eastAsia="宋体"/>
                      <w:b/>
                      <w:bCs/>
                      <w:color w:val="auto"/>
                      <w:sz w:val="21"/>
                      <w:szCs w:val="21"/>
                      <w:lang w:val="en-US" w:eastAsia="zh-CN"/>
                    </w:rPr>
                    <w:t>本次验收内容</w:t>
                  </w:r>
                </w:p>
              </w:tc>
              <w:tc>
                <w:tcPr>
                  <w:tcW w:w="656" w:type="pct"/>
                  <w:noWrap w:val="0"/>
                  <w:vAlign w:val="center"/>
                </w:tcPr>
                <w:p w14:paraId="07511C03">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bCs/>
                      <w:color w:val="auto"/>
                      <w:sz w:val="21"/>
                      <w:szCs w:val="21"/>
                      <w:lang w:val="en-US" w:eastAsia="zh-CN"/>
                    </w:rPr>
                  </w:pPr>
                  <w:r>
                    <w:rPr>
                      <w:rFonts w:hint="eastAsia"/>
                      <w:b/>
                      <w:bCs/>
                      <w:color w:val="auto"/>
                      <w:sz w:val="21"/>
                      <w:szCs w:val="21"/>
                      <w:lang w:val="en-US" w:eastAsia="zh-CN"/>
                    </w:rPr>
                    <w:t>位置调整，不属于重大变动</w:t>
                  </w:r>
                </w:p>
              </w:tc>
            </w:tr>
            <w:tr w14:paraId="0FA61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312" w:type="pct"/>
                  <w:vMerge w:val="continue"/>
                  <w:noWrap w:val="0"/>
                  <w:vAlign w:val="center"/>
                </w:tcPr>
                <w:p w14:paraId="327D49C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p>
              </w:tc>
              <w:tc>
                <w:tcPr>
                  <w:tcW w:w="453" w:type="pct"/>
                  <w:noWrap w:val="0"/>
                  <w:vAlign w:val="center"/>
                </w:tcPr>
                <w:p w14:paraId="57EA984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洗手间</w:t>
                  </w:r>
                </w:p>
              </w:tc>
              <w:tc>
                <w:tcPr>
                  <w:tcW w:w="1404" w:type="pct"/>
                  <w:noWrap w:val="0"/>
                  <w:vAlign w:val="center"/>
                </w:tcPr>
                <w:p w14:paraId="123750F3">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w:t>
                  </w:r>
                </w:p>
              </w:tc>
              <w:tc>
                <w:tcPr>
                  <w:tcW w:w="1194" w:type="pct"/>
                  <w:noWrap w:val="0"/>
                  <w:vAlign w:val="center"/>
                </w:tcPr>
                <w:p w14:paraId="3006DDD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位于厂区西北侧，占地约</w:t>
                  </w:r>
                  <w:r>
                    <w:rPr>
                      <w:rFonts w:hint="eastAsia"/>
                      <w:b/>
                      <w:bCs/>
                      <w:color w:val="auto"/>
                      <w:sz w:val="21"/>
                      <w:szCs w:val="21"/>
                      <w:lang w:val="en-US" w:eastAsia="zh-CN"/>
                    </w:rPr>
                    <w:t>20m</w:t>
                  </w:r>
                  <w:r>
                    <w:rPr>
                      <w:rFonts w:hint="eastAsia"/>
                      <w:b/>
                      <w:bCs/>
                      <w:color w:val="auto"/>
                      <w:sz w:val="21"/>
                      <w:szCs w:val="21"/>
                      <w:vertAlign w:val="superscript"/>
                      <w:lang w:val="en-US" w:eastAsia="zh-CN"/>
                    </w:rPr>
                    <w:t>2</w:t>
                  </w:r>
                </w:p>
              </w:tc>
              <w:tc>
                <w:tcPr>
                  <w:tcW w:w="479" w:type="pct"/>
                  <w:noWrap w:val="0"/>
                  <w:vAlign w:val="center"/>
                </w:tcPr>
                <w:p w14:paraId="34F1C8B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w:t>
                  </w:r>
                </w:p>
              </w:tc>
              <w:tc>
                <w:tcPr>
                  <w:tcW w:w="499" w:type="pct"/>
                  <w:noWrap w:val="0"/>
                  <w:vAlign w:val="center"/>
                </w:tcPr>
                <w:p w14:paraId="0DF8D7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eastAsia="宋体"/>
                      <w:b/>
                      <w:bCs/>
                      <w:color w:val="auto"/>
                      <w:sz w:val="21"/>
                      <w:szCs w:val="21"/>
                      <w:lang w:val="en-US" w:eastAsia="zh-CN"/>
                    </w:rPr>
                    <w:t>本次验收内容</w:t>
                  </w:r>
                </w:p>
              </w:tc>
              <w:tc>
                <w:tcPr>
                  <w:tcW w:w="656" w:type="pct"/>
                  <w:noWrap w:val="0"/>
                  <w:vAlign w:val="center"/>
                </w:tcPr>
                <w:p w14:paraId="65293E4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新增建设配套设施，不属于重大变动</w:t>
                  </w:r>
                </w:p>
              </w:tc>
            </w:tr>
            <w:tr w14:paraId="28B78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continue"/>
                  <w:noWrap w:val="0"/>
                  <w:vAlign w:val="center"/>
                </w:tcPr>
                <w:p w14:paraId="4080A82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p>
              </w:tc>
              <w:tc>
                <w:tcPr>
                  <w:tcW w:w="453" w:type="pct"/>
                  <w:noWrap w:val="0"/>
                  <w:vAlign w:val="center"/>
                </w:tcPr>
                <w:p w14:paraId="4ACF40D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机修房</w:t>
                  </w:r>
                </w:p>
              </w:tc>
              <w:tc>
                <w:tcPr>
                  <w:tcW w:w="1404" w:type="pct"/>
                  <w:noWrap w:val="0"/>
                  <w:vAlign w:val="center"/>
                </w:tcPr>
                <w:p w14:paraId="494AF04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w:t>
                  </w:r>
                </w:p>
              </w:tc>
              <w:tc>
                <w:tcPr>
                  <w:tcW w:w="1194" w:type="pct"/>
                  <w:noWrap w:val="0"/>
                  <w:vAlign w:val="center"/>
                </w:tcPr>
                <w:p w14:paraId="402A1C8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lang w:eastAsia="zh-CN"/>
                    </w:rPr>
                    <w:t>位于厂区西北侧，占地约</w:t>
                  </w:r>
                  <w:r>
                    <w:rPr>
                      <w:rFonts w:hint="eastAsia"/>
                      <w:b/>
                      <w:bCs/>
                      <w:color w:val="auto"/>
                      <w:sz w:val="21"/>
                      <w:szCs w:val="21"/>
                      <w:lang w:val="en-US" w:eastAsia="zh-CN"/>
                    </w:rPr>
                    <w:t>20m</w:t>
                  </w:r>
                  <w:r>
                    <w:rPr>
                      <w:rFonts w:hint="eastAsia"/>
                      <w:b/>
                      <w:bCs/>
                      <w:color w:val="auto"/>
                      <w:sz w:val="21"/>
                      <w:szCs w:val="21"/>
                      <w:vertAlign w:val="superscript"/>
                      <w:lang w:val="en-US" w:eastAsia="zh-CN"/>
                    </w:rPr>
                    <w:t>2</w:t>
                  </w:r>
                </w:p>
              </w:tc>
              <w:tc>
                <w:tcPr>
                  <w:tcW w:w="479" w:type="pct"/>
                  <w:noWrap w:val="0"/>
                  <w:vAlign w:val="center"/>
                </w:tcPr>
                <w:p w14:paraId="3E74E94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固废</w:t>
                  </w:r>
                </w:p>
              </w:tc>
              <w:tc>
                <w:tcPr>
                  <w:tcW w:w="499" w:type="pct"/>
                  <w:noWrap w:val="0"/>
                  <w:vAlign w:val="center"/>
                </w:tcPr>
                <w:p w14:paraId="4954F1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eastAsia="宋体"/>
                      <w:b/>
                      <w:bCs/>
                      <w:color w:val="auto"/>
                      <w:sz w:val="21"/>
                      <w:szCs w:val="21"/>
                      <w:lang w:val="en-US" w:eastAsia="zh-CN"/>
                    </w:rPr>
                    <w:t>本次验收内容</w:t>
                  </w:r>
                </w:p>
              </w:tc>
              <w:tc>
                <w:tcPr>
                  <w:tcW w:w="656" w:type="pct"/>
                  <w:noWrap w:val="0"/>
                  <w:vAlign w:val="center"/>
                </w:tcPr>
                <w:p w14:paraId="221C0DB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rPr>
                  </w:pPr>
                  <w:r>
                    <w:rPr>
                      <w:rFonts w:hint="eastAsia"/>
                      <w:b/>
                      <w:bCs/>
                      <w:color w:val="auto"/>
                      <w:sz w:val="21"/>
                      <w:szCs w:val="21"/>
                      <w:lang w:eastAsia="zh-CN"/>
                    </w:rPr>
                    <w:t>新增建设配套设施，不属于重大变动</w:t>
                  </w:r>
                </w:p>
              </w:tc>
            </w:tr>
            <w:tr w14:paraId="5513D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continue"/>
                  <w:noWrap w:val="0"/>
                  <w:vAlign w:val="center"/>
                </w:tcPr>
                <w:p w14:paraId="5A6B2DC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lang w:eastAsia="zh-CN"/>
                    </w:rPr>
                  </w:pPr>
                </w:p>
              </w:tc>
              <w:tc>
                <w:tcPr>
                  <w:tcW w:w="453" w:type="pct"/>
                  <w:noWrap w:val="0"/>
                  <w:vAlign w:val="center"/>
                </w:tcPr>
                <w:p w14:paraId="6B53918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油罐区</w:t>
                  </w:r>
                </w:p>
              </w:tc>
              <w:tc>
                <w:tcPr>
                  <w:tcW w:w="1404" w:type="pct"/>
                  <w:noWrap w:val="0"/>
                  <w:vAlign w:val="center"/>
                </w:tcPr>
                <w:p w14:paraId="24DFC122">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w:t>
                  </w:r>
                </w:p>
              </w:tc>
              <w:tc>
                <w:tcPr>
                  <w:tcW w:w="1194" w:type="pct"/>
                  <w:noWrap w:val="0"/>
                  <w:vAlign w:val="center"/>
                </w:tcPr>
                <w:p w14:paraId="78C49C0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2处，分别</w:t>
                  </w:r>
                  <w:r>
                    <w:rPr>
                      <w:rFonts w:hint="eastAsia"/>
                      <w:b/>
                      <w:bCs/>
                      <w:color w:val="auto"/>
                      <w:sz w:val="21"/>
                      <w:szCs w:val="21"/>
                      <w:lang w:eastAsia="zh-CN"/>
                    </w:rPr>
                    <w:t>位于</w:t>
                  </w:r>
                  <w:r>
                    <w:rPr>
                      <w:rFonts w:hint="eastAsia"/>
                      <w:b/>
                      <w:bCs/>
                      <w:color w:val="auto"/>
                      <w:sz w:val="21"/>
                      <w:szCs w:val="21"/>
                      <w:lang w:val="en-US" w:eastAsia="zh-CN"/>
                    </w:rPr>
                    <w:t>1#生产车间和2#生产车间一侧</w:t>
                  </w:r>
                </w:p>
              </w:tc>
              <w:tc>
                <w:tcPr>
                  <w:tcW w:w="479" w:type="pct"/>
                  <w:noWrap w:val="0"/>
                  <w:vAlign w:val="center"/>
                </w:tcPr>
                <w:p w14:paraId="270FC10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地下水</w:t>
                  </w:r>
                </w:p>
              </w:tc>
              <w:tc>
                <w:tcPr>
                  <w:tcW w:w="853" w:type="dxa"/>
                  <w:noWrap w:val="0"/>
                  <w:vAlign w:val="center"/>
                </w:tcPr>
                <w:p w14:paraId="018E4D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b/>
                      <w:bCs/>
                      <w:color w:val="auto"/>
                      <w:sz w:val="21"/>
                      <w:szCs w:val="21"/>
                      <w:lang w:val="en-US" w:eastAsia="zh-CN"/>
                    </w:rPr>
                  </w:pPr>
                  <w:r>
                    <w:rPr>
                      <w:rFonts w:hint="eastAsia" w:eastAsia="宋体"/>
                      <w:b/>
                      <w:bCs/>
                      <w:color w:val="auto"/>
                      <w:sz w:val="21"/>
                      <w:szCs w:val="21"/>
                      <w:lang w:val="en-US" w:eastAsia="zh-CN"/>
                    </w:rPr>
                    <w:t>本次验收内容</w:t>
                  </w:r>
                </w:p>
              </w:tc>
              <w:tc>
                <w:tcPr>
                  <w:tcW w:w="1122" w:type="dxa"/>
                  <w:noWrap w:val="0"/>
                  <w:vAlign w:val="center"/>
                </w:tcPr>
                <w:p w14:paraId="37BA5DA8">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新增建设配套设施，不属于重大变动</w:t>
                  </w:r>
                </w:p>
              </w:tc>
            </w:tr>
            <w:tr w14:paraId="5BD65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312" w:type="pct"/>
                  <w:vMerge w:val="continue"/>
                  <w:noWrap w:val="0"/>
                  <w:vAlign w:val="center"/>
                </w:tcPr>
                <w:p w14:paraId="28EE318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noWrap w:val="0"/>
                  <w:vAlign w:val="center"/>
                </w:tcPr>
                <w:p w14:paraId="344126D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b w:val="0"/>
                      <w:bCs w:val="0"/>
                      <w:color w:val="auto"/>
                      <w:sz w:val="21"/>
                      <w:szCs w:val="21"/>
                      <w:lang w:val="en-US" w:eastAsia="zh-CN"/>
                    </w:rPr>
                  </w:pPr>
                  <w:r>
                    <w:rPr>
                      <w:rFonts w:hint="eastAsia"/>
                      <w:b w:val="0"/>
                      <w:bCs w:val="0"/>
                      <w:color w:val="auto"/>
                      <w:sz w:val="21"/>
                      <w:szCs w:val="21"/>
                      <w:lang w:val="en-US" w:eastAsia="zh-CN"/>
                    </w:rPr>
                    <w:t>停车场</w:t>
                  </w:r>
                </w:p>
              </w:tc>
              <w:tc>
                <w:tcPr>
                  <w:tcW w:w="1404" w:type="pct"/>
                  <w:noWrap w:val="0"/>
                  <w:vAlign w:val="center"/>
                </w:tcPr>
                <w:p w14:paraId="192B6B1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val="0"/>
                      <w:bCs w:val="0"/>
                      <w:color w:val="auto"/>
                      <w:sz w:val="21"/>
                      <w:szCs w:val="21"/>
                      <w:lang w:val="en-US" w:eastAsia="zh-CN"/>
                    </w:rPr>
                  </w:pPr>
                  <w:r>
                    <w:rPr>
                      <w:rFonts w:hint="eastAsia"/>
                      <w:b w:val="0"/>
                      <w:bCs w:val="0"/>
                      <w:color w:val="auto"/>
                      <w:sz w:val="21"/>
                      <w:szCs w:val="21"/>
                      <w:lang w:val="en-US" w:eastAsia="zh-CN"/>
                    </w:rPr>
                    <w:t>地上停车场，停车位为15个</w:t>
                  </w:r>
                </w:p>
              </w:tc>
              <w:tc>
                <w:tcPr>
                  <w:tcW w:w="1194" w:type="pct"/>
                  <w:noWrap w:val="0"/>
                  <w:vAlign w:val="center"/>
                </w:tcPr>
                <w:p w14:paraId="4EB2B3E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val="0"/>
                      <w:bCs w:val="0"/>
                      <w:color w:val="auto"/>
                      <w:sz w:val="21"/>
                      <w:szCs w:val="21"/>
                    </w:rPr>
                  </w:pPr>
                  <w:r>
                    <w:rPr>
                      <w:rFonts w:hint="eastAsia"/>
                      <w:b w:val="0"/>
                      <w:bCs w:val="0"/>
                      <w:color w:val="auto"/>
                      <w:sz w:val="21"/>
                      <w:szCs w:val="21"/>
                      <w:lang w:val="en-US" w:eastAsia="zh-CN"/>
                    </w:rPr>
                    <w:t>地上停车场，停车位为15个</w:t>
                  </w:r>
                </w:p>
              </w:tc>
              <w:tc>
                <w:tcPr>
                  <w:tcW w:w="479" w:type="pct"/>
                  <w:noWrap w:val="0"/>
                  <w:vAlign w:val="center"/>
                </w:tcPr>
                <w:p w14:paraId="5E6B40D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val="0"/>
                      <w:bCs w:val="0"/>
                      <w:color w:val="auto"/>
                      <w:sz w:val="21"/>
                      <w:szCs w:val="21"/>
                      <w:lang w:val="en-US" w:eastAsia="zh-CN"/>
                    </w:rPr>
                  </w:pPr>
                  <w:r>
                    <w:rPr>
                      <w:rFonts w:hint="eastAsia"/>
                      <w:b w:val="0"/>
                      <w:bCs w:val="0"/>
                      <w:color w:val="auto"/>
                      <w:sz w:val="21"/>
                      <w:szCs w:val="21"/>
                      <w:lang w:val="en-US" w:eastAsia="zh-CN"/>
                    </w:rPr>
                    <w:t>/</w:t>
                  </w:r>
                </w:p>
              </w:tc>
              <w:tc>
                <w:tcPr>
                  <w:tcW w:w="499" w:type="pct"/>
                  <w:noWrap w:val="0"/>
                  <w:vAlign w:val="center"/>
                </w:tcPr>
                <w:p w14:paraId="3D24701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 w:val="21"/>
                      <w:szCs w:val="21"/>
                      <w:lang w:eastAsia="zh-CN"/>
                    </w:rPr>
                  </w:pPr>
                  <w:r>
                    <w:rPr>
                      <w:rFonts w:hint="eastAsia" w:eastAsia="宋体"/>
                      <w:b w:val="0"/>
                      <w:bCs w:val="0"/>
                      <w:color w:val="auto"/>
                      <w:sz w:val="21"/>
                      <w:szCs w:val="21"/>
                      <w:lang w:eastAsia="zh-CN"/>
                    </w:rPr>
                    <w:t>已验收</w:t>
                  </w:r>
                </w:p>
              </w:tc>
              <w:tc>
                <w:tcPr>
                  <w:tcW w:w="656" w:type="pct"/>
                  <w:noWrap w:val="0"/>
                  <w:vAlign w:val="center"/>
                </w:tcPr>
                <w:p w14:paraId="583CCD6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 w:val="21"/>
                      <w:szCs w:val="21"/>
                      <w:lang w:eastAsia="zh-CN"/>
                    </w:rPr>
                  </w:pPr>
                  <w:r>
                    <w:rPr>
                      <w:rFonts w:hint="eastAsia"/>
                      <w:b w:val="0"/>
                      <w:bCs w:val="0"/>
                      <w:color w:val="auto"/>
                      <w:sz w:val="21"/>
                      <w:szCs w:val="21"/>
                      <w:lang w:eastAsia="zh-CN"/>
                    </w:rPr>
                    <w:t>一致</w:t>
                  </w:r>
                </w:p>
              </w:tc>
            </w:tr>
            <w:tr w14:paraId="75D7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312" w:type="pct"/>
                  <w:noWrap w:val="0"/>
                  <w:vAlign w:val="center"/>
                </w:tcPr>
                <w:p w14:paraId="61EE7D7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noWrap w:val="0"/>
                  <w:vAlign w:val="center"/>
                </w:tcPr>
                <w:p w14:paraId="160C172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绿化</w:t>
                  </w:r>
                </w:p>
              </w:tc>
              <w:tc>
                <w:tcPr>
                  <w:tcW w:w="1404" w:type="pct"/>
                  <w:noWrap w:val="0"/>
                  <w:vAlign w:val="center"/>
                </w:tcPr>
                <w:p w14:paraId="652AC0B2">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val="0"/>
                      <w:bCs w:val="0"/>
                      <w:color w:val="auto"/>
                      <w:sz w:val="21"/>
                      <w:szCs w:val="21"/>
                      <w:lang w:val="en-US" w:eastAsia="zh-CN"/>
                    </w:rPr>
                  </w:pPr>
                  <w:r>
                    <w:rPr>
                      <w:rFonts w:hint="eastAsia"/>
                      <w:b w:val="0"/>
                      <w:bCs w:val="0"/>
                      <w:color w:val="auto"/>
                      <w:sz w:val="21"/>
                      <w:szCs w:val="21"/>
                      <w:lang w:val="en-US" w:eastAsia="zh-CN"/>
                    </w:rPr>
                    <w:t>绿化面积2080m</w:t>
                  </w:r>
                  <w:r>
                    <w:rPr>
                      <w:rFonts w:hint="eastAsia"/>
                      <w:b w:val="0"/>
                      <w:bCs w:val="0"/>
                      <w:color w:val="auto"/>
                      <w:sz w:val="21"/>
                      <w:szCs w:val="21"/>
                      <w:vertAlign w:val="superscript"/>
                      <w:lang w:val="en-US" w:eastAsia="zh-CN"/>
                    </w:rPr>
                    <w:t>2</w:t>
                  </w:r>
                </w:p>
              </w:tc>
              <w:tc>
                <w:tcPr>
                  <w:tcW w:w="1194" w:type="pct"/>
                  <w:noWrap w:val="0"/>
                  <w:vAlign w:val="center"/>
                </w:tcPr>
                <w:p w14:paraId="7281F75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val="0"/>
                      <w:bCs w:val="0"/>
                      <w:color w:val="auto"/>
                      <w:sz w:val="21"/>
                      <w:szCs w:val="21"/>
                      <w:lang w:val="en-US" w:eastAsia="zh-CN"/>
                    </w:rPr>
                  </w:pPr>
                  <w:r>
                    <w:rPr>
                      <w:rFonts w:hint="eastAsia"/>
                      <w:b w:val="0"/>
                      <w:bCs w:val="0"/>
                      <w:color w:val="auto"/>
                      <w:sz w:val="21"/>
                      <w:szCs w:val="21"/>
                      <w:lang w:val="en-US" w:eastAsia="zh-CN"/>
                    </w:rPr>
                    <w:t>绿化面积2080m</w:t>
                  </w:r>
                  <w:r>
                    <w:rPr>
                      <w:rFonts w:hint="eastAsia"/>
                      <w:b w:val="0"/>
                      <w:bCs w:val="0"/>
                      <w:color w:val="auto"/>
                      <w:sz w:val="21"/>
                      <w:szCs w:val="21"/>
                      <w:vertAlign w:val="superscript"/>
                      <w:lang w:val="en-US" w:eastAsia="zh-CN"/>
                    </w:rPr>
                    <w:t>2</w:t>
                  </w:r>
                </w:p>
              </w:tc>
              <w:tc>
                <w:tcPr>
                  <w:tcW w:w="479" w:type="pct"/>
                  <w:noWrap w:val="0"/>
                  <w:vAlign w:val="center"/>
                </w:tcPr>
                <w:p w14:paraId="7A602A6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z w:val="21"/>
                      <w:szCs w:val="21"/>
                      <w:lang w:val="en-US" w:eastAsia="zh-CN"/>
                    </w:rPr>
                  </w:pPr>
                  <w:r>
                    <w:rPr>
                      <w:rFonts w:hint="eastAsia"/>
                      <w:b w:val="0"/>
                      <w:bCs w:val="0"/>
                      <w:color w:val="auto"/>
                      <w:sz w:val="21"/>
                      <w:szCs w:val="21"/>
                      <w:lang w:val="en-US" w:eastAsia="zh-CN"/>
                    </w:rPr>
                    <w:t>/</w:t>
                  </w:r>
                </w:p>
              </w:tc>
              <w:tc>
                <w:tcPr>
                  <w:tcW w:w="499" w:type="pct"/>
                  <w:noWrap w:val="0"/>
                  <w:vAlign w:val="center"/>
                </w:tcPr>
                <w:p w14:paraId="6B87A29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b w:val="0"/>
                      <w:bCs w:val="0"/>
                      <w:color w:val="auto"/>
                      <w:sz w:val="21"/>
                      <w:szCs w:val="21"/>
                      <w:lang w:eastAsia="zh-CN"/>
                    </w:rPr>
                  </w:pPr>
                  <w:r>
                    <w:rPr>
                      <w:rFonts w:hint="eastAsia" w:eastAsia="宋体"/>
                      <w:b w:val="0"/>
                      <w:bCs w:val="0"/>
                      <w:color w:val="auto"/>
                      <w:sz w:val="21"/>
                      <w:szCs w:val="21"/>
                      <w:lang w:eastAsia="zh-CN"/>
                    </w:rPr>
                    <w:t>已验收</w:t>
                  </w:r>
                </w:p>
              </w:tc>
              <w:tc>
                <w:tcPr>
                  <w:tcW w:w="656" w:type="pct"/>
                  <w:noWrap w:val="0"/>
                  <w:vAlign w:val="center"/>
                </w:tcPr>
                <w:p w14:paraId="5AB77C6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val="0"/>
                      <w:bCs w:val="0"/>
                      <w:color w:val="auto"/>
                      <w:sz w:val="21"/>
                      <w:szCs w:val="21"/>
                      <w:lang w:eastAsia="zh-CN"/>
                    </w:rPr>
                  </w:pPr>
                  <w:r>
                    <w:rPr>
                      <w:rFonts w:hint="eastAsia"/>
                      <w:b w:val="0"/>
                      <w:bCs w:val="0"/>
                      <w:color w:val="auto"/>
                      <w:sz w:val="21"/>
                      <w:szCs w:val="21"/>
                      <w:lang w:eastAsia="zh-CN"/>
                    </w:rPr>
                    <w:t>一致</w:t>
                  </w:r>
                </w:p>
              </w:tc>
            </w:tr>
            <w:tr w14:paraId="52582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restart"/>
                  <w:noWrap w:val="0"/>
                  <w:vAlign w:val="center"/>
                </w:tcPr>
                <w:p w14:paraId="2D00F18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r>
                    <w:rPr>
                      <w:rFonts w:hint="default"/>
                      <w:color w:val="auto"/>
                      <w:sz w:val="21"/>
                      <w:szCs w:val="21"/>
                    </w:rPr>
                    <w:t>公用</w:t>
                  </w:r>
                  <w:r>
                    <w:rPr>
                      <w:rFonts w:hint="eastAsia"/>
                      <w:color w:val="auto"/>
                      <w:sz w:val="21"/>
                      <w:szCs w:val="21"/>
                    </w:rPr>
                    <w:t>工程</w:t>
                  </w:r>
                </w:p>
              </w:tc>
              <w:tc>
                <w:tcPr>
                  <w:tcW w:w="453" w:type="pct"/>
                  <w:noWrap w:val="0"/>
                  <w:vAlign w:val="center"/>
                </w:tcPr>
                <w:p w14:paraId="20D2C8B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default"/>
                      <w:color w:val="auto"/>
                      <w:sz w:val="21"/>
                      <w:szCs w:val="21"/>
                    </w:rPr>
                    <w:t>供水</w:t>
                  </w:r>
                </w:p>
              </w:tc>
              <w:tc>
                <w:tcPr>
                  <w:tcW w:w="1404" w:type="pct"/>
                  <w:noWrap w:val="0"/>
                  <w:vAlign w:val="center"/>
                </w:tcPr>
                <w:p w14:paraId="7AC1B672">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default"/>
                      <w:color w:val="auto"/>
                      <w:sz w:val="21"/>
                      <w:szCs w:val="21"/>
                    </w:rPr>
                    <w:t>市政管网统一供水</w:t>
                  </w:r>
                </w:p>
              </w:tc>
              <w:tc>
                <w:tcPr>
                  <w:tcW w:w="1194" w:type="pct"/>
                  <w:noWrap w:val="0"/>
                  <w:vAlign w:val="center"/>
                </w:tcPr>
                <w:p w14:paraId="7DA6D743">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default"/>
                      <w:color w:val="auto"/>
                      <w:sz w:val="21"/>
                      <w:szCs w:val="21"/>
                    </w:rPr>
                    <w:t>市政管网统一供水</w:t>
                  </w:r>
                </w:p>
              </w:tc>
              <w:tc>
                <w:tcPr>
                  <w:tcW w:w="479" w:type="pct"/>
                  <w:noWrap w:val="0"/>
                  <w:vAlign w:val="center"/>
                </w:tcPr>
                <w:p w14:paraId="6A4FAC6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val="en-US" w:eastAsia="zh-CN"/>
                    </w:rPr>
                  </w:pPr>
                  <w:r>
                    <w:rPr>
                      <w:rFonts w:hint="default"/>
                      <w:color w:val="auto"/>
                      <w:sz w:val="21"/>
                      <w:szCs w:val="21"/>
                    </w:rPr>
                    <w:t>/</w:t>
                  </w:r>
                </w:p>
              </w:tc>
              <w:tc>
                <w:tcPr>
                  <w:tcW w:w="499" w:type="pct"/>
                  <w:noWrap w:val="0"/>
                  <w:vAlign w:val="center"/>
                </w:tcPr>
                <w:p w14:paraId="707F997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eastAsia="宋体"/>
                      <w:color w:val="auto"/>
                      <w:sz w:val="21"/>
                      <w:szCs w:val="21"/>
                      <w:lang w:eastAsia="zh-CN"/>
                    </w:rPr>
                    <w:t>已验收</w:t>
                  </w:r>
                </w:p>
              </w:tc>
              <w:tc>
                <w:tcPr>
                  <w:tcW w:w="656" w:type="pct"/>
                  <w:noWrap w:val="0"/>
                  <w:vAlign w:val="center"/>
                </w:tcPr>
                <w:p w14:paraId="2E7BBF8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一致</w:t>
                  </w:r>
                </w:p>
              </w:tc>
            </w:tr>
            <w:tr w14:paraId="049E9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continue"/>
                  <w:noWrap w:val="0"/>
                  <w:vAlign w:val="center"/>
                </w:tcPr>
                <w:p w14:paraId="0EA5C4D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p>
              </w:tc>
              <w:tc>
                <w:tcPr>
                  <w:tcW w:w="453" w:type="pct"/>
                  <w:noWrap w:val="0"/>
                  <w:vAlign w:val="center"/>
                </w:tcPr>
                <w:p w14:paraId="33EE865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default"/>
                      <w:color w:val="auto"/>
                      <w:sz w:val="21"/>
                      <w:szCs w:val="21"/>
                    </w:rPr>
                    <w:t>供电</w:t>
                  </w:r>
                </w:p>
              </w:tc>
              <w:tc>
                <w:tcPr>
                  <w:tcW w:w="1404" w:type="pct"/>
                  <w:noWrap w:val="0"/>
                  <w:vAlign w:val="center"/>
                </w:tcPr>
                <w:p w14:paraId="77A30848">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default"/>
                      <w:color w:val="auto"/>
                      <w:sz w:val="21"/>
                      <w:szCs w:val="21"/>
                    </w:rPr>
                    <w:t>市政统一供电</w:t>
                  </w:r>
                </w:p>
              </w:tc>
              <w:tc>
                <w:tcPr>
                  <w:tcW w:w="1194" w:type="pct"/>
                  <w:noWrap w:val="0"/>
                  <w:vAlign w:val="center"/>
                </w:tcPr>
                <w:p w14:paraId="0412115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default"/>
                      <w:color w:val="auto"/>
                      <w:sz w:val="21"/>
                      <w:szCs w:val="21"/>
                    </w:rPr>
                    <w:t>市政统一供电</w:t>
                  </w:r>
                </w:p>
              </w:tc>
              <w:tc>
                <w:tcPr>
                  <w:tcW w:w="479" w:type="pct"/>
                  <w:noWrap w:val="0"/>
                  <w:vAlign w:val="center"/>
                </w:tcPr>
                <w:p w14:paraId="46C32B9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val="en-US" w:eastAsia="zh-CN"/>
                    </w:rPr>
                  </w:pPr>
                  <w:r>
                    <w:rPr>
                      <w:rFonts w:hint="default"/>
                      <w:color w:val="auto"/>
                      <w:sz w:val="21"/>
                      <w:szCs w:val="21"/>
                    </w:rPr>
                    <w:t>/</w:t>
                  </w:r>
                </w:p>
              </w:tc>
              <w:tc>
                <w:tcPr>
                  <w:tcW w:w="499" w:type="pct"/>
                  <w:noWrap w:val="0"/>
                  <w:vAlign w:val="center"/>
                </w:tcPr>
                <w:p w14:paraId="0510C00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eastAsia="宋体"/>
                      <w:color w:val="auto"/>
                      <w:sz w:val="21"/>
                      <w:szCs w:val="21"/>
                      <w:lang w:eastAsia="zh-CN"/>
                    </w:rPr>
                    <w:t>已验收</w:t>
                  </w:r>
                </w:p>
              </w:tc>
              <w:tc>
                <w:tcPr>
                  <w:tcW w:w="656" w:type="pct"/>
                  <w:noWrap w:val="0"/>
                  <w:vAlign w:val="center"/>
                </w:tcPr>
                <w:p w14:paraId="52F3386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一致</w:t>
                  </w:r>
                </w:p>
              </w:tc>
            </w:tr>
            <w:tr w14:paraId="0E12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continue"/>
                  <w:noWrap w:val="0"/>
                  <w:vAlign w:val="center"/>
                </w:tcPr>
                <w:p w14:paraId="7341105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p>
              </w:tc>
              <w:tc>
                <w:tcPr>
                  <w:tcW w:w="453" w:type="pct"/>
                  <w:noWrap w:val="0"/>
                  <w:vAlign w:val="center"/>
                </w:tcPr>
                <w:p w14:paraId="6163137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rPr>
                    <w:t>供气</w:t>
                  </w:r>
                </w:p>
              </w:tc>
              <w:tc>
                <w:tcPr>
                  <w:tcW w:w="1404" w:type="pct"/>
                  <w:noWrap w:val="0"/>
                  <w:vAlign w:val="center"/>
                </w:tcPr>
                <w:p w14:paraId="124B990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rPr>
                    <w:t>市政统一供气</w:t>
                  </w:r>
                </w:p>
              </w:tc>
              <w:tc>
                <w:tcPr>
                  <w:tcW w:w="1194" w:type="pct"/>
                  <w:noWrap w:val="0"/>
                  <w:vAlign w:val="center"/>
                </w:tcPr>
                <w:p w14:paraId="2C98634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rPr>
                    <w:t>市政统一供气</w:t>
                  </w:r>
                </w:p>
              </w:tc>
              <w:tc>
                <w:tcPr>
                  <w:tcW w:w="479" w:type="pct"/>
                  <w:noWrap w:val="0"/>
                  <w:vAlign w:val="center"/>
                </w:tcPr>
                <w:p w14:paraId="02D5E00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val="en-US" w:eastAsia="zh-CN"/>
                    </w:rPr>
                  </w:pPr>
                  <w:r>
                    <w:rPr>
                      <w:rFonts w:hint="eastAsia"/>
                      <w:color w:val="auto"/>
                      <w:sz w:val="21"/>
                      <w:szCs w:val="21"/>
                    </w:rPr>
                    <w:t>/</w:t>
                  </w:r>
                </w:p>
              </w:tc>
              <w:tc>
                <w:tcPr>
                  <w:tcW w:w="499" w:type="pct"/>
                  <w:noWrap w:val="0"/>
                  <w:vAlign w:val="center"/>
                </w:tcPr>
                <w:p w14:paraId="49C421B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eastAsia="宋体"/>
                      <w:color w:val="auto"/>
                      <w:sz w:val="21"/>
                      <w:szCs w:val="21"/>
                      <w:lang w:eastAsia="zh-CN"/>
                    </w:rPr>
                    <w:t>已验收</w:t>
                  </w:r>
                </w:p>
              </w:tc>
              <w:tc>
                <w:tcPr>
                  <w:tcW w:w="656" w:type="pct"/>
                  <w:noWrap w:val="0"/>
                  <w:vAlign w:val="center"/>
                </w:tcPr>
                <w:p w14:paraId="57700A9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一致</w:t>
                  </w:r>
                </w:p>
              </w:tc>
            </w:tr>
            <w:tr w14:paraId="099DC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continue"/>
                  <w:noWrap w:val="0"/>
                  <w:vAlign w:val="center"/>
                </w:tcPr>
                <w:p w14:paraId="36F62A2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p>
              </w:tc>
              <w:tc>
                <w:tcPr>
                  <w:tcW w:w="453" w:type="pct"/>
                  <w:noWrap w:val="0"/>
                  <w:vAlign w:val="center"/>
                </w:tcPr>
                <w:p w14:paraId="66363BE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厂区道路</w:t>
                  </w:r>
                </w:p>
              </w:tc>
              <w:tc>
                <w:tcPr>
                  <w:tcW w:w="1404" w:type="pct"/>
                  <w:noWrap w:val="0"/>
                  <w:vAlign w:val="center"/>
                </w:tcPr>
                <w:p w14:paraId="26A369A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eastAsia="宋体"/>
                      <w:b/>
                      <w:bCs/>
                      <w:color w:val="auto"/>
                      <w:sz w:val="21"/>
                      <w:szCs w:val="21"/>
                      <w:lang w:val="en-US" w:eastAsia="zh-CN"/>
                    </w:rPr>
                  </w:pPr>
                  <w:r>
                    <w:rPr>
                      <w:rFonts w:hint="eastAsia"/>
                      <w:b/>
                      <w:bCs/>
                      <w:color w:val="auto"/>
                      <w:sz w:val="21"/>
                      <w:szCs w:val="21"/>
                      <w:lang w:eastAsia="zh-CN"/>
                    </w:rPr>
                    <w:t>利用原有道路，主干道</w:t>
                  </w:r>
                  <w:r>
                    <w:rPr>
                      <w:rFonts w:hint="eastAsia"/>
                      <w:b/>
                      <w:bCs/>
                      <w:color w:val="auto"/>
                      <w:sz w:val="21"/>
                      <w:szCs w:val="21"/>
                      <w:lang w:val="en-US" w:eastAsia="zh-CN"/>
                    </w:rPr>
                    <w:t>7m，单车道宽5m，采取混凝土硬化路面。</w:t>
                  </w:r>
                </w:p>
              </w:tc>
              <w:tc>
                <w:tcPr>
                  <w:tcW w:w="1194" w:type="pct"/>
                  <w:noWrap w:val="0"/>
                  <w:vAlign w:val="center"/>
                </w:tcPr>
                <w:p w14:paraId="2A4DD528">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bCs/>
                      <w:color w:val="auto"/>
                      <w:sz w:val="21"/>
                      <w:szCs w:val="21"/>
                    </w:rPr>
                  </w:pPr>
                  <w:r>
                    <w:rPr>
                      <w:rFonts w:hint="eastAsia"/>
                      <w:b/>
                      <w:bCs/>
                      <w:color w:val="auto"/>
                      <w:sz w:val="21"/>
                      <w:szCs w:val="21"/>
                      <w:lang w:eastAsia="zh-CN"/>
                    </w:rPr>
                    <w:t>利用原有道路并新建厂区道路</w:t>
                  </w:r>
                </w:p>
              </w:tc>
              <w:tc>
                <w:tcPr>
                  <w:tcW w:w="479" w:type="pct"/>
                  <w:noWrap w:val="0"/>
                  <w:vAlign w:val="center"/>
                </w:tcPr>
                <w:p w14:paraId="057107C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b/>
                      <w:bCs/>
                      <w:color w:val="auto"/>
                      <w:sz w:val="21"/>
                      <w:szCs w:val="21"/>
                      <w:lang w:val="en-US" w:eastAsia="zh-CN"/>
                    </w:rPr>
                  </w:pPr>
                  <w:r>
                    <w:rPr>
                      <w:rFonts w:hint="eastAsia"/>
                      <w:b/>
                      <w:bCs/>
                      <w:color w:val="auto"/>
                      <w:sz w:val="21"/>
                      <w:szCs w:val="21"/>
                      <w:lang w:val="en-US" w:eastAsia="zh-CN"/>
                    </w:rPr>
                    <w:t>/</w:t>
                  </w:r>
                </w:p>
              </w:tc>
              <w:tc>
                <w:tcPr>
                  <w:tcW w:w="499" w:type="pct"/>
                  <w:noWrap w:val="0"/>
                  <w:vAlign w:val="center"/>
                </w:tcPr>
                <w:p w14:paraId="1CE001E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本次验收内容</w:t>
                  </w:r>
                </w:p>
              </w:tc>
              <w:tc>
                <w:tcPr>
                  <w:tcW w:w="656" w:type="pct"/>
                  <w:noWrap w:val="0"/>
                  <w:vAlign w:val="center"/>
                </w:tcPr>
                <w:p w14:paraId="3422B6C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b/>
                      <w:bCs/>
                      <w:color w:val="auto"/>
                      <w:sz w:val="21"/>
                      <w:szCs w:val="21"/>
                      <w:lang w:val="en-US" w:eastAsia="zh-CN"/>
                    </w:rPr>
                  </w:pPr>
                  <w:r>
                    <w:rPr>
                      <w:rFonts w:hint="eastAsia"/>
                      <w:b/>
                      <w:bCs/>
                      <w:color w:val="auto"/>
                      <w:sz w:val="21"/>
                      <w:szCs w:val="21"/>
                      <w:lang w:eastAsia="zh-CN"/>
                    </w:rPr>
                    <w:t>不属于重大变动</w:t>
                  </w:r>
                  <w:r>
                    <w:rPr>
                      <w:rFonts w:hint="eastAsia"/>
                      <w:b/>
                      <w:bCs/>
                      <w:color w:val="auto"/>
                      <w:sz w:val="21"/>
                      <w:szCs w:val="21"/>
                      <w:lang w:val="en-US" w:eastAsia="zh-CN"/>
                    </w:rPr>
                    <w:t xml:space="preserve">                </w:t>
                  </w:r>
                </w:p>
              </w:tc>
            </w:tr>
            <w:tr w14:paraId="151A7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restart"/>
                  <w:noWrap w:val="0"/>
                  <w:vAlign w:val="center"/>
                </w:tcPr>
                <w:p w14:paraId="6D9283A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color w:val="auto"/>
                      <w:sz w:val="21"/>
                      <w:szCs w:val="21"/>
                      <w:lang w:eastAsia="zh-CN"/>
                    </w:rPr>
                    <w:t>办公及生活设施</w:t>
                  </w:r>
                </w:p>
              </w:tc>
              <w:tc>
                <w:tcPr>
                  <w:tcW w:w="453" w:type="pct"/>
                  <w:noWrap w:val="0"/>
                  <w:vAlign w:val="center"/>
                </w:tcPr>
                <w:p w14:paraId="6D162EF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职工宿舍</w:t>
                  </w:r>
                </w:p>
              </w:tc>
              <w:tc>
                <w:tcPr>
                  <w:tcW w:w="1404" w:type="pct"/>
                  <w:noWrap w:val="0"/>
                  <w:vAlign w:val="center"/>
                </w:tcPr>
                <w:p w14:paraId="023750C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lang w:val="en-US" w:eastAsia="zh-CN"/>
                    </w:rPr>
                  </w:pPr>
                  <w:r>
                    <w:rPr>
                      <w:rFonts w:hint="eastAsia"/>
                      <w:color w:val="auto"/>
                      <w:sz w:val="21"/>
                      <w:szCs w:val="21"/>
                      <w:lang w:eastAsia="zh-CN"/>
                    </w:rPr>
                    <w:t>利用原有宿舍，</w:t>
                  </w:r>
                  <w:r>
                    <w:rPr>
                      <w:rFonts w:hint="eastAsia"/>
                      <w:color w:val="auto"/>
                      <w:sz w:val="21"/>
                      <w:szCs w:val="21"/>
                      <w:lang w:val="en-US" w:eastAsia="zh-CN"/>
                    </w:rPr>
                    <w:t>3F，建筑面积为1594.22m</w:t>
                  </w:r>
                  <w:r>
                    <w:rPr>
                      <w:rFonts w:hint="eastAsia"/>
                      <w:color w:val="auto"/>
                      <w:sz w:val="21"/>
                      <w:szCs w:val="21"/>
                      <w:vertAlign w:val="superscript"/>
                      <w:lang w:val="en-US" w:eastAsia="zh-CN"/>
                    </w:rPr>
                    <w:t>2</w:t>
                  </w:r>
                  <w:r>
                    <w:rPr>
                      <w:rFonts w:hint="eastAsia"/>
                      <w:color w:val="auto"/>
                      <w:sz w:val="21"/>
                      <w:szCs w:val="21"/>
                      <w:lang w:val="en-US" w:eastAsia="zh-CN"/>
                    </w:rPr>
                    <w:t>，底楼设置职工食堂</w:t>
                  </w:r>
                </w:p>
              </w:tc>
              <w:tc>
                <w:tcPr>
                  <w:tcW w:w="1194" w:type="pct"/>
                  <w:noWrap w:val="0"/>
                  <w:vAlign w:val="center"/>
                </w:tcPr>
                <w:p w14:paraId="1195FD4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利用原有宿舍，</w:t>
                  </w:r>
                  <w:r>
                    <w:rPr>
                      <w:rFonts w:hint="eastAsia"/>
                      <w:color w:val="auto"/>
                      <w:sz w:val="21"/>
                      <w:szCs w:val="21"/>
                      <w:lang w:val="en-US" w:eastAsia="zh-CN"/>
                    </w:rPr>
                    <w:t>3F，建筑面积为1594.22m</w:t>
                  </w:r>
                  <w:r>
                    <w:rPr>
                      <w:rFonts w:hint="eastAsia"/>
                      <w:color w:val="auto"/>
                      <w:sz w:val="21"/>
                      <w:szCs w:val="21"/>
                      <w:vertAlign w:val="superscript"/>
                      <w:lang w:val="en-US" w:eastAsia="zh-CN"/>
                    </w:rPr>
                    <w:t>2</w:t>
                  </w:r>
                  <w:r>
                    <w:rPr>
                      <w:rFonts w:hint="eastAsia"/>
                      <w:color w:val="auto"/>
                      <w:sz w:val="21"/>
                      <w:szCs w:val="21"/>
                      <w:lang w:val="en-US" w:eastAsia="zh-CN"/>
                    </w:rPr>
                    <w:t>，底楼设置职工食堂</w:t>
                  </w:r>
                </w:p>
              </w:tc>
              <w:tc>
                <w:tcPr>
                  <w:tcW w:w="479" w:type="pct"/>
                  <w:noWrap w:val="0"/>
                  <w:vAlign w:val="center"/>
                </w:tcPr>
                <w:p w14:paraId="784F1D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val="en-US" w:eastAsia="zh-CN"/>
                    </w:rPr>
                  </w:pPr>
                  <w:r>
                    <w:rPr>
                      <w:rFonts w:hint="default"/>
                      <w:color w:val="auto"/>
                      <w:sz w:val="21"/>
                      <w:szCs w:val="21"/>
                    </w:rPr>
                    <w:t>/</w:t>
                  </w:r>
                </w:p>
              </w:tc>
              <w:tc>
                <w:tcPr>
                  <w:tcW w:w="499" w:type="pct"/>
                  <w:noWrap w:val="0"/>
                  <w:vAlign w:val="center"/>
                </w:tcPr>
                <w:p w14:paraId="6E52665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eastAsia="宋体"/>
                      <w:color w:val="auto"/>
                      <w:sz w:val="21"/>
                      <w:szCs w:val="21"/>
                      <w:lang w:eastAsia="zh-CN"/>
                    </w:rPr>
                    <w:t>已验收</w:t>
                  </w:r>
                </w:p>
              </w:tc>
              <w:tc>
                <w:tcPr>
                  <w:tcW w:w="656" w:type="pct"/>
                  <w:noWrap w:val="0"/>
                  <w:vAlign w:val="center"/>
                </w:tcPr>
                <w:p w14:paraId="1F66992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一致</w:t>
                  </w:r>
                </w:p>
              </w:tc>
            </w:tr>
            <w:tr w14:paraId="63930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continue"/>
                  <w:noWrap w:val="0"/>
                  <w:vAlign w:val="center"/>
                </w:tcPr>
                <w:p w14:paraId="4B4C0D9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p>
              </w:tc>
              <w:tc>
                <w:tcPr>
                  <w:tcW w:w="453" w:type="pct"/>
                  <w:noWrap w:val="0"/>
                  <w:vAlign w:val="center"/>
                </w:tcPr>
                <w:p w14:paraId="1144696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办公楼</w:t>
                  </w:r>
                </w:p>
              </w:tc>
              <w:tc>
                <w:tcPr>
                  <w:tcW w:w="1404" w:type="pct"/>
                  <w:noWrap w:val="0"/>
                  <w:vAlign w:val="center"/>
                </w:tcPr>
                <w:p w14:paraId="3EFBC39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lang w:val="en-US" w:eastAsia="zh-CN"/>
                    </w:rPr>
                  </w:pPr>
                  <w:r>
                    <w:rPr>
                      <w:rFonts w:hint="eastAsia"/>
                      <w:color w:val="auto"/>
                      <w:sz w:val="21"/>
                      <w:szCs w:val="21"/>
                      <w:lang w:eastAsia="zh-CN"/>
                    </w:rPr>
                    <w:t>利用原有办公楼，</w:t>
                  </w:r>
                  <w:r>
                    <w:rPr>
                      <w:rFonts w:hint="eastAsia"/>
                      <w:color w:val="auto"/>
                      <w:sz w:val="21"/>
                      <w:szCs w:val="21"/>
                      <w:lang w:val="en-US" w:eastAsia="zh-CN"/>
                    </w:rPr>
                    <w:t>4F，建筑面积为1820.16m</w:t>
                  </w:r>
                  <w:r>
                    <w:rPr>
                      <w:rFonts w:hint="eastAsia"/>
                      <w:color w:val="auto"/>
                      <w:sz w:val="21"/>
                      <w:szCs w:val="21"/>
                      <w:vertAlign w:val="superscript"/>
                      <w:lang w:val="en-US" w:eastAsia="zh-CN"/>
                    </w:rPr>
                    <w:t>2</w:t>
                  </w:r>
                </w:p>
              </w:tc>
              <w:tc>
                <w:tcPr>
                  <w:tcW w:w="1194" w:type="pct"/>
                  <w:noWrap w:val="0"/>
                  <w:vAlign w:val="center"/>
                </w:tcPr>
                <w:p w14:paraId="0738142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利用原有办公楼，</w:t>
                  </w:r>
                  <w:r>
                    <w:rPr>
                      <w:rFonts w:hint="eastAsia"/>
                      <w:color w:val="auto"/>
                      <w:sz w:val="21"/>
                      <w:szCs w:val="21"/>
                      <w:lang w:val="en-US" w:eastAsia="zh-CN"/>
                    </w:rPr>
                    <w:t>4F，建筑面积为1820.16m</w:t>
                  </w:r>
                  <w:r>
                    <w:rPr>
                      <w:rFonts w:hint="eastAsia"/>
                      <w:color w:val="auto"/>
                      <w:sz w:val="21"/>
                      <w:szCs w:val="21"/>
                      <w:vertAlign w:val="superscript"/>
                      <w:lang w:val="en-US" w:eastAsia="zh-CN"/>
                    </w:rPr>
                    <w:t>2</w:t>
                  </w:r>
                </w:p>
              </w:tc>
              <w:tc>
                <w:tcPr>
                  <w:tcW w:w="479" w:type="pct"/>
                  <w:noWrap w:val="0"/>
                  <w:vAlign w:val="center"/>
                </w:tcPr>
                <w:p w14:paraId="0E439A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val="en-US" w:eastAsia="zh-CN"/>
                    </w:rPr>
                  </w:pPr>
                  <w:r>
                    <w:rPr>
                      <w:rFonts w:hint="default"/>
                      <w:color w:val="auto"/>
                      <w:sz w:val="21"/>
                      <w:szCs w:val="21"/>
                    </w:rPr>
                    <w:t>/</w:t>
                  </w:r>
                </w:p>
              </w:tc>
              <w:tc>
                <w:tcPr>
                  <w:tcW w:w="499" w:type="pct"/>
                  <w:noWrap w:val="0"/>
                  <w:vAlign w:val="center"/>
                </w:tcPr>
                <w:p w14:paraId="4B00D4E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eastAsia="宋体"/>
                      <w:color w:val="auto"/>
                      <w:sz w:val="21"/>
                      <w:szCs w:val="21"/>
                      <w:lang w:eastAsia="zh-CN"/>
                    </w:rPr>
                    <w:t>已验收</w:t>
                  </w:r>
                </w:p>
              </w:tc>
              <w:tc>
                <w:tcPr>
                  <w:tcW w:w="656" w:type="pct"/>
                  <w:noWrap w:val="0"/>
                  <w:vAlign w:val="center"/>
                </w:tcPr>
                <w:p w14:paraId="34B9E32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一致</w:t>
                  </w:r>
                </w:p>
              </w:tc>
            </w:tr>
            <w:tr w14:paraId="618E2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continue"/>
                  <w:noWrap w:val="0"/>
                  <w:vAlign w:val="center"/>
                </w:tcPr>
                <w:p w14:paraId="11FBBF1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p>
              </w:tc>
              <w:tc>
                <w:tcPr>
                  <w:tcW w:w="453" w:type="pct"/>
                  <w:noWrap w:val="0"/>
                  <w:vAlign w:val="center"/>
                </w:tcPr>
                <w:p w14:paraId="6C03FE1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职工食堂</w:t>
                  </w:r>
                </w:p>
              </w:tc>
              <w:tc>
                <w:tcPr>
                  <w:tcW w:w="1404" w:type="pct"/>
                  <w:noWrap w:val="0"/>
                  <w:vAlign w:val="center"/>
                </w:tcPr>
                <w:p w14:paraId="46664E5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lang w:val="en-US" w:eastAsia="zh-CN"/>
                    </w:rPr>
                  </w:pPr>
                  <w:r>
                    <w:rPr>
                      <w:rFonts w:hint="eastAsia"/>
                      <w:color w:val="auto"/>
                      <w:sz w:val="21"/>
                      <w:szCs w:val="21"/>
                      <w:lang w:eastAsia="zh-CN"/>
                    </w:rPr>
                    <w:t>利用原有食堂，职工宿舍底楼，</w:t>
                  </w:r>
                  <w:r>
                    <w:rPr>
                      <w:rFonts w:hint="eastAsia"/>
                      <w:color w:val="auto"/>
                      <w:sz w:val="21"/>
                      <w:szCs w:val="21"/>
                      <w:lang w:val="en-US" w:eastAsia="zh-CN"/>
                    </w:rPr>
                    <w:t>530m</w:t>
                  </w:r>
                  <w:r>
                    <w:rPr>
                      <w:rFonts w:hint="eastAsia"/>
                      <w:color w:val="auto"/>
                      <w:sz w:val="21"/>
                      <w:szCs w:val="21"/>
                      <w:vertAlign w:val="superscript"/>
                      <w:lang w:val="en-US" w:eastAsia="zh-CN"/>
                    </w:rPr>
                    <w:t>2</w:t>
                  </w:r>
                </w:p>
              </w:tc>
              <w:tc>
                <w:tcPr>
                  <w:tcW w:w="1194" w:type="pct"/>
                  <w:noWrap w:val="0"/>
                  <w:vAlign w:val="center"/>
                </w:tcPr>
                <w:p w14:paraId="65EF080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利用原有食堂，职工宿舍底楼，</w:t>
                  </w:r>
                  <w:r>
                    <w:rPr>
                      <w:rFonts w:hint="eastAsia"/>
                      <w:color w:val="auto"/>
                      <w:sz w:val="21"/>
                      <w:szCs w:val="21"/>
                      <w:lang w:val="en-US" w:eastAsia="zh-CN"/>
                    </w:rPr>
                    <w:t>530m</w:t>
                  </w:r>
                  <w:r>
                    <w:rPr>
                      <w:rFonts w:hint="eastAsia"/>
                      <w:color w:val="auto"/>
                      <w:sz w:val="21"/>
                      <w:szCs w:val="21"/>
                      <w:vertAlign w:val="superscript"/>
                      <w:lang w:val="en-US" w:eastAsia="zh-CN"/>
                    </w:rPr>
                    <w:t>2</w:t>
                  </w:r>
                </w:p>
              </w:tc>
              <w:tc>
                <w:tcPr>
                  <w:tcW w:w="479" w:type="pct"/>
                  <w:noWrap w:val="0"/>
                  <w:vAlign w:val="center"/>
                </w:tcPr>
                <w:p w14:paraId="4F182E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val="en-US" w:eastAsia="zh-CN"/>
                    </w:rPr>
                  </w:pPr>
                  <w:r>
                    <w:rPr>
                      <w:rFonts w:hint="default"/>
                      <w:color w:val="auto"/>
                      <w:sz w:val="21"/>
                      <w:szCs w:val="21"/>
                    </w:rPr>
                    <w:t>/</w:t>
                  </w:r>
                </w:p>
              </w:tc>
              <w:tc>
                <w:tcPr>
                  <w:tcW w:w="499" w:type="pct"/>
                  <w:noWrap w:val="0"/>
                  <w:vAlign w:val="center"/>
                </w:tcPr>
                <w:p w14:paraId="49263CB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eastAsia="宋体"/>
                      <w:color w:val="auto"/>
                      <w:sz w:val="21"/>
                      <w:szCs w:val="21"/>
                      <w:lang w:eastAsia="zh-CN"/>
                    </w:rPr>
                    <w:t>已验收</w:t>
                  </w:r>
                </w:p>
              </w:tc>
              <w:tc>
                <w:tcPr>
                  <w:tcW w:w="656" w:type="pct"/>
                  <w:noWrap w:val="0"/>
                  <w:vAlign w:val="center"/>
                </w:tcPr>
                <w:p w14:paraId="6413D6D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一致</w:t>
                  </w:r>
                </w:p>
              </w:tc>
            </w:tr>
            <w:tr w14:paraId="1F6C7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12" w:type="pct"/>
                  <w:vMerge w:val="continue"/>
                  <w:noWrap w:val="0"/>
                  <w:vAlign w:val="center"/>
                </w:tcPr>
                <w:p w14:paraId="261F6323">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rPr>
                  </w:pPr>
                </w:p>
              </w:tc>
              <w:tc>
                <w:tcPr>
                  <w:tcW w:w="453" w:type="pct"/>
                  <w:noWrap w:val="0"/>
                  <w:vAlign w:val="center"/>
                </w:tcPr>
                <w:p w14:paraId="7F619AA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门卫室</w:t>
                  </w:r>
                </w:p>
              </w:tc>
              <w:tc>
                <w:tcPr>
                  <w:tcW w:w="1404" w:type="pct"/>
                  <w:noWrap w:val="0"/>
                  <w:vAlign w:val="center"/>
                </w:tcPr>
                <w:p w14:paraId="1CC64C98">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lang w:val="en-US" w:eastAsia="zh-CN"/>
                    </w:rPr>
                  </w:pPr>
                  <w:r>
                    <w:rPr>
                      <w:rFonts w:hint="eastAsia"/>
                      <w:color w:val="auto"/>
                      <w:sz w:val="21"/>
                      <w:szCs w:val="21"/>
                      <w:lang w:eastAsia="zh-CN"/>
                    </w:rPr>
                    <w:t>利用原有门卫室，建筑面积</w:t>
                  </w:r>
                  <w:r>
                    <w:rPr>
                      <w:rFonts w:hint="eastAsia"/>
                      <w:color w:val="auto"/>
                      <w:sz w:val="21"/>
                      <w:szCs w:val="21"/>
                      <w:lang w:val="en-US" w:eastAsia="zh-CN"/>
                    </w:rPr>
                    <w:t>50m</w:t>
                  </w:r>
                  <w:r>
                    <w:rPr>
                      <w:rFonts w:hint="eastAsia"/>
                      <w:color w:val="auto"/>
                      <w:sz w:val="21"/>
                      <w:szCs w:val="21"/>
                      <w:vertAlign w:val="superscript"/>
                      <w:lang w:val="en-US" w:eastAsia="zh-CN"/>
                    </w:rPr>
                    <w:t>2</w:t>
                  </w:r>
                </w:p>
              </w:tc>
              <w:tc>
                <w:tcPr>
                  <w:tcW w:w="1194" w:type="pct"/>
                  <w:noWrap w:val="0"/>
                  <w:vAlign w:val="center"/>
                </w:tcPr>
                <w:p w14:paraId="12A517D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利用原有门卫室，建筑面积</w:t>
                  </w:r>
                  <w:r>
                    <w:rPr>
                      <w:rFonts w:hint="eastAsia"/>
                      <w:color w:val="auto"/>
                      <w:sz w:val="21"/>
                      <w:szCs w:val="21"/>
                      <w:lang w:val="en-US" w:eastAsia="zh-CN"/>
                    </w:rPr>
                    <w:t>50m</w:t>
                  </w:r>
                  <w:r>
                    <w:rPr>
                      <w:rFonts w:hint="eastAsia"/>
                      <w:color w:val="auto"/>
                      <w:sz w:val="21"/>
                      <w:szCs w:val="21"/>
                      <w:vertAlign w:val="superscript"/>
                      <w:lang w:val="en-US" w:eastAsia="zh-CN"/>
                    </w:rPr>
                    <w:t>2</w:t>
                  </w:r>
                </w:p>
              </w:tc>
              <w:tc>
                <w:tcPr>
                  <w:tcW w:w="479" w:type="pct"/>
                  <w:noWrap w:val="0"/>
                  <w:vAlign w:val="center"/>
                </w:tcPr>
                <w:p w14:paraId="7F4AFA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val="en-US" w:eastAsia="zh-CN"/>
                    </w:rPr>
                  </w:pPr>
                  <w:r>
                    <w:rPr>
                      <w:rFonts w:hint="default"/>
                      <w:color w:val="auto"/>
                      <w:sz w:val="21"/>
                      <w:szCs w:val="21"/>
                    </w:rPr>
                    <w:t>/</w:t>
                  </w:r>
                </w:p>
              </w:tc>
              <w:tc>
                <w:tcPr>
                  <w:tcW w:w="499" w:type="pct"/>
                  <w:noWrap w:val="0"/>
                  <w:vAlign w:val="center"/>
                </w:tcPr>
                <w:p w14:paraId="2FB7A092">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lang w:eastAsia="zh-CN"/>
                    </w:rPr>
                  </w:pPr>
                  <w:r>
                    <w:rPr>
                      <w:rFonts w:hint="eastAsia" w:eastAsia="宋体"/>
                      <w:color w:val="auto"/>
                      <w:sz w:val="21"/>
                      <w:szCs w:val="21"/>
                      <w:lang w:eastAsia="zh-CN"/>
                    </w:rPr>
                    <w:t>已验收</w:t>
                  </w:r>
                </w:p>
              </w:tc>
              <w:tc>
                <w:tcPr>
                  <w:tcW w:w="656" w:type="pct"/>
                  <w:noWrap w:val="0"/>
                  <w:vAlign w:val="center"/>
                </w:tcPr>
                <w:p w14:paraId="5E625CD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sz w:val="21"/>
                      <w:szCs w:val="21"/>
                      <w:lang w:eastAsia="zh-CN"/>
                    </w:rPr>
                  </w:pPr>
                  <w:r>
                    <w:rPr>
                      <w:rFonts w:hint="eastAsia"/>
                      <w:color w:val="auto"/>
                      <w:sz w:val="21"/>
                      <w:szCs w:val="21"/>
                      <w:lang w:eastAsia="zh-CN"/>
                    </w:rPr>
                    <w:t>一致</w:t>
                  </w:r>
                </w:p>
              </w:tc>
            </w:tr>
            <w:tr w14:paraId="169A2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restart"/>
                  <w:noWrap w:val="0"/>
                  <w:vAlign w:val="center"/>
                </w:tcPr>
                <w:p w14:paraId="4F341C1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r>
                    <w:rPr>
                      <w:rFonts w:hint="eastAsia"/>
                      <w:color w:val="auto"/>
                      <w:sz w:val="21"/>
                      <w:szCs w:val="21"/>
                    </w:rPr>
                    <w:t>环保工程</w:t>
                  </w:r>
                </w:p>
              </w:tc>
              <w:tc>
                <w:tcPr>
                  <w:tcW w:w="453" w:type="pct"/>
                  <w:noWrap w:val="0"/>
                  <w:vAlign w:val="center"/>
                </w:tcPr>
                <w:p w14:paraId="68FD1F6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rPr>
                    <w:t>废水处理设施</w:t>
                  </w:r>
                </w:p>
              </w:tc>
              <w:tc>
                <w:tcPr>
                  <w:tcW w:w="1404" w:type="pct"/>
                  <w:noWrap w:val="0"/>
                  <w:vAlign w:val="center"/>
                </w:tcPr>
                <w:p w14:paraId="452EE47F">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rPr>
                  </w:pPr>
                  <w:r>
                    <w:rPr>
                      <w:rFonts w:hint="eastAsia"/>
                      <w:b/>
                      <w:bCs/>
                      <w:color w:val="auto"/>
                      <w:sz w:val="21"/>
                      <w:szCs w:val="21"/>
                      <w:lang w:val="en-US" w:eastAsia="zh-CN"/>
                    </w:rPr>
                    <w:t>将原污水预处理池改建为污水处理站，处理规模能力为20m</w:t>
                  </w:r>
                  <w:r>
                    <w:rPr>
                      <w:rFonts w:hint="eastAsia"/>
                      <w:b/>
                      <w:bCs/>
                      <w:color w:val="auto"/>
                      <w:sz w:val="21"/>
                      <w:szCs w:val="21"/>
                      <w:vertAlign w:val="superscript"/>
                      <w:lang w:val="en-US" w:eastAsia="zh-CN"/>
                    </w:rPr>
                    <w:t>3</w:t>
                  </w:r>
                  <w:r>
                    <w:rPr>
                      <w:rFonts w:hint="eastAsia"/>
                      <w:b/>
                      <w:bCs/>
                      <w:color w:val="auto"/>
                      <w:sz w:val="21"/>
                      <w:szCs w:val="21"/>
                      <w:lang w:val="en-US" w:eastAsia="zh-CN"/>
                    </w:rPr>
                    <w:t>/d，处理工艺为“厌氧+好氧+絮凝沉淀”二级生化处理工艺，项目产生的废水先经过厂内污水处理站处理排入园区污水处理厂。</w:t>
                  </w:r>
                </w:p>
              </w:tc>
              <w:tc>
                <w:tcPr>
                  <w:tcW w:w="1194" w:type="pct"/>
                  <w:noWrap w:val="0"/>
                  <w:vAlign w:val="center"/>
                </w:tcPr>
                <w:p w14:paraId="7E1F831A">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val="en-US" w:eastAsia="zh-CN"/>
                    </w:rPr>
                  </w:pPr>
                  <w:r>
                    <w:rPr>
                      <w:rFonts w:hint="eastAsia"/>
                      <w:b/>
                      <w:bCs/>
                      <w:color w:val="auto"/>
                      <w:sz w:val="21"/>
                      <w:szCs w:val="21"/>
                      <w:lang w:val="en-US" w:eastAsia="zh-CN"/>
                    </w:rPr>
                    <w:t>将原污水预处理池改建为污水处理站，处理规模能力为30m</w:t>
                  </w:r>
                  <w:r>
                    <w:rPr>
                      <w:rFonts w:hint="eastAsia"/>
                      <w:b/>
                      <w:bCs/>
                      <w:color w:val="auto"/>
                      <w:sz w:val="21"/>
                      <w:szCs w:val="21"/>
                      <w:vertAlign w:val="superscript"/>
                      <w:lang w:val="en-US" w:eastAsia="zh-CN"/>
                    </w:rPr>
                    <w:t>3</w:t>
                  </w:r>
                  <w:r>
                    <w:rPr>
                      <w:rFonts w:hint="eastAsia"/>
                      <w:b/>
                      <w:bCs/>
                      <w:color w:val="auto"/>
                      <w:sz w:val="21"/>
                      <w:szCs w:val="21"/>
                      <w:lang w:val="en-US" w:eastAsia="zh-CN"/>
                    </w:rPr>
                    <w:t>/d，处理工艺为“厌氧+调节+SBR”工艺，项目产生的废水先经过厂内污水处理站处理排入园区污水处理厂。</w:t>
                  </w:r>
                </w:p>
              </w:tc>
              <w:tc>
                <w:tcPr>
                  <w:tcW w:w="479" w:type="pct"/>
                  <w:noWrap w:val="0"/>
                  <w:vAlign w:val="center"/>
                </w:tcPr>
                <w:p w14:paraId="5CFB4BD6">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污泥</w:t>
                  </w:r>
                </w:p>
              </w:tc>
              <w:tc>
                <w:tcPr>
                  <w:tcW w:w="499" w:type="pct"/>
                  <w:noWrap w:val="0"/>
                  <w:vAlign w:val="center"/>
                </w:tcPr>
                <w:p w14:paraId="0861119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eastAsia="宋体"/>
                      <w:b/>
                      <w:bCs/>
                      <w:color w:val="auto"/>
                      <w:sz w:val="21"/>
                      <w:szCs w:val="21"/>
                      <w:lang w:val="en-US" w:eastAsia="zh-CN"/>
                    </w:rPr>
                    <w:t>本次验收内容</w:t>
                  </w:r>
                </w:p>
              </w:tc>
              <w:tc>
                <w:tcPr>
                  <w:tcW w:w="656" w:type="pct"/>
                  <w:noWrap w:val="0"/>
                  <w:vAlign w:val="center"/>
                </w:tcPr>
                <w:p w14:paraId="0E8FA6B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设计处理规模增大，不属于重大变动。</w:t>
                  </w:r>
                </w:p>
              </w:tc>
            </w:tr>
            <w:tr w14:paraId="19E16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continue"/>
                  <w:noWrap w:val="0"/>
                  <w:vAlign w:val="center"/>
                </w:tcPr>
                <w:p w14:paraId="1345E08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restart"/>
                  <w:noWrap w:val="0"/>
                  <w:vAlign w:val="center"/>
                </w:tcPr>
                <w:p w14:paraId="3B6C1EB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default"/>
                      <w:b/>
                      <w:bCs/>
                      <w:color w:val="auto"/>
                      <w:sz w:val="21"/>
                      <w:szCs w:val="21"/>
                    </w:rPr>
                    <w:t>废气处理设施</w:t>
                  </w:r>
                </w:p>
              </w:tc>
              <w:tc>
                <w:tcPr>
                  <w:tcW w:w="1404" w:type="pct"/>
                  <w:noWrap w:val="0"/>
                  <w:vAlign w:val="center"/>
                </w:tcPr>
                <w:p w14:paraId="19BF270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lang w:val="en-US" w:eastAsia="zh-CN"/>
                    </w:rPr>
                  </w:pPr>
                  <w:r>
                    <w:rPr>
                      <w:rFonts w:hint="eastAsia"/>
                      <w:b/>
                      <w:bCs/>
                      <w:color w:val="auto"/>
                      <w:sz w:val="21"/>
                      <w:szCs w:val="21"/>
                      <w:lang w:val="en-US" w:eastAsia="zh-CN"/>
                    </w:rPr>
                    <w:t>生产车间油烟、异味经油烟净化器+碱喷淋净化后经15m高排气筒排放。</w:t>
                  </w:r>
                </w:p>
              </w:tc>
              <w:tc>
                <w:tcPr>
                  <w:tcW w:w="1194" w:type="pct"/>
                  <w:noWrap w:val="0"/>
                  <w:vAlign w:val="center"/>
                </w:tcPr>
                <w:p w14:paraId="3C8A78E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eastAsia="zh-CN"/>
                    </w:rPr>
                  </w:pPr>
                  <w:r>
                    <w:rPr>
                      <w:rFonts w:hint="eastAsia"/>
                      <w:b/>
                      <w:bCs/>
                      <w:color w:val="auto"/>
                      <w:sz w:val="21"/>
                      <w:szCs w:val="21"/>
                      <w:lang w:val="en-US" w:eastAsia="zh-CN"/>
                    </w:rPr>
                    <w:t>1#、2#生产车间油烟、异味经分别油烟净化器+水喷淋净化后经15m高排气筒排放。</w:t>
                  </w:r>
                </w:p>
              </w:tc>
              <w:tc>
                <w:tcPr>
                  <w:tcW w:w="479" w:type="pct"/>
                  <w:noWrap w:val="0"/>
                  <w:vAlign w:val="center"/>
                </w:tcPr>
                <w:p w14:paraId="187BCBA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油烟、异味</w:t>
                  </w:r>
                </w:p>
              </w:tc>
              <w:tc>
                <w:tcPr>
                  <w:tcW w:w="499" w:type="pct"/>
                  <w:noWrap w:val="0"/>
                  <w:vAlign w:val="center"/>
                </w:tcPr>
                <w:p w14:paraId="5124B82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eastAsia="宋体"/>
                      <w:b/>
                      <w:bCs/>
                      <w:color w:val="auto"/>
                      <w:sz w:val="21"/>
                      <w:szCs w:val="21"/>
                      <w:lang w:val="en-US" w:eastAsia="zh-CN"/>
                    </w:rPr>
                    <w:t>本次验收内容</w:t>
                  </w:r>
                </w:p>
              </w:tc>
              <w:tc>
                <w:tcPr>
                  <w:tcW w:w="656" w:type="pct"/>
                  <w:noWrap w:val="0"/>
                  <w:vAlign w:val="center"/>
                </w:tcPr>
                <w:p w14:paraId="63A4DEE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实际采用“油烟净化器</w:t>
                  </w:r>
                  <w:r>
                    <w:rPr>
                      <w:rFonts w:hint="eastAsia"/>
                      <w:b/>
                      <w:bCs/>
                      <w:color w:val="auto"/>
                      <w:sz w:val="21"/>
                      <w:szCs w:val="21"/>
                      <w:lang w:val="en-US" w:eastAsia="zh-CN"/>
                    </w:rPr>
                    <w:t>+水喷淋</w:t>
                  </w:r>
                  <w:r>
                    <w:rPr>
                      <w:rFonts w:hint="eastAsia"/>
                      <w:b/>
                      <w:bCs/>
                      <w:color w:val="auto"/>
                      <w:sz w:val="21"/>
                      <w:szCs w:val="21"/>
                      <w:lang w:eastAsia="zh-CN"/>
                    </w:rPr>
                    <w:t>”处理油烟异味，废气处理后能够达标排放，不属于重大变动。</w:t>
                  </w:r>
                </w:p>
              </w:tc>
            </w:tr>
            <w:tr w14:paraId="12AEA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continue"/>
                  <w:noWrap w:val="0"/>
                  <w:vAlign w:val="center"/>
                </w:tcPr>
                <w:p w14:paraId="7F3BD10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continue"/>
                  <w:noWrap w:val="0"/>
                  <w:vAlign w:val="center"/>
                </w:tcPr>
                <w:p w14:paraId="21DC415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p>
              </w:tc>
              <w:tc>
                <w:tcPr>
                  <w:tcW w:w="1404" w:type="pct"/>
                  <w:noWrap w:val="0"/>
                  <w:vAlign w:val="center"/>
                </w:tcPr>
                <w:p w14:paraId="731589F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eastAsia="zh-CN"/>
                    </w:rPr>
                  </w:pPr>
                  <w:r>
                    <w:rPr>
                      <w:rFonts w:hint="eastAsia"/>
                      <w:b/>
                      <w:bCs/>
                      <w:color w:val="auto"/>
                      <w:sz w:val="21"/>
                      <w:szCs w:val="21"/>
                      <w:lang w:eastAsia="zh-CN"/>
                    </w:rPr>
                    <w:t>污水处理异味通过加强绿化处理。</w:t>
                  </w:r>
                </w:p>
              </w:tc>
              <w:tc>
                <w:tcPr>
                  <w:tcW w:w="1194" w:type="pct"/>
                  <w:noWrap w:val="0"/>
                  <w:vAlign w:val="center"/>
                </w:tcPr>
                <w:p w14:paraId="5C836B8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eastAsia="zh-CN"/>
                    </w:rPr>
                  </w:pPr>
                  <w:r>
                    <w:rPr>
                      <w:rFonts w:hint="eastAsia"/>
                      <w:b/>
                      <w:bCs/>
                      <w:color w:val="auto"/>
                      <w:sz w:val="21"/>
                      <w:szCs w:val="21"/>
                      <w:lang w:eastAsia="zh-CN"/>
                    </w:rPr>
                    <w:t>污水处理异味通过加盖和加强绿化处理。</w:t>
                  </w:r>
                </w:p>
              </w:tc>
              <w:tc>
                <w:tcPr>
                  <w:tcW w:w="479" w:type="pct"/>
                  <w:noWrap w:val="0"/>
                  <w:vAlign w:val="center"/>
                </w:tcPr>
                <w:p w14:paraId="2C4A7FF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异味</w:t>
                  </w:r>
                </w:p>
              </w:tc>
              <w:tc>
                <w:tcPr>
                  <w:tcW w:w="499" w:type="pct"/>
                  <w:noWrap w:val="0"/>
                  <w:vAlign w:val="center"/>
                </w:tcPr>
                <w:p w14:paraId="33B6A46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eastAsia="宋体"/>
                      <w:b/>
                      <w:bCs/>
                      <w:color w:val="auto"/>
                      <w:sz w:val="21"/>
                      <w:szCs w:val="21"/>
                      <w:lang w:val="en-US" w:eastAsia="zh-CN"/>
                    </w:rPr>
                    <w:t>本次验收内容</w:t>
                  </w:r>
                </w:p>
              </w:tc>
              <w:tc>
                <w:tcPr>
                  <w:tcW w:w="656" w:type="pct"/>
                  <w:noWrap w:val="0"/>
                  <w:vAlign w:val="center"/>
                </w:tcPr>
                <w:p w14:paraId="58240B5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一体化污水处理站为加盖密闭的，属于正向变动。</w:t>
                  </w:r>
                </w:p>
              </w:tc>
            </w:tr>
            <w:tr w14:paraId="64585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continue"/>
                  <w:noWrap w:val="0"/>
                  <w:vAlign w:val="center"/>
                </w:tcPr>
                <w:p w14:paraId="7E459A5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continue"/>
                  <w:noWrap w:val="0"/>
                  <w:vAlign w:val="center"/>
                </w:tcPr>
                <w:p w14:paraId="2F6028A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p>
              </w:tc>
              <w:tc>
                <w:tcPr>
                  <w:tcW w:w="1404" w:type="pct"/>
                  <w:noWrap w:val="0"/>
                  <w:vAlign w:val="center"/>
                </w:tcPr>
                <w:p w14:paraId="01C7931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lang w:val="en-US" w:eastAsia="zh-CN"/>
                    </w:rPr>
                  </w:pPr>
                  <w:r>
                    <w:rPr>
                      <w:rFonts w:hint="eastAsia"/>
                      <w:b/>
                      <w:bCs/>
                      <w:color w:val="auto"/>
                      <w:sz w:val="21"/>
                      <w:szCs w:val="21"/>
                      <w:lang w:eastAsia="zh-CN"/>
                    </w:rPr>
                    <w:t>研发实验室油烟：</w:t>
                  </w:r>
                  <w:r>
                    <w:rPr>
                      <w:rFonts w:hint="eastAsia"/>
                      <w:b/>
                      <w:bCs/>
                      <w:color w:val="auto"/>
                      <w:sz w:val="21"/>
                      <w:szCs w:val="21"/>
                      <w:lang w:val="en-US" w:eastAsia="zh-CN"/>
                    </w:rPr>
                    <w:t>/</w:t>
                  </w:r>
                </w:p>
              </w:tc>
              <w:tc>
                <w:tcPr>
                  <w:tcW w:w="1194" w:type="pct"/>
                  <w:noWrap w:val="0"/>
                  <w:vAlign w:val="center"/>
                </w:tcPr>
                <w:p w14:paraId="31ACBA4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lang w:val="en-US" w:eastAsia="zh-CN"/>
                    </w:rPr>
                  </w:pPr>
                  <w:r>
                    <w:rPr>
                      <w:rFonts w:hint="eastAsia"/>
                      <w:b/>
                      <w:bCs/>
                      <w:color w:val="auto"/>
                      <w:sz w:val="21"/>
                      <w:szCs w:val="21"/>
                      <w:lang w:val="en-US" w:eastAsia="zh-CN"/>
                    </w:rPr>
                    <w:t>1#、2#研发实验室的油烟分别经油烟净化器处理后引至屋顶排放</w:t>
                  </w:r>
                </w:p>
              </w:tc>
              <w:tc>
                <w:tcPr>
                  <w:tcW w:w="479" w:type="pct"/>
                  <w:noWrap w:val="0"/>
                  <w:vAlign w:val="center"/>
                </w:tcPr>
                <w:p w14:paraId="1DAE1D7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油烟</w:t>
                  </w:r>
                </w:p>
              </w:tc>
              <w:tc>
                <w:tcPr>
                  <w:tcW w:w="499" w:type="pct"/>
                  <w:noWrap w:val="0"/>
                  <w:vAlign w:val="center"/>
                </w:tcPr>
                <w:p w14:paraId="5F39AAF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val="en-US" w:eastAsia="zh-CN"/>
                    </w:rPr>
                  </w:pPr>
                  <w:r>
                    <w:rPr>
                      <w:rFonts w:hint="eastAsia" w:eastAsia="宋体"/>
                      <w:b/>
                      <w:bCs/>
                      <w:color w:val="auto"/>
                      <w:sz w:val="21"/>
                      <w:szCs w:val="21"/>
                      <w:lang w:val="en-US" w:eastAsia="zh-CN"/>
                    </w:rPr>
                    <w:t>本次验收内容</w:t>
                  </w:r>
                </w:p>
              </w:tc>
              <w:tc>
                <w:tcPr>
                  <w:tcW w:w="656" w:type="pct"/>
                  <w:noWrap w:val="0"/>
                  <w:vAlign w:val="center"/>
                </w:tcPr>
                <w:p w14:paraId="566AC89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新增研发室，研发室年使用植物油约</w:t>
                  </w:r>
                  <w:r>
                    <w:rPr>
                      <w:rFonts w:hint="eastAsia"/>
                      <w:b/>
                      <w:bCs/>
                      <w:color w:val="auto"/>
                      <w:sz w:val="21"/>
                      <w:szCs w:val="21"/>
                      <w:lang w:val="en-US" w:eastAsia="zh-CN"/>
                    </w:rPr>
                    <w:t>0.5t/a，油烟排放量增加远低于10%，不属于重大变动</w:t>
                  </w:r>
                  <w:r>
                    <w:rPr>
                      <w:rFonts w:hint="eastAsia"/>
                      <w:b/>
                      <w:bCs/>
                      <w:color w:val="auto"/>
                      <w:sz w:val="21"/>
                      <w:szCs w:val="21"/>
                      <w:lang w:eastAsia="zh-CN"/>
                    </w:rPr>
                    <w:t>。</w:t>
                  </w:r>
                </w:p>
              </w:tc>
            </w:tr>
            <w:tr w14:paraId="216BB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continue"/>
                  <w:noWrap w:val="0"/>
                  <w:vAlign w:val="center"/>
                </w:tcPr>
                <w:p w14:paraId="6AED16B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continue"/>
                  <w:noWrap w:val="0"/>
                  <w:vAlign w:val="center"/>
                </w:tcPr>
                <w:p w14:paraId="7608D00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p>
              </w:tc>
              <w:tc>
                <w:tcPr>
                  <w:tcW w:w="1404" w:type="pct"/>
                  <w:noWrap w:val="0"/>
                  <w:vAlign w:val="center"/>
                </w:tcPr>
                <w:p w14:paraId="136B2B5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lang w:val="en-US" w:eastAsia="zh-CN"/>
                    </w:rPr>
                  </w:pPr>
                  <w:r>
                    <w:rPr>
                      <w:rFonts w:hint="eastAsia"/>
                      <w:b/>
                      <w:bCs/>
                      <w:color w:val="auto"/>
                      <w:sz w:val="21"/>
                      <w:szCs w:val="21"/>
                      <w:lang w:eastAsia="zh-CN"/>
                    </w:rPr>
                    <w:t>鸡精生产线粉尘、异味经集气罩</w:t>
                  </w:r>
                  <w:r>
                    <w:rPr>
                      <w:rFonts w:hint="eastAsia"/>
                      <w:b/>
                      <w:bCs/>
                      <w:color w:val="auto"/>
                      <w:sz w:val="21"/>
                      <w:szCs w:val="21"/>
                      <w:lang w:val="en-US" w:eastAsia="zh-CN"/>
                    </w:rPr>
                    <w:t>+旋风、布袋除尘器+碱喷淋后经15m高排气筒排放。</w:t>
                  </w:r>
                </w:p>
              </w:tc>
              <w:tc>
                <w:tcPr>
                  <w:tcW w:w="1194" w:type="pct"/>
                  <w:noWrap w:val="0"/>
                  <w:vAlign w:val="center"/>
                </w:tcPr>
                <w:p w14:paraId="06F9BCF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eastAsia="zh-CN"/>
                    </w:rPr>
                  </w:pPr>
                  <w:r>
                    <w:rPr>
                      <w:rFonts w:hint="eastAsia"/>
                      <w:b/>
                      <w:bCs/>
                      <w:color w:val="auto"/>
                      <w:sz w:val="21"/>
                      <w:szCs w:val="21"/>
                      <w:lang w:eastAsia="zh-CN"/>
                    </w:rPr>
                    <w:t>鸡精生产线未建</w:t>
                  </w:r>
                </w:p>
              </w:tc>
              <w:tc>
                <w:tcPr>
                  <w:tcW w:w="479" w:type="pct"/>
                  <w:noWrap w:val="0"/>
                  <w:vAlign w:val="center"/>
                </w:tcPr>
                <w:p w14:paraId="59B1256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w:t>
                  </w:r>
                </w:p>
              </w:tc>
              <w:tc>
                <w:tcPr>
                  <w:tcW w:w="499" w:type="pct"/>
                  <w:noWrap w:val="0"/>
                  <w:vAlign w:val="center"/>
                </w:tcPr>
                <w:p w14:paraId="48B918C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不属于本次验收内容</w:t>
                  </w:r>
                </w:p>
              </w:tc>
              <w:tc>
                <w:tcPr>
                  <w:tcW w:w="656" w:type="pct"/>
                  <w:noWrap w:val="0"/>
                  <w:vAlign w:val="center"/>
                </w:tcPr>
                <w:p w14:paraId="6462F2E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w:t>
                  </w:r>
                </w:p>
              </w:tc>
            </w:tr>
            <w:tr w14:paraId="13F62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12" w:type="pct"/>
                  <w:vMerge w:val="continue"/>
                  <w:noWrap w:val="0"/>
                  <w:vAlign w:val="center"/>
                </w:tcPr>
                <w:p w14:paraId="7EBB93A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continue"/>
                  <w:noWrap w:val="0"/>
                  <w:vAlign w:val="center"/>
                </w:tcPr>
                <w:p w14:paraId="5509FC4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p>
              </w:tc>
              <w:tc>
                <w:tcPr>
                  <w:tcW w:w="1404" w:type="pct"/>
                  <w:noWrap w:val="0"/>
                  <w:vAlign w:val="center"/>
                </w:tcPr>
                <w:p w14:paraId="3533F74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eastAsia="zh-CN"/>
                    </w:rPr>
                  </w:pPr>
                  <w:r>
                    <w:rPr>
                      <w:rFonts w:hint="eastAsia"/>
                      <w:b/>
                      <w:bCs/>
                      <w:color w:val="auto"/>
                      <w:sz w:val="21"/>
                      <w:szCs w:val="21"/>
                      <w:lang w:eastAsia="zh-CN"/>
                    </w:rPr>
                    <w:t>鸡精生产线天然气燃烧废气经车间通风处理。</w:t>
                  </w:r>
                </w:p>
              </w:tc>
              <w:tc>
                <w:tcPr>
                  <w:tcW w:w="1194" w:type="pct"/>
                  <w:noWrap w:val="0"/>
                  <w:vAlign w:val="center"/>
                </w:tcPr>
                <w:p w14:paraId="37A2307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b/>
                      <w:bCs/>
                      <w:color w:val="auto"/>
                      <w:sz w:val="21"/>
                      <w:szCs w:val="21"/>
                      <w:lang w:eastAsia="zh-CN"/>
                    </w:rPr>
                  </w:pPr>
                  <w:r>
                    <w:rPr>
                      <w:rFonts w:hint="eastAsia"/>
                      <w:b/>
                      <w:bCs/>
                      <w:color w:val="auto"/>
                      <w:sz w:val="21"/>
                      <w:szCs w:val="21"/>
                      <w:lang w:eastAsia="zh-CN"/>
                    </w:rPr>
                    <w:t>鸡精生产线未建</w:t>
                  </w:r>
                </w:p>
              </w:tc>
              <w:tc>
                <w:tcPr>
                  <w:tcW w:w="479" w:type="pct"/>
                  <w:noWrap w:val="0"/>
                  <w:vAlign w:val="center"/>
                </w:tcPr>
                <w:p w14:paraId="1435D8E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w:t>
                  </w:r>
                </w:p>
              </w:tc>
              <w:tc>
                <w:tcPr>
                  <w:tcW w:w="499" w:type="pct"/>
                  <w:noWrap w:val="0"/>
                  <w:vAlign w:val="center"/>
                </w:tcPr>
                <w:p w14:paraId="0885B1A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b/>
                      <w:bCs/>
                      <w:color w:val="auto"/>
                      <w:sz w:val="21"/>
                      <w:szCs w:val="21"/>
                      <w:lang w:val="en-US" w:eastAsia="zh-CN"/>
                    </w:rPr>
                  </w:pPr>
                  <w:r>
                    <w:rPr>
                      <w:rFonts w:hint="eastAsia"/>
                      <w:b/>
                      <w:bCs/>
                      <w:color w:val="auto"/>
                      <w:sz w:val="21"/>
                      <w:szCs w:val="21"/>
                      <w:lang w:val="en-US" w:eastAsia="zh-CN"/>
                    </w:rPr>
                    <w:t>不属于本次验收内容</w:t>
                  </w:r>
                </w:p>
              </w:tc>
              <w:tc>
                <w:tcPr>
                  <w:tcW w:w="656" w:type="pct"/>
                  <w:noWrap w:val="0"/>
                  <w:vAlign w:val="center"/>
                </w:tcPr>
                <w:p w14:paraId="1B4DC5C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b/>
                      <w:bCs/>
                      <w:color w:val="auto"/>
                      <w:sz w:val="21"/>
                      <w:szCs w:val="21"/>
                      <w:lang w:eastAsia="zh-CN"/>
                    </w:rPr>
                  </w:pPr>
                  <w:r>
                    <w:rPr>
                      <w:rFonts w:hint="eastAsia"/>
                      <w:b/>
                      <w:bCs/>
                      <w:color w:val="auto"/>
                      <w:sz w:val="21"/>
                      <w:szCs w:val="21"/>
                      <w:lang w:val="en-US" w:eastAsia="zh-CN"/>
                    </w:rPr>
                    <w:t>/</w:t>
                  </w:r>
                </w:p>
              </w:tc>
            </w:tr>
            <w:tr w14:paraId="28896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312" w:type="pct"/>
                  <w:vMerge w:val="continue"/>
                  <w:noWrap w:val="0"/>
                  <w:vAlign w:val="center"/>
                </w:tcPr>
                <w:p w14:paraId="22DDEB8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continue"/>
                  <w:noWrap w:val="0"/>
                  <w:vAlign w:val="center"/>
                </w:tcPr>
                <w:p w14:paraId="23D9B4D2">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p>
              </w:tc>
              <w:tc>
                <w:tcPr>
                  <w:tcW w:w="1404" w:type="pct"/>
                  <w:noWrap w:val="0"/>
                  <w:vAlign w:val="center"/>
                </w:tcPr>
                <w:p w14:paraId="78B26D6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eastAsia="zh-CN"/>
                    </w:rPr>
                  </w:pPr>
                  <w:r>
                    <w:rPr>
                      <w:rFonts w:hint="eastAsia"/>
                      <w:b/>
                      <w:bCs/>
                      <w:color w:val="auto"/>
                      <w:sz w:val="21"/>
                      <w:szCs w:val="21"/>
                      <w:lang w:eastAsia="zh-CN"/>
                    </w:rPr>
                    <w:t>食堂油烟经油烟净化处理设备处理后</w:t>
                  </w:r>
                  <w:r>
                    <w:rPr>
                      <w:rFonts w:hint="eastAsia"/>
                      <w:b/>
                      <w:bCs/>
                      <w:color w:val="auto"/>
                      <w:sz w:val="21"/>
                      <w:szCs w:val="21"/>
                      <w:lang w:val="en-US" w:eastAsia="zh-CN"/>
                    </w:rPr>
                    <w:t>引至屋顶</w:t>
                  </w:r>
                  <w:r>
                    <w:rPr>
                      <w:rFonts w:hint="eastAsia"/>
                      <w:b/>
                      <w:bCs/>
                      <w:color w:val="auto"/>
                      <w:sz w:val="21"/>
                      <w:szCs w:val="21"/>
                      <w:lang w:eastAsia="zh-CN"/>
                    </w:rPr>
                    <w:t>排放。</w:t>
                  </w:r>
                </w:p>
              </w:tc>
              <w:tc>
                <w:tcPr>
                  <w:tcW w:w="1194" w:type="pct"/>
                  <w:noWrap w:val="0"/>
                  <w:vAlign w:val="center"/>
                </w:tcPr>
                <w:p w14:paraId="7EAB036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b/>
                      <w:bCs/>
                      <w:color w:val="auto"/>
                      <w:sz w:val="21"/>
                      <w:szCs w:val="21"/>
                      <w:lang w:eastAsia="zh-CN"/>
                    </w:rPr>
                  </w:pPr>
                  <w:r>
                    <w:rPr>
                      <w:rFonts w:hint="eastAsia"/>
                      <w:b/>
                      <w:bCs/>
                      <w:color w:val="auto"/>
                      <w:sz w:val="21"/>
                      <w:szCs w:val="21"/>
                      <w:lang w:eastAsia="zh-CN"/>
                    </w:rPr>
                    <w:t>食堂油烟经油烟净化处理设备处理后</w:t>
                  </w:r>
                  <w:r>
                    <w:rPr>
                      <w:rFonts w:hint="eastAsia"/>
                      <w:b/>
                      <w:bCs/>
                      <w:color w:val="auto"/>
                      <w:sz w:val="21"/>
                      <w:szCs w:val="21"/>
                      <w:lang w:val="en-US" w:eastAsia="zh-CN"/>
                    </w:rPr>
                    <w:t>引至屋顶</w:t>
                  </w:r>
                  <w:r>
                    <w:rPr>
                      <w:rFonts w:hint="eastAsia"/>
                      <w:b/>
                      <w:bCs/>
                      <w:color w:val="auto"/>
                      <w:sz w:val="21"/>
                      <w:szCs w:val="21"/>
                      <w:lang w:eastAsia="zh-CN"/>
                    </w:rPr>
                    <w:t>排放。</w:t>
                  </w:r>
                </w:p>
              </w:tc>
              <w:tc>
                <w:tcPr>
                  <w:tcW w:w="479" w:type="pct"/>
                  <w:noWrap w:val="0"/>
                  <w:vAlign w:val="center"/>
                </w:tcPr>
                <w:p w14:paraId="3DC0DC2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油烟</w:t>
                  </w:r>
                </w:p>
              </w:tc>
              <w:tc>
                <w:tcPr>
                  <w:tcW w:w="499" w:type="pct"/>
                  <w:noWrap w:val="0"/>
                  <w:vAlign w:val="center"/>
                </w:tcPr>
                <w:p w14:paraId="5F02145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eastAsia="宋体"/>
                      <w:b/>
                      <w:bCs/>
                      <w:color w:val="auto"/>
                      <w:sz w:val="21"/>
                      <w:szCs w:val="21"/>
                      <w:lang w:val="en-US" w:eastAsia="zh-CN"/>
                    </w:rPr>
                    <w:t>本次验收内容</w:t>
                  </w:r>
                </w:p>
              </w:tc>
              <w:tc>
                <w:tcPr>
                  <w:tcW w:w="656" w:type="pct"/>
                  <w:noWrap w:val="0"/>
                  <w:vAlign w:val="center"/>
                </w:tcPr>
                <w:p w14:paraId="234F164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lang w:eastAsia="zh-CN"/>
                    </w:rPr>
                  </w:pPr>
                  <w:r>
                    <w:rPr>
                      <w:rFonts w:hint="eastAsia"/>
                      <w:b/>
                      <w:bCs/>
                      <w:color w:val="auto"/>
                      <w:sz w:val="21"/>
                      <w:szCs w:val="21"/>
                      <w:lang w:eastAsia="zh-CN"/>
                    </w:rPr>
                    <w:t>一致</w:t>
                  </w:r>
                </w:p>
              </w:tc>
            </w:tr>
            <w:tr w14:paraId="49DA6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312" w:type="pct"/>
                  <w:vMerge w:val="continue"/>
                  <w:noWrap w:val="0"/>
                  <w:vAlign w:val="center"/>
                </w:tcPr>
                <w:p w14:paraId="6689788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noWrap w:val="0"/>
                  <w:vAlign w:val="center"/>
                </w:tcPr>
                <w:p w14:paraId="09F9E0C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rPr>
                    <w:t>噪声治理</w:t>
                  </w:r>
                </w:p>
              </w:tc>
              <w:tc>
                <w:tcPr>
                  <w:tcW w:w="1404" w:type="pct"/>
                  <w:noWrap w:val="0"/>
                  <w:vAlign w:val="center"/>
                </w:tcPr>
                <w:p w14:paraId="6A8E66B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eastAsia="宋体"/>
                      <w:b/>
                      <w:bCs/>
                      <w:color w:val="auto"/>
                      <w:sz w:val="21"/>
                      <w:szCs w:val="21"/>
                      <w:lang w:eastAsia="zh-CN"/>
                    </w:rPr>
                  </w:pPr>
                  <w:r>
                    <w:rPr>
                      <w:rFonts w:hint="default"/>
                      <w:b/>
                      <w:bCs/>
                      <w:color w:val="auto"/>
                      <w:sz w:val="21"/>
                      <w:szCs w:val="21"/>
                    </w:rPr>
                    <w:t>选用低噪设备，加装减振垫，</w:t>
                  </w:r>
                  <w:r>
                    <w:rPr>
                      <w:rFonts w:hint="eastAsia"/>
                      <w:b/>
                      <w:bCs/>
                      <w:color w:val="auto"/>
                      <w:sz w:val="21"/>
                      <w:szCs w:val="21"/>
                      <w:lang w:eastAsia="zh-CN"/>
                    </w:rPr>
                    <w:t>车间隔声等。</w:t>
                  </w:r>
                </w:p>
              </w:tc>
              <w:tc>
                <w:tcPr>
                  <w:tcW w:w="1194" w:type="pct"/>
                  <w:noWrap w:val="0"/>
                  <w:vAlign w:val="center"/>
                </w:tcPr>
                <w:p w14:paraId="7B03ECFD">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rPr>
                  </w:pPr>
                  <w:r>
                    <w:rPr>
                      <w:rFonts w:hint="default"/>
                      <w:b/>
                      <w:bCs/>
                      <w:color w:val="auto"/>
                      <w:sz w:val="21"/>
                      <w:szCs w:val="21"/>
                    </w:rPr>
                    <w:t>选用低噪设备，加装减振垫，</w:t>
                  </w:r>
                  <w:r>
                    <w:rPr>
                      <w:rFonts w:hint="eastAsia"/>
                      <w:b/>
                      <w:bCs/>
                      <w:color w:val="auto"/>
                      <w:sz w:val="21"/>
                      <w:szCs w:val="21"/>
                      <w:lang w:eastAsia="zh-CN"/>
                    </w:rPr>
                    <w:t>车间隔声等。</w:t>
                  </w:r>
                </w:p>
              </w:tc>
              <w:tc>
                <w:tcPr>
                  <w:tcW w:w="479" w:type="pct"/>
                  <w:noWrap w:val="0"/>
                  <w:vAlign w:val="center"/>
                </w:tcPr>
                <w:p w14:paraId="0490F54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rPr>
                    <w:t>厂界噪声</w:t>
                  </w:r>
                </w:p>
              </w:tc>
              <w:tc>
                <w:tcPr>
                  <w:tcW w:w="499" w:type="pct"/>
                  <w:noWrap w:val="0"/>
                  <w:vAlign w:val="center"/>
                </w:tcPr>
                <w:p w14:paraId="7E9B4D44">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rPr>
                    <w:t>/</w:t>
                  </w:r>
                </w:p>
              </w:tc>
              <w:tc>
                <w:tcPr>
                  <w:tcW w:w="656" w:type="pct"/>
                  <w:noWrap w:val="0"/>
                  <w:vAlign w:val="center"/>
                </w:tcPr>
                <w:p w14:paraId="766A2E9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一致</w:t>
                  </w:r>
                </w:p>
              </w:tc>
            </w:tr>
            <w:tr w14:paraId="669F9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312" w:type="pct"/>
                  <w:vMerge w:val="continue"/>
                  <w:noWrap w:val="0"/>
                  <w:vAlign w:val="center"/>
                </w:tcPr>
                <w:p w14:paraId="2E0C6691">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restart"/>
                  <w:noWrap w:val="0"/>
                  <w:vAlign w:val="center"/>
                </w:tcPr>
                <w:p w14:paraId="7DB28BA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rPr>
                    <w:t>固废处置设施</w:t>
                  </w:r>
                </w:p>
              </w:tc>
              <w:tc>
                <w:tcPr>
                  <w:tcW w:w="1404" w:type="pct"/>
                  <w:noWrap w:val="0"/>
                  <w:vAlign w:val="center"/>
                </w:tcPr>
                <w:p w14:paraId="70F480C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eastAsia="宋体"/>
                      <w:b/>
                      <w:bCs/>
                      <w:color w:val="auto"/>
                      <w:sz w:val="21"/>
                      <w:szCs w:val="21"/>
                      <w:lang w:eastAsia="zh-CN"/>
                    </w:rPr>
                  </w:pPr>
                  <w:r>
                    <w:rPr>
                      <w:rFonts w:hint="eastAsia"/>
                      <w:b/>
                      <w:bCs/>
                      <w:color w:val="auto"/>
                      <w:sz w:val="21"/>
                      <w:szCs w:val="21"/>
                      <w:lang w:eastAsia="zh-CN"/>
                    </w:rPr>
                    <w:t>一般固废间：设固废临时堆场，堆场搭棚、设挡墙地面开沟、硬化。统一收集后集中收集由环卫部门清运。</w:t>
                  </w:r>
                </w:p>
              </w:tc>
              <w:tc>
                <w:tcPr>
                  <w:tcW w:w="1194" w:type="pct"/>
                  <w:noWrap w:val="0"/>
                  <w:vAlign w:val="center"/>
                </w:tcPr>
                <w:p w14:paraId="4FBEC81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b/>
                      <w:bCs/>
                      <w:color w:val="auto"/>
                      <w:sz w:val="21"/>
                      <w:szCs w:val="21"/>
                    </w:rPr>
                  </w:pPr>
                  <w:r>
                    <w:rPr>
                      <w:rFonts w:hint="eastAsia"/>
                      <w:b/>
                      <w:bCs/>
                      <w:color w:val="auto"/>
                      <w:sz w:val="21"/>
                      <w:szCs w:val="21"/>
                      <w:lang w:eastAsia="zh-CN"/>
                    </w:rPr>
                    <w:t>一般固废间：位于厂区西北侧分别设置垃圾房、废纸皮储存间、料渣堆放间，统一收集后交由有处理能力的单位处理。</w:t>
                  </w:r>
                </w:p>
              </w:tc>
              <w:tc>
                <w:tcPr>
                  <w:tcW w:w="479" w:type="pct"/>
                  <w:noWrap w:val="0"/>
                  <w:vAlign w:val="center"/>
                </w:tcPr>
                <w:p w14:paraId="1ECA80E5">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b/>
                      <w:bCs/>
                      <w:color w:val="auto"/>
                      <w:sz w:val="21"/>
                      <w:szCs w:val="21"/>
                    </w:rPr>
                    <w:t>/</w:t>
                  </w:r>
                </w:p>
              </w:tc>
              <w:tc>
                <w:tcPr>
                  <w:tcW w:w="499" w:type="pct"/>
                  <w:noWrap w:val="0"/>
                  <w:vAlign w:val="center"/>
                </w:tcPr>
                <w:p w14:paraId="2B13CD0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rPr>
                  </w:pPr>
                  <w:r>
                    <w:rPr>
                      <w:rFonts w:hint="eastAsia" w:eastAsia="宋体"/>
                      <w:b/>
                      <w:bCs/>
                      <w:color w:val="auto"/>
                      <w:sz w:val="21"/>
                      <w:szCs w:val="21"/>
                      <w:lang w:val="en-US" w:eastAsia="zh-CN"/>
                    </w:rPr>
                    <w:t>本次验收内容</w:t>
                  </w:r>
                </w:p>
              </w:tc>
              <w:tc>
                <w:tcPr>
                  <w:tcW w:w="656" w:type="pct"/>
                  <w:noWrap w:val="0"/>
                  <w:vAlign w:val="center"/>
                </w:tcPr>
                <w:p w14:paraId="573B1A77">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一般固废分区堆放，不属于重大变动。</w:t>
                  </w:r>
                </w:p>
              </w:tc>
            </w:tr>
            <w:tr w14:paraId="24FF2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312" w:type="pct"/>
                  <w:vMerge w:val="continue"/>
                  <w:noWrap w:val="0"/>
                  <w:vAlign w:val="center"/>
                </w:tcPr>
                <w:p w14:paraId="41348C7E">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rPr>
                  </w:pPr>
                </w:p>
              </w:tc>
              <w:tc>
                <w:tcPr>
                  <w:tcW w:w="453" w:type="pct"/>
                  <w:vMerge w:val="continue"/>
                  <w:noWrap w:val="0"/>
                  <w:vAlign w:val="center"/>
                </w:tcPr>
                <w:p w14:paraId="19E4E90B">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rPr>
                  </w:pPr>
                </w:p>
              </w:tc>
              <w:tc>
                <w:tcPr>
                  <w:tcW w:w="1404" w:type="pct"/>
                  <w:noWrap w:val="0"/>
                  <w:vAlign w:val="center"/>
                </w:tcPr>
                <w:p w14:paraId="3B80436A">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eastAsia="宋体"/>
                      <w:b/>
                      <w:bCs/>
                      <w:color w:val="auto"/>
                      <w:sz w:val="21"/>
                      <w:szCs w:val="21"/>
                      <w:lang w:val="en-US" w:eastAsia="zh-CN"/>
                    </w:rPr>
                  </w:pPr>
                  <w:r>
                    <w:rPr>
                      <w:rFonts w:hint="eastAsia"/>
                      <w:b/>
                      <w:bCs/>
                      <w:color w:val="auto"/>
                      <w:sz w:val="21"/>
                      <w:szCs w:val="21"/>
                    </w:rPr>
                    <w:t>危废</w:t>
                  </w:r>
                  <w:r>
                    <w:rPr>
                      <w:rFonts w:hint="eastAsia"/>
                      <w:b/>
                      <w:bCs/>
                      <w:color w:val="auto"/>
                      <w:sz w:val="21"/>
                      <w:szCs w:val="21"/>
                      <w:lang w:eastAsia="zh-CN"/>
                    </w:rPr>
                    <w:t>间</w:t>
                  </w:r>
                  <w:r>
                    <w:rPr>
                      <w:rFonts w:hint="eastAsia"/>
                      <w:b/>
                      <w:bCs/>
                      <w:color w:val="auto"/>
                      <w:sz w:val="21"/>
                      <w:szCs w:val="21"/>
                    </w:rPr>
                    <w:t>：</w:t>
                  </w:r>
                  <w:r>
                    <w:rPr>
                      <w:rFonts w:hint="eastAsia"/>
                      <w:b/>
                      <w:bCs/>
                      <w:color w:val="auto"/>
                      <w:sz w:val="21"/>
                      <w:szCs w:val="21"/>
                      <w:lang w:eastAsia="zh-CN"/>
                    </w:rPr>
                    <w:t>单独设置一间危废暂存间。</w:t>
                  </w:r>
                </w:p>
              </w:tc>
              <w:tc>
                <w:tcPr>
                  <w:tcW w:w="1194" w:type="pct"/>
                  <w:noWrap w:val="0"/>
                  <w:vAlign w:val="center"/>
                </w:tcPr>
                <w:p w14:paraId="31436168">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eastAsia="宋体"/>
                      <w:b/>
                      <w:bCs/>
                      <w:color w:val="auto"/>
                      <w:sz w:val="21"/>
                      <w:szCs w:val="21"/>
                      <w:lang w:eastAsia="zh-CN"/>
                    </w:rPr>
                  </w:pPr>
                  <w:r>
                    <w:rPr>
                      <w:rFonts w:hint="eastAsia"/>
                      <w:b/>
                      <w:bCs/>
                      <w:color w:val="auto"/>
                      <w:sz w:val="21"/>
                      <w:szCs w:val="21"/>
                    </w:rPr>
                    <w:t>危废</w:t>
                  </w:r>
                  <w:r>
                    <w:rPr>
                      <w:rFonts w:hint="eastAsia"/>
                      <w:b/>
                      <w:bCs/>
                      <w:color w:val="auto"/>
                      <w:sz w:val="21"/>
                      <w:szCs w:val="21"/>
                      <w:lang w:eastAsia="zh-CN"/>
                    </w:rPr>
                    <w:t>间</w:t>
                  </w:r>
                  <w:r>
                    <w:rPr>
                      <w:rFonts w:hint="eastAsia"/>
                      <w:b/>
                      <w:bCs/>
                      <w:color w:val="auto"/>
                      <w:sz w:val="21"/>
                      <w:szCs w:val="21"/>
                    </w:rPr>
                    <w:t>：</w:t>
                  </w:r>
                  <w:r>
                    <w:rPr>
                      <w:rFonts w:hint="eastAsia"/>
                      <w:b/>
                      <w:bCs/>
                      <w:color w:val="auto"/>
                      <w:sz w:val="21"/>
                      <w:szCs w:val="21"/>
                      <w:lang w:eastAsia="zh-CN"/>
                    </w:rPr>
                    <w:t>单独设置一间危废暂存间，位于厂区西北侧，</w:t>
                  </w:r>
                </w:p>
              </w:tc>
              <w:tc>
                <w:tcPr>
                  <w:tcW w:w="479" w:type="pct"/>
                  <w:noWrap w:val="0"/>
                  <w:vAlign w:val="center"/>
                </w:tcPr>
                <w:p w14:paraId="74FD0E4C">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color w:val="auto"/>
                      <w:sz w:val="21"/>
                      <w:szCs w:val="21"/>
                    </w:rPr>
                  </w:pPr>
                  <w:r>
                    <w:rPr>
                      <w:rFonts w:hint="eastAsia"/>
                      <w:b/>
                      <w:bCs/>
                      <w:color w:val="auto"/>
                      <w:sz w:val="21"/>
                      <w:szCs w:val="21"/>
                    </w:rPr>
                    <w:t>/</w:t>
                  </w:r>
                </w:p>
              </w:tc>
              <w:tc>
                <w:tcPr>
                  <w:tcW w:w="499" w:type="pct"/>
                  <w:noWrap w:val="0"/>
                  <w:vAlign w:val="center"/>
                </w:tcPr>
                <w:p w14:paraId="59366B0F">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本次验收内容</w:t>
                  </w:r>
                </w:p>
              </w:tc>
              <w:tc>
                <w:tcPr>
                  <w:tcW w:w="656" w:type="pct"/>
                  <w:noWrap w:val="0"/>
                  <w:vAlign w:val="center"/>
                </w:tcPr>
                <w:p w14:paraId="747A62C0">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auto"/>
                      <w:sz w:val="21"/>
                      <w:szCs w:val="21"/>
                      <w:lang w:eastAsia="zh-CN"/>
                    </w:rPr>
                  </w:pPr>
                  <w:r>
                    <w:rPr>
                      <w:rFonts w:hint="eastAsia"/>
                      <w:b/>
                      <w:bCs/>
                      <w:color w:val="auto"/>
                      <w:sz w:val="21"/>
                      <w:szCs w:val="21"/>
                      <w:lang w:eastAsia="zh-CN"/>
                    </w:rPr>
                    <w:t>更新改造危废间，不属于重大变动</w:t>
                  </w:r>
                </w:p>
              </w:tc>
            </w:tr>
          </w:tbl>
          <w:p w14:paraId="79AEF334">
            <w:pPr>
              <w:pStyle w:val="61"/>
              <w:keepNext w:val="0"/>
              <w:keepLines w:val="0"/>
              <w:suppressLineNumbers w:val="0"/>
              <w:spacing w:before="0" w:beforeAutospacing="0" w:after="0" w:afterAutospacing="0"/>
              <w:ind w:left="0" w:right="0"/>
              <w:jc w:val="left"/>
              <w:rPr>
                <w:rFonts w:hint="default"/>
                <w:b w:val="0"/>
                <w:color w:val="auto"/>
                <w:kern w:val="0"/>
                <w:szCs w:val="22"/>
              </w:rPr>
            </w:pPr>
          </w:p>
        </w:tc>
      </w:tr>
      <w:tr w14:paraId="1F676A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26" w:type="dxa"/>
          </w:tcPr>
          <w:p w14:paraId="0D505373">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二、项目主要原辅料及能源消耗</w:t>
            </w:r>
          </w:p>
          <w:p w14:paraId="540529FE">
            <w:pPr>
              <w:keepNext w:val="0"/>
              <w:keepLines w:val="0"/>
              <w:widowControl/>
              <w:suppressLineNumbers w:val="0"/>
              <w:spacing w:before="0" w:beforeAutospacing="0" w:after="0" w:afterAutospacing="0"/>
              <w:ind w:left="0" w:right="0" w:firstLine="480"/>
              <w:jc w:val="left"/>
              <w:rPr>
                <w:rFonts w:hint="default"/>
                <w:color w:val="auto"/>
                <w:szCs w:val="24"/>
              </w:rPr>
            </w:pPr>
            <w:r>
              <w:rPr>
                <w:rFonts w:hint="eastAsia"/>
                <w:color w:val="auto"/>
                <w:szCs w:val="24"/>
              </w:rPr>
              <w:t>本项目</w:t>
            </w:r>
            <w:r>
              <w:rPr>
                <w:rFonts w:hint="eastAsia"/>
                <w:color w:val="auto"/>
              </w:rPr>
              <w:t>原辅材料及能源消耗情况</w:t>
            </w:r>
            <w:r>
              <w:rPr>
                <w:rFonts w:hint="eastAsia"/>
                <w:color w:val="auto"/>
                <w:szCs w:val="24"/>
              </w:rPr>
              <w:t>详见下表</w:t>
            </w:r>
            <w:r>
              <w:rPr>
                <w:rFonts w:hint="default"/>
                <w:color w:val="auto"/>
                <w:szCs w:val="24"/>
              </w:rPr>
              <w:t>2-</w:t>
            </w:r>
            <w:r>
              <w:rPr>
                <w:rFonts w:hint="eastAsia"/>
                <w:color w:val="auto"/>
                <w:szCs w:val="24"/>
                <w:lang w:val="en-US" w:eastAsia="zh-CN"/>
              </w:rPr>
              <w:t>4</w:t>
            </w:r>
            <w:r>
              <w:rPr>
                <w:rFonts w:hint="eastAsia"/>
                <w:color w:val="auto"/>
                <w:szCs w:val="24"/>
              </w:rPr>
              <w:t>。</w:t>
            </w:r>
          </w:p>
          <w:p w14:paraId="3EB570F4">
            <w:pPr>
              <w:pStyle w:val="61"/>
              <w:keepNext w:val="0"/>
              <w:keepLines w:val="0"/>
              <w:suppressLineNumbers w:val="0"/>
              <w:spacing w:before="0" w:beforeAutospacing="0" w:after="0" w:afterAutospacing="0" w:line="240" w:lineRule="auto"/>
              <w:ind w:left="0" w:right="0"/>
              <w:rPr>
                <w:rFonts w:hint="eastAsia"/>
                <w:color w:val="auto"/>
              </w:rPr>
            </w:pPr>
            <w:r>
              <w:rPr>
                <w:rFonts w:hint="eastAsia"/>
                <w:color w:val="auto"/>
              </w:rPr>
              <w:t>表</w:t>
            </w:r>
            <w:r>
              <w:rPr>
                <w:rFonts w:hint="default"/>
                <w:color w:val="auto"/>
              </w:rPr>
              <w:t>2-</w:t>
            </w:r>
            <w:r>
              <w:rPr>
                <w:rFonts w:hint="eastAsia"/>
                <w:color w:val="auto"/>
                <w:lang w:val="en-US" w:eastAsia="zh-CN"/>
              </w:rPr>
              <w:t>4</w:t>
            </w:r>
            <w:r>
              <w:rPr>
                <w:rFonts w:hint="default"/>
                <w:color w:val="auto"/>
              </w:rPr>
              <w:t xml:space="preserve"> </w:t>
            </w:r>
            <w:r>
              <w:rPr>
                <w:rFonts w:hint="eastAsia"/>
                <w:color w:val="auto"/>
              </w:rPr>
              <w:t>主要原辅材料消耗及动力消耗对照表</w:t>
            </w:r>
          </w:p>
          <w:tbl>
            <w:tblPr>
              <w:tblStyle w:val="2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764"/>
              <w:gridCol w:w="1685"/>
              <w:gridCol w:w="1827"/>
              <w:gridCol w:w="1814"/>
              <w:gridCol w:w="2134"/>
            </w:tblGrid>
            <w:tr w14:paraId="4FA67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348" w:type="pct"/>
                  <w:noWrap w:val="0"/>
                  <w:vAlign w:val="center"/>
                </w:tcPr>
                <w:p w14:paraId="37DD62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r>
                    <w:rPr>
                      <w:rFonts w:hint="default"/>
                      <w:color w:val="auto"/>
                      <w:sz w:val="21"/>
                      <w:szCs w:val="21"/>
                    </w:rPr>
                    <w:t>类别</w:t>
                  </w:r>
                </w:p>
              </w:tc>
              <w:tc>
                <w:tcPr>
                  <w:tcW w:w="1384" w:type="pct"/>
                  <w:gridSpan w:val="2"/>
                  <w:noWrap w:val="0"/>
                  <w:vAlign w:val="center"/>
                </w:tcPr>
                <w:p w14:paraId="0732C5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eastAsia="宋体"/>
                      <w:color w:val="auto"/>
                      <w:sz w:val="21"/>
                      <w:szCs w:val="21"/>
                      <w:lang w:eastAsia="zh-CN"/>
                    </w:rPr>
                  </w:pPr>
                  <w:r>
                    <w:rPr>
                      <w:rFonts w:hint="eastAsia"/>
                      <w:color w:val="auto"/>
                      <w:sz w:val="21"/>
                      <w:szCs w:val="21"/>
                      <w:lang w:eastAsia="zh-CN"/>
                    </w:rPr>
                    <w:t>名称</w:t>
                  </w:r>
                </w:p>
              </w:tc>
              <w:tc>
                <w:tcPr>
                  <w:tcW w:w="1033" w:type="pct"/>
                  <w:noWrap w:val="0"/>
                  <w:vAlign w:val="center"/>
                </w:tcPr>
                <w:p w14:paraId="2DFE82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rPr>
                  </w:pPr>
                  <w:r>
                    <w:rPr>
                      <w:rFonts w:hint="eastAsia"/>
                      <w:color w:val="auto"/>
                      <w:sz w:val="21"/>
                      <w:szCs w:val="21"/>
                      <w:lang w:eastAsia="zh-CN"/>
                    </w:rPr>
                    <w:t>本</w:t>
                  </w:r>
                  <w:r>
                    <w:rPr>
                      <w:rFonts w:hint="eastAsia"/>
                      <w:color w:val="auto"/>
                      <w:sz w:val="21"/>
                      <w:szCs w:val="21"/>
                    </w:rPr>
                    <w:t>项目</w:t>
                  </w:r>
                  <w:r>
                    <w:rPr>
                      <w:rFonts w:hint="eastAsia"/>
                      <w:color w:val="auto"/>
                      <w:sz w:val="21"/>
                      <w:szCs w:val="21"/>
                      <w:lang w:eastAsia="zh-CN"/>
                    </w:rPr>
                    <w:t>环评</w:t>
                  </w:r>
                  <w:r>
                    <w:rPr>
                      <w:rFonts w:hint="default"/>
                      <w:color w:val="auto"/>
                      <w:sz w:val="21"/>
                      <w:szCs w:val="21"/>
                    </w:rPr>
                    <w:t>年耗量</w:t>
                  </w:r>
                  <w:r>
                    <w:rPr>
                      <w:rFonts w:hint="eastAsia"/>
                      <w:color w:val="auto"/>
                      <w:sz w:val="21"/>
                      <w:szCs w:val="21"/>
                      <w:lang w:eastAsia="zh-CN"/>
                    </w:rPr>
                    <w:t>（</w:t>
                  </w:r>
                  <w:r>
                    <w:rPr>
                      <w:rFonts w:hint="eastAsia"/>
                      <w:color w:val="auto"/>
                      <w:sz w:val="21"/>
                      <w:szCs w:val="21"/>
                      <w:lang w:val="en-US" w:eastAsia="zh-CN"/>
                    </w:rPr>
                    <w:t>t/a</w:t>
                  </w:r>
                  <w:r>
                    <w:rPr>
                      <w:rFonts w:hint="eastAsia"/>
                      <w:color w:val="auto"/>
                      <w:sz w:val="21"/>
                      <w:szCs w:val="21"/>
                      <w:lang w:eastAsia="zh-CN"/>
                    </w:rPr>
                    <w:t>）</w:t>
                  </w:r>
                </w:p>
              </w:tc>
              <w:tc>
                <w:tcPr>
                  <w:tcW w:w="1026" w:type="pct"/>
                  <w:noWrap w:val="0"/>
                  <w:vAlign w:val="center"/>
                </w:tcPr>
                <w:p w14:paraId="0B0140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eastAsia="zh-CN"/>
                    </w:rPr>
                  </w:pPr>
                  <w:r>
                    <w:rPr>
                      <w:rFonts w:hint="eastAsia"/>
                      <w:color w:val="auto"/>
                      <w:sz w:val="21"/>
                      <w:szCs w:val="21"/>
                      <w:lang w:eastAsia="zh-CN"/>
                    </w:rPr>
                    <w:t>本</w:t>
                  </w:r>
                  <w:r>
                    <w:rPr>
                      <w:rFonts w:hint="eastAsia"/>
                      <w:color w:val="auto"/>
                      <w:sz w:val="21"/>
                      <w:szCs w:val="21"/>
                    </w:rPr>
                    <w:t>项目</w:t>
                  </w:r>
                  <w:r>
                    <w:rPr>
                      <w:rFonts w:hint="eastAsia"/>
                      <w:color w:val="auto"/>
                      <w:sz w:val="21"/>
                      <w:szCs w:val="21"/>
                      <w:lang w:eastAsia="zh-CN"/>
                    </w:rPr>
                    <w:t>实际</w:t>
                  </w:r>
                  <w:r>
                    <w:rPr>
                      <w:rFonts w:hint="default"/>
                      <w:color w:val="auto"/>
                      <w:sz w:val="21"/>
                      <w:szCs w:val="21"/>
                    </w:rPr>
                    <w:t>年耗量</w:t>
                  </w:r>
                  <w:r>
                    <w:rPr>
                      <w:rFonts w:hint="eastAsia"/>
                      <w:color w:val="auto"/>
                      <w:sz w:val="21"/>
                      <w:szCs w:val="21"/>
                      <w:lang w:eastAsia="zh-CN"/>
                    </w:rPr>
                    <w:t>（</w:t>
                  </w:r>
                  <w:r>
                    <w:rPr>
                      <w:rFonts w:hint="eastAsia"/>
                      <w:color w:val="auto"/>
                      <w:sz w:val="21"/>
                      <w:szCs w:val="21"/>
                      <w:lang w:val="en-US" w:eastAsia="zh-CN"/>
                    </w:rPr>
                    <w:t>t/a</w:t>
                  </w:r>
                  <w:r>
                    <w:rPr>
                      <w:rFonts w:hint="eastAsia"/>
                      <w:color w:val="auto"/>
                      <w:sz w:val="21"/>
                      <w:szCs w:val="21"/>
                      <w:lang w:eastAsia="zh-CN"/>
                    </w:rPr>
                    <w:t>）</w:t>
                  </w:r>
                </w:p>
              </w:tc>
              <w:tc>
                <w:tcPr>
                  <w:tcW w:w="1206" w:type="pct"/>
                  <w:noWrap w:val="0"/>
                  <w:vAlign w:val="center"/>
                </w:tcPr>
                <w:p w14:paraId="1A5F00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eastAsia="zh-CN"/>
                    </w:rPr>
                  </w:pPr>
                  <w:r>
                    <w:rPr>
                      <w:rFonts w:hint="eastAsia"/>
                      <w:color w:val="auto"/>
                      <w:sz w:val="21"/>
                      <w:szCs w:val="21"/>
                      <w:lang w:eastAsia="zh-CN"/>
                    </w:rPr>
                    <w:t>对照情况</w:t>
                  </w:r>
                </w:p>
              </w:tc>
            </w:tr>
            <w:tr w14:paraId="298E6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48" w:type="pct"/>
                  <w:vMerge w:val="restart"/>
                  <w:noWrap w:val="0"/>
                  <w:vAlign w:val="center"/>
                </w:tcPr>
                <w:p w14:paraId="136235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eastAsia="宋体"/>
                      <w:color w:val="auto"/>
                      <w:sz w:val="21"/>
                      <w:szCs w:val="21"/>
                      <w:lang w:eastAsia="zh-CN"/>
                    </w:rPr>
                  </w:pPr>
                  <w:r>
                    <w:rPr>
                      <w:rFonts w:hint="eastAsia"/>
                      <w:color w:val="auto"/>
                      <w:sz w:val="21"/>
                      <w:szCs w:val="21"/>
                      <w:lang w:eastAsia="zh-CN"/>
                    </w:rPr>
                    <w:t>原辅材料</w:t>
                  </w:r>
                </w:p>
              </w:tc>
              <w:tc>
                <w:tcPr>
                  <w:tcW w:w="432" w:type="pct"/>
                  <w:vMerge w:val="restart"/>
                  <w:noWrap w:val="0"/>
                  <w:vAlign w:val="center"/>
                </w:tcPr>
                <w:p w14:paraId="25F336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餐佐料生产线</w:t>
                  </w:r>
                </w:p>
              </w:tc>
              <w:tc>
                <w:tcPr>
                  <w:tcW w:w="952" w:type="pct"/>
                  <w:noWrap w:val="0"/>
                  <w:vAlign w:val="center"/>
                </w:tcPr>
                <w:p w14:paraId="3B48C1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豆瓣</w:t>
                  </w:r>
                </w:p>
              </w:tc>
              <w:tc>
                <w:tcPr>
                  <w:tcW w:w="1033" w:type="pct"/>
                  <w:noWrap w:val="0"/>
                  <w:vAlign w:val="center"/>
                </w:tcPr>
                <w:p w14:paraId="77BDF3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80</w:t>
                  </w:r>
                </w:p>
              </w:tc>
              <w:tc>
                <w:tcPr>
                  <w:tcW w:w="1026" w:type="pct"/>
                  <w:noWrap w:val="0"/>
                  <w:vAlign w:val="center"/>
                </w:tcPr>
                <w:p w14:paraId="5E9161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80</w:t>
                  </w:r>
                </w:p>
              </w:tc>
              <w:tc>
                <w:tcPr>
                  <w:tcW w:w="1206" w:type="pct"/>
                  <w:noWrap w:val="0"/>
                  <w:vAlign w:val="center"/>
                </w:tcPr>
                <w:p w14:paraId="5E9533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149C4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48" w:type="pct"/>
                  <w:vMerge w:val="continue"/>
                  <w:noWrap w:val="0"/>
                  <w:vAlign w:val="center"/>
                </w:tcPr>
                <w:p w14:paraId="6B0D28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2429DE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57CAC6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花椒</w:t>
                  </w:r>
                </w:p>
              </w:tc>
              <w:tc>
                <w:tcPr>
                  <w:tcW w:w="1033" w:type="pct"/>
                  <w:noWrap w:val="0"/>
                  <w:vAlign w:val="center"/>
                </w:tcPr>
                <w:p w14:paraId="52CF10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20</w:t>
                  </w:r>
                </w:p>
              </w:tc>
              <w:tc>
                <w:tcPr>
                  <w:tcW w:w="1026" w:type="pct"/>
                  <w:noWrap w:val="0"/>
                  <w:vAlign w:val="center"/>
                </w:tcPr>
                <w:p w14:paraId="2B85A6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20</w:t>
                  </w:r>
                </w:p>
              </w:tc>
              <w:tc>
                <w:tcPr>
                  <w:tcW w:w="1206" w:type="pct"/>
                  <w:noWrap w:val="0"/>
                  <w:vAlign w:val="center"/>
                </w:tcPr>
                <w:p w14:paraId="26AF03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73E20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348" w:type="pct"/>
                  <w:vMerge w:val="continue"/>
                  <w:noWrap w:val="0"/>
                  <w:vAlign w:val="center"/>
                </w:tcPr>
                <w:p w14:paraId="3DFFD7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6DDD67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460877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香辛料</w:t>
                  </w:r>
                </w:p>
              </w:tc>
              <w:tc>
                <w:tcPr>
                  <w:tcW w:w="1033" w:type="pct"/>
                  <w:noWrap w:val="0"/>
                  <w:vAlign w:val="center"/>
                </w:tcPr>
                <w:p w14:paraId="154255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5</w:t>
                  </w:r>
                </w:p>
              </w:tc>
              <w:tc>
                <w:tcPr>
                  <w:tcW w:w="1026" w:type="pct"/>
                  <w:noWrap w:val="0"/>
                  <w:vAlign w:val="center"/>
                </w:tcPr>
                <w:p w14:paraId="7024D7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5</w:t>
                  </w:r>
                </w:p>
              </w:tc>
              <w:tc>
                <w:tcPr>
                  <w:tcW w:w="1206" w:type="pct"/>
                  <w:noWrap w:val="0"/>
                  <w:vAlign w:val="center"/>
                </w:tcPr>
                <w:p w14:paraId="4C35C6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0D19E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348" w:type="pct"/>
                  <w:vMerge w:val="continue"/>
                  <w:noWrap w:val="0"/>
                  <w:vAlign w:val="center"/>
                </w:tcPr>
                <w:p w14:paraId="1178EE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4F62D9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0A7611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辣椒</w:t>
                  </w:r>
                </w:p>
              </w:tc>
              <w:tc>
                <w:tcPr>
                  <w:tcW w:w="1033" w:type="pct"/>
                  <w:noWrap w:val="0"/>
                  <w:vAlign w:val="center"/>
                </w:tcPr>
                <w:p w14:paraId="4B0273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400</w:t>
                  </w:r>
                </w:p>
              </w:tc>
              <w:tc>
                <w:tcPr>
                  <w:tcW w:w="1026" w:type="pct"/>
                  <w:noWrap w:val="0"/>
                  <w:vAlign w:val="center"/>
                </w:tcPr>
                <w:p w14:paraId="1257DA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400</w:t>
                  </w:r>
                </w:p>
              </w:tc>
              <w:tc>
                <w:tcPr>
                  <w:tcW w:w="1206" w:type="pct"/>
                  <w:noWrap w:val="0"/>
                  <w:vAlign w:val="center"/>
                </w:tcPr>
                <w:p w14:paraId="0484E5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6C7FA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348" w:type="pct"/>
                  <w:vMerge w:val="continue"/>
                  <w:noWrap w:val="0"/>
                  <w:vAlign w:val="center"/>
                </w:tcPr>
                <w:p w14:paraId="73DBCB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108144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5DC83D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白砂糖</w:t>
                  </w:r>
                </w:p>
              </w:tc>
              <w:tc>
                <w:tcPr>
                  <w:tcW w:w="1033" w:type="pct"/>
                  <w:noWrap w:val="0"/>
                  <w:vAlign w:val="center"/>
                </w:tcPr>
                <w:p w14:paraId="09E7B6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15</w:t>
                  </w:r>
                </w:p>
              </w:tc>
              <w:tc>
                <w:tcPr>
                  <w:tcW w:w="1026" w:type="pct"/>
                  <w:noWrap w:val="0"/>
                  <w:vAlign w:val="center"/>
                </w:tcPr>
                <w:p w14:paraId="35BABF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15</w:t>
                  </w:r>
                </w:p>
              </w:tc>
              <w:tc>
                <w:tcPr>
                  <w:tcW w:w="1206" w:type="pct"/>
                  <w:noWrap w:val="0"/>
                  <w:vAlign w:val="center"/>
                </w:tcPr>
                <w:p w14:paraId="2A8AD5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28810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348" w:type="pct"/>
                  <w:vMerge w:val="continue"/>
                  <w:noWrap w:val="0"/>
                  <w:vAlign w:val="center"/>
                </w:tcPr>
                <w:p w14:paraId="160F1A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6F8C74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4A2470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生姜</w:t>
                  </w:r>
                </w:p>
              </w:tc>
              <w:tc>
                <w:tcPr>
                  <w:tcW w:w="1033" w:type="pct"/>
                  <w:noWrap w:val="0"/>
                  <w:vAlign w:val="center"/>
                </w:tcPr>
                <w:p w14:paraId="3DF9E0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20</w:t>
                  </w:r>
                </w:p>
              </w:tc>
              <w:tc>
                <w:tcPr>
                  <w:tcW w:w="1026" w:type="pct"/>
                  <w:noWrap w:val="0"/>
                  <w:vAlign w:val="center"/>
                </w:tcPr>
                <w:p w14:paraId="0FC6E3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20</w:t>
                  </w:r>
                </w:p>
              </w:tc>
              <w:tc>
                <w:tcPr>
                  <w:tcW w:w="1206" w:type="pct"/>
                  <w:noWrap w:val="0"/>
                  <w:vAlign w:val="center"/>
                </w:tcPr>
                <w:p w14:paraId="679C65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37834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48" w:type="pct"/>
                  <w:vMerge w:val="continue"/>
                  <w:noWrap w:val="0"/>
                  <w:vAlign w:val="center"/>
                </w:tcPr>
                <w:p w14:paraId="70142D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45355A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6094F0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葱</w:t>
                  </w:r>
                </w:p>
              </w:tc>
              <w:tc>
                <w:tcPr>
                  <w:tcW w:w="1033" w:type="pct"/>
                  <w:noWrap w:val="0"/>
                  <w:vAlign w:val="center"/>
                </w:tcPr>
                <w:p w14:paraId="227347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20</w:t>
                  </w:r>
                </w:p>
              </w:tc>
              <w:tc>
                <w:tcPr>
                  <w:tcW w:w="1026" w:type="pct"/>
                  <w:noWrap w:val="0"/>
                  <w:vAlign w:val="center"/>
                </w:tcPr>
                <w:p w14:paraId="4E3961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20</w:t>
                  </w:r>
                </w:p>
              </w:tc>
              <w:tc>
                <w:tcPr>
                  <w:tcW w:w="1206" w:type="pct"/>
                  <w:noWrap w:val="0"/>
                  <w:vAlign w:val="center"/>
                </w:tcPr>
                <w:p w14:paraId="7AFAEB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0A4EC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48" w:type="pct"/>
                  <w:vMerge w:val="continue"/>
                  <w:noWrap w:val="0"/>
                  <w:vAlign w:val="center"/>
                </w:tcPr>
                <w:p w14:paraId="47858F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5EF875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0AC555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大蒜</w:t>
                  </w:r>
                </w:p>
              </w:tc>
              <w:tc>
                <w:tcPr>
                  <w:tcW w:w="1033" w:type="pct"/>
                  <w:noWrap w:val="0"/>
                  <w:vAlign w:val="center"/>
                </w:tcPr>
                <w:p w14:paraId="5C9A1E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15</w:t>
                  </w:r>
                </w:p>
              </w:tc>
              <w:tc>
                <w:tcPr>
                  <w:tcW w:w="1026" w:type="pct"/>
                  <w:noWrap w:val="0"/>
                  <w:vAlign w:val="center"/>
                </w:tcPr>
                <w:p w14:paraId="63EAD9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15</w:t>
                  </w:r>
                </w:p>
              </w:tc>
              <w:tc>
                <w:tcPr>
                  <w:tcW w:w="1206" w:type="pct"/>
                  <w:noWrap w:val="0"/>
                  <w:vAlign w:val="center"/>
                </w:tcPr>
                <w:p w14:paraId="0A0E1F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23EE1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348" w:type="pct"/>
                  <w:vMerge w:val="continue"/>
                  <w:noWrap w:val="0"/>
                  <w:vAlign w:val="center"/>
                </w:tcPr>
                <w:p w14:paraId="1749D5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41AAE6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23520B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大豆油</w:t>
                  </w:r>
                </w:p>
              </w:tc>
              <w:tc>
                <w:tcPr>
                  <w:tcW w:w="1033" w:type="pct"/>
                  <w:noWrap w:val="0"/>
                  <w:vAlign w:val="center"/>
                </w:tcPr>
                <w:p w14:paraId="6D3281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300</w:t>
                  </w:r>
                </w:p>
              </w:tc>
              <w:tc>
                <w:tcPr>
                  <w:tcW w:w="1026" w:type="pct"/>
                  <w:noWrap w:val="0"/>
                  <w:vAlign w:val="center"/>
                </w:tcPr>
                <w:p w14:paraId="5D4A91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300</w:t>
                  </w:r>
                </w:p>
              </w:tc>
              <w:tc>
                <w:tcPr>
                  <w:tcW w:w="1206" w:type="pct"/>
                  <w:noWrap w:val="0"/>
                  <w:vAlign w:val="center"/>
                </w:tcPr>
                <w:p w14:paraId="4E6002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2BC4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348" w:type="pct"/>
                  <w:vMerge w:val="continue"/>
                  <w:noWrap w:val="0"/>
                  <w:vAlign w:val="center"/>
                </w:tcPr>
                <w:p w14:paraId="1D7374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60C1B3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6D72F8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菜籽油</w:t>
                  </w:r>
                </w:p>
              </w:tc>
              <w:tc>
                <w:tcPr>
                  <w:tcW w:w="1033" w:type="pct"/>
                  <w:noWrap w:val="0"/>
                  <w:vAlign w:val="center"/>
                </w:tcPr>
                <w:p w14:paraId="63905B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100</w:t>
                  </w:r>
                </w:p>
              </w:tc>
              <w:tc>
                <w:tcPr>
                  <w:tcW w:w="1026" w:type="pct"/>
                  <w:noWrap w:val="0"/>
                  <w:vAlign w:val="center"/>
                </w:tcPr>
                <w:p w14:paraId="6F748C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100</w:t>
                  </w:r>
                </w:p>
              </w:tc>
              <w:tc>
                <w:tcPr>
                  <w:tcW w:w="1206" w:type="pct"/>
                  <w:noWrap w:val="0"/>
                  <w:vAlign w:val="center"/>
                </w:tcPr>
                <w:p w14:paraId="44FF29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5FEA5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348" w:type="pct"/>
                  <w:vMerge w:val="continue"/>
                  <w:noWrap w:val="0"/>
                  <w:vAlign w:val="center"/>
                </w:tcPr>
                <w:p w14:paraId="1D3916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616FD4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3A4F8D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牛油</w:t>
                  </w:r>
                </w:p>
              </w:tc>
              <w:tc>
                <w:tcPr>
                  <w:tcW w:w="1033" w:type="pct"/>
                  <w:noWrap w:val="0"/>
                  <w:vAlign w:val="center"/>
                </w:tcPr>
                <w:p w14:paraId="475290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900</w:t>
                  </w:r>
                </w:p>
              </w:tc>
              <w:tc>
                <w:tcPr>
                  <w:tcW w:w="1026" w:type="pct"/>
                  <w:noWrap w:val="0"/>
                  <w:vAlign w:val="center"/>
                </w:tcPr>
                <w:p w14:paraId="464BB4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900</w:t>
                  </w:r>
                </w:p>
              </w:tc>
              <w:tc>
                <w:tcPr>
                  <w:tcW w:w="1206" w:type="pct"/>
                  <w:noWrap w:val="0"/>
                  <w:vAlign w:val="center"/>
                </w:tcPr>
                <w:p w14:paraId="68A596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021AE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348" w:type="pct"/>
                  <w:vMerge w:val="continue"/>
                  <w:noWrap w:val="0"/>
                  <w:vAlign w:val="center"/>
                </w:tcPr>
                <w:p w14:paraId="6BC543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76E749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00BB1F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食用盐</w:t>
                  </w:r>
                </w:p>
              </w:tc>
              <w:tc>
                <w:tcPr>
                  <w:tcW w:w="1033" w:type="pct"/>
                  <w:noWrap w:val="0"/>
                  <w:vAlign w:val="center"/>
                </w:tcPr>
                <w:p w14:paraId="5D6CB3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20</w:t>
                  </w:r>
                </w:p>
              </w:tc>
              <w:tc>
                <w:tcPr>
                  <w:tcW w:w="1026" w:type="pct"/>
                  <w:noWrap w:val="0"/>
                  <w:vAlign w:val="center"/>
                </w:tcPr>
                <w:p w14:paraId="010831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20</w:t>
                  </w:r>
                </w:p>
              </w:tc>
              <w:tc>
                <w:tcPr>
                  <w:tcW w:w="1206" w:type="pct"/>
                  <w:noWrap w:val="0"/>
                  <w:vAlign w:val="center"/>
                </w:tcPr>
                <w:p w14:paraId="64DC3E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120F1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348" w:type="pct"/>
                  <w:vMerge w:val="continue"/>
                  <w:noWrap w:val="0"/>
                  <w:vAlign w:val="center"/>
                </w:tcPr>
                <w:p w14:paraId="2F2B31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7A6AC2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074C0F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味精</w:t>
                  </w:r>
                </w:p>
              </w:tc>
              <w:tc>
                <w:tcPr>
                  <w:tcW w:w="1033" w:type="pct"/>
                  <w:noWrap w:val="0"/>
                  <w:vAlign w:val="center"/>
                </w:tcPr>
                <w:p w14:paraId="4264F8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20</w:t>
                  </w:r>
                </w:p>
              </w:tc>
              <w:tc>
                <w:tcPr>
                  <w:tcW w:w="1026" w:type="pct"/>
                  <w:noWrap w:val="0"/>
                  <w:vAlign w:val="center"/>
                </w:tcPr>
                <w:p w14:paraId="7E9845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20</w:t>
                  </w:r>
                </w:p>
              </w:tc>
              <w:tc>
                <w:tcPr>
                  <w:tcW w:w="1206" w:type="pct"/>
                  <w:noWrap w:val="0"/>
                  <w:vAlign w:val="center"/>
                </w:tcPr>
                <w:p w14:paraId="09D9A8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一致</w:t>
                  </w:r>
                </w:p>
              </w:tc>
            </w:tr>
            <w:tr w14:paraId="254A7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48" w:type="pct"/>
                  <w:vMerge w:val="continue"/>
                  <w:noWrap w:val="0"/>
                  <w:vAlign w:val="center"/>
                </w:tcPr>
                <w:p w14:paraId="681D82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0C4B9A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54B06F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料酒</w:t>
                  </w:r>
                </w:p>
              </w:tc>
              <w:tc>
                <w:tcPr>
                  <w:tcW w:w="1033" w:type="pct"/>
                  <w:noWrap w:val="0"/>
                  <w:vAlign w:val="center"/>
                </w:tcPr>
                <w:p w14:paraId="5708E4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1026" w:type="pct"/>
                  <w:noWrap w:val="0"/>
                  <w:vAlign w:val="center"/>
                </w:tcPr>
                <w:p w14:paraId="3E5A52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1206" w:type="pct"/>
                  <w:noWrap w:val="0"/>
                  <w:vAlign w:val="center"/>
                </w:tcPr>
                <w:p w14:paraId="2A3D22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一致</w:t>
                  </w:r>
                </w:p>
              </w:tc>
            </w:tr>
            <w:tr w14:paraId="6A011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48" w:type="pct"/>
                  <w:vMerge w:val="continue"/>
                  <w:noWrap w:val="0"/>
                  <w:vAlign w:val="center"/>
                </w:tcPr>
                <w:p w14:paraId="75EBDC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30B72D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335D14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包装袋</w:t>
                  </w:r>
                </w:p>
              </w:tc>
              <w:tc>
                <w:tcPr>
                  <w:tcW w:w="1033" w:type="pct"/>
                  <w:noWrap w:val="0"/>
                  <w:vAlign w:val="center"/>
                </w:tcPr>
                <w:p w14:paraId="74FDCD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0.13亿个</w:t>
                  </w:r>
                </w:p>
              </w:tc>
              <w:tc>
                <w:tcPr>
                  <w:tcW w:w="1026" w:type="pct"/>
                  <w:noWrap w:val="0"/>
                  <w:vAlign w:val="center"/>
                </w:tcPr>
                <w:p w14:paraId="6A6512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0.13亿个</w:t>
                  </w:r>
                </w:p>
              </w:tc>
              <w:tc>
                <w:tcPr>
                  <w:tcW w:w="1206" w:type="pct"/>
                  <w:noWrap w:val="0"/>
                  <w:vAlign w:val="center"/>
                </w:tcPr>
                <w:p w14:paraId="2E33CD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一致</w:t>
                  </w:r>
                </w:p>
              </w:tc>
            </w:tr>
            <w:tr w14:paraId="676E7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48" w:type="pct"/>
                  <w:vMerge w:val="continue"/>
                  <w:noWrap w:val="0"/>
                  <w:vAlign w:val="center"/>
                </w:tcPr>
                <w:p w14:paraId="5E3270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restart"/>
                  <w:noWrap w:val="0"/>
                  <w:vAlign w:val="center"/>
                </w:tcPr>
                <w:p w14:paraId="606C73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鸡精生产线</w:t>
                  </w:r>
                </w:p>
              </w:tc>
              <w:tc>
                <w:tcPr>
                  <w:tcW w:w="952" w:type="pct"/>
                  <w:noWrap w:val="0"/>
                  <w:vAlign w:val="center"/>
                </w:tcPr>
                <w:p w14:paraId="0A1B8E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味精</w:t>
                  </w:r>
                </w:p>
              </w:tc>
              <w:tc>
                <w:tcPr>
                  <w:tcW w:w="1033" w:type="pct"/>
                  <w:noWrap w:val="0"/>
                  <w:vAlign w:val="center"/>
                </w:tcPr>
                <w:p w14:paraId="737E98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1400</w:t>
                  </w:r>
                </w:p>
              </w:tc>
              <w:tc>
                <w:tcPr>
                  <w:tcW w:w="1026" w:type="pct"/>
                  <w:noWrap w:val="0"/>
                  <w:vAlign w:val="center"/>
                </w:tcPr>
                <w:p w14:paraId="621794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restart"/>
                  <w:noWrap w:val="0"/>
                  <w:vAlign w:val="center"/>
                </w:tcPr>
                <w:p w14:paraId="34C225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eastAsia="宋体"/>
                      <w:color w:val="auto"/>
                      <w:sz w:val="21"/>
                      <w:szCs w:val="21"/>
                      <w:lang w:val="en-US" w:eastAsia="zh-CN"/>
                    </w:rPr>
                  </w:pPr>
                  <w:r>
                    <w:rPr>
                      <w:rFonts w:hint="eastAsia"/>
                      <w:color w:val="auto"/>
                      <w:sz w:val="21"/>
                      <w:szCs w:val="21"/>
                      <w:lang w:val="en-US" w:eastAsia="zh-CN"/>
                    </w:rPr>
                    <w:t>鸡精生产线未建设</w:t>
                  </w:r>
                </w:p>
              </w:tc>
            </w:tr>
            <w:tr w14:paraId="1AE0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44FFFD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02A5AB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5655A1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食用盐</w:t>
                  </w:r>
                </w:p>
              </w:tc>
              <w:tc>
                <w:tcPr>
                  <w:tcW w:w="1033" w:type="pct"/>
                  <w:noWrap w:val="0"/>
                  <w:vAlign w:val="center"/>
                </w:tcPr>
                <w:p w14:paraId="485E85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1600</w:t>
                  </w:r>
                </w:p>
              </w:tc>
              <w:tc>
                <w:tcPr>
                  <w:tcW w:w="1026" w:type="pct"/>
                  <w:noWrap w:val="0"/>
                  <w:vAlign w:val="center"/>
                </w:tcPr>
                <w:p w14:paraId="156F95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5DA7B7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0E709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0C55FA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26E58C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47A734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白砂糖</w:t>
                  </w:r>
                </w:p>
              </w:tc>
              <w:tc>
                <w:tcPr>
                  <w:tcW w:w="1033" w:type="pct"/>
                  <w:noWrap w:val="0"/>
                  <w:vAlign w:val="center"/>
                </w:tcPr>
                <w:p w14:paraId="3300D6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245</w:t>
                  </w:r>
                </w:p>
              </w:tc>
              <w:tc>
                <w:tcPr>
                  <w:tcW w:w="1026" w:type="pct"/>
                  <w:noWrap w:val="0"/>
                  <w:vAlign w:val="center"/>
                </w:tcPr>
                <w:p w14:paraId="70FB28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15884B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2108D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2E6F8B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224A7C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2046EF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淀粉</w:t>
                  </w:r>
                </w:p>
              </w:tc>
              <w:tc>
                <w:tcPr>
                  <w:tcW w:w="1033" w:type="pct"/>
                  <w:noWrap w:val="0"/>
                  <w:vAlign w:val="center"/>
                </w:tcPr>
                <w:p w14:paraId="10F49F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156</w:t>
                  </w:r>
                </w:p>
              </w:tc>
              <w:tc>
                <w:tcPr>
                  <w:tcW w:w="1026" w:type="pct"/>
                  <w:noWrap w:val="0"/>
                  <w:vAlign w:val="center"/>
                </w:tcPr>
                <w:p w14:paraId="636F24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756544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68A68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6D305E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2ED4C5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13C5D5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麦芽糊精</w:t>
                  </w:r>
                </w:p>
              </w:tc>
              <w:tc>
                <w:tcPr>
                  <w:tcW w:w="1033" w:type="pct"/>
                  <w:noWrap w:val="0"/>
                  <w:vAlign w:val="center"/>
                </w:tcPr>
                <w:p w14:paraId="426930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85</w:t>
                  </w:r>
                </w:p>
              </w:tc>
              <w:tc>
                <w:tcPr>
                  <w:tcW w:w="1026" w:type="pct"/>
                  <w:noWrap w:val="0"/>
                  <w:vAlign w:val="center"/>
                </w:tcPr>
                <w:p w14:paraId="258B4A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77A44B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5EAF3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006418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1D4FED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4CCB58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酵母提取物</w:t>
                  </w:r>
                </w:p>
              </w:tc>
              <w:tc>
                <w:tcPr>
                  <w:tcW w:w="1033" w:type="pct"/>
                  <w:noWrap w:val="0"/>
                  <w:vAlign w:val="center"/>
                </w:tcPr>
                <w:p w14:paraId="57EF39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40</w:t>
                  </w:r>
                </w:p>
              </w:tc>
              <w:tc>
                <w:tcPr>
                  <w:tcW w:w="1026" w:type="pct"/>
                  <w:noWrap w:val="0"/>
                  <w:vAlign w:val="center"/>
                </w:tcPr>
                <w:p w14:paraId="36D0FE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33BF53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6FDD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62B18C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14CB1F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5981E8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鸡蛋黄粉</w:t>
                  </w:r>
                </w:p>
              </w:tc>
              <w:tc>
                <w:tcPr>
                  <w:tcW w:w="1033" w:type="pct"/>
                  <w:noWrap w:val="0"/>
                  <w:vAlign w:val="center"/>
                </w:tcPr>
                <w:p w14:paraId="468D08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175</w:t>
                  </w:r>
                </w:p>
              </w:tc>
              <w:tc>
                <w:tcPr>
                  <w:tcW w:w="1026" w:type="pct"/>
                  <w:noWrap w:val="0"/>
                  <w:vAlign w:val="center"/>
                </w:tcPr>
                <w:p w14:paraId="2F1F79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363AAA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5013F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29C8D1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484E91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556E72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鸡肉粉</w:t>
                  </w:r>
                </w:p>
              </w:tc>
              <w:tc>
                <w:tcPr>
                  <w:tcW w:w="1033" w:type="pct"/>
                  <w:noWrap w:val="0"/>
                  <w:vAlign w:val="center"/>
                </w:tcPr>
                <w:p w14:paraId="7A6555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225</w:t>
                  </w:r>
                </w:p>
              </w:tc>
              <w:tc>
                <w:tcPr>
                  <w:tcW w:w="1026" w:type="pct"/>
                  <w:noWrap w:val="0"/>
                  <w:vAlign w:val="center"/>
                </w:tcPr>
                <w:p w14:paraId="1F90D1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479608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39532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0C5353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7322A2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6C79BB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添加剂</w:t>
                  </w:r>
                </w:p>
              </w:tc>
              <w:tc>
                <w:tcPr>
                  <w:tcW w:w="1033" w:type="pct"/>
                  <w:noWrap w:val="0"/>
                  <w:vAlign w:val="center"/>
                </w:tcPr>
                <w:p w14:paraId="36F89F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44</w:t>
                  </w:r>
                </w:p>
              </w:tc>
              <w:tc>
                <w:tcPr>
                  <w:tcW w:w="1026" w:type="pct"/>
                  <w:noWrap w:val="0"/>
                  <w:vAlign w:val="center"/>
                </w:tcPr>
                <w:p w14:paraId="62E2FC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3F2535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1B7D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48" w:type="pct"/>
                  <w:vMerge w:val="continue"/>
                  <w:noWrap w:val="0"/>
                  <w:vAlign w:val="center"/>
                </w:tcPr>
                <w:p w14:paraId="577DDD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color w:val="auto"/>
                      <w:sz w:val="21"/>
                      <w:szCs w:val="21"/>
                    </w:rPr>
                  </w:pPr>
                </w:p>
              </w:tc>
              <w:tc>
                <w:tcPr>
                  <w:tcW w:w="432" w:type="pct"/>
                  <w:vMerge w:val="continue"/>
                  <w:noWrap w:val="0"/>
                  <w:vAlign w:val="center"/>
                </w:tcPr>
                <w:p w14:paraId="063CD3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2EE3CF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包装袋</w:t>
                  </w:r>
                </w:p>
              </w:tc>
              <w:tc>
                <w:tcPr>
                  <w:tcW w:w="1033" w:type="pct"/>
                  <w:noWrap w:val="0"/>
                  <w:vAlign w:val="center"/>
                </w:tcPr>
                <w:p w14:paraId="6B5BC4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40</w:t>
                  </w:r>
                </w:p>
              </w:tc>
              <w:tc>
                <w:tcPr>
                  <w:tcW w:w="1026" w:type="pct"/>
                  <w:noWrap w:val="0"/>
                  <w:vAlign w:val="center"/>
                </w:tcPr>
                <w:p w14:paraId="271F84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w:t>
                  </w:r>
                </w:p>
              </w:tc>
              <w:tc>
                <w:tcPr>
                  <w:tcW w:w="1206" w:type="pct"/>
                  <w:vMerge w:val="continue"/>
                  <w:noWrap w:val="0"/>
                  <w:vAlign w:val="center"/>
                </w:tcPr>
                <w:p w14:paraId="3F452A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3D527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80" w:type="pct"/>
                  <w:gridSpan w:val="2"/>
                  <w:vMerge w:val="restart"/>
                  <w:noWrap w:val="0"/>
                  <w:vAlign w:val="center"/>
                </w:tcPr>
                <w:p w14:paraId="4F2AB8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研发实验室</w:t>
                  </w:r>
                </w:p>
              </w:tc>
              <w:tc>
                <w:tcPr>
                  <w:tcW w:w="952" w:type="pct"/>
                  <w:noWrap w:val="0"/>
                  <w:vAlign w:val="center"/>
                </w:tcPr>
                <w:p w14:paraId="48BAFC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植物油</w:t>
                  </w:r>
                </w:p>
              </w:tc>
              <w:tc>
                <w:tcPr>
                  <w:tcW w:w="1033" w:type="pct"/>
                  <w:noWrap w:val="0"/>
                  <w:vAlign w:val="center"/>
                </w:tcPr>
                <w:p w14:paraId="77AD0D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w:t>
                  </w:r>
                </w:p>
              </w:tc>
              <w:tc>
                <w:tcPr>
                  <w:tcW w:w="1026" w:type="pct"/>
                  <w:noWrap w:val="0"/>
                  <w:vAlign w:val="center"/>
                </w:tcPr>
                <w:p w14:paraId="3BAC7A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0.5</w:t>
                  </w:r>
                </w:p>
              </w:tc>
              <w:tc>
                <w:tcPr>
                  <w:tcW w:w="1206" w:type="pct"/>
                  <w:noWrap w:val="0"/>
                  <w:vAlign w:val="center"/>
                </w:tcPr>
                <w:p w14:paraId="48C4E0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新增研发实验室</w:t>
                  </w:r>
                </w:p>
              </w:tc>
            </w:tr>
            <w:tr w14:paraId="6C292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80" w:type="pct"/>
                  <w:gridSpan w:val="2"/>
                  <w:vMerge w:val="continue"/>
                  <w:tcBorders/>
                  <w:noWrap w:val="0"/>
                  <w:vAlign w:val="center"/>
                </w:tcPr>
                <w:p w14:paraId="19D37A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4219" w:type="pct"/>
                  <w:gridSpan w:val="4"/>
                  <w:noWrap w:val="0"/>
                  <w:vAlign w:val="center"/>
                </w:tcPr>
                <w:p w14:paraId="0B4A89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研发室使用的极少葱、姜、蒜等小料来自于生产线的余料，不单独计入原料中。</w:t>
                  </w:r>
                </w:p>
              </w:tc>
            </w:tr>
            <w:tr w14:paraId="41B39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80" w:type="pct"/>
                  <w:gridSpan w:val="2"/>
                  <w:vMerge w:val="restart"/>
                  <w:noWrap w:val="0"/>
                  <w:vAlign w:val="center"/>
                </w:tcPr>
                <w:p w14:paraId="58F6B6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辅料</w:t>
                  </w:r>
                </w:p>
              </w:tc>
              <w:tc>
                <w:tcPr>
                  <w:tcW w:w="952" w:type="pct"/>
                  <w:noWrap w:val="0"/>
                  <w:vAlign w:val="center"/>
                </w:tcPr>
                <w:p w14:paraId="0EB4F2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聚丙烯酰胺（污水处理添加剂）</w:t>
                  </w:r>
                </w:p>
              </w:tc>
              <w:tc>
                <w:tcPr>
                  <w:tcW w:w="1033" w:type="pct"/>
                  <w:noWrap w:val="0"/>
                  <w:vAlign w:val="center"/>
                </w:tcPr>
                <w:p w14:paraId="22D010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w:t>
                  </w:r>
                </w:p>
              </w:tc>
              <w:tc>
                <w:tcPr>
                  <w:tcW w:w="1026" w:type="pct"/>
                  <w:noWrap w:val="0"/>
                  <w:vAlign w:val="center"/>
                </w:tcPr>
                <w:p w14:paraId="273E2B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7.5</w:t>
                  </w:r>
                </w:p>
              </w:tc>
              <w:tc>
                <w:tcPr>
                  <w:tcW w:w="1206" w:type="pct"/>
                  <w:vMerge w:val="restart"/>
                  <w:noWrap w:val="0"/>
                  <w:vAlign w:val="center"/>
                </w:tcPr>
                <w:p w14:paraId="572E7B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原环评未考虑污水添加剂的用量</w:t>
                  </w:r>
                </w:p>
              </w:tc>
            </w:tr>
            <w:tr w14:paraId="3132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80" w:type="pct"/>
                  <w:gridSpan w:val="2"/>
                  <w:vMerge w:val="continue"/>
                  <w:noWrap w:val="0"/>
                  <w:vAlign w:val="center"/>
                </w:tcPr>
                <w:p w14:paraId="1A728F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2F922C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聚合氯化铝（污水处理添加剂）</w:t>
                  </w:r>
                </w:p>
              </w:tc>
              <w:tc>
                <w:tcPr>
                  <w:tcW w:w="1033" w:type="pct"/>
                  <w:noWrap w:val="0"/>
                  <w:vAlign w:val="center"/>
                </w:tcPr>
                <w:p w14:paraId="7C32B9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w:t>
                  </w:r>
                </w:p>
              </w:tc>
              <w:tc>
                <w:tcPr>
                  <w:tcW w:w="1026" w:type="pct"/>
                  <w:noWrap w:val="0"/>
                  <w:vAlign w:val="center"/>
                </w:tcPr>
                <w:p w14:paraId="1B9857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7.5</w:t>
                  </w:r>
                </w:p>
              </w:tc>
              <w:tc>
                <w:tcPr>
                  <w:tcW w:w="1206" w:type="pct"/>
                  <w:vMerge w:val="continue"/>
                  <w:noWrap w:val="0"/>
                  <w:vAlign w:val="center"/>
                </w:tcPr>
                <w:p w14:paraId="6CCCBF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r>
            <w:tr w14:paraId="68FEF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80" w:type="pct"/>
                  <w:gridSpan w:val="2"/>
                  <w:vMerge w:val="continue"/>
                  <w:noWrap w:val="0"/>
                  <w:vAlign w:val="center"/>
                </w:tcPr>
                <w:p w14:paraId="6392CA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p>
              </w:tc>
              <w:tc>
                <w:tcPr>
                  <w:tcW w:w="952" w:type="pct"/>
                  <w:noWrap w:val="0"/>
                  <w:vAlign w:val="center"/>
                </w:tcPr>
                <w:p w14:paraId="338789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油墨（喷码）</w:t>
                  </w:r>
                </w:p>
              </w:tc>
              <w:tc>
                <w:tcPr>
                  <w:tcW w:w="1033" w:type="pct"/>
                  <w:noWrap w:val="0"/>
                  <w:vAlign w:val="center"/>
                </w:tcPr>
                <w:p w14:paraId="3F8CD3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w:t>
                  </w:r>
                </w:p>
              </w:tc>
              <w:tc>
                <w:tcPr>
                  <w:tcW w:w="1026" w:type="pct"/>
                  <w:noWrap w:val="0"/>
                  <w:vAlign w:val="center"/>
                </w:tcPr>
                <w:p w14:paraId="70282A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color w:val="auto"/>
                      <w:sz w:val="21"/>
                      <w:szCs w:val="21"/>
                      <w:lang w:val="en-US" w:eastAsia="zh-CN"/>
                    </w:rPr>
                  </w:pPr>
                  <w:r>
                    <w:rPr>
                      <w:rFonts w:hint="eastAsia"/>
                      <w:color w:val="auto"/>
                      <w:sz w:val="21"/>
                      <w:szCs w:val="21"/>
                      <w:lang w:val="en-US" w:eastAsia="zh-CN"/>
                    </w:rPr>
                    <w:t>0.0008</w:t>
                  </w:r>
                </w:p>
              </w:tc>
              <w:tc>
                <w:tcPr>
                  <w:tcW w:w="1206" w:type="pct"/>
                  <w:noWrap w:val="0"/>
                  <w:vAlign w:val="center"/>
                </w:tcPr>
                <w:p w14:paraId="562701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color w:val="auto"/>
                      <w:sz w:val="21"/>
                      <w:szCs w:val="21"/>
                      <w:lang w:val="en-US" w:eastAsia="zh-CN"/>
                    </w:rPr>
                  </w:pPr>
                  <w:r>
                    <w:rPr>
                      <w:rFonts w:hint="eastAsia"/>
                      <w:color w:val="auto"/>
                      <w:sz w:val="21"/>
                      <w:szCs w:val="21"/>
                      <w:lang w:val="en-US" w:eastAsia="zh-CN"/>
                    </w:rPr>
                    <w:t>原环评未考虑喷码油墨的用量</w:t>
                  </w:r>
                </w:p>
              </w:tc>
            </w:tr>
            <w:tr w14:paraId="30062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733" w:type="pct"/>
                  <w:gridSpan w:val="3"/>
                  <w:noWrap w:val="0"/>
                  <w:vAlign w:val="center"/>
                </w:tcPr>
                <w:p w14:paraId="50D261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eastAsia="zh-CN"/>
                    </w:rPr>
                  </w:pPr>
                  <w:r>
                    <w:rPr>
                      <w:rFonts w:hint="eastAsia"/>
                      <w:color w:val="auto"/>
                      <w:sz w:val="21"/>
                      <w:szCs w:val="21"/>
                      <w:lang w:eastAsia="zh-CN"/>
                    </w:rPr>
                    <w:t>电</w:t>
                  </w:r>
                </w:p>
              </w:tc>
              <w:tc>
                <w:tcPr>
                  <w:tcW w:w="1033" w:type="pct"/>
                  <w:noWrap w:val="0"/>
                  <w:vAlign w:val="center"/>
                </w:tcPr>
                <w:p w14:paraId="48DCA2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1.8</w:t>
                  </w:r>
                  <w:r>
                    <w:rPr>
                      <w:rFonts w:hint="default"/>
                      <w:color w:val="auto"/>
                      <w:sz w:val="21"/>
                      <w:szCs w:val="21"/>
                      <w:lang w:val="en-US" w:eastAsia="zh-CN"/>
                    </w:rPr>
                    <w:t>×</w:t>
                  </w:r>
                  <w:r>
                    <w:rPr>
                      <w:rFonts w:hint="eastAsia"/>
                      <w:color w:val="auto"/>
                      <w:sz w:val="21"/>
                      <w:szCs w:val="21"/>
                      <w:lang w:val="en-US" w:eastAsia="zh-CN"/>
                    </w:rPr>
                    <w:t>10</w:t>
                  </w:r>
                  <w:r>
                    <w:rPr>
                      <w:rFonts w:hint="eastAsia"/>
                      <w:color w:val="auto"/>
                      <w:sz w:val="21"/>
                      <w:szCs w:val="21"/>
                      <w:vertAlign w:val="superscript"/>
                      <w:lang w:val="en-US" w:eastAsia="zh-CN"/>
                    </w:rPr>
                    <w:t>5</w:t>
                  </w:r>
                  <w:r>
                    <w:rPr>
                      <w:rFonts w:hint="eastAsia"/>
                      <w:color w:val="auto"/>
                      <w:sz w:val="21"/>
                      <w:szCs w:val="21"/>
                      <w:lang w:val="en-US" w:eastAsia="zh-CN"/>
                    </w:rPr>
                    <w:t>KW/h</w:t>
                  </w:r>
                </w:p>
              </w:tc>
              <w:tc>
                <w:tcPr>
                  <w:tcW w:w="1026" w:type="pct"/>
                  <w:noWrap w:val="0"/>
                  <w:vAlign w:val="center"/>
                </w:tcPr>
                <w:p w14:paraId="04F2A0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1.8</w:t>
                  </w:r>
                  <w:r>
                    <w:rPr>
                      <w:rFonts w:hint="default"/>
                      <w:color w:val="auto"/>
                      <w:sz w:val="21"/>
                      <w:szCs w:val="21"/>
                      <w:lang w:val="en-US" w:eastAsia="zh-CN"/>
                    </w:rPr>
                    <w:t>×</w:t>
                  </w:r>
                  <w:r>
                    <w:rPr>
                      <w:rFonts w:hint="eastAsia"/>
                      <w:color w:val="auto"/>
                      <w:sz w:val="21"/>
                      <w:szCs w:val="21"/>
                      <w:lang w:val="en-US" w:eastAsia="zh-CN"/>
                    </w:rPr>
                    <w:t>10</w:t>
                  </w:r>
                  <w:r>
                    <w:rPr>
                      <w:rFonts w:hint="eastAsia"/>
                      <w:color w:val="auto"/>
                      <w:sz w:val="21"/>
                      <w:szCs w:val="21"/>
                      <w:vertAlign w:val="superscript"/>
                      <w:lang w:val="en-US" w:eastAsia="zh-CN"/>
                    </w:rPr>
                    <w:t>5</w:t>
                  </w:r>
                  <w:r>
                    <w:rPr>
                      <w:rFonts w:hint="eastAsia"/>
                      <w:color w:val="auto"/>
                      <w:sz w:val="21"/>
                      <w:szCs w:val="21"/>
                      <w:lang w:val="en-US" w:eastAsia="zh-CN"/>
                    </w:rPr>
                    <w:t>KW/h</w:t>
                  </w:r>
                </w:p>
              </w:tc>
              <w:tc>
                <w:tcPr>
                  <w:tcW w:w="1206" w:type="pct"/>
                  <w:noWrap w:val="0"/>
                  <w:vAlign w:val="center"/>
                </w:tcPr>
                <w:p w14:paraId="2DE031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一致</w:t>
                  </w:r>
                </w:p>
              </w:tc>
            </w:tr>
            <w:tr w14:paraId="05FC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733" w:type="pct"/>
                  <w:gridSpan w:val="3"/>
                  <w:noWrap w:val="0"/>
                  <w:vAlign w:val="center"/>
                </w:tcPr>
                <w:p w14:paraId="5426C6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eastAsia="zh-CN"/>
                    </w:rPr>
                  </w:pPr>
                  <w:r>
                    <w:rPr>
                      <w:rFonts w:hint="eastAsia"/>
                      <w:color w:val="auto"/>
                      <w:sz w:val="21"/>
                      <w:szCs w:val="21"/>
                      <w:lang w:eastAsia="zh-CN"/>
                    </w:rPr>
                    <w:t>天然气</w:t>
                  </w:r>
                </w:p>
              </w:tc>
              <w:tc>
                <w:tcPr>
                  <w:tcW w:w="1033" w:type="pct"/>
                  <w:noWrap w:val="0"/>
                  <w:vAlign w:val="center"/>
                </w:tcPr>
                <w:p w14:paraId="4D3976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79.6万m</w:t>
                  </w:r>
                  <w:r>
                    <w:rPr>
                      <w:rFonts w:hint="eastAsia"/>
                      <w:color w:val="auto"/>
                      <w:sz w:val="21"/>
                      <w:szCs w:val="21"/>
                      <w:vertAlign w:val="superscript"/>
                      <w:lang w:val="en-US" w:eastAsia="zh-CN"/>
                    </w:rPr>
                    <w:t>3</w:t>
                  </w:r>
                  <w:r>
                    <w:rPr>
                      <w:rFonts w:hint="eastAsia"/>
                      <w:color w:val="auto"/>
                      <w:sz w:val="21"/>
                      <w:szCs w:val="21"/>
                      <w:lang w:val="en-US" w:eastAsia="zh-CN"/>
                    </w:rPr>
                    <w:t>/a</w:t>
                  </w:r>
                </w:p>
              </w:tc>
              <w:tc>
                <w:tcPr>
                  <w:tcW w:w="1026" w:type="pct"/>
                  <w:noWrap w:val="0"/>
                  <w:vAlign w:val="center"/>
                </w:tcPr>
                <w:p w14:paraId="6F22B9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30万m</w:t>
                  </w:r>
                  <w:r>
                    <w:rPr>
                      <w:rFonts w:hint="eastAsia"/>
                      <w:color w:val="auto"/>
                      <w:sz w:val="21"/>
                      <w:szCs w:val="21"/>
                      <w:vertAlign w:val="superscript"/>
                      <w:lang w:val="en-US" w:eastAsia="zh-CN"/>
                    </w:rPr>
                    <w:t>3</w:t>
                  </w:r>
                  <w:r>
                    <w:rPr>
                      <w:rFonts w:hint="eastAsia"/>
                      <w:color w:val="auto"/>
                      <w:sz w:val="21"/>
                      <w:szCs w:val="21"/>
                      <w:lang w:val="en-US" w:eastAsia="zh-CN"/>
                    </w:rPr>
                    <w:t>/a</w:t>
                  </w:r>
                </w:p>
              </w:tc>
              <w:tc>
                <w:tcPr>
                  <w:tcW w:w="1206" w:type="pct"/>
                  <w:noWrap w:val="0"/>
                  <w:vAlign w:val="center"/>
                </w:tcPr>
                <w:p w14:paraId="0C7887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鸡精生产线未上，天然气用量减少</w:t>
                  </w:r>
                </w:p>
              </w:tc>
            </w:tr>
            <w:tr w14:paraId="3AAF2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733" w:type="pct"/>
                  <w:gridSpan w:val="3"/>
                  <w:noWrap w:val="0"/>
                  <w:vAlign w:val="center"/>
                </w:tcPr>
                <w:p w14:paraId="7D191A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eastAsia="zh-CN"/>
                    </w:rPr>
                  </w:pPr>
                  <w:r>
                    <w:rPr>
                      <w:rFonts w:hint="eastAsia"/>
                      <w:color w:val="auto"/>
                      <w:sz w:val="21"/>
                      <w:szCs w:val="21"/>
                      <w:lang w:eastAsia="zh-CN"/>
                    </w:rPr>
                    <w:t>自来水</w:t>
                  </w:r>
                </w:p>
              </w:tc>
              <w:tc>
                <w:tcPr>
                  <w:tcW w:w="1033" w:type="pct"/>
                  <w:noWrap w:val="0"/>
                  <w:vAlign w:val="center"/>
                </w:tcPr>
                <w:p w14:paraId="2AF1AF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4868.75m</w:t>
                  </w:r>
                  <w:r>
                    <w:rPr>
                      <w:rFonts w:hint="eastAsia"/>
                      <w:color w:val="auto"/>
                      <w:sz w:val="21"/>
                      <w:szCs w:val="21"/>
                      <w:vertAlign w:val="superscript"/>
                      <w:lang w:val="en-US" w:eastAsia="zh-CN"/>
                    </w:rPr>
                    <w:t>3</w:t>
                  </w:r>
                  <w:r>
                    <w:rPr>
                      <w:rFonts w:hint="eastAsia"/>
                      <w:color w:val="auto"/>
                      <w:sz w:val="21"/>
                      <w:szCs w:val="21"/>
                      <w:lang w:val="en-US" w:eastAsia="zh-CN"/>
                    </w:rPr>
                    <w:t>/a</w:t>
                  </w:r>
                </w:p>
              </w:tc>
              <w:tc>
                <w:tcPr>
                  <w:tcW w:w="1026" w:type="pct"/>
                  <w:noWrap w:val="0"/>
                  <w:vAlign w:val="center"/>
                </w:tcPr>
                <w:p w14:paraId="070DF0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color w:val="auto"/>
                      <w:sz w:val="21"/>
                      <w:szCs w:val="21"/>
                      <w:lang w:val="en-US" w:eastAsia="zh-CN"/>
                    </w:rPr>
                  </w:pPr>
                  <w:r>
                    <w:rPr>
                      <w:rFonts w:hint="eastAsia"/>
                      <w:color w:val="auto"/>
                      <w:sz w:val="21"/>
                      <w:szCs w:val="21"/>
                      <w:lang w:val="en-US" w:eastAsia="zh-CN"/>
                    </w:rPr>
                    <w:t>4868.75m</w:t>
                  </w:r>
                  <w:r>
                    <w:rPr>
                      <w:rFonts w:hint="eastAsia"/>
                      <w:color w:val="auto"/>
                      <w:sz w:val="21"/>
                      <w:szCs w:val="21"/>
                      <w:vertAlign w:val="superscript"/>
                      <w:lang w:val="en-US" w:eastAsia="zh-CN"/>
                    </w:rPr>
                    <w:t>3</w:t>
                  </w:r>
                  <w:r>
                    <w:rPr>
                      <w:rFonts w:hint="eastAsia"/>
                      <w:color w:val="auto"/>
                      <w:sz w:val="21"/>
                      <w:szCs w:val="21"/>
                      <w:lang w:val="en-US" w:eastAsia="zh-CN"/>
                    </w:rPr>
                    <w:t>/a</w:t>
                  </w:r>
                </w:p>
              </w:tc>
              <w:tc>
                <w:tcPr>
                  <w:tcW w:w="1206" w:type="pct"/>
                  <w:noWrap w:val="0"/>
                  <w:vAlign w:val="center"/>
                </w:tcPr>
                <w:p w14:paraId="76639E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eastAsia="宋体"/>
                      <w:color w:val="auto"/>
                      <w:sz w:val="21"/>
                      <w:szCs w:val="21"/>
                      <w:lang w:val="en-US" w:eastAsia="zh-CN"/>
                    </w:rPr>
                  </w:pPr>
                  <w:r>
                    <w:rPr>
                      <w:rFonts w:hint="eastAsia"/>
                      <w:color w:val="auto"/>
                      <w:sz w:val="21"/>
                      <w:szCs w:val="21"/>
                      <w:lang w:val="en-US" w:eastAsia="zh-CN"/>
                    </w:rPr>
                    <w:t>一致</w:t>
                  </w:r>
                </w:p>
              </w:tc>
            </w:tr>
          </w:tbl>
          <w:p w14:paraId="5FA470A1">
            <w:pPr>
              <w:keepNext w:val="0"/>
              <w:keepLines w:val="0"/>
              <w:widowControl/>
              <w:suppressLineNumbers w:val="0"/>
              <w:spacing w:before="0" w:beforeAutospacing="0" w:after="0" w:afterAutospacing="0"/>
              <w:ind w:left="0" w:right="0" w:firstLine="562"/>
              <w:rPr>
                <w:rFonts w:hint="default" w:ascii="宋体"/>
                <w:b/>
                <w:color w:val="auto"/>
                <w:sz w:val="28"/>
                <w:szCs w:val="28"/>
              </w:rPr>
            </w:pPr>
          </w:p>
        </w:tc>
      </w:tr>
      <w:tr w14:paraId="1A754A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826" w:type="dxa"/>
          </w:tcPr>
          <w:p w14:paraId="21538BF2">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三、主要设备清单</w:t>
            </w:r>
          </w:p>
          <w:p w14:paraId="42B7D6A9">
            <w:pPr>
              <w:keepNext w:val="0"/>
              <w:keepLines w:val="0"/>
              <w:widowControl/>
              <w:suppressLineNumbers w:val="0"/>
              <w:spacing w:before="0" w:beforeAutospacing="0" w:after="0" w:afterAutospacing="0" w:line="480" w:lineRule="exact"/>
              <w:ind w:left="0" w:right="106" w:rightChars="44" w:firstLine="480"/>
              <w:rPr>
                <w:rFonts w:hint="default" w:eastAsia="黑体"/>
                <w:snapToGrid w:val="0"/>
                <w:color w:val="auto"/>
                <w:szCs w:val="24"/>
              </w:rPr>
            </w:pPr>
            <w:r>
              <w:rPr>
                <w:rFonts w:hint="eastAsia"/>
                <w:color w:val="auto"/>
              </w:rPr>
              <w:t>项目生产过程中使用以下设备，具体见下表</w:t>
            </w:r>
            <w:r>
              <w:rPr>
                <w:rFonts w:hint="default"/>
                <w:color w:val="auto"/>
              </w:rPr>
              <w:t>2-</w:t>
            </w:r>
            <w:r>
              <w:rPr>
                <w:rFonts w:hint="eastAsia"/>
                <w:color w:val="auto"/>
                <w:lang w:val="en-US" w:eastAsia="zh-CN"/>
              </w:rPr>
              <w:t>5</w:t>
            </w:r>
            <w:r>
              <w:rPr>
                <w:rFonts w:hint="eastAsia"/>
                <w:color w:val="auto"/>
              </w:rPr>
              <w:t>。</w:t>
            </w:r>
          </w:p>
          <w:p w14:paraId="7064137E">
            <w:pPr>
              <w:pStyle w:val="61"/>
              <w:keepNext w:val="0"/>
              <w:keepLines w:val="0"/>
              <w:suppressLineNumbers w:val="0"/>
              <w:spacing w:before="0" w:beforeAutospacing="0" w:after="0" w:afterAutospacing="0" w:line="240" w:lineRule="auto"/>
              <w:ind w:left="0" w:right="0"/>
              <w:rPr>
                <w:rFonts w:hint="eastAsia"/>
                <w:snapToGrid w:val="0"/>
                <w:color w:val="auto"/>
              </w:rPr>
            </w:pPr>
            <w:r>
              <w:rPr>
                <w:rFonts w:hint="eastAsia"/>
                <w:snapToGrid w:val="0"/>
                <w:color w:val="auto"/>
              </w:rPr>
              <w:t>表</w:t>
            </w:r>
            <w:r>
              <w:rPr>
                <w:rFonts w:hint="default"/>
                <w:snapToGrid w:val="0"/>
                <w:color w:val="auto"/>
              </w:rPr>
              <w:t>2-</w:t>
            </w:r>
            <w:r>
              <w:rPr>
                <w:rFonts w:hint="eastAsia"/>
                <w:snapToGrid w:val="0"/>
                <w:color w:val="auto"/>
                <w:lang w:val="en-US" w:eastAsia="zh-CN"/>
              </w:rPr>
              <w:t>5</w:t>
            </w:r>
            <w:r>
              <w:rPr>
                <w:rFonts w:hint="default"/>
                <w:snapToGrid w:val="0"/>
                <w:color w:val="auto"/>
              </w:rPr>
              <w:t xml:space="preserve"> </w:t>
            </w:r>
            <w:r>
              <w:rPr>
                <w:rFonts w:hint="eastAsia"/>
                <w:snapToGrid w:val="0"/>
                <w:color w:val="auto"/>
              </w:rPr>
              <w:t>项目主要设备一览表</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
              <w:gridCol w:w="1854"/>
              <w:gridCol w:w="1909"/>
              <w:gridCol w:w="1044"/>
              <w:gridCol w:w="1044"/>
              <w:gridCol w:w="1235"/>
              <w:gridCol w:w="1236"/>
            </w:tblGrid>
            <w:tr w14:paraId="724A4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94" w:type="pct"/>
                  <w:noWrap w:val="0"/>
                  <w:vAlign w:val="center"/>
                </w:tcPr>
                <w:p w14:paraId="2DF175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序号</w:t>
                  </w:r>
                </w:p>
              </w:tc>
              <w:tc>
                <w:tcPr>
                  <w:tcW w:w="1048" w:type="pct"/>
                  <w:noWrap w:val="0"/>
                  <w:vAlign w:val="center"/>
                </w:tcPr>
                <w:p w14:paraId="5D069E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设备名称</w:t>
                  </w:r>
                </w:p>
              </w:tc>
              <w:tc>
                <w:tcPr>
                  <w:tcW w:w="1079" w:type="pct"/>
                  <w:noWrap w:val="0"/>
                  <w:vAlign w:val="center"/>
                </w:tcPr>
                <w:p w14:paraId="32411E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设备型号</w:t>
                  </w:r>
                </w:p>
              </w:tc>
              <w:tc>
                <w:tcPr>
                  <w:tcW w:w="590" w:type="pct"/>
                  <w:noWrap w:val="0"/>
                  <w:vAlign w:val="center"/>
                </w:tcPr>
                <w:p w14:paraId="408117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cs="Times New Roman"/>
                      <w:color w:val="auto"/>
                      <w:kern w:val="2"/>
                      <w:sz w:val="21"/>
                      <w:szCs w:val="24"/>
                      <w:lang w:val="en-US" w:eastAsia="zh-CN"/>
                    </w:rPr>
                    <w:t>环评数量</w:t>
                  </w:r>
                </w:p>
              </w:tc>
              <w:tc>
                <w:tcPr>
                  <w:tcW w:w="590" w:type="pct"/>
                  <w:noWrap w:val="0"/>
                  <w:vAlign w:val="center"/>
                </w:tcPr>
                <w:p w14:paraId="78A9A6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eastAsia="zh-CN"/>
                    </w:rPr>
                  </w:pPr>
                  <w:r>
                    <w:rPr>
                      <w:rFonts w:hint="eastAsia" w:ascii="Times New Roman" w:hAnsi="Times New Roman" w:cs="Times New Roman"/>
                      <w:color w:val="auto"/>
                      <w:kern w:val="2"/>
                      <w:sz w:val="21"/>
                      <w:szCs w:val="24"/>
                      <w:lang w:eastAsia="zh-CN"/>
                    </w:rPr>
                    <w:t>实际</w:t>
                  </w:r>
                  <w:r>
                    <w:rPr>
                      <w:rFonts w:hint="eastAsia" w:ascii="Times New Roman" w:hAnsi="Times New Roman" w:eastAsia="宋体" w:cs="Times New Roman"/>
                      <w:color w:val="auto"/>
                      <w:kern w:val="2"/>
                      <w:sz w:val="21"/>
                      <w:szCs w:val="24"/>
                      <w:lang w:eastAsia="zh-CN"/>
                    </w:rPr>
                    <w:t>数量</w:t>
                  </w:r>
                </w:p>
              </w:tc>
              <w:tc>
                <w:tcPr>
                  <w:tcW w:w="698" w:type="pct"/>
                  <w:noWrap w:val="0"/>
                  <w:vAlign w:val="center"/>
                </w:tcPr>
                <w:p w14:paraId="5E1B15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cs="Times New Roman"/>
                      <w:color w:val="auto"/>
                      <w:kern w:val="2"/>
                      <w:sz w:val="21"/>
                      <w:szCs w:val="24"/>
                      <w:lang w:eastAsia="zh-CN"/>
                    </w:rPr>
                  </w:pPr>
                  <w:r>
                    <w:rPr>
                      <w:rFonts w:hint="eastAsia" w:cs="Times New Roman"/>
                      <w:color w:val="auto"/>
                      <w:kern w:val="2"/>
                      <w:sz w:val="21"/>
                      <w:szCs w:val="24"/>
                      <w:lang w:eastAsia="zh-CN"/>
                    </w:rPr>
                    <w:t>变化量</w:t>
                  </w:r>
                </w:p>
              </w:tc>
              <w:tc>
                <w:tcPr>
                  <w:tcW w:w="698" w:type="pct"/>
                  <w:noWrap w:val="0"/>
                  <w:vAlign w:val="center"/>
                </w:tcPr>
                <w:p w14:paraId="035342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设备位置</w:t>
                  </w:r>
                </w:p>
              </w:tc>
            </w:tr>
            <w:tr w14:paraId="6965A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7AB50C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1048" w:type="pct"/>
                  <w:noWrap w:val="0"/>
                  <w:vAlign w:val="center"/>
                </w:tcPr>
                <w:p w14:paraId="4565036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cs="Times New Roman"/>
                      <w:color w:val="auto"/>
                      <w:kern w:val="2"/>
                      <w:sz w:val="21"/>
                      <w:szCs w:val="24"/>
                      <w:lang w:eastAsia="zh-CN"/>
                    </w:rPr>
                    <w:t>锤片式粉碎机</w:t>
                  </w:r>
                </w:p>
              </w:tc>
              <w:tc>
                <w:tcPr>
                  <w:tcW w:w="1079" w:type="pct"/>
                  <w:noWrap w:val="0"/>
                  <w:vAlign w:val="center"/>
                </w:tcPr>
                <w:p w14:paraId="1F944E0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9FQ-40</w:t>
                  </w:r>
                </w:p>
              </w:tc>
              <w:tc>
                <w:tcPr>
                  <w:tcW w:w="590" w:type="pct"/>
                  <w:noWrap w:val="0"/>
                  <w:vAlign w:val="center"/>
                </w:tcPr>
                <w:p w14:paraId="5DD8105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1台</w:t>
                  </w:r>
                </w:p>
              </w:tc>
              <w:tc>
                <w:tcPr>
                  <w:tcW w:w="590" w:type="pct"/>
                  <w:noWrap w:val="0"/>
                  <w:vAlign w:val="center"/>
                </w:tcPr>
                <w:p w14:paraId="1DA060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4320D4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restart"/>
                  <w:noWrap w:val="0"/>
                  <w:vAlign w:val="center"/>
                </w:tcPr>
                <w:p w14:paraId="44C6D1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2#生产车间</w:t>
                  </w:r>
                </w:p>
              </w:tc>
            </w:tr>
            <w:tr w14:paraId="1D34A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427E5C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p>
              </w:tc>
              <w:tc>
                <w:tcPr>
                  <w:tcW w:w="1048" w:type="pct"/>
                  <w:noWrap w:val="0"/>
                  <w:vAlign w:val="center"/>
                </w:tcPr>
                <w:p w14:paraId="733684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cs="Times New Roman"/>
                      <w:color w:val="auto"/>
                      <w:kern w:val="2"/>
                      <w:sz w:val="21"/>
                      <w:szCs w:val="24"/>
                      <w:lang w:eastAsia="zh-CN"/>
                    </w:rPr>
                    <w:t>多用粉碎机</w:t>
                  </w:r>
                </w:p>
              </w:tc>
              <w:tc>
                <w:tcPr>
                  <w:tcW w:w="1079" w:type="pct"/>
                  <w:noWrap w:val="0"/>
                  <w:vAlign w:val="center"/>
                </w:tcPr>
                <w:p w14:paraId="6DE88F4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9FZ-25</w:t>
                  </w:r>
                </w:p>
              </w:tc>
              <w:tc>
                <w:tcPr>
                  <w:tcW w:w="590" w:type="pct"/>
                  <w:noWrap w:val="0"/>
                  <w:vAlign w:val="center"/>
                </w:tcPr>
                <w:p w14:paraId="5B570D5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1台</w:t>
                  </w:r>
                </w:p>
              </w:tc>
              <w:tc>
                <w:tcPr>
                  <w:tcW w:w="590" w:type="pct"/>
                  <w:noWrap w:val="0"/>
                  <w:vAlign w:val="center"/>
                </w:tcPr>
                <w:p w14:paraId="3E963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29375F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2D2926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5FB26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18CC31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w:t>
                  </w:r>
                </w:p>
              </w:tc>
              <w:tc>
                <w:tcPr>
                  <w:tcW w:w="1048" w:type="pct"/>
                  <w:noWrap w:val="0"/>
                  <w:vAlign w:val="center"/>
                </w:tcPr>
                <w:p w14:paraId="4E01EA8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cs="Times New Roman"/>
                      <w:color w:val="auto"/>
                      <w:kern w:val="2"/>
                      <w:sz w:val="21"/>
                      <w:szCs w:val="24"/>
                      <w:lang w:eastAsia="zh-CN"/>
                    </w:rPr>
                    <w:t>连续煮椒机</w:t>
                  </w:r>
                </w:p>
              </w:tc>
              <w:tc>
                <w:tcPr>
                  <w:tcW w:w="1079" w:type="pct"/>
                  <w:noWrap w:val="0"/>
                  <w:vAlign w:val="center"/>
                </w:tcPr>
                <w:p w14:paraId="70933E2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HK1701-024</w:t>
                  </w:r>
                </w:p>
              </w:tc>
              <w:tc>
                <w:tcPr>
                  <w:tcW w:w="590" w:type="pct"/>
                  <w:noWrap w:val="0"/>
                  <w:vAlign w:val="center"/>
                </w:tcPr>
                <w:p w14:paraId="48ABAF3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2台</w:t>
                  </w:r>
                </w:p>
              </w:tc>
              <w:tc>
                <w:tcPr>
                  <w:tcW w:w="590" w:type="pct"/>
                  <w:noWrap w:val="0"/>
                  <w:vAlign w:val="center"/>
                </w:tcPr>
                <w:p w14:paraId="62C3DF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1台</w:t>
                  </w:r>
                </w:p>
              </w:tc>
              <w:tc>
                <w:tcPr>
                  <w:tcW w:w="698" w:type="pct"/>
                  <w:noWrap w:val="0"/>
                  <w:vAlign w:val="center"/>
                </w:tcPr>
                <w:p w14:paraId="670865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622678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7989B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0D4161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w:t>
                  </w:r>
                </w:p>
              </w:tc>
              <w:tc>
                <w:tcPr>
                  <w:tcW w:w="1048" w:type="pct"/>
                  <w:noWrap w:val="0"/>
                  <w:vAlign w:val="center"/>
                </w:tcPr>
                <w:p w14:paraId="2DF1984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离心机</w:t>
                  </w:r>
                </w:p>
              </w:tc>
              <w:tc>
                <w:tcPr>
                  <w:tcW w:w="1079" w:type="pct"/>
                  <w:noWrap w:val="0"/>
                  <w:vAlign w:val="center"/>
                </w:tcPr>
                <w:p w14:paraId="1ED7B6A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7.5kw</w:t>
                  </w:r>
                </w:p>
              </w:tc>
              <w:tc>
                <w:tcPr>
                  <w:tcW w:w="590" w:type="pct"/>
                  <w:noWrap w:val="0"/>
                  <w:vAlign w:val="center"/>
                </w:tcPr>
                <w:p w14:paraId="238C3D4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1台</w:t>
                  </w:r>
                </w:p>
              </w:tc>
              <w:tc>
                <w:tcPr>
                  <w:tcW w:w="590" w:type="pct"/>
                  <w:noWrap w:val="0"/>
                  <w:vAlign w:val="center"/>
                </w:tcPr>
                <w:p w14:paraId="568C59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3AED2D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0</w:t>
                  </w:r>
                </w:p>
              </w:tc>
              <w:tc>
                <w:tcPr>
                  <w:tcW w:w="698" w:type="pct"/>
                  <w:vMerge w:val="continue"/>
                  <w:noWrap w:val="0"/>
                  <w:vAlign w:val="center"/>
                </w:tcPr>
                <w:p w14:paraId="087D73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4BBBA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5BD3F4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5</w:t>
                  </w:r>
                </w:p>
              </w:tc>
              <w:tc>
                <w:tcPr>
                  <w:tcW w:w="1048" w:type="pct"/>
                  <w:noWrap w:val="0"/>
                  <w:vAlign w:val="center"/>
                </w:tcPr>
                <w:p w14:paraId="4E48F0D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cs="Times New Roman"/>
                      <w:color w:val="auto"/>
                      <w:kern w:val="2"/>
                      <w:sz w:val="21"/>
                      <w:szCs w:val="24"/>
                      <w:lang w:eastAsia="zh-CN"/>
                    </w:rPr>
                    <w:t>真空搅拌罐</w:t>
                  </w:r>
                </w:p>
              </w:tc>
              <w:tc>
                <w:tcPr>
                  <w:tcW w:w="1079" w:type="pct"/>
                  <w:noWrap w:val="0"/>
                  <w:vAlign w:val="center"/>
                </w:tcPr>
                <w:p w14:paraId="0DD8E0E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ZKG-650L</w:t>
                  </w:r>
                </w:p>
              </w:tc>
              <w:tc>
                <w:tcPr>
                  <w:tcW w:w="590" w:type="pct"/>
                  <w:noWrap w:val="0"/>
                  <w:vAlign w:val="center"/>
                </w:tcPr>
                <w:p w14:paraId="0506EC2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8台</w:t>
                  </w:r>
                </w:p>
              </w:tc>
              <w:tc>
                <w:tcPr>
                  <w:tcW w:w="590" w:type="pct"/>
                  <w:noWrap w:val="0"/>
                  <w:vAlign w:val="center"/>
                </w:tcPr>
                <w:p w14:paraId="5A54C3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623EA7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-8</w:t>
                  </w:r>
                </w:p>
              </w:tc>
              <w:tc>
                <w:tcPr>
                  <w:tcW w:w="698" w:type="pct"/>
                  <w:vMerge w:val="continue"/>
                  <w:noWrap w:val="0"/>
                  <w:vAlign w:val="center"/>
                </w:tcPr>
                <w:p w14:paraId="7A7214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278D0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246F63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6</w:t>
                  </w:r>
                </w:p>
              </w:tc>
              <w:tc>
                <w:tcPr>
                  <w:tcW w:w="1048" w:type="pct"/>
                  <w:noWrap w:val="0"/>
                  <w:vAlign w:val="center"/>
                </w:tcPr>
                <w:p w14:paraId="6D9A20B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s="Times New Roman"/>
                      <w:color w:val="auto"/>
                      <w:kern w:val="2"/>
                      <w:sz w:val="21"/>
                      <w:szCs w:val="24"/>
                      <w:lang w:eastAsia="zh-CN"/>
                    </w:rPr>
                  </w:pPr>
                  <w:r>
                    <w:rPr>
                      <w:rFonts w:hint="eastAsia" w:cs="Times New Roman"/>
                      <w:color w:val="auto"/>
                      <w:kern w:val="2"/>
                      <w:sz w:val="21"/>
                      <w:szCs w:val="24"/>
                      <w:lang w:eastAsia="zh-CN"/>
                    </w:rPr>
                    <w:t>灌酱机</w:t>
                  </w:r>
                </w:p>
              </w:tc>
              <w:tc>
                <w:tcPr>
                  <w:tcW w:w="1079" w:type="pct"/>
                  <w:noWrap w:val="0"/>
                  <w:vAlign w:val="center"/>
                </w:tcPr>
                <w:p w14:paraId="45B07F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XY-50-1</w:t>
                  </w:r>
                </w:p>
              </w:tc>
              <w:tc>
                <w:tcPr>
                  <w:tcW w:w="590" w:type="pct"/>
                  <w:noWrap w:val="0"/>
                  <w:vAlign w:val="center"/>
                </w:tcPr>
                <w:p w14:paraId="42AFB48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2台</w:t>
                  </w:r>
                </w:p>
              </w:tc>
              <w:tc>
                <w:tcPr>
                  <w:tcW w:w="590" w:type="pct"/>
                  <w:noWrap w:val="0"/>
                  <w:vAlign w:val="center"/>
                </w:tcPr>
                <w:p w14:paraId="2FFD62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5EC26D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p>
              </w:tc>
              <w:tc>
                <w:tcPr>
                  <w:tcW w:w="698" w:type="pct"/>
                  <w:vMerge w:val="continue"/>
                  <w:noWrap w:val="0"/>
                  <w:vAlign w:val="center"/>
                </w:tcPr>
                <w:p w14:paraId="1D08BF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4A9B8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060A81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7</w:t>
                  </w:r>
                </w:p>
              </w:tc>
              <w:tc>
                <w:tcPr>
                  <w:tcW w:w="1048" w:type="pct"/>
                  <w:noWrap w:val="0"/>
                  <w:vAlign w:val="center"/>
                </w:tcPr>
                <w:p w14:paraId="5B4F9DA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eastAsia" w:cs="Times New Roman"/>
                      <w:color w:val="auto"/>
                      <w:kern w:val="2"/>
                      <w:sz w:val="21"/>
                      <w:szCs w:val="24"/>
                      <w:lang w:eastAsia="zh-CN"/>
                    </w:rPr>
                  </w:pPr>
                  <w:r>
                    <w:rPr>
                      <w:rFonts w:hint="eastAsia" w:cs="Times New Roman"/>
                      <w:color w:val="auto"/>
                      <w:kern w:val="2"/>
                      <w:sz w:val="21"/>
                      <w:szCs w:val="24"/>
                      <w:lang w:eastAsia="zh-CN"/>
                    </w:rPr>
                    <w:t>灌酱机</w:t>
                  </w:r>
                </w:p>
              </w:tc>
              <w:tc>
                <w:tcPr>
                  <w:tcW w:w="1079" w:type="pct"/>
                  <w:noWrap w:val="0"/>
                  <w:vAlign w:val="center"/>
                </w:tcPr>
                <w:p w14:paraId="014479B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eastAsia" w:cs="Times New Roman"/>
                      <w:color w:val="auto"/>
                      <w:kern w:val="2"/>
                      <w:sz w:val="21"/>
                      <w:szCs w:val="24"/>
                      <w:lang w:val="en-US" w:eastAsia="zh-CN"/>
                    </w:rPr>
                  </w:pPr>
                  <w:r>
                    <w:rPr>
                      <w:rFonts w:hint="eastAsia" w:cs="Times New Roman"/>
                      <w:color w:val="auto"/>
                      <w:kern w:val="2"/>
                      <w:sz w:val="21"/>
                      <w:szCs w:val="24"/>
                      <w:lang w:val="en-US" w:eastAsia="zh-CN"/>
                    </w:rPr>
                    <w:t>XY-60-1</w:t>
                  </w:r>
                </w:p>
              </w:tc>
              <w:tc>
                <w:tcPr>
                  <w:tcW w:w="590" w:type="pct"/>
                  <w:noWrap w:val="0"/>
                  <w:vAlign w:val="center"/>
                </w:tcPr>
                <w:p w14:paraId="6831B01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eastAsia" w:cs="Times New Roman"/>
                      <w:color w:val="auto"/>
                      <w:kern w:val="2"/>
                      <w:sz w:val="21"/>
                      <w:szCs w:val="24"/>
                      <w:lang w:val="en-US" w:eastAsia="zh-CN"/>
                    </w:rPr>
                  </w:pPr>
                  <w:r>
                    <w:rPr>
                      <w:rFonts w:hint="eastAsia" w:cs="Times New Roman"/>
                      <w:color w:val="auto"/>
                      <w:kern w:val="2"/>
                      <w:sz w:val="21"/>
                      <w:szCs w:val="24"/>
                      <w:lang w:val="en-US" w:eastAsia="zh-CN"/>
                    </w:rPr>
                    <w:t>2台</w:t>
                  </w:r>
                </w:p>
              </w:tc>
              <w:tc>
                <w:tcPr>
                  <w:tcW w:w="590" w:type="pct"/>
                  <w:noWrap w:val="0"/>
                  <w:vAlign w:val="center"/>
                </w:tcPr>
                <w:p w14:paraId="69A3F5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3637D2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p>
              </w:tc>
              <w:tc>
                <w:tcPr>
                  <w:tcW w:w="698" w:type="pct"/>
                  <w:vMerge w:val="continue"/>
                  <w:noWrap w:val="0"/>
                  <w:vAlign w:val="center"/>
                </w:tcPr>
                <w:p w14:paraId="32E20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1C74F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500D6A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8</w:t>
                  </w:r>
                </w:p>
              </w:tc>
              <w:tc>
                <w:tcPr>
                  <w:tcW w:w="1048" w:type="pct"/>
                  <w:noWrap w:val="0"/>
                  <w:vAlign w:val="center"/>
                </w:tcPr>
                <w:p w14:paraId="11F74F8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eastAsia" w:cs="Times New Roman"/>
                      <w:color w:val="auto"/>
                      <w:kern w:val="2"/>
                      <w:sz w:val="21"/>
                      <w:szCs w:val="24"/>
                      <w:lang w:eastAsia="zh-CN"/>
                    </w:rPr>
                  </w:pPr>
                  <w:r>
                    <w:rPr>
                      <w:rFonts w:hint="eastAsia" w:cs="Times New Roman"/>
                      <w:color w:val="auto"/>
                      <w:kern w:val="2"/>
                      <w:sz w:val="21"/>
                      <w:szCs w:val="24"/>
                      <w:lang w:eastAsia="zh-CN"/>
                    </w:rPr>
                    <w:t>红油罐</w:t>
                  </w:r>
                </w:p>
              </w:tc>
              <w:tc>
                <w:tcPr>
                  <w:tcW w:w="1079" w:type="pct"/>
                  <w:noWrap w:val="0"/>
                  <w:vAlign w:val="center"/>
                </w:tcPr>
                <w:p w14:paraId="665E3CA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NCYG-2000</w:t>
                  </w:r>
                </w:p>
              </w:tc>
              <w:tc>
                <w:tcPr>
                  <w:tcW w:w="590" w:type="pct"/>
                  <w:noWrap w:val="0"/>
                  <w:vAlign w:val="center"/>
                </w:tcPr>
                <w:p w14:paraId="734C9E7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4台</w:t>
                  </w:r>
                </w:p>
              </w:tc>
              <w:tc>
                <w:tcPr>
                  <w:tcW w:w="590" w:type="pct"/>
                  <w:noWrap w:val="0"/>
                  <w:vAlign w:val="center"/>
                </w:tcPr>
                <w:p w14:paraId="56A09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135724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w:t>
                  </w:r>
                </w:p>
              </w:tc>
              <w:tc>
                <w:tcPr>
                  <w:tcW w:w="698" w:type="pct"/>
                  <w:vMerge w:val="continue"/>
                  <w:noWrap w:val="0"/>
                  <w:vAlign w:val="center"/>
                </w:tcPr>
                <w:p w14:paraId="2F3AD5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5B8D3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0FEA87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9</w:t>
                  </w:r>
                </w:p>
              </w:tc>
              <w:tc>
                <w:tcPr>
                  <w:tcW w:w="1048" w:type="pct"/>
                  <w:noWrap w:val="0"/>
                  <w:vAlign w:val="center"/>
                </w:tcPr>
                <w:p w14:paraId="7FA4694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胶体磨</w:t>
                  </w:r>
                </w:p>
              </w:tc>
              <w:tc>
                <w:tcPr>
                  <w:tcW w:w="1079" w:type="pct"/>
                  <w:noWrap w:val="0"/>
                  <w:vAlign w:val="center"/>
                </w:tcPr>
                <w:p w14:paraId="7BEA8E9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18.5kw</w:t>
                  </w:r>
                </w:p>
              </w:tc>
              <w:tc>
                <w:tcPr>
                  <w:tcW w:w="590" w:type="pct"/>
                  <w:noWrap w:val="0"/>
                  <w:vAlign w:val="center"/>
                </w:tcPr>
                <w:p w14:paraId="12BAC0B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2F37CA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682037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42EC59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30ED8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59D016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10</w:t>
                  </w:r>
                </w:p>
              </w:tc>
              <w:tc>
                <w:tcPr>
                  <w:tcW w:w="1048" w:type="pct"/>
                  <w:noWrap w:val="0"/>
                  <w:vAlign w:val="center"/>
                </w:tcPr>
                <w:p w14:paraId="79014D9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斩拌机</w:t>
                  </w:r>
                </w:p>
              </w:tc>
              <w:tc>
                <w:tcPr>
                  <w:tcW w:w="1079" w:type="pct"/>
                  <w:noWrap w:val="0"/>
                  <w:vAlign w:val="center"/>
                </w:tcPr>
                <w:p w14:paraId="04A5400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ZB-80</w:t>
                  </w:r>
                </w:p>
              </w:tc>
              <w:tc>
                <w:tcPr>
                  <w:tcW w:w="590" w:type="pct"/>
                  <w:noWrap w:val="0"/>
                  <w:vAlign w:val="center"/>
                </w:tcPr>
                <w:p w14:paraId="552624A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2台</w:t>
                  </w:r>
                </w:p>
              </w:tc>
              <w:tc>
                <w:tcPr>
                  <w:tcW w:w="590" w:type="pct"/>
                  <w:noWrap w:val="0"/>
                  <w:vAlign w:val="center"/>
                </w:tcPr>
                <w:p w14:paraId="08EBA4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2DA76E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50B1E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40C92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24BB76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11</w:t>
                  </w:r>
                </w:p>
              </w:tc>
              <w:tc>
                <w:tcPr>
                  <w:tcW w:w="1048" w:type="pct"/>
                  <w:noWrap w:val="0"/>
                  <w:vAlign w:val="center"/>
                </w:tcPr>
                <w:p w14:paraId="5C7DDC6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绞</w:t>
                  </w:r>
                  <w:r>
                    <w:rPr>
                      <w:rFonts w:hint="eastAsia" w:cs="Times New Roman"/>
                      <w:color w:val="auto"/>
                      <w:kern w:val="2"/>
                      <w:sz w:val="21"/>
                      <w:szCs w:val="24"/>
                      <w:lang w:val="en-US" w:eastAsia="zh-CN"/>
                    </w:rPr>
                    <w:t>/切</w:t>
                  </w:r>
                  <w:r>
                    <w:rPr>
                      <w:rFonts w:hint="eastAsia" w:ascii="Times New Roman" w:hAnsi="Times New Roman" w:eastAsia="宋体" w:cs="Times New Roman"/>
                      <w:color w:val="auto"/>
                      <w:kern w:val="2"/>
                      <w:sz w:val="21"/>
                      <w:szCs w:val="24"/>
                      <w:lang w:eastAsia="zh-CN"/>
                    </w:rPr>
                    <w:t>肉机</w:t>
                  </w:r>
                </w:p>
              </w:tc>
              <w:tc>
                <w:tcPr>
                  <w:tcW w:w="1079" w:type="pct"/>
                  <w:noWrap w:val="0"/>
                  <w:vAlign w:val="center"/>
                </w:tcPr>
                <w:p w14:paraId="25245BD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5648935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2台</w:t>
                  </w:r>
                </w:p>
              </w:tc>
              <w:tc>
                <w:tcPr>
                  <w:tcW w:w="590" w:type="pct"/>
                  <w:noWrap w:val="0"/>
                  <w:vAlign w:val="center"/>
                </w:tcPr>
                <w:p w14:paraId="0CF5E6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2台</w:t>
                  </w:r>
                </w:p>
              </w:tc>
              <w:tc>
                <w:tcPr>
                  <w:tcW w:w="698" w:type="pct"/>
                  <w:noWrap w:val="0"/>
                  <w:vAlign w:val="center"/>
                </w:tcPr>
                <w:p w14:paraId="4D479D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0</w:t>
                  </w:r>
                </w:p>
              </w:tc>
              <w:tc>
                <w:tcPr>
                  <w:tcW w:w="698" w:type="pct"/>
                  <w:vMerge w:val="continue"/>
                  <w:noWrap w:val="0"/>
                  <w:vAlign w:val="center"/>
                </w:tcPr>
                <w:p w14:paraId="6F6B8A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786DF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59A7E5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12</w:t>
                  </w:r>
                </w:p>
              </w:tc>
              <w:tc>
                <w:tcPr>
                  <w:tcW w:w="1048" w:type="pct"/>
                  <w:noWrap w:val="0"/>
                  <w:vAlign w:val="center"/>
                </w:tcPr>
                <w:p w14:paraId="0786BFB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炒锅</w:t>
                  </w:r>
                </w:p>
              </w:tc>
              <w:tc>
                <w:tcPr>
                  <w:tcW w:w="1079" w:type="pct"/>
                  <w:noWrap w:val="0"/>
                  <w:vAlign w:val="center"/>
                </w:tcPr>
                <w:p w14:paraId="34302FF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SCP+ZFG</w:t>
                  </w:r>
                </w:p>
              </w:tc>
              <w:tc>
                <w:tcPr>
                  <w:tcW w:w="590" w:type="pct"/>
                  <w:noWrap w:val="0"/>
                  <w:vAlign w:val="center"/>
                </w:tcPr>
                <w:p w14:paraId="7C7D9F1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20台</w:t>
                  </w:r>
                </w:p>
              </w:tc>
              <w:tc>
                <w:tcPr>
                  <w:tcW w:w="590" w:type="pct"/>
                  <w:noWrap w:val="0"/>
                  <w:vAlign w:val="center"/>
                </w:tcPr>
                <w:p w14:paraId="28D295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eastAsia="zh-CN"/>
                    </w:rPr>
                  </w:pPr>
                  <w:r>
                    <w:rPr>
                      <w:rFonts w:hint="eastAsia" w:cs="Times New Roman"/>
                      <w:color w:val="auto"/>
                      <w:kern w:val="2"/>
                      <w:sz w:val="21"/>
                      <w:szCs w:val="24"/>
                      <w:lang w:val="en-US" w:eastAsia="zh-CN"/>
                    </w:rPr>
                    <w:t>6</w:t>
                  </w:r>
                  <w:r>
                    <w:rPr>
                      <w:rFonts w:hint="eastAsia" w:ascii="Times New Roman" w:hAnsi="Times New Roman" w:eastAsia="宋体" w:cs="Times New Roman"/>
                      <w:color w:val="auto"/>
                      <w:kern w:val="2"/>
                      <w:sz w:val="21"/>
                      <w:szCs w:val="24"/>
                      <w:lang w:val="en-US" w:eastAsia="zh-CN"/>
                    </w:rPr>
                    <w:t>台</w:t>
                  </w:r>
                </w:p>
              </w:tc>
              <w:tc>
                <w:tcPr>
                  <w:tcW w:w="698" w:type="pct"/>
                  <w:noWrap w:val="0"/>
                  <w:vAlign w:val="center"/>
                </w:tcPr>
                <w:p w14:paraId="6D394E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-14</w:t>
                  </w:r>
                </w:p>
              </w:tc>
              <w:tc>
                <w:tcPr>
                  <w:tcW w:w="698" w:type="pct"/>
                  <w:vMerge w:val="continue"/>
                  <w:noWrap w:val="0"/>
                  <w:vAlign w:val="center"/>
                </w:tcPr>
                <w:p w14:paraId="469C58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2C735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09B544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13</w:t>
                  </w:r>
                </w:p>
              </w:tc>
              <w:tc>
                <w:tcPr>
                  <w:tcW w:w="1048" w:type="pct"/>
                  <w:noWrap w:val="0"/>
                  <w:vAlign w:val="center"/>
                </w:tcPr>
                <w:p w14:paraId="5A7D69B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给袋式包装机</w:t>
                  </w:r>
                </w:p>
              </w:tc>
              <w:tc>
                <w:tcPr>
                  <w:tcW w:w="1079" w:type="pct"/>
                  <w:noWrap w:val="0"/>
                  <w:vAlign w:val="center"/>
                </w:tcPr>
                <w:p w14:paraId="47BD719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WXB-200-W8</w:t>
                  </w:r>
                </w:p>
              </w:tc>
              <w:tc>
                <w:tcPr>
                  <w:tcW w:w="590" w:type="pct"/>
                  <w:noWrap w:val="0"/>
                  <w:vAlign w:val="center"/>
                </w:tcPr>
                <w:p w14:paraId="0865C66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5台</w:t>
                  </w:r>
                </w:p>
              </w:tc>
              <w:tc>
                <w:tcPr>
                  <w:tcW w:w="590" w:type="pct"/>
                  <w:noWrap w:val="0"/>
                  <w:vAlign w:val="center"/>
                </w:tcPr>
                <w:p w14:paraId="441B62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4台</w:t>
                  </w:r>
                </w:p>
              </w:tc>
              <w:tc>
                <w:tcPr>
                  <w:tcW w:w="698" w:type="pct"/>
                  <w:noWrap w:val="0"/>
                  <w:vAlign w:val="center"/>
                </w:tcPr>
                <w:p w14:paraId="3F299B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21CE27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55071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2A2591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14</w:t>
                  </w:r>
                </w:p>
              </w:tc>
              <w:tc>
                <w:tcPr>
                  <w:tcW w:w="1048" w:type="pct"/>
                  <w:noWrap w:val="0"/>
                  <w:vAlign w:val="center"/>
                </w:tcPr>
                <w:p w14:paraId="402D232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方型灌装机</w:t>
                  </w:r>
                </w:p>
              </w:tc>
              <w:tc>
                <w:tcPr>
                  <w:tcW w:w="1079" w:type="pct"/>
                  <w:noWrap w:val="0"/>
                  <w:vAlign w:val="center"/>
                </w:tcPr>
                <w:p w14:paraId="306C749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77C3CE5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2台</w:t>
                  </w:r>
                </w:p>
              </w:tc>
              <w:tc>
                <w:tcPr>
                  <w:tcW w:w="590" w:type="pct"/>
                  <w:noWrap w:val="0"/>
                  <w:vAlign w:val="center"/>
                </w:tcPr>
                <w:p w14:paraId="60FC79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75148A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p>
              </w:tc>
              <w:tc>
                <w:tcPr>
                  <w:tcW w:w="698" w:type="pct"/>
                  <w:vMerge w:val="continue"/>
                  <w:noWrap w:val="0"/>
                  <w:vAlign w:val="center"/>
                </w:tcPr>
                <w:p w14:paraId="55EE39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4F454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3278B7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15</w:t>
                  </w:r>
                </w:p>
              </w:tc>
              <w:tc>
                <w:tcPr>
                  <w:tcW w:w="1048" w:type="pct"/>
                  <w:noWrap w:val="0"/>
                  <w:vAlign w:val="center"/>
                </w:tcPr>
                <w:p w14:paraId="696A283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真空包装机</w:t>
                  </w:r>
                </w:p>
              </w:tc>
              <w:tc>
                <w:tcPr>
                  <w:tcW w:w="1079" w:type="pct"/>
                  <w:noWrap w:val="0"/>
                  <w:vAlign w:val="center"/>
                </w:tcPr>
                <w:p w14:paraId="384C4A8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XY-60-1</w:t>
                  </w:r>
                </w:p>
              </w:tc>
              <w:tc>
                <w:tcPr>
                  <w:tcW w:w="590" w:type="pct"/>
                  <w:noWrap w:val="0"/>
                  <w:vAlign w:val="center"/>
                </w:tcPr>
                <w:p w14:paraId="0A688A2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1台</w:t>
                  </w:r>
                </w:p>
              </w:tc>
              <w:tc>
                <w:tcPr>
                  <w:tcW w:w="590" w:type="pct"/>
                  <w:noWrap w:val="0"/>
                  <w:vAlign w:val="center"/>
                </w:tcPr>
                <w:p w14:paraId="41AB70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53C48E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4D8C0E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2291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254B68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16</w:t>
                  </w:r>
                </w:p>
              </w:tc>
              <w:tc>
                <w:tcPr>
                  <w:tcW w:w="1048" w:type="pct"/>
                  <w:noWrap w:val="0"/>
                  <w:vAlign w:val="center"/>
                </w:tcPr>
                <w:p w14:paraId="4BBCFD5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喷码机</w:t>
                  </w:r>
                </w:p>
              </w:tc>
              <w:tc>
                <w:tcPr>
                  <w:tcW w:w="1079" w:type="pct"/>
                  <w:noWrap w:val="0"/>
                  <w:vAlign w:val="center"/>
                </w:tcPr>
                <w:p w14:paraId="100FBE7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RX2-SD1605-2L</w:t>
                  </w:r>
                </w:p>
              </w:tc>
              <w:tc>
                <w:tcPr>
                  <w:tcW w:w="590" w:type="pct"/>
                  <w:noWrap w:val="0"/>
                  <w:vAlign w:val="center"/>
                </w:tcPr>
                <w:p w14:paraId="1DA0805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3台</w:t>
                  </w:r>
                </w:p>
              </w:tc>
              <w:tc>
                <w:tcPr>
                  <w:tcW w:w="590" w:type="pct"/>
                  <w:noWrap w:val="0"/>
                  <w:vAlign w:val="center"/>
                </w:tcPr>
                <w:p w14:paraId="1564F0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0（依托1#厂房）</w:t>
                  </w:r>
                </w:p>
              </w:tc>
              <w:tc>
                <w:tcPr>
                  <w:tcW w:w="698" w:type="pct"/>
                  <w:noWrap w:val="0"/>
                  <w:vAlign w:val="center"/>
                </w:tcPr>
                <w:p w14:paraId="34BA61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w:t>
                  </w:r>
                </w:p>
              </w:tc>
              <w:tc>
                <w:tcPr>
                  <w:tcW w:w="698" w:type="pct"/>
                  <w:vMerge w:val="continue"/>
                  <w:noWrap w:val="0"/>
                  <w:vAlign w:val="center"/>
                </w:tcPr>
                <w:p w14:paraId="39B1A6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2F161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0AD62F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17</w:t>
                  </w:r>
                </w:p>
              </w:tc>
              <w:tc>
                <w:tcPr>
                  <w:tcW w:w="1048" w:type="pct"/>
                  <w:noWrap w:val="0"/>
                  <w:vAlign w:val="center"/>
                </w:tcPr>
                <w:p w14:paraId="4B9E12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冷却线</w:t>
                  </w:r>
                </w:p>
              </w:tc>
              <w:tc>
                <w:tcPr>
                  <w:tcW w:w="1079" w:type="pct"/>
                  <w:noWrap w:val="0"/>
                  <w:vAlign w:val="center"/>
                </w:tcPr>
                <w:p w14:paraId="2032F10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21539A8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3条</w:t>
                  </w:r>
                </w:p>
              </w:tc>
              <w:tc>
                <w:tcPr>
                  <w:tcW w:w="590" w:type="pct"/>
                  <w:noWrap w:val="0"/>
                  <w:vAlign w:val="center"/>
                </w:tcPr>
                <w:p w14:paraId="4F822D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w:t>
                  </w:r>
                  <w:r>
                    <w:rPr>
                      <w:rFonts w:hint="eastAsia" w:cs="Times New Roman"/>
                      <w:color w:val="auto"/>
                      <w:kern w:val="2"/>
                      <w:sz w:val="21"/>
                      <w:szCs w:val="24"/>
                      <w:lang w:val="en-US" w:eastAsia="zh-CN"/>
                    </w:rPr>
                    <w:t>条</w:t>
                  </w:r>
                </w:p>
              </w:tc>
              <w:tc>
                <w:tcPr>
                  <w:tcW w:w="698" w:type="pct"/>
                  <w:noWrap w:val="0"/>
                  <w:vAlign w:val="center"/>
                </w:tcPr>
                <w:p w14:paraId="163DA2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p>
              </w:tc>
              <w:tc>
                <w:tcPr>
                  <w:tcW w:w="698" w:type="pct"/>
                  <w:vMerge w:val="continue"/>
                  <w:noWrap w:val="0"/>
                  <w:vAlign w:val="center"/>
                </w:tcPr>
                <w:p w14:paraId="53DEAA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p>
              </w:tc>
            </w:tr>
            <w:tr w14:paraId="1F4FC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2B8CA3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18</w:t>
                  </w:r>
                </w:p>
              </w:tc>
              <w:tc>
                <w:tcPr>
                  <w:tcW w:w="1048" w:type="pct"/>
                  <w:noWrap w:val="0"/>
                  <w:vAlign w:val="center"/>
                </w:tcPr>
                <w:p w14:paraId="1CC1583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封箱机</w:t>
                  </w:r>
                </w:p>
              </w:tc>
              <w:tc>
                <w:tcPr>
                  <w:tcW w:w="1079" w:type="pct"/>
                  <w:noWrap w:val="0"/>
                  <w:vAlign w:val="center"/>
                </w:tcPr>
                <w:p w14:paraId="0D53A91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MH-FG-M</w:t>
                  </w:r>
                </w:p>
              </w:tc>
              <w:tc>
                <w:tcPr>
                  <w:tcW w:w="590" w:type="pct"/>
                  <w:noWrap w:val="0"/>
                  <w:vAlign w:val="center"/>
                </w:tcPr>
                <w:p w14:paraId="25621FA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4台</w:t>
                  </w:r>
                </w:p>
              </w:tc>
              <w:tc>
                <w:tcPr>
                  <w:tcW w:w="590" w:type="pct"/>
                  <w:noWrap w:val="0"/>
                  <w:vAlign w:val="center"/>
                </w:tcPr>
                <w:p w14:paraId="020425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0046D2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w:t>
                  </w:r>
                </w:p>
              </w:tc>
              <w:tc>
                <w:tcPr>
                  <w:tcW w:w="698" w:type="pct"/>
                  <w:vMerge w:val="continue"/>
                  <w:noWrap w:val="0"/>
                  <w:vAlign w:val="center"/>
                </w:tcPr>
                <w:p w14:paraId="55F3B1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p>
              </w:tc>
            </w:tr>
            <w:tr w14:paraId="1C806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00656A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19</w:t>
                  </w:r>
                </w:p>
              </w:tc>
              <w:tc>
                <w:tcPr>
                  <w:tcW w:w="1048" w:type="pct"/>
                  <w:noWrap w:val="0"/>
                  <w:vAlign w:val="center"/>
                </w:tcPr>
                <w:p w14:paraId="1FB174C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s="Times New Roman"/>
                      <w:color w:val="auto"/>
                      <w:kern w:val="2"/>
                      <w:sz w:val="21"/>
                      <w:szCs w:val="24"/>
                      <w:lang w:val="en-US" w:eastAsia="zh-CN"/>
                    </w:rPr>
                  </w:pPr>
                  <w:r>
                    <w:rPr>
                      <w:rFonts w:hint="eastAsia" w:cs="Times New Roman"/>
                      <w:color w:val="auto"/>
                      <w:kern w:val="2"/>
                      <w:sz w:val="21"/>
                      <w:szCs w:val="24"/>
                      <w:lang w:val="en-US" w:eastAsia="zh-CN"/>
                    </w:rPr>
                    <w:t>油泵</w:t>
                  </w:r>
                </w:p>
              </w:tc>
              <w:tc>
                <w:tcPr>
                  <w:tcW w:w="1079" w:type="pct"/>
                  <w:noWrap w:val="0"/>
                  <w:vAlign w:val="center"/>
                </w:tcPr>
                <w:p w14:paraId="6D5CA02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KCB-83.3</w:t>
                  </w:r>
                </w:p>
              </w:tc>
              <w:tc>
                <w:tcPr>
                  <w:tcW w:w="590" w:type="pct"/>
                  <w:noWrap w:val="0"/>
                  <w:vAlign w:val="center"/>
                </w:tcPr>
                <w:p w14:paraId="14CC686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16台</w:t>
                  </w:r>
                </w:p>
              </w:tc>
              <w:tc>
                <w:tcPr>
                  <w:tcW w:w="590" w:type="pct"/>
                  <w:noWrap w:val="0"/>
                  <w:vAlign w:val="center"/>
                </w:tcPr>
                <w:p w14:paraId="46A1EB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0ED6DB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-16</w:t>
                  </w:r>
                </w:p>
              </w:tc>
              <w:tc>
                <w:tcPr>
                  <w:tcW w:w="698" w:type="pct"/>
                  <w:vMerge w:val="continue"/>
                  <w:noWrap w:val="0"/>
                  <w:vAlign w:val="center"/>
                </w:tcPr>
                <w:p w14:paraId="7863C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p>
              </w:tc>
            </w:tr>
            <w:tr w14:paraId="45EF5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3789BE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20</w:t>
                  </w:r>
                </w:p>
              </w:tc>
              <w:tc>
                <w:tcPr>
                  <w:tcW w:w="1048" w:type="pct"/>
                  <w:noWrap w:val="0"/>
                  <w:vAlign w:val="center"/>
                </w:tcPr>
                <w:p w14:paraId="001EC9E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s="Times New Roman"/>
                      <w:color w:val="auto"/>
                      <w:kern w:val="2"/>
                      <w:sz w:val="21"/>
                      <w:szCs w:val="24"/>
                      <w:lang w:val="en-US" w:eastAsia="zh-CN"/>
                    </w:rPr>
                  </w:pPr>
                  <w:r>
                    <w:rPr>
                      <w:rFonts w:hint="eastAsia" w:cs="Times New Roman"/>
                      <w:color w:val="auto"/>
                      <w:kern w:val="2"/>
                      <w:sz w:val="21"/>
                      <w:szCs w:val="24"/>
                      <w:lang w:val="en-US" w:eastAsia="zh-CN"/>
                    </w:rPr>
                    <w:t>排烟机</w:t>
                  </w:r>
                </w:p>
              </w:tc>
              <w:tc>
                <w:tcPr>
                  <w:tcW w:w="1079" w:type="pct"/>
                  <w:noWrap w:val="0"/>
                  <w:vAlign w:val="center"/>
                </w:tcPr>
                <w:p w14:paraId="098BF5F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BF-900</w:t>
                  </w:r>
                </w:p>
              </w:tc>
              <w:tc>
                <w:tcPr>
                  <w:tcW w:w="590" w:type="pct"/>
                  <w:noWrap w:val="0"/>
                  <w:vAlign w:val="center"/>
                </w:tcPr>
                <w:p w14:paraId="260AD92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10台</w:t>
                  </w:r>
                </w:p>
              </w:tc>
              <w:tc>
                <w:tcPr>
                  <w:tcW w:w="590" w:type="pct"/>
                  <w:noWrap w:val="0"/>
                  <w:vAlign w:val="center"/>
                </w:tcPr>
                <w:p w14:paraId="73E26F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5AE985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-10</w:t>
                  </w:r>
                </w:p>
              </w:tc>
              <w:tc>
                <w:tcPr>
                  <w:tcW w:w="698" w:type="pct"/>
                  <w:vMerge w:val="continue"/>
                  <w:noWrap w:val="0"/>
                  <w:vAlign w:val="center"/>
                </w:tcPr>
                <w:p w14:paraId="4F6A9E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p>
              </w:tc>
            </w:tr>
            <w:tr w14:paraId="5E7B8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0D8F3C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21</w:t>
                  </w:r>
                </w:p>
              </w:tc>
              <w:tc>
                <w:tcPr>
                  <w:tcW w:w="1048" w:type="pct"/>
                  <w:noWrap w:val="0"/>
                  <w:vAlign w:val="center"/>
                </w:tcPr>
                <w:p w14:paraId="2B4FB0B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s="Times New Roman"/>
                      <w:color w:val="auto"/>
                      <w:kern w:val="2"/>
                      <w:sz w:val="21"/>
                      <w:szCs w:val="24"/>
                      <w:lang w:val="en-US" w:eastAsia="zh-CN"/>
                    </w:rPr>
                  </w:pPr>
                  <w:r>
                    <w:rPr>
                      <w:rFonts w:hint="eastAsia" w:cs="Times New Roman"/>
                      <w:color w:val="auto"/>
                      <w:kern w:val="2"/>
                      <w:sz w:val="21"/>
                      <w:szCs w:val="24"/>
                      <w:lang w:val="en-US" w:eastAsia="zh-CN"/>
                    </w:rPr>
                    <w:t>排风扇</w:t>
                  </w:r>
                </w:p>
              </w:tc>
              <w:tc>
                <w:tcPr>
                  <w:tcW w:w="1079" w:type="pct"/>
                  <w:noWrap w:val="0"/>
                  <w:vAlign w:val="center"/>
                </w:tcPr>
                <w:p w14:paraId="5623074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04969A5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15台</w:t>
                  </w:r>
                </w:p>
              </w:tc>
              <w:tc>
                <w:tcPr>
                  <w:tcW w:w="590" w:type="pct"/>
                  <w:noWrap w:val="0"/>
                  <w:vAlign w:val="center"/>
                </w:tcPr>
                <w:p w14:paraId="312BB4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49C0A4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-15</w:t>
                  </w:r>
                </w:p>
              </w:tc>
              <w:tc>
                <w:tcPr>
                  <w:tcW w:w="698" w:type="pct"/>
                  <w:vMerge w:val="continue"/>
                  <w:noWrap w:val="0"/>
                  <w:vAlign w:val="center"/>
                </w:tcPr>
                <w:p w14:paraId="72446A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p>
              </w:tc>
            </w:tr>
            <w:tr w14:paraId="4E75B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28131E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w:t>
                  </w:r>
                  <w:r>
                    <w:rPr>
                      <w:rFonts w:hint="eastAsia" w:cs="Times New Roman"/>
                      <w:color w:val="auto"/>
                      <w:kern w:val="2"/>
                      <w:sz w:val="21"/>
                      <w:szCs w:val="24"/>
                      <w:lang w:val="en-US" w:eastAsia="zh-CN"/>
                    </w:rPr>
                    <w:t>2</w:t>
                  </w:r>
                </w:p>
              </w:tc>
              <w:tc>
                <w:tcPr>
                  <w:tcW w:w="1048" w:type="pct"/>
                  <w:noWrap w:val="0"/>
                  <w:vAlign w:val="center"/>
                </w:tcPr>
                <w:p w14:paraId="697D1A3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杀菌线</w:t>
                  </w:r>
                </w:p>
              </w:tc>
              <w:tc>
                <w:tcPr>
                  <w:tcW w:w="1079" w:type="pct"/>
                  <w:noWrap w:val="0"/>
                  <w:vAlign w:val="center"/>
                </w:tcPr>
                <w:p w14:paraId="3AD9C59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HSPXJ</w:t>
                  </w:r>
                </w:p>
              </w:tc>
              <w:tc>
                <w:tcPr>
                  <w:tcW w:w="590" w:type="pct"/>
                  <w:noWrap w:val="0"/>
                  <w:vAlign w:val="center"/>
                </w:tcPr>
                <w:p w14:paraId="5EB0BE2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0CB840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1条</w:t>
                  </w:r>
                </w:p>
              </w:tc>
              <w:tc>
                <w:tcPr>
                  <w:tcW w:w="698" w:type="pct"/>
                  <w:noWrap w:val="0"/>
                  <w:vAlign w:val="center"/>
                </w:tcPr>
                <w:p w14:paraId="0DBFC4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179371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p>
              </w:tc>
            </w:tr>
            <w:tr w14:paraId="52CD7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6A4476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w:t>
                  </w:r>
                  <w:r>
                    <w:rPr>
                      <w:rFonts w:hint="eastAsia" w:cs="Times New Roman"/>
                      <w:color w:val="auto"/>
                      <w:kern w:val="2"/>
                      <w:sz w:val="21"/>
                      <w:szCs w:val="24"/>
                      <w:lang w:val="en-US" w:eastAsia="zh-CN"/>
                    </w:rPr>
                    <w:t>3</w:t>
                  </w:r>
                </w:p>
              </w:tc>
              <w:tc>
                <w:tcPr>
                  <w:tcW w:w="1048" w:type="pct"/>
                  <w:noWrap w:val="0"/>
                  <w:vAlign w:val="center"/>
                </w:tcPr>
                <w:p w14:paraId="4E7EC4F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杀菌锅</w:t>
                  </w:r>
                </w:p>
              </w:tc>
              <w:tc>
                <w:tcPr>
                  <w:tcW w:w="1079" w:type="pct"/>
                  <w:noWrap w:val="0"/>
                  <w:vAlign w:val="center"/>
                </w:tcPr>
                <w:p w14:paraId="46C6CCE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R2021-017</w:t>
                  </w:r>
                </w:p>
              </w:tc>
              <w:tc>
                <w:tcPr>
                  <w:tcW w:w="590" w:type="pct"/>
                  <w:noWrap w:val="0"/>
                  <w:vAlign w:val="center"/>
                </w:tcPr>
                <w:p w14:paraId="0D6E8A6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31BE54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1个</w:t>
                  </w:r>
                </w:p>
              </w:tc>
              <w:tc>
                <w:tcPr>
                  <w:tcW w:w="698" w:type="pct"/>
                  <w:noWrap w:val="0"/>
                  <w:vAlign w:val="center"/>
                </w:tcPr>
                <w:p w14:paraId="0B5CC3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32454F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p>
              </w:tc>
            </w:tr>
            <w:tr w14:paraId="6DD5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94" w:type="pct"/>
                  <w:noWrap w:val="0"/>
                  <w:vAlign w:val="center"/>
                </w:tcPr>
                <w:p w14:paraId="5343F4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w:t>
                  </w:r>
                  <w:r>
                    <w:rPr>
                      <w:rFonts w:hint="eastAsia" w:cs="Times New Roman"/>
                      <w:color w:val="auto"/>
                      <w:kern w:val="2"/>
                      <w:sz w:val="21"/>
                      <w:szCs w:val="24"/>
                      <w:lang w:val="en-US" w:eastAsia="zh-CN"/>
                    </w:rPr>
                    <w:t>4</w:t>
                  </w:r>
                </w:p>
              </w:tc>
              <w:tc>
                <w:tcPr>
                  <w:tcW w:w="1048" w:type="pct"/>
                  <w:noWrap w:val="0"/>
                  <w:vAlign w:val="center"/>
                </w:tcPr>
                <w:p w14:paraId="797C7A3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空气压缩机</w:t>
                  </w:r>
                </w:p>
              </w:tc>
              <w:tc>
                <w:tcPr>
                  <w:tcW w:w="1079" w:type="pct"/>
                  <w:noWrap w:val="0"/>
                  <w:vAlign w:val="center"/>
                </w:tcPr>
                <w:p w14:paraId="17EA187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062F5E2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510FCA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29996D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398F41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31E1F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94" w:type="pct"/>
                  <w:noWrap w:val="0"/>
                  <w:vAlign w:val="center"/>
                </w:tcPr>
                <w:p w14:paraId="5D96A8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w:t>
                  </w:r>
                  <w:r>
                    <w:rPr>
                      <w:rFonts w:hint="eastAsia" w:cs="Times New Roman"/>
                      <w:color w:val="auto"/>
                      <w:kern w:val="2"/>
                      <w:sz w:val="21"/>
                      <w:szCs w:val="24"/>
                      <w:lang w:val="en-US" w:eastAsia="zh-CN"/>
                    </w:rPr>
                    <w:t>5</w:t>
                  </w:r>
                </w:p>
              </w:tc>
              <w:tc>
                <w:tcPr>
                  <w:tcW w:w="1048" w:type="pct"/>
                  <w:noWrap w:val="0"/>
                  <w:vAlign w:val="center"/>
                </w:tcPr>
                <w:p w14:paraId="03BDD18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燃气式炒锅</w:t>
                  </w:r>
                </w:p>
              </w:tc>
              <w:tc>
                <w:tcPr>
                  <w:tcW w:w="1079" w:type="pct"/>
                  <w:noWrap w:val="0"/>
                  <w:vAlign w:val="center"/>
                </w:tcPr>
                <w:p w14:paraId="2145602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0028E84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788020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1ECEBE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44D1B7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02C43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94" w:type="pct"/>
                  <w:noWrap w:val="0"/>
                  <w:vAlign w:val="center"/>
                </w:tcPr>
                <w:p w14:paraId="3809D4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26</w:t>
                  </w:r>
                </w:p>
              </w:tc>
              <w:tc>
                <w:tcPr>
                  <w:tcW w:w="1048" w:type="pct"/>
                  <w:noWrap w:val="0"/>
                  <w:vAlign w:val="center"/>
                </w:tcPr>
                <w:p w14:paraId="4F33B81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cs="Times New Roman"/>
                      <w:color w:val="auto"/>
                      <w:kern w:val="2"/>
                      <w:sz w:val="21"/>
                      <w:szCs w:val="24"/>
                      <w:lang w:eastAsia="zh-CN"/>
                    </w:rPr>
                    <w:t>储油罐</w:t>
                  </w:r>
                </w:p>
              </w:tc>
              <w:tc>
                <w:tcPr>
                  <w:tcW w:w="1079" w:type="pct"/>
                  <w:noWrap w:val="0"/>
                  <w:vAlign w:val="center"/>
                </w:tcPr>
                <w:p w14:paraId="491BAF4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10m</w:t>
                  </w:r>
                  <w:r>
                    <w:rPr>
                      <w:rFonts w:hint="eastAsia" w:cs="Times New Roman"/>
                      <w:color w:val="auto"/>
                      <w:kern w:val="2"/>
                      <w:sz w:val="21"/>
                      <w:szCs w:val="24"/>
                      <w:vertAlign w:val="superscript"/>
                      <w:lang w:val="en-US" w:eastAsia="zh-CN"/>
                    </w:rPr>
                    <w:t>3</w:t>
                  </w:r>
                </w:p>
              </w:tc>
              <w:tc>
                <w:tcPr>
                  <w:tcW w:w="590" w:type="pct"/>
                  <w:noWrap w:val="0"/>
                  <w:vAlign w:val="center"/>
                </w:tcPr>
                <w:p w14:paraId="4339C51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36A1C5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4台</w:t>
                  </w:r>
                </w:p>
              </w:tc>
              <w:tc>
                <w:tcPr>
                  <w:tcW w:w="698" w:type="pct"/>
                  <w:noWrap w:val="0"/>
                  <w:vAlign w:val="center"/>
                </w:tcPr>
                <w:p w14:paraId="12B7F6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kern w:val="2"/>
                      <w:sz w:val="21"/>
                      <w:szCs w:val="24"/>
                      <w:lang w:val="en-US" w:eastAsia="zh-CN"/>
                    </w:rPr>
                  </w:pPr>
                  <w:r>
                    <w:rPr>
                      <w:rFonts w:hint="eastAsia" w:cs="Times New Roman"/>
                      <w:color w:val="auto"/>
                      <w:kern w:val="2"/>
                      <w:sz w:val="21"/>
                      <w:szCs w:val="24"/>
                      <w:lang w:val="en-US" w:eastAsia="zh-CN"/>
                    </w:rPr>
                    <w:t>+4</w:t>
                  </w:r>
                </w:p>
              </w:tc>
              <w:tc>
                <w:tcPr>
                  <w:tcW w:w="698" w:type="pct"/>
                  <w:noWrap w:val="0"/>
                  <w:vAlign w:val="center"/>
                </w:tcPr>
                <w:p w14:paraId="219858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1#、2#生产车间外</w:t>
                  </w:r>
                </w:p>
              </w:tc>
            </w:tr>
            <w:tr w14:paraId="4093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94" w:type="pct"/>
                  <w:noWrap w:val="0"/>
                  <w:vAlign w:val="center"/>
                </w:tcPr>
                <w:p w14:paraId="51D94E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27</w:t>
                  </w:r>
                </w:p>
              </w:tc>
              <w:tc>
                <w:tcPr>
                  <w:tcW w:w="1048" w:type="pct"/>
                  <w:noWrap w:val="0"/>
                  <w:vAlign w:val="center"/>
                </w:tcPr>
                <w:p w14:paraId="7FD0A46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碱喷淋</w:t>
                  </w:r>
                </w:p>
              </w:tc>
              <w:tc>
                <w:tcPr>
                  <w:tcW w:w="1079" w:type="pct"/>
                  <w:noWrap w:val="0"/>
                  <w:vAlign w:val="center"/>
                </w:tcPr>
                <w:p w14:paraId="365A92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62C4DC3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r>
                    <w:rPr>
                      <w:rFonts w:hint="eastAsia" w:ascii="Times New Roman" w:hAnsi="Times New Roman" w:eastAsia="宋体" w:cs="Times New Roman"/>
                      <w:color w:val="auto"/>
                      <w:kern w:val="2"/>
                      <w:sz w:val="21"/>
                      <w:szCs w:val="24"/>
                      <w:lang w:val="en-US" w:eastAsia="zh-CN"/>
                    </w:rPr>
                    <w:t>套</w:t>
                  </w:r>
                </w:p>
              </w:tc>
              <w:tc>
                <w:tcPr>
                  <w:tcW w:w="590" w:type="pct"/>
                  <w:noWrap w:val="0"/>
                  <w:vAlign w:val="center"/>
                </w:tcPr>
                <w:p w14:paraId="3C3977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698" w:type="pct"/>
                  <w:noWrap w:val="0"/>
                  <w:vAlign w:val="center"/>
                </w:tcPr>
                <w:p w14:paraId="5E658B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restart"/>
                  <w:noWrap w:val="0"/>
                  <w:vAlign w:val="center"/>
                </w:tcPr>
                <w:p w14:paraId="43F72A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环保设备</w:t>
                  </w:r>
                </w:p>
              </w:tc>
            </w:tr>
            <w:tr w14:paraId="553E3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94" w:type="pct"/>
                  <w:noWrap w:val="0"/>
                  <w:vAlign w:val="center"/>
                </w:tcPr>
                <w:p w14:paraId="7E50E3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auto"/>
                      <w:kern w:val="2"/>
                      <w:sz w:val="21"/>
                      <w:szCs w:val="24"/>
                      <w:lang w:val="en-US" w:eastAsia="zh-CN"/>
                    </w:rPr>
                  </w:pPr>
                  <w:r>
                    <w:rPr>
                      <w:rFonts w:hint="eastAsia" w:cs="Times New Roman"/>
                      <w:color w:val="auto"/>
                      <w:kern w:val="2"/>
                      <w:sz w:val="21"/>
                      <w:szCs w:val="24"/>
                      <w:lang w:val="en-US" w:eastAsia="zh-CN"/>
                    </w:rPr>
                    <w:t>28</w:t>
                  </w:r>
                </w:p>
              </w:tc>
              <w:tc>
                <w:tcPr>
                  <w:tcW w:w="1048" w:type="pct"/>
                  <w:noWrap w:val="0"/>
                  <w:vAlign w:val="center"/>
                </w:tcPr>
                <w:p w14:paraId="3231697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s="Times New Roman"/>
                      <w:color w:val="auto"/>
                      <w:kern w:val="2"/>
                      <w:sz w:val="21"/>
                      <w:szCs w:val="24"/>
                      <w:lang w:val="en-US" w:eastAsia="zh-CN"/>
                    </w:rPr>
                  </w:pPr>
                  <w:r>
                    <w:rPr>
                      <w:rFonts w:hint="eastAsia" w:cs="Times New Roman"/>
                      <w:color w:val="auto"/>
                      <w:kern w:val="2"/>
                      <w:sz w:val="21"/>
                      <w:szCs w:val="24"/>
                      <w:lang w:val="en-US" w:eastAsia="zh-CN"/>
                    </w:rPr>
                    <w:t>水喷淋</w:t>
                  </w:r>
                </w:p>
              </w:tc>
              <w:tc>
                <w:tcPr>
                  <w:tcW w:w="1079" w:type="pct"/>
                  <w:noWrap w:val="0"/>
                  <w:vAlign w:val="center"/>
                </w:tcPr>
                <w:p w14:paraId="59DF315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632675A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1657AC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kern w:val="2"/>
                      <w:sz w:val="21"/>
                      <w:szCs w:val="24"/>
                      <w:lang w:val="en-US" w:eastAsia="zh-CN"/>
                    </w:rPr>
                  </w:pPr>
                  <w:r>
                    <w:rPr>
                      <w:rFonts w:hint="eastAsia" w:cs="Times New Roman"/>
                      <w:color w:val="auto"/>
                      <w:kern w:val="2"/>
                      <w:sz w:val="21"/>
                      <w:szCs w:val="24"/>
                      <w:lang w:val="en-US" w:eastAsia="zh-CN"/>
                    </w:rPr>
                    <w:t>2</w:t>
                  </w:r>
                  <w:r>
                    <w:rPr>
                      <w:rFonts w:hint="eastAsia" w:ascii="Times New Roman" w:hAnsi="Times New Roman" w:eastAsia="宋体" w:cs="Times New Roman"/>
                      <w:color w:val="auto"/>
                      <w:kern w:val="2"/>
                      <w:sz w:val="21"/>
                      <w:szCs w:val="24"/>
                      <w:lang w:val="en-US" w:eastAsia="zh-CN"/>
                    </w:rPr>
                    <w:t>套</w:t>
                  </w:r>
                </w:p>
              </w:tc>
              <w:tc>
                <w:tcPr>
                  <w:tcW w:w="698" w:type="pct"/>
                  <w:noWrap w:val="0"/>
                  <w:vAlign w:val="center"/>
                </w:tcPr>
                <w:p w14:paraId="23B542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p>
              </w:tc>
              <w:tc>
                <w:tcPr>
                  <w:tcW w:w="698" w:type="pct"/>
                  <w:vMerge w:val="continue"/>
                  <w:noWrap w:val="0"/>
                  <w:vAlign w:val="center"/>
                </w:tcPr>
                <w:p w14:paraId="44149D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31DAA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94" w:type="pct"/>
                  <w:noWrap w:val="0"/>
                  <w:vAlign w:val="center"/>
                </w:tcPr>
                <w:p w14:paraId="0C7C0D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29</w:t>
                  </w:r>
                </w:p>
              </w:tc>
              <w:tc>
                <w:tcPr>
                  <w:tcW w:w="1048" w:type="pct"/>
                  <w:noWrap w:val="0"/>
                  <w:vAlign w:val="center"/>
                </w:tcPr>
                <w:p w14:paraId="0259130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油烟净化器</w:t>
                  </w:r>
                </w:p>
              </w:tc>
              <w:tc>
                <w:tcPr>
                  <w:tcW w:w="1079" w:type="pct"/>
                  <w:noWrap w:val="0"/>
                  <w:vAlign w:val="center"/>
                </w:tcPr>
                <w:p w14:paraId="3570884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77E1C8D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10台</w:t>
                  </w:r>
                </w:p>
              </w:tc>
              <w:tc>
                <w:tcPr>
                  <w:tcW w:w="590" w:type="pct"/>
                  <w:noWrap w:val="0"/>
                  <w:vAlign w:val="center"/>
                </w:tcPr>
                <w:p w14:paraId="05A2BF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r>
                    <w:rPr>
                      <w:rFonts w:hint="eastAsia" w:ascii="Times New Roman" w:hAnsi="Times New Roman" w:eastAsia="宋体" w:cs="Times New Roman"/>
                      <w:color w:val="auto"/>
                      <w:kern w:val="2"/>
                      <w:sz w:val="21"/>
                      <w:szCs w:val="24"/>
                      <w:lang w:val="en-US" w:eastAsia="zh-CN"/>
                    </w:rPr>
                    <w:t>套</w:t>
                  </w:r>
                </w:p>
              </w:tc>
              <w:tc>
                <w:tcPr>
                  <w:tcW w:w="698" w:type="pct"/>
                  <w:noWrap w:val="0"/>
                  <w:vAlign w:val="center"/>
                </w:tcPr>
                <w:p w14:paraId="45A9C5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-9</w:t>
                  </w:r>
                </w:p>
              </w:tc>
              <w:tc>
                <w:tcPr>
                  <w:tcW w:w="698" w:type="pct"/>
                  <w:vMerge w:val="continue"/>
                  <w:noWrap w:val="0"/>
                  <w:vAlign w:val="center"/>
                </w:tcPr>
                <w:p w14:paraId="5D97F9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499FC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520" w:type="dxa"/>
                  <w:noWrap w:val="0"/>
                  <w:vAlign w:val="center"/>
                </w:tcPr>
                <w:p w14:paraId="306B94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auto"/>
                      <w:kern w:val="2"/>
                      <w:sz w:val="21"/>
                      <w:szCs w:val="24"/>
                      <w:lang w:val="en-US" w:eastAsia="zh-CN"/>
                    </w:rPr>
                  </w:pPr>
                  <w:r>
                    <w:rPr>
                      <w:rFonts w:hint="eastAsia" w:cs="Times New Roman"/>
                      <w:color w:val="auto"/>
                      <w:kern w:val="2"/>
                      <w:sz w:val="21"/>
                      <w:szCs w:val="24"/>
                      <w:lang w:val="en-US" w:eastAsia="zh-CN"/>
                    </w:rPr>
                    <w:t>30</w:t>
                  </w:r>
                </w:p>
              </w:tc>
              <w:tc>
                <w:tcPr>
                  <w:tcW w:w="1048" w:type="pct"/>
                  <w:noWrap w:val="0"/>
                  <w:vAlign w:val="center"/>
                </w:tcPr>
                <w:p w14:paraId="39CB461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cs="Times New Roman"/>
                      <w:color w:val="auto"/>
                      <w:kern w:val="2"/>
                      <w:sz w:val="21"/>
                      <w:szCs w:val="24"/>
                      <w:lang w:eastAsia="zh-CN"/>
                    </w:rPr>
                    <w:t>研发实验室油烟净化器</w:t>
                  </w:r>
                </w:p>
              </w:tc>
              <w:tc>
                <w:tcPr>
                  <w:tcW w:w="1079" w:type="pct"/>
                  <w:noWrap w:val="0"/>
                  <w:vAlign w:val="center"/>
                </w:tcPr>
                <w:p w14:paraId="0624CD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7F7959E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5B6BBA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kern w:val="2"/>
                      <w:sz w:val="21"/>
                      <w:szCs w:val="24"/>
                      <w:lang w:val="en-US" w:eastAsia="zh-CN"/>
                    </w:rPr>
                  </w:pPr>
                  <w:r>
                    <w:rPr>
                      <w:rFonts w:hint="eastAsia" w:cs="Times New Roman"/>
                      <w:color w:val="auto"/>
                      <w:kern w:val="2"/>
                      <w:sz w:val="21"/>
                      <w:szCs w:val="24"/>
                      <w:lang w:val="en-US" w:eastAsia="zh-CN"/>
                    </w:rPr>
                    <w:t>2</w:t>
                  </w:r>
                </w:p>
              </w:tc>
              <w:tc>
                <w:tcPr>
                  <w:tcW w:w="698" w:type="pct"/>
                  <w:noWrap w:val="0"/>
                  <w:vAlign w:val="center"/>
                </w:tcPr>
                <w:p w14:paraId="551712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kern w:val="2"/>
                      <w:sz w:val="21"/>
                      <w:szCs w:val="24"/>
                      <w:lang w:val="en-US" w:eastAsia="zh-CN"/>
                    </w:rPr>
                  </w:pPr>
                  <w:r>
                    <w:rPr>
                      <w:rFonts w:hint="eastAsia" w:cs="Times New Roman"/>
                      <w:color w:val="auto"/>
                      <w:kern w:val="2"/>
                      <w:sz w:val="21"/>
                      <w:szCs w:val="24"/>
                      <w:lang w:val="en-US" w:eastAsia="zh-CN"/>
                    </w:rPr>
                    <w:t>+2</w:t>
                  </w:r>
                </w:p>
              </w:tc>
              <w:tc>
                <w:tcPr>
                  <w:tcW w:w="698" w:type="pct"/>
                  <w:noWrap w:val="0"/>
                  <w:vAlign w:val="center"/>
                </w:tcPr>
                <w:p w14:paraId="67B777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76FDB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520" w:type="dxa"/>
                  <w:noWrap w:val="0"/>
                  <w:vAlign w:val="center"/>
                </w:tcPr>
                <w:p w14:paraId="1101A7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3</w:t>
                  </w:r>
                  <w:r>
                    <w:rPr>
                      <w:rFonts w:hint="eastAsia" w:cs="Times New Roman"/>
                      <w:color w:val="auto"/>
                      <w:kern w:val="2"/>
                      <w:sz w:val="21"/>
                      <w:szCs w:val="24"/>
                      <w:lang w:val="en-US" w:eastAsia="zh-CN"/>
                    </w:rPr>
                    <w:t>1</w:t>
                  </w:r>
                </w:p>
              </w:tc>
              <w:tc>
                <w:tcPr>
                  <w:tcW w:w="1048" w:type="pct"/>
                  <w:noWrap w:val="0"/>
                  <w:vAlign w:val="center"/>
                </w:tcPr>
                <w:p w14:paraId="30588DD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s="Times New Roman"/>
                      <w:color w:val="auto"/>
                      <w:kern w:val="2"/>
                      <w:sz w:val="21"/>
                      <w:szCs w:val="24"/>
                      <w:lang w:eastAsia="zh-CN"/>
                    </w:rPr>
                  </w:pPr>
                  <w:r>
                    <w:rPr>
                      <w:rFonts w:hint="eastAsia" w:cs="Times New Roman"/>
                      <w:color w:val="auto"/>
                      <w:kern w:val="2"/>
                      <w:sz w:val="21"/>
                      <w:szCs w:val="24"/>
                      <w:lang w:eastAsia="zh-CN"/>
                    </w:rPr>
                    <w:t>食堂油烟净化器</w:t>
                  </w:r>
                </w:p>
              </w:tc>
              <w:tc>
                <w:tcPr>
                  <w:tcW w:w="1079" w:type="pct"/>
                  <w:noWrap w:val="0"/>
                  <w:vAlign w:val="center"/>
                </w:tcPr>
                <w:p w14:paraId="26FDA22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5757734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cs="Times New Roman"/>
                      <w:color w:val="auto"/>
                      <w:kern w:val="2"/>
                      <w:sz w:val="21"/>
                      <w:szCs w:val="24"/>
                      <w:lang w:val="en-US" w:eastAsia="zh-CN"/>
                    </w:rPr>
                  </w:pPr>
                  <w:r>
                    <w:rPr>
                      <w:rFonts w:hint="eastAsia" w:cs="Times New Roman"/>
                      <w:color w:val="auto"/>
                      <w:kern w:val="2"/>
                      <w:sz w:val="21"/>
                      <w:szCs w:val="24"/>
                      <w:lang w:val="en-US" w:eastAsia="zh-CN"/>
                    </w:rPr>
                    <w:t>1</w:t>
                  </w:r>
                </w:p>
              </w:tc>
              <w:tc>
                <w:tcPr>
                  <w:tcW w:w="590" w:type="pct"/>
                  <w:noWrap w:val="0"/>
                  <w:vAlign w:val="center"/>
                </w:tcPr>
                <w:p w14:paraId="07354D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noWrap w:val="0"/>
                  <w:vAlign w:val="center"/>
                </w:tcPr>
                <w:p w14:paraId="1C6D8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kern w:val="2"/>
                      <w:sz w:val="21"/>
                      <w:szCs w:val="24"/>
                      <w:lang w:val="en-US" w:eastAsia="zh-CN"/>
                    </w:rPr>
                  </w:pPr>
                  <w:r>
                    <w:rPr>
                      <w:rFonts w:hint="eastAsia" w:cs="Times New Roman"/>
                      <w:color w:val="auto"/>
                      <w:kern w:val="2"/>
                      <w:sz w:val="21"/>
                      <w:szCs w:val="24"/>
                      <w:lang w:val="en-US" w:eastAsia="zh-CN"/>
                    </w:rPr>
                    <w:t>0</w:t>
                  </w:r>
                </w:p>
              </w:tc>
              <w:tc>
                <w:tcPr>
                  <w:tcW w:w="698" w:type="pct"/>
                  <w:noWrap w:val="0"/>
                  <w:vAlign w:val="center"/>
                </w:tcPr>
                <w:p w14:paraId="64FBE7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77364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5C530F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32</w:t>
                  </w:r>
                </w:p>
              </w:tc>
              <w:tc>
                <w:tcPr>
                  <w:tcW w:w="1048" w:type="pct"/>
                  <w:noWrap w:val="0"/>
                  <w:vAlign w:val="center"/>
                </w:tcPr>
                <w:p w14:paraId="25B2084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冰箱</w:t>
                  </w:r>
                </w:p>
              </w:tc>
              <w:tc>
                <w:tcPr>
                  <w:tcW w:w="1079" w:type="pct"/>
                  <w:noWrap w:val="0"/>
                  <w:vAlign w:val="center"/>
                </w:tcPr>
                <w:p w14:paraId="22DED70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43E6F09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61D775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3台</w:t>
                  </w:r>
                </w:p>
              </w:tc>
              <w:tc>
                <w:tcPr>
                  <w:tcW w:w="698" w:type="pct"/>
                  <w:noWrap w:val="0"/>
                  <w:vAlign w:val="center"/>
                </w:tcPr>
                <w:p w14:paraId="0EBC6D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w:t>
                  </w:r>
                </w:p>
              </w:tc>
              <w:tc>
                <w:tcPr>
                  <w:tcW w:w="698" w:type="pct"/>
                  <w:vMerge w:val="restart"/>
                  <w:noWrap w:val="0"/>
                  <w:vAlign w:val="center"/>
                </w:tcPr>
                <w:p w14:paraId="7ADB71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w:t>
                  </w:r>
                  <w:r>
                    <w:rPr>
                      <w:rFonts w:hint="eastAsia" w:ascii="Times New Roman" w:hAnsi="Times New Roman" w:eastAsia="宋体" w:cs="Times New Roman"/>
                      <w:color w:val="auto"/>
                      <w:kern w:val="2"/>
                      <w:sz w:val="21"/>
                      <w:szCs w:val="24"/>
                      <w:lang w:val="en-US" w:eastAsia="zh-CN"/>
                    </w:rPr>
                    <w:t>研发实验室</w:t>
                  </w:r>
                </w:p>
              </w:tc>
            </w:tr>
            <w:tr w14:paraId="6F50F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6BBC7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3</w:t>
                  </w:r>
                  <w:r>
                    <w:rPr>
                      <w:rFonts w:hint="eastAsia" w:cs="Times New Roman"/>
                      <w:color w:val="auto"/>
                      <w:kern w:val="2"/>
                      <w:sz w:val="21"/>
                      <w:szCs w:val="24"/>
                      <w:lang w:val="en-US" w:eastAsia="zh-CN"/>
                    </w:rPr>
                    <w:t>3</w:t>
                  </w:r>
                </w:p>
              </w:tc>
              <w:tc>
                <w:tcPr>
                  <w:tcW w:w="1048" w:type="pct"/>
                  <w:noWrap w:val="0"/>
                  <w:vAlign w:val="center"/>
                </w:tcPr>
                <w:p w14:paraId="5353336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rPr>
                      <w:rFonts w:hint="eastAsia" w:ascii="Arial" w:hAnsi="Arial"/>
                      <w:color w:val="auto"/>
                      <w:sz w:val="22"/>
                      <w:szCs w:val="22"/>
                      <w:lang w:val="en-US" w:eastAsia="zh-CN" w:bidi="ar-SA"/>
                    </w:rPr>
                  </w:pPr>
                  <w:r>
                    <w:rPr>
                      <w:rFonts w:hint="eastAsia" w:ascii="Times New Roman" w:hAnsi="Times New Roman" w:eastAsia="宋体" w:cs="Times New Roman"/>
                      <w:color w:val="auto"/>
                      <w:kern w:val="2"/>
                      <w:sz w:val="21"/>
                      <w:szCs w:val="24"/>
                      <w:lang w:val="en-US" w:eastAsia="zh-CN"/>
                    </w:rPr>
                    <w:t>电子秤</w:t>
                  </w:r>
                </w:p>
              </w:tc>
              <w:tc>
                <w:tcPr>
                  <w:tcW w:w="1079" w:type="pct"/>
                  <w:noWrap w:val="0"/>
                  <w:vAlign w:val="center"/>
                </w:tcPr>
                <w:p w14:paraId="33145BE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3F94B7B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5AC6CD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7台</w:t>
                  </w:r>
                </w:p>
              </w:tc>
              <w:tc>
                <w:tcPr>
                  <w:tcW w:w="698" w:type="pct"/>
                  <w:noWrap w:val="0"/>
                  <w:vAlign w:val="center"/>
                </w:tcPr>
                <w:p w14:paraId="428A39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+7</w:t>
                  </w:r>
                </w:p>
              </w:tc>
              <w:tc>
                <w:tcPr>
                  <w:tcW w:w="698" w:type="pct"/>
                  <w:vMerge w:val="continue"/>
                  <w:noWrap w:val="0"/>
                  <w:vAlign w:val="center"/>
                </w:tcPr>
                <w:p w14:paraId="2AC461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0F407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4479CC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3</w:t>
                  </w:r>
                  <w:r>
                    <w:rPr>
                      <w:rFonts w:hint="eastAsia" w:cs="Times New Roman"/>
                      <w:color w:val="auto"/>
                      <w:kern w:val="2"/>
                      <w:sz w:val="21"/>
                      <w:szCs w:val="24"/>
                      <w:lang w:val="en-US" w:eastAsia="zh-CN"/>
                    </w:rPr>
                    <w:t>4</w:t>
                  </w:r>
                </w:p>
              </w:tc>
              <w:tc>
                <w:tcPr>
                  <w:tcW w:w="1048" w:type="pct"/>
                  <w:noWrap w:val="0"/>
                  <w:vAlign w:val="center"/>
                </w:tcPr>
                <w:p w14:paraId="54A70D8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燃气灶</w:t>
                  </w:r>
                </w:p>
              </w:tc>
              <w:tc>
                <w:tcPr>
                  <w:tcW w:w="1079" w:type="pct"/>
                  <w:noWrap w:val="0"/>
                  <w:vAlign w:val="center"/>
                </w:tcPr>
                <w:p w14:paraId="066F3ED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76666AF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2D6DD1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3台</w:t>
                  </w:r>
                </w:p>
              </w:tc>
              <w:tc>
                <w:tcPr>
                  <w:tcW w:w="698" w:type="pct"/>
                  <w:noWrap w:val="0"/>
                  <w:vAlign w:val="center"/>
                </w:tcPr>
                <w:p w14:paraId="72A3C9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w:t>
                  </w:r>
                </w:p>
              </w:tc>
              <w:tc>
                <w:tcPr>
                  <w:tcW w:w="698" w:type="pct"/>
                  <w:vMerge w:val="continue"/>
                  <w:noWrap w:val="0"/>
                  <w:vAlign w:val="center"/>
                </w:tcPr>
                <w:p w14:paraId="2A7778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29548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147700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35</w:t>
                  </w:r>
                </w:p>
              </w:tc>
              <w:tc>
                <w:tcPr>
                  <w:tcW w:w="1048" w:type="pct"/>
                  <w:noWrap w:val="0"/>
                  <w:vAlign w:val="center"/>
                </w:tcPr>
                <w:p w14:paraId="5AB57B8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绞肉机</w:t>
                  </w:r>
                </w:p>
              </w:tc>
              <w:tc>
                <w:tcPr>
                  <w:tcW w:w="1079" w:type="pct"/>
                  <w:noWrap w:val="0"/>
                  <w:vAlign w:val="center"/>
                </w:tcPr>
                <w:p w14:paraId="0CBB6DD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1432A20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5755DB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4770A1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71C25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23DB7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490CFF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36</w:t>
                  </w:r>
                </w:p>
              </w:tc>
              <w:tc>
                <w:tcPr>
                  <w:tcW w:w="1048" w:type="pct"/>
                  <w:noWrap w:val="0"/>
                  <w:vAlign w:val="center"/>
                </w:tcPr>
                <w:p w14:paraId="12E7301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胶体磨</w:t>
                  </w:r>
                </w:p>
              </w:tc>
              <w:tc>
                <w:tcPr>
                  <w:tcW w:w="1079" w:type="pct"/>
                  <w:noWrap w:val="0"/>
                  <w:vAlign w:val="center"/>
                </w:tcPr>
                <w:p w14:paraId="2DE3D84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434F938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007DFF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201609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69B541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583CC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2A7042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37</w:t>
                  </w:r>
                </w:p>
              </w:tc>
              <w:tc>
                <w:tcPr>
                  <w:tcW w:w="1048" w:type="pct"/>
                  <w:noWrap w:val="0"/>
                  <w:vAlign w:val="center"/>
                </w:tcPr>
                <w:p w14:paraId="3A011F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粉碎机</w:t>
                  </w:r>
                </w:p>
              </w:tc>
              <w:tc>
                <w:tcPr>
                  <w:tcW w:w="1079" w:type="pct"/>
                  <w:noWrap w:val="0"/>
                  <w:vAlign w:val="center"/>
                </w:tcPr>
                <w:p w14:paraId="15A95B7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4442D61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0308CF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2D65BF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1595C2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7A26F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768843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38</w:t>
                  </w:r>
                </w:p>
              </w:tc>
              <w:tc>
                <w:tcPr>
                  <w:tcW w:w="1048" w:type="pct"/>
                  <w:noWrap w:val="0"/>
                  <w:vAlign w:val="center"/>
                </w:tcPr>
                <w:p w14:paraId="3F2CAAB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eastAsia="zh-CN"/>
                    </w:rPr>
                    <w:t>保温箱</w:t>
                  </w:r>
                </w:p>
              </w:tc>
              <w:tc>
                <w:tcPr>
                  <w:tcW w:w="1079" w:type="pct"/>
                  <w:noWrap w:val="0"/>
                  <w:vAlign w:val="center"/>
                </w:tcPr>
                <w:p w14:paraId="7AFD9C7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51A9923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7C0E43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208BDC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2A3FA2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5987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0B7893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39</w:t>
                  </w:r>
                </w:p>
              </w:tc>
              <w:tc>
                <w:tcPr>
                  <w:tcW w:w="1048" w:type="pct"/>
                  <w:noWrap w:val="0"/>
                  <w:vAlign w:val="center"/>
                </w:tcPr>
                <w:p w14:paraId="413C589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封口机</w:t>
                  </w:r>
                </w:p>
              </w:tc>
              <w:tc>
                <w:tcPr>
                  <w:tcW w:w="1079" w:type="pct"/>
                  <w:noWrap w:val="0"/>
                  <w:vAlign w:val="center"/>
                </w:tcPr>
                <w:p w14:paraId="32BB54B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7AD65BD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29A9AE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48C8AE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501F30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52914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4C2C6A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40</w:t>
                  </w:r>
                </w:p>
              </w:tc>
              <w:tc>
                <w:tcPr>
                  <w:tcW w:w="1048" w:type="pct"/>
                  <w:noWrap w:val="0"/>
                  <w:vAlign w:val="center"/>
                </w:tcPr>
                <w:p w14:paraId="302B889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保鲜工作台</w:t>
                  </w:r>
                </w:p>
              </w:tc>
              <w:tc>
                <w:tcPr>
                  <w:tcW w:w="1079" w:type="pct"/>
                  <w:noWrap w:val="0"/>
                  <w:vAlign w:val="center"/>
                </w:tcPr>
                <w:p w14:paraId="197D0D6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1.5m</w:t>
                  </w:r>
                </w:p>
              </w:tc>
              <w:tc>
                <w:tcPr>
                  <w:tcW w:w="590" w:type="pct"/>
                  <w:noWrap w:val="0"/>
                  <w:vAlign w:val="center"/>
                </w:tcPr>
                <w:p w14:paraId="726A551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6B895A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1个</w:t>
                  </w:r>
                </w:p>
              </w:tc>
              <w:tc>
                <w:tcPr>
                  <w:tcW w:w="698" w:type="pct"/>
                  <w:noWrap w:val="0"/>
                  <w:vAlign w:val="center"/>
                </w:tcPr>
                <w:p w14:paraId="68377F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00404C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50F0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2DFEDC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41</w:t>
                  </w:r>
                </w:p>
              </w:tc>
              <w:tc>
                <w:tcPr>
                  <w:tcW w:w="1048" w:type="pct"/>
                  <w:noWrap w:val="0"/>
                  <w:vAlign w:val="center"/>
                </w:tcPr>
                <w:p w14:paraId="669C533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辣椒机</w:t>
                  </w:r>
                </w:p>
              </w:tc>
              <w:tc>
                <w:tcPr>
                  <w:tcW w:w="1079" w:type="pct"/>
                  <w:noWrap w:val="0"/>
                  <w:vAlign w:val="center"/>
                </w:tcPr>
                <w:p w14:paraId="2E83390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2L</w:t>
                  </w:r>
                </w:p>
              </w:tc>
              <w:tc>
                <w:tcPr>
                  <w:tcW w:w="590" w:type="pct"/>
                  <w:noWrap w:val="0"/>
                  <w:vAlign w:val="center"/>
                </w:tcPr>
                <w:p w14:paraId="4AB5155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579AB0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1台</w:t>
                  </w:r>
                </w:p>
              </w:tc>
              <w:tc>
                <w:tcPr>
                  <w:tcW w:w="698" w:type="pct"/>
                  <w:noWrap w:val="0"/>
                  <w:vAlign w:val="center"/>
                </w:tcPr>
                <w:p w14:paraId="24CD92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+1</w:t>
                  </w:r>
                </w:p>
              </w:tc>
              <w:tc>
                <w:tcPr>
                  <w:tcW w:w="698" w:type="pct"/>
                  <w:vMerge w:val="continue"/>
                  <w:noWrap w:val="0"/>
                  <w:vAlign w:val="center"/>
                </w:tcPr>
                <w:p w14:paraId="7B9A13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206AE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0" w:type="dxa"/>
                  <w:noWrap w:val="0"/>
                  <w:vAlign w:val="center"/>
                </w:tcPr>
                <w:p w14:paraId="484B0E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42</w:t>
                  </w:r>
                </w:p>
              </w:tc>
              <w:tc>
                <w:tcPr>
                  <w:tcW w:w="1048" w:type="pct"/>
                  <w:noWrap w:val="0"/>
                  <w:vAlign w:val="center"/>
                </w:tcPr>
                <w:p w14:paraId="71BA861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eastAsia="zh-CN"/>
                    </w:rPr>
                  </w:pPr>
                  <w:r>
                    <w:rPr>
                      <w:rFonts w:hint="eastAsia" w:ascii="Times New Roman" w:hAnsi="Times New Roman" w:eastAsia="宋体" w:cs="Times New Roman"/>
                      <w:color w:val="auto"/>
                      <w:kern w:val="2"/>
                      <w:sz w:val="21"/>
                      <w:szCs w:val="24"/>
                      <w:lang w:eastAsia="zh-CN"/>
                    </w:rPr>
                    <w:t>无磁马斗</w:t>
                  </w:r>
                </w:p>
              </w:tc>
              <w:tc>
                <w:tcPr>
                  <w:tcW w:w="1079" w:type="pct"/>
                  <w:noWrap w:val="0"/>
                  <w:vAlign w:val="center"/>
                </w:tcPr>
                <w:p w14:paraId="67F1F94B">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14mm、16mm</w:t>
                  </w:r>
                </w:p>
              </w:tc>
              <w:tc>
                <w:tcPr>
                  <w:tcW w:w="590" w:type="pct"/>
                  <w:noWrap w:val="0"/>
                  <w:vAlign w:val="center"/>
                </w:tcPr>
                <w:p w14:paraId="4E53ED7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4E52C3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40个</w:t>
                  </w:r>
                </w:p>
              </w:tc>
              <w:tc>
                <w:tcPr>
                  <w:tcW w:w="698" w:type="pct"/>
                  <w:noWrap w:val="0"/>
                  <w:vAlign w:val="center"/>
                </w:tcPr>
                <w:p w14:paraId="14D691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+40</w:t>
                  </w:r>
                </w:p>
              </w:tc>
              <w:tc>
                <w:tcPr>
                  <w:tcW w:w="698" w:type="pct"/>
                  <w:vMerge w:val="continue"/>
                  <w:noWrap w:val="0"/>
                  <w:vAlign w:val="center"/>
                </w:tcPr>
                <w:p w14:paraId="68F9C9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r w14:paraId="7C144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20" w:type="dxa"/>
                  <w:noWrap w:val="0"/>
                  <w:vAlign w:val="center"/>
                </w:tcPr>
                <w:p w14:paraId="23ECD9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43</w:t>
                  </w:r>
                </w:p>
              </w:tc>
              <w:tc>
                <w:tcPr>
                  <w:tcW w:w="1048" w:type="pct"/>
                  <w:noWrap w:val="0"/>
                  <w:vAlign w:val="center"/>
                </w:tcPr>
                <w:p w14:paraId="47B75D5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1721密封瓶</w:t>
                  </w:r>
                </w:p>
              </w:tc>
              <w:tc>
                <w:tcPr>
                  <w:tcW w:w="1079" w:type="pct"/>
                  <w:noWrap w:val="0"/>
                  <w:vAlign w:val="center"/>
                </w:tcPr>
                <w:p w14:paraId="3CF7097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w:t>
                  </w:r>
                </w:p>
              </w:tc>
              <w:tc>
                <w:tcPr>
                  <w:tcW w:w="590" w:type="pct"/>
                  <w:noWrap w:val="0"/>
                  <w:vAlign w:val="center"/>
                </w:tcPr>
                <w:p w14:paraId="408BC226">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w:t>
                  </w:r>
                </w:p>
              </w:tc>
              <w:tc>
                <w:tcPr>
                  <w:tcW w:w="590" w:type="pct"/>
                  <w:noWrap w:val="0"/>
                  <w:vAlign w:val="center"/>
                </w:tcPr>
                <w:p w14:paraId="4C2998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20个</w:t>
                  </w:r>
                </w:p>
              </w:tc>
              <w:tc>
                <w:tcPr>
                  <w:tcW w:w="698" w:type="pct"/>
                  <w:noWrap w:val="0"/>
                  <w:vAlign w:val="center"/>
                </w:tcPr>
                <w:p w14:paraId="25E9B9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rPr>
                  </w:pPr>
                  <w:r>
                    <w:rPr>
                      <w:rFonts w:hint="eastAsia" w:cs="Times New Roman"/>
                      <w:color w:val="auto"/>
                      <w:kern w:val="2"/>
                      <w:sz w:val="21"/>
                      <w:szCs w:val="24"/>
                      <w:lang w:val="en-US" w:eastAsia="zh-CN"/>
                    </w:rPr>
                    <w:t>+20</w:t>
                  </w:r>
                </w:p>
              </w:tc>
              <w:tc>
                <w:tcPr>
                  <w:tcW w:w="698" w:type="pct"/>
                  <w:vMerge w:val="continue"/>
                  <w:noWrap w:val="0"/>
                  <w:vAlign w:val="center"/>
                </w:tcPr>
                <w:p w14:paraId="4E6F66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rPr>
                  </w:pPr>
                </w:p>
              </w:tc>
            </w:tr>
          </w:tbl>
          <w:p w14:paraId="0B11A70E">
            <w:pPr>
              <w:keepNext w:val="0"/>
              <w:keepLines w:val="0"/>
              <w:widowControl/>
              <w:suppressLineNumbers w:val="0"/>
              <w:spacing w:before="0" w:beforeAutospacing="0" w:after="0" w:afterAutospacing="0"/>
              <w:ind w:left="0" w:right="0" w:firstLine="0" w:firstLineChars="0"/>
              <w:rPr>
                <w:rFonts w:hint="default"/>
                <w:color w:val="auto"/>
              </w:rPr>
            </w:pPr>
          </w:p>
        </w:tc>
      </w:tr>
      <w:tr w14:paraId="43EBBF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93" w:hRule="atLeast"/>
          <w:jc w:val="center"/>
        </w:trPr>
        <w:tc>
          <w:tcPr>
            <w:tcW w:w="8826" w:type="dxa"/>
          </w:tcPr>
          <w:p w14:paraId="7C176C8A">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四、产品方案</w:t>
            </w:r>
          </w:p>
          <w:p w14:paraId="6570F8C2">
            <w:pPr>
              <w:keepNext w:val="0"/>
              <w:keepLines w:val="0"/>
              <w:widowControl/>
              <w:suppressLineNumbers w:val="0"/>
              <w:spacing w:before="0" w:beforeAutospacing="0" w:after="0" w:afterAutospacing="0"/>
              <w:ind w:left="0" w:right="0" w:firstLine="480"/>
              <w:rPr>
                <w:rFonts w:hint="default"/>
                <w:color w:val="auto"/>
              </w:rPr>
            </w:pPr>
            <w:r>
              <w:rPr>
                <w:rFonts w:hint="eastAsia"/>
                <w:color w:val="auto"/>
              </w:rPr>
              <w:t>项目主要产品具体见下表</w:t>
            </w:r>
            <w:r>
              <w:rPr>
                <w:rFonts w:hint="default"/>
                <w:color w:val="auto"/>
              </w:rPr>
              <w:t>2-</w:t>
            </w:r>
            <w:r>
              <w:rPr>
                <w:rFonts w:hint="eastAsia"/>
                <w:color w:val="auto"/>
                <w:lang w:val="en-US" w:eastAsia="zh-CN"/>
              </w:rPr>
              <w:t>6</w:t>
            </w:r>
            <w:r>
              <w:rPr>
                <w:rFonts w:hint="eastAsia"/>
                <w:color w:val="auto"/>
              </w:rPr>
              <w:t>。</w:t>
            </w:r>
          </w:p>
          <w:p w14:paraId="1E7A55BD">
            <w:pPr>
              <w:pStyle w:val="61"/>
              <w:keepNext w:val="0"/>
              <w:keepLines w:val="0"/>
              <w:suppressLineNumbers w:val="0"/>
              <w:spacing w:before="0" w:beforeAutospacing="0" w:after="0" w:afterAutospacing="0" w:line="240" w:lineRule="auto"/>
              <w:ind w:left="0" w:right="0"/>
              <w:rPr>
                <w:rFonts w:hint="eastAsia"/>
                <w:snapToGrid w:val="0"/>
                <w:color w:val="auto"/>
              </w:rPr>
            </w:pPr>
            <w:r>
              <w:rPr>
                <w:rFonts w:hint="eastAsia"/>
                <w:snapToGrid w:val="0"/>
                <w:color w:val="auto"/>
              </w:rPr>
              <w:t>表</w:t>
            </w:r>
            <w:r>
              <w:rPr>
                <w:rFonts w:hint="default"/>
                <w:snapToGrid w:val="0"/>
                <w:color w:val="auto"/>
              </w:rPr>
              <w:t>2-</w:t>
            </w:r>
            <w:r>
              <w:rPr>
                <w:rFonts w:hint="eastAsia"/>
                <w:snapToGrid w:val="0"/>
                <w:color w:val="auto"/>
                <w:lang w:val="en-US" w:eastAsia="zh-CN"/>
              </w:rPr>
              <w:t>6</w:t>
            </w:r>
            <w:r>
              <w:rPr>
                <w:rFonts w:hint="default"/>
                <w:snapToGrid w:val="0"/>
                <w:color w:val="auto"/>
              </w:rPr>
              <w:t xml:space="preserve"> </w:t>
            </w:r>
            <w:r>
              <w:rPr>
                <w:rFonts w:hint="eastAsia"/>
                <w:snapToGrid w:val="0"/>
                <w:color w:val="auto"/>
              </w:rPr>
              <w:t>项目主要产品方案一览表</w:t>
            </w:r>
          </w:p>
          <w:tbl>
            <w:tblPr>
              <w:tblStyle w:val="28"/>
              <w:tblW w:w="4996" w:type="pct"/>
              <w:tblInd w:w="-5"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9"/>
              <w:gridCol w:w="862"/>
              <w:gridCol w:w="2372"/>
              <w:gridCol w:w="1527"/>
              <w:gridCol w:w="1474"/>
              <w:gridCol w:w="2025"/>
            </w:tblGrid>
            <w:tr w14:paraId="1731B3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322" w:type="pct"/>
                  <w:noWrap w:val="0"/>
                  <w:vAlign w:val="center"/>
                </w:tcPr>
                <w:p w14:paraId="5273DF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sz w:val="21"/>
                      <w:szCs w:val="21"/>
                      <w:lang w:bidi="ar"/>
                    </w:rPr>
                  </w:pPr>
                  <w:r>
                    <w:rPr>
                      <w:rFonts w:hint="eastAsia" w:ascii="Times New Roman" w:hAnsi="Times New Roman" w:eastAsia="宋体" w:cs="Times New Roman"/>
                      <w:b/>
                      <w:color w:val="auto"/>
                      <w:sz w:val="21"/>
                      <w:szCs w:val="21"/>
                      <w:lang w:bidi="ar"/>
                    </w:rPr>
                    <w:t>序号</w:t>
                  </w:r>
                </w:p>
              </w:tc>
              <w:tc>
                <w:tcPr>
                  <w:tcW w:w="488" w:type="pct"/>
                  <w:noWrap w:val="0"/>
                  <w:vAlign w:val="center"/>
                </w:tcPr>
                <w:p w14:paraId="143669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sz w:val="21"/>
                      <w:szCs w:val="21"/>
                      <w:lang w:bidi="ar"/>
                    </w:rPr>
                  </w:pPr>
                  <w:r>
                    <w:rPr>
                      <w:rFonts w:hint="eastAsia" w:ascii="Times New Roman" w:hAnsi="Times New Roman" w:eastAsia="宋体" w:cs="Times New Roman"/>
                      <w:b/>
                      <w:color w:val="auto"/>
                      <w:sz w:val="21"/>
                      <w:szCs w:val="21"/>
                      <w:lang w:bidi="ar"/>
                    </w:rPr>
                    <w:t>产品名称</w:t>
                  </w:r>
                </w:p>
              </w:tc>
              <w:tc>
                <w:tcPr>
                  <w:tcW w:w="1342" w:type="pct"/>
                  <w:noWrap w:val="0"/>
                  <w:vAlign w:val="center"/>
                </w:tcPr>
                <w:p w14:paraId="41002B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color w:val="auto"/>
                      <w:sz w:val="21"/>
                      <w:szCs w:val="21"/>
                      <w:lang w:eastAsia="zh-CN" w:bidi="ar"/>
                    </w:rPr>
                  </w:pPr>
                  <w:r>
                    <w:rPr>
                      <w:rFonts w:hint="eastAsia" w:cs="Times New Roman"/>
                      <w:b/>
                      <w:color w:val="auto"/>
                      <w:sz w:val="21"/>
                      <w:szCs w:val="21"/>
                      <w:lang w:eastAsia="zh-CN" w:bidi="ar"/>
                    </w:rPr>
                    <w:t>类别</w:t>
                  </w:r>
                </w:p>
              </w:tc>
              <w:tc>
                <w:tcPr>
                  <w:tcW w:w="864" w:type="pct"/>
                  <w:noWrap w:val="0"/>
                  <w:vAlign w:val="center"/>
                </w:tcPr>
                <w:p w14:paraId="660FB0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color w:val="auto"/>
                      <w:sz w:val="21"/>
                      <w:szCs w:val="21"/>
                      <w:lang w:eastAsia="zh-CN" w:bidi="ar"/>
                    </w:rPr>
                  </w:pPr>
                  <w:r>
                    <w:rPr>
                      <w:rFonts w:hint="eastAsia" w:ascii="Times New Roman" w:hAnsi="Times New Roman" w:eastAsia="宋体" w:cs="Times New Roman"/>
                      <w:b/>
                      <w:color w:val="auto"/>
                      <w:sz w:val="21"/>
                      <w:szCs w:val="21"/>
                      <w:lang w:eastAsia="zh-CN" w:bidi="ar"/>
                    </w:rPr>
                    <w:t>环评全厂产品方案</w:t>
                  </w:r>
                </w:p>
              </w:tc>
              <w:tc>
                <w:tcPr>
                  <w:tcW w:w="834" w:type="pct"/>
                  <w:noWrap w:val="0"/>
                  <w:vAlign w:val="center"/>
                </w:tcPr>
                <w:p w14:paraId="293ABA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color w:val="auto"/>
                      <w:sz w:val="21"/>
                      <w:szCs w:val="21"/>
                      <w:lang w:eastAsia="zh-CN" w:bidi="ar"/>
                    </w:rPr>
                  </w:pPr>
                  <w:r>
                    <w:rPr>
                      <w:rFonts w:hint="eastAsia" w:ascii="Times New Roman" w:hAnsi="Times New Roman" w:eastAsia="宋体" w:cs="Times New Roman"/>
                      <w:b/>
                      <w:color w:val="auto"/>
                      <w:sz w:val="21"/>
                      <w:szCs w:val="21"/>
                      <w:lang w:eastAsia="zh-CN" w:bidi="ar"/>
                    </w:rPr>
                    <w:t>验收实际产能</w:t>
                  </w:r>
                </w:p>
              </w:tc>
              <w:tc>
                <w:tcPr>
                  <w:tcW w:w="1146" w:type="pct"/>
                  <w:noWrap w:val="0"/>
                  <w:vAlign w:val="center"/>
                </w:tcPr>
                <w:p w14:paraId="3B63F3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color w:val="auto"/>
                      <w:sz w:val="21"/>
                      <w:szCs w:val="21"/>
                      <w:lang w:eastAsia="zh-CN" w:bidi="ar"/>
                    </w:rPr>
                  </w:pPr>
                  <w:r>
                    <w:rPr>
                      <w:rFonts w:hint="eastAsia" w:cs="Times New Roman"/>
                      <w:b/>
                      <w:color w:val="auto"/>
                      <w:sz w:val="21"/>
                      <w:szCs w:val="21"/>
                      <w:lang w:eastAsia="zh-CN" w:bidi="ar"/>
                    </w:rPr>
                    <w:t>备注</w:t>
                  </w:r>
                </w:p>
              </w:tc>
            </w:tr>
            <w:tr w14:paraId="646A3D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322" w:type="pct"/>
                  <w:noWrap w:val="0"/>
                  <w:vAlign w:val="center"/>
                </w:tcPr>
                <w:p w14:paraId="708B80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1"/>
                      <w:szCs w:val="21"/>
                      <w:lang w:bidi="ar"/>
                    </w:rPr>
                  </w:pPr>
                  <w:r>
                    <w:rPr>
                      <w:rFonts w:hint="eastAsia" w:ascii="Times New Roman" w:hAnsi="Times New Roman" w:eastAsia="宋体" w:cs="Times New Roman"/>
                      <w:bCs/>
                      <w:color w:val="auto"/>
                      <w:sz w:val="21"/>
                      <w:szCs w:val="21"/>
                      <w:lang w:bidi="ar"/>
                    </w:rPr>
                    <w:t>1</w:t>
                  </w:r>
                </w:p>
              </w:tc>
              <w:tc>
                <w:tcPr>
                  <w:tcW w:w="488" w:type="pct"/>
                  <w:noWrap w:val="0"/>
                  <w:vAlign w:val="center"/>
                </w:tcPr>
                <w:p w14:paraId="20A5EE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Cs/>
                      <w:color w:val="auto"/>
                      <w:sz w:val="21"/>
                      <w:szCs w:val="21"/>
                      <w:lang w:eastAsia="zh-CN" w:bidi="ar"/>
                    </w:rPr>
                  </w:pPr>
                  <w:r>
                    <w:rPr>
                      <w:rFonts w:hint="eastAsia" w:cs="Times New Roman"/>
                      <w:bCs/>
                      <w:color w:val="auto"/>
                      <w:sz w:val="21"/>
                      <w:szCs w:val="21"/>
                      <w:lang w:eastAsia="zh-CN" w:bidi="ar"/>
                    </w:rPr>
                    <w:t>餐佐料</w:t>
                  </w:r>
                </w:p>
              </w:tc>
              <w:tc>
                <w:tcPr>
                  <w:tcW w:w="1342" w:type="pct"/>
                  <w:noWrap w:val="0"/>
                  <w:vAlign w:val="center"/>
                </w:tcPr>
                <w:p w14:paraId="137147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Cs/>
                      <w:color w:val="auto"/>
                      <w:sz w:val="21"/>
                      <w:szCs w:val="21"/>
                      <w:lang w:eastAsia="zh-CN" w:bidi="ar"/>
                    </w:rPr>
                  </w:pPr>
                  <w:r>
                    <w:rPr>
                      <w:rFonts w:hint="eastAsia" w:cs="Times New Roman"/>
                      <w:bCs/>
                      <w:color w:val="auto"/>
                      <w:sz w:val="21"/>
                      <w:szCs w:val="21"/>
                      <w:lang w:eastAsia="zh-CN" w:bidi="ar"/>
                    </w:rPr>
                    <w:t>包括复合调味料和火锅底料</w:t>
                  </w:r>
                </w:p>
              </w:tc>
              <w:tc>
                <w:tcPr>
                  <w:tcW w:w="864" w:type="pct"/>
                  <w:noWrap w:val="0"/>
                  <w:vAlign w:val="center"/>
                </w:tcPr>
                <w:p w14:paraId="62A10E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Cs/>
                      <w:color w:val="auto"/>
                      <w:sz w:val="21"/>
                      <w:szCs w:val="21"/>
                      <w:lang w:val="en-US" w:eastAsia="zh-CN" w:bidi="ar"/>
                    </w:rPr>
                  </w:pPr>
                  <w:r>
                    <w:rPr>
                      <w:rFonts w:hint="eastAsia" w:cs="Times New Roman"/>
                      <w:bCs/>
                      <w:color w:val="auto"/>
                      <w:sz w:val="21"/>
                      <w:szCs w:val="21"/>
                      <w:lang w:val="en-US" w:eastAsia="zh-CN" w:bidi="ar"/>
                    </w:rPr>
                    <w:t>2000吨/年</w:t>
                  </w:r>
                </w:p>
              </w:tc>
              <w:tc>
                <w:tcPr>
                  <w:tcW w:w="834" w:type="pct"/>
                  <w:noWrap w:val="0"/>
                  <w:vAlign w:val="center"/>
                </w:tcPr>
                <w:p w14:paraId="3DE6DC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1"/>
                      <w:szCs w:val="21"/>
                      <w:lang w:val="en-US" w:eastAsia="zh-CN" w:bidi="ar"/>
                    </w:rPr>
                  </w:pPr>
                  <w:r>
                    <w:rPr>
                      <w:rFonts w:hint="eastAsia" w:cs="Times New Roman"/>
                      <w:bCs/>
                      <w:color w:val="auto"/>
                      <w:sz w:val="21"/>
                      <w:szCs w:val="21"/>
                      <w:lang w:val="en-US" w:eastAsia="zh-CN" w:bidi="ar"/>
                    </w:rPr>
                    <w:t>2000吨/年</w:t>
                  </w:r>
                </w:p>
              </w:tc>
              <w:tc>
                <w:tcPr>
                  <w:tcW w:w="1146" w:type="pct"/>
                  <w:noWrap w:val="0"/>
                  <w:vAlign w:val="center"/>
                </w:tcPr>
                <w:p w14:paraId="530AC7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Cs/>
                      <w:color w:val="auto"/>
                      <w:sz w:val="21"/>
                      <w:szCs w:val="21"/>
                      <w:lang w:eastAsia="zh-CN" w:bidi="ar"/>
                    </w:rPr>
                  </w:pPr>
                  <w:r>
                    <w:rPr>
                      <w:rFonts w:hint="eastAsia" w:cs="Times New Roman"/>
                      <w:bCs/>
                      <w:color w:val="auto"/>
                      <w:sz w:val="21"/>
                      <w:szCs w:val="21"/>
                      <w:lang w:eastAsia="zh-CN" w:bidi="ar"/>
                    </w:rPr>
                    <w:t>与环评产能一致</w:t>
                  </w:r>
                </w:p>
              </w:tc>
            </w:tr>
            <w:tr w14:paraId="609559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322" w:type="pct"/>
                  <w:noWrap w:val="0"/>
                  <w:vAlign w:val="center"/>
                </w:tcPr>
                <w:p w14:paraId="046362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color w:val="auto"/>
                      <w:sz w:val="21"/>
                      <w:szCs w:val="21"/>
                      <w:lang w:bidi="ar"/>
                    </w:rPr>
                  </w:pPr>
                  <w:r>
                    <w:rPr>
                      <w:rFonts w:hint="eastAsia" w:ascii="Times New Roman" w:hAnsi="Times New Roman" w:eastAsia="宋体" w:cs="Times New Roman"/>
                      <w:bCs/>
                      <w:color w:val="auto"/>
                      <w:sz w:val="21"/>
                      <w:szCs w:val="21"/>
                      <w:lang w:bidi="ar"/>
                    </w:rPr>
                    <w:t>2</w:t>
                  </w:r>
                </w:p>
              </w:tc>
              <w:tc>
                <w:tcPr>
                  <w:tcW w:w="488" w:type="pct"/>
                  <w:noWrap w:val="0"/>
                  <w:vAlign w:val="center"/>
                </w:tcPr>
                <w:p w14:paraId="6031FC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Cs/>
                      <w:color w:val="auto"/>
                      <w:sz w:val="21"/>
                      <w:szCs w:val="21"/>
                      <w:lang w:eastAsia="zh-CN" w:bidi="ar"/>
                    </w:rPr>
                  </w:pPr>
                  <w:r>
                    <w:rPr>
                      <w:rFonts w:hint="eastAsia" w:cs="Times New Roman"/>
                      <w:bCs/>
                      <w:color w:val="auto"/>
                      <w:sz w:val="21"/>
                      <w:szCs w:val="21"/>
                      <w:lang w:eastAsia="zh-CN" w:bidi="ar"/>
                    </w:rPr>
                    <w:t>鸡精</w:t>
                  </w:r>
                </w:p>
              </w:tc>
              <w:tc>
                <w:tcPr>
                  <w:tcW w:w="1342" w:type="pct"/>
                  <w:noWrap w:val="0"/>
                  <w:vAlign w:val="center"/>
                </w:tcPr>
                <w:p w14:paraId="5F0F9CFB">
                  <w:pPr>
                    <w:pStyle w:val="33"/>
                    <w:keepNext w:val="0"/>
                    <w:keepLines w:val="0"/>
                    <w:suppressLineNumbers w:val="0"/>
                    <w:spacing w:before="0" w:beforeAutospacing="0" w:after="0" w:afterAutospacing="0"/>
                    <w:ind w:left="0" w:right="0" w:firstLine="420" w:firstLineChars="200"/>
                    <w:jc w:val="center"/>
                    <w:rPr>
                      <w:rFonts w:hint="eastAsia" w:ascii="Times New Roman" w:hAnsi="Times New Roman" w:eastAsia="宋体" w:cs="Times New Roman"/>
                      <w:bCs/>
                      <w:color w:val="auto"/>
                      <w:sz w:val="21"/>
                      <w:szCs w:val="21"/>
                      <w:lang w:val="en-US" w:eastAsia="zh-CN" w:bidi="ar"/>
                    </w:rPr>
                  </w:pPr>
                  <w:r>
                    <w:rPr>
                      <w:rFonts w:hint="eastAsia" w:ascii="Times New Roman" w:hAnsi="Times New Roman" w:eastAsia="宋体" w:cs="Times New Roman"/>
                      <w:bCs/>
                      <w:color w:val="auto"/>
                      <w:sz w:val="21"/>
                      <w:szCs w:val="21"/>
                      <w:lang w:val="en-US" w:eastAsia="zh-CN" w:bidi="ar"/>
                    </w:rPr>
                    <w:t>袋装鸡精</w:t>
                  </w:r>
                </w:p>
              </w:tc>
              <w:tc>
                <w:tcPr>
                  <w:tcW w:w="864" w:type="pct"/>
                  <w:noWrap w:val="0"/>
                  <w:vAlign w:val="center"/>
                </w:tcPr>
                <w:p w14:paraId="43B5472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eastAsia="宋体" w:cs="Times New Roman"/>
                      <w:bCs/>
                      <w:color w:val="auto"/>
                      <w:sz w:val="21"/>
                      <w:szCs w:val="21"/>
                      <w:lang w:val="en-US" w:eastAsia="zh-CN" w:bidi="ar"/>
                    </w:rPr>
                    <w:t>4000吨/年</w:t>
                  </w:r>
                </w:p>
              </w:tc>
              <w:tc>
                <w:tcPr>
                  <w:tcW w:w="834" w:type="pct"/>
                  <w:noWrap w:val="0"/>
                  <w:vAlign w:val="center"/>
                </w:tcPr>
                <w:p w14:paraId="4D5DB4C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eastAsia="宋体" w:cs="Times New Roman"/>
                      <w:bCs/>
                      <w:color w:val="auto"/>
                      <w:sz w:val="21"/>
                      <w:szCs w:val="21"/>
                      <w:lang w:val="en-US" w:eastAsia="zh-CN" w:bidi="ar"/>
                    </w:rPr>
                    <w:t>0</w:t>
                  </w:r>
                </w:p>
              </w:tc>
              <w:tc>
                <w:tcPr>
                  <w:tcW w:w="1146" w:type="pct"/>
                  <w:noWrap w:val="0"/>
                  <w:vAlign w:val="center"/>
                </w:tcPr>
                <w:p w14:paraId="5F698A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Cs/>
                      <w:color w:val="auto"/>
                      <w:sz w:val="21"/>
                      <w:szCs w:val="21"/>
                      <w:lang w:val="en-US" w:eastAsia="zh-CN" w:bidi="ar"/>
                    </w:rPr>
                  </w:pPr>
                  <w:r>
                    <w:rPr>
                      <w:rFonts w:hint="eastAsia" w:ascii="Times New Roman" w:hAnsi="Times New Roman" w:eastAsia="宋体" w:cs="Times New Roman"/>
                      <w:bCs/>
                      <w:color w:val="auto"/>
                      <w:sz w:val="21"/>
                      <w:szCs w:val="21"/>
                      <w:lang w:val="en-US" w:eastAsia="zh-CN" w:bidi="ar"/>
                    </w:rPr>
                    <w:t>鸡精生产线未建设</w:t>
                  </w:r>
                </w:p>
              </w:tc>
            </w:tr>
          </w:tbl>
          <w:p w14:paraId="2F1818D5">
            <w:pPr>
              <w:keepNext w:val="0"/>
              <w:keepLines w:val="0"/>
              <w:widowControl/>
              <w:suppressLineNumbers w:val="0"/>
              <w:spacing w:before="0" w:beforeAutospacing="0" w:after="0" w:afterAutospacing="0"/>
              <w:ind w:left="0" w:right="0" w:firstLine="0" w:firstLineChars="0"/>
              <w:rPr>
                <w:rFonts w:hint="default"/>
                <w:color w:val="auto"/>
              </w:rPr>
            </w:pPr>
          </w:p>
        </w:tc>
      </w:tr>
      <w:tr w14:paraId="0F882D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826" w:type="dxa"/>
          </w:tcPr>
          <w:p w14:paraId="7FD64814">
            <w:pPr>
              <w:pStyle w:val="4"/>
              <w:keepNext w:val="0"/>
              <w:keepLines w:val="0"/>
              <w:numPr>
                <w:ilvl w:val="0"/>
                <w:numId w:val="2"/>
              </w:numPr>
              <w:suppressLineNumbers w:val="0"/>
              <w:spacing w:before="0" w:beforeAutospacing="0" w:after="0" w:afterAutospacing="0"/>
              <w:ind w:left="0" w:right="0"/>
              <w:rPr>
                <w:rFonts w:hint="eastAsia"/>
                <w:color w:val="auto"/>
                <w:sz w:val="28"/>
                <w:szCs w:val="28"/>
              </w:rPr>
            </w:pPr>
            <w:r>
              <w:rPr>
                <w:rFonts w:hint="default"/>
                <w:b w:val="0"/>
                <w:bCs w:val="0"/>
                <w:color w:val="auto"/>
                <w:sz w:val="28"/>
                <w:szCs w:val="28"/>
              </w:rPr>
              <w:br w:type="page"/>
            </w:r>
            <w:r>
              <w:rPr>
                <w:rFonts w:hint="eastAsia"/>
                <w:color w:val="auto"/>
                <w:sz w:val="28"/>
                <w:szCs w:val="28"/>
              </w:rPr>
              <w:t>营运期主要工艺流程及产污环节</w:t>
            </w:r>
          </w:p>
          <w:p w14:paraId="4655DCAA">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ind w:left="0" w:right="0" w:firstLine="482" w:firstLineChars="200"/>
              <w:textAlignment w:val="auto"/>
              <w:rPr>
                <w:rFonts w:hint="eastAsia" w:eastAsia="宋体"/>
                <w:b/>
                <w:bCs/>
                <w:color w:val="auto"/>
                <w:sz w:val="24"/>
                <w:szCs w:val="24"/>
                <w:lang w:val="en-US" w:eastAsia="zh-CN"/>
              </w:rPr>
            </w:pPr>
            <w:r>
              <w:rPr>
                <w:rFonts w:hint="eastAsia"/>
                <w:b/>
                <w:bCs/>
                <w:color w:val="auto"/>
                <w:sz w:val="24"/>
                <w:szCs w:val="24"/>
                <w:lang w:val="en-US" w:eastAsia="zh-CN"/>
              </w:rPr>
              <w:t>1、项目生产工艺流程及产污位置</w:t>
            </w:r>
          </w:p>
          <w:p w14:paraId="51A49B0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本次</w:t>
            </w:r>
            <w:r>
              <w:rPr>
                <w:rFonts w:hint="eastAsia" w:cs="Times New Roman"/>
                <w:color w:val="auto"/>
                <w:kern w:val="0"/>
                <w:sz w:val="24"/>
                <w:szCs w:val="24"/>
                <w:lang w:val="en-US" w:eastAsia="zh-CN" w:bidi="ar-SA"/>
              </w:rPr>
              <w:t>仅在2#生产车间新建了1条餐佐料生产线，并对1#生产车间的废气处理设施进行了升级改造，鸡精生产线未建设</w:t>
            </w:r>
            <w:r>
              <w:rPr>
                <w:rFonts w:hint="eastAsia" w:ascii="Times New Roman" w:hAnsi="Times New Roman" w:eastAsia="宋体" w:cs="Times New Roman"/>
                <w:color w:val="auto"/>
                <w:kern w:val="0"/>
                <w:sz w:val="24"/>
                <w:szCs w:val="24"/>
                <w:lang w:val="en-US" w:eastAsia="zh-CN" w:bidi="ar-SA"/>
              </w:rPr>
              <w:t>。</w:t>
            </w:r>
            <w:r>
              <w:rPr>
                <w:rFonts w:hint="eastAsia" w:cs="Times New Roman"/>
                <w:color w:val="auto"/>
                <w:kern w:val="0"/>
                <w:sz w:val="24"/>
                <w:szCs w:val="24"/>
                <w:lang w:val="en-US" w:eastAsia="zh-CN" w:bidi="ar-SA"/>
              </w:rPr>
              <w:t>餐佐料</w:t>
            </w:r>
            <w:r>
              <w:rPr>
                <w:rFonts w:hint="eastAsia" w:ascii="Times New Roman" w:hAnsi="Times New Roman" w:eastAsia="宋体" w:cs="Times New Roman"/>
                <w:color w:val="auto"/>
                <w:kern w:val="0"/>
                <w:sz w:val="24"/>
                <w:szCs w:val="24"/>
                <w:lang w:val="en-US" w:eastAsia="zh-CN" w:bidi="ar-SA"/>
              </w:rPr>
              <w:t>生产线工艺流程如下：</w:t>
            </w:r>
          </w:p>
          <w:p w14:paraId="25478B42">
            <w:pPr>
              <w:pStyle w:val="12"/>
              <w:keepNext w:val="0"/>
              <w:keepLines w:val="0"/>
              <w:widowControl/>
              <w:suppressLineNumbers w:val="0"/>
              <w:spacing w:before="0" w:beforeAutospacing="0" w:afterAutospacing="0"/>
              <w:ind w:left="0" w:leftChars="0" w:right="0" w:firstLine="0" w:firstLineChars="0"/>
              <w:rPr>
                <w:rFonts w:hint="default" w:ascii="Times New Roman" w:hAnsi="Times New Roman" w:eastAsia="宋体" w:cs="Times New Roman"/>
                <w:color w:val="auto"/>
                <w:kern w:val="2"/>
                <w:sz w:val="24"/>
                <w:szCs w:val="22"/>
                <w:shd w:val="clear" w:color="auto" w:fill="FFFFFF"/>
                <w:lang w:val="zh-TW" w:eastAsia="zh-TW" w:bidi="ar-SA"/>
              </w:rPr>
            </w:pPr>
            <w:r>
              <w:rPr>
                <w:rFonts w:hint="default"/>
                <w:color w:val="auto"/>
                <w:sz w:val="24"/>
              </w:rPr>
              <w:pict>
                <v:shape id="_x0000_i1025" o:spt="75" alt="c1c3ecf490482390b6fb8b782186f6d" type="#_x0000_t75" style="height:323.85pt;width:442.4pt;" filled="f" o:preferrelative="t" stroked="f" coordsize="21600,21600">
                  <v:path/>
                  <v:fill on="f" focussize="0,0"/>
                  <v:stroke on="f"/>
                  <v:imagedata r:id="rId15" o:title="c1c3ecf490482390b6fb8b782186f6d"/>
                  <o:lock v:ext="edit" aspectratio="t"/>
                  <w10:wrap type="none"/>
                  <w10:anchorlock/>
                </v:shape>
              </w:pict>
            </w:r>
          </w:p>
          <w:p w14:paraId="7CC9BDA6">
            <w:pPr>
              <w:keepNext w:val="0"/>
              <w:keepLines w:val="0"/>
              <w:widowControl/>
              <w:suppressLineNumbers w:val="0"/>
              <w:spacing w:before="0" w:beforeAutospacing="0" w:after="0" w:afterAutospacing="0"/>
              <w:ind w:left="0" w:right="0"/>
              <w:jc w:val="center"/>
              <w:rPr>
                <w:rFonts w:hint="default" w:eastAsia="宋体"/>
                <w:b/>
                <w:bCs/>
                <w:color w:val="auto"/>
                <w:sz w:val="21"/>
                <w:szCs w:val="21"/>
                <w:lang w:val="en-US" w:eastAsia="zh-CN"/>
              </w:rPr>
            </w:pPr>
            <w:r>
              <w:rPr>
                <w:rFonts w:hint="eastAsia" w:ascii="Times New Roman" w:hAnsi="Times New Roman" w:eastAsia="宋体" w:cs="Times New Roman"/>
                <w:b/>
                <w:bCs/>
                <w:color w:val="auto"/>
                <w:kern w:val="2"/>
                <w:sz w:val="21"/>
                <w:szCs w:val="21"/>
                <w:shd w:val="clear" w:color="auto" w:fill="FFFFFF"/>
                <w:lang w:val="zh-TW" w:eastAsia="zh-CN" w:bidi="ar-SA"/>
              </w:rPr>
              <w:t>图</w:t>
            </w:r>
            <w:r>
              <w:rPr>
                <w:rFonts w:hint="eastAsia" w:ascii="Times New Roman" w:hAnsi="Times New Roman" w:eastAsia="宋体" w:cs="Times New Roman"/>
                <w:b/>
                <w:bCs/>
                <w:color w:val="auto"/>
                <w:kern w:val="2"/>
                <w:sz w:val="21"/>
                <w:szCs w:val="21"/>
                <w:shd w:val="clear" w:color="auto" w:fill="FFFFFF"/>
                <w:lang w:val="en-US" w:eastAsia="zh-CN" w:bidi="ar-SA"/>
              </w:rPr>
              <w:t>2-</w:t>
            </w:r>
            <w:r>
              <w:rPr>
                <w:rFonts w:hint="eastAsia" w:cs="Times New Roman"/>
                <w:b/>
                <w:bCs/>
                <w:color w:val="auto"/>
                <w:kern w:val="2"/>
                <w:sz w:val="21"/>
                <w:szCs w:val="21"/>
                <w:shd w:val="clear" w:color="auto" w:fill="FFFFFF"/>
                <w:lang w:val="en-US" w:eastAsia="zh-CN" w:bidi="ar-SA"/>
              </w:rPr>
              <w:t>1</w:t>
            </w:r>
            <w:r>
              <w:rPr>
                <w:rFonts w:hint="eastAsia" w:ascii="Times New Roman" w:hAnsi="Times New Roman" w:eastAsia="宋体" w:cs="Times New Roman"/>
                <w:b/>
                <w:bCs/>
                <w:color w:val="auto"/>
                <w:kern w:val="2"/>
                <w:sz w:val="21"/>
                <w:szCs w:val="21"/>
                <w:shd w:val="clear" w:color="auto" w:fill="FFFFFF"/>
                <w:lang w:val="en-US" w:eastAsia="zh-CN" w:bidi="ar-SA"/>
              </w:rPr>
              <w:t xml:space="preserve"> </w:t>
            </w:r>
            <w:r>
              <w:rPr>
                <w:rFonts w:hint="eastAsia" w:cs="Times New Roman"/>
                <w:b/>
                <w:bCs/>
                <w:color w:val="auto"/>
                <w:kern w:val="2"/>
                <w:sz w:val="21"/>
                <w:szCs w:val="21"/>
                <w:shd w:val="clear" w:color="auto" w:fill="FFFFFF"/>
                <w:lang w:val="en-US" w:eastAsia="zh-CN" w:bidi="ar-SA"/>
              </w:rPr>
              <w:t>餐佐料</w:t>
            </w:r>
            <w:r>
              <w:rPr>
                <w:rFonts w:hint="eastAsia" w:ascii="Times New Roman" w:hAnsi="Times New Roman" w:eastAsia="宋体" w:cs="Times New Roman"/>
                <w:b/>
                <w:bCs/>
                <w:color w:val="auto"/>
                <w:kern w:val="2"/>
                <w:sz w:val="21"/>
                <w:szCs w:val="21"/>
                <w:shd w:val="clear" w:color="auto" w:fill="FFFFFF"/>
                <w:lang w:val="en-US" w:eastAsia="zh-CN" w:bidi="ar-SA"/>
              </w:rPr>
              <w:t>生产工艺流程及产污环节图</w:t>
            </w:r>
          </w:p>
          <w:p w14:paraId="11292C83">
            <w:pPr>
              <w:pStyle w:val="33"/>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Autospacing="0" w:line="360" w:lineRule="auto"/>
              <w:ind w:left="0" w:right="0" w:firstLine="480" w:firstLineChars="200"/>
              <w:textAlignment w:val="auto"/>
              <w:rPr>
                <w:rFonts w:hint="eastAsia" w:hAnsi="宋体" w:eastAsia="宋体" w:cs="宋体"/>
                <w:b w:val="0"/>
                <w:bCs w:val="0"/>
                <w:color w:val="auto"/>
                <w:sz w:val="24"/>
                <w:szCs w:val="24"/>
                <w:lang w:eastAsia="zh-CN"/>
              </w:rPr>
            </w:pPr>
            <w:r>
              <w:rPr>
                <w:rFonts w:hint="eastAsia" w:hAnsi="宋体" w:eastAsia="宋体" w:cs="宋体"/>
                <w:b w:val="0"/>
                <w:bCs w:val="0"/>
                <w:color w:val="auto"/>
                <w:sz w:val="24"/>
                <w:szCs w:val="24"/>
                <w:lang w:eastAsia="zh-CN"/>
              </w:rPr>
              <w:t>①原料预处理</w:t>
            </w:r>
          </w:p>
          <w:p w14:paraId="27289DDD">
            <w:pPr>
              <w:pStyle w:val="33"/>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Autospacing="0" w:line="360" w:lineRule="auto"/>
              <w:ind w:left="0" w:right="0" w:firstLine="480" w:firstLineChars="200"/>
              <w:textAlignment w:val="auto"/>
              <w:rPr>
                <w:rFonts w:hint="eastAsia" w:hAnsi="宋体" w:eastAsia="宋体" w:cs="宋体"/>
                <w:b/>
                <w:bCs/>
                <w:color w:val="auto"/>
                <w:sz w:val="24"/>
                <w:szCs w:val="24"/>
                <w:lang w:eastAsia="zh-CN"/>
              </w:rPr>
            </w:pPr>
            <w:r>
              <w:rPr>
                <w:rFonts w:hint="eastAsia" w:hAnsi="宋体" w:eastAsia="宋体" w:cs="宋体"/>
                <w:b w:val="0"/>
                <w:bCs w:val="0"/>
                <w:color w:val="auto"/>
                <w:sz w:val="24"/>
                <w:szCs w:val="24"/>
                <w:lang w:eastAsia="zh-CN"/>
              </w:rPr>
              <w:t>项目使用的大蒜和姜蒜都是外购已经清洗和去皮了的，辣椒经人工去除根叶放入连续煮椒机煮熟后，</w:t>
            </w:r>
            <w:r>
              <w:rPr>
                <w:rFonts w:hint="eastAsia" w:hAnsi="宋体" w:cs="宋体"/>
                <w:b w:val="0"/>
                <w:bCs w:val="0"/>
                <w:color w:val="auto"/>
                <w:sz w:val="24"/>
                <w:szCs w:val="24"/>
                <w:lang w:eastAsia="zh-CN"/>
              </w:rPr>
              <w:t>再将葱姜蒜等原料用切菜机、斩拌机等切成所需要的细度备用</w:t>
            </w:r>
            <w:r>
              <w:rPr>
                <w:rFonts w:hint="eastAsia" w:hAnsi="宋体" w:eastAsia="宋体" w:cs="宋体"/>
                <w:b w:val="0"/>
                <w:bCs w:val="0"/>
                <w:color w:val="auto"/>
                <w:sz w:val="24"/>
                <w:szCs w:val="24"/>
                <w:lang w:eastAsia="zh-CN"/>
              </w:rPr>
              <w:t>。该过程会产生废水、噪声和固废。</w:t>
            </w:r>
          </w:p>
          <w:p w14:paraId="479A0FED">
            <w:pPr>
              <w:pStyle w:val="33"/>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Autospacing="0" w:line="360" w:lineRule="auto"/>
              <w:ind w:left="0" w:right="0" w:firstLine="480" w:firstLineChars="200"/>
              <w:textAlignment w:val="auto"/>
              <w:rPr>
                <w:rFonts w:hint="eastAsia" w:hAnsi="宋体" w:eastAsia="宋体" w:cs="宋体"/>
                <w:b w:val="0"/>
                <w:bCs w:val="0"/>
                <w:color w:val="auto"/>
                <w:sz w:val="24"/>
                <w:szCs w:val="24"/>
                <w:lang w:eastAsia="zh-CN"/>
              </w:rPr>
            </w:pPr>
            <w:r>
              <w:rPr>
                <w:rFonts w:hint="eastAsia" w:hAnsi="宋体" w:eastAsia="宋体" w:cs="宋体"/>
                <w:b w:val="0"/>
                <w:bCs w:val="0"/>
                <w:color w:val="auto"/>
                <w:sz w:val="24"/>
                <w:szCs w:val="24"/>
                <w:lang w:eastAsia="zh-CN"/>
              </w:rPr>
              <w:t>②配料</w:t>
            </w:r>
            <w:r>
              <w:rPr>
                <w:rFonts w:hint="eastAsia" w:hAnsi="宋体" w:cs="宋体"/>
                <w:b w:val="0"/>
                <w:bCs w:val="0"/>
                <w:color w:val="auto"/>
                <w:sz w:val="24"/>
                <w:szCs w:val="24"/>
                <w:lang w:eastAsia="zh-CN"/>
              </w:rPr>
              <w:t>、炒料</w:t>
            </w:r>
          </w:p>
          <w:p w14:paraId="22D27EA5">
            <w:pPr>
              <w:keepNext w:val="0"/>
              <w:keepLines w:val="0"/>
              <w:pageBreakBefore w:val="0"/>
              <w:widowControl/>
              <w:suppressLineNumbers w:val="0"/>
              <w:kinsoku/>
              <w:wordWrap/>
              <w:overflowPunct/>
              <w:topLinePunct w:val="0"/>
              <w:bidi w:val="0"/>
              <w:snapToGrid/>
              <w:spacing w:before="0" w:beforeAutospacing="0" w:after="0" w:afterAutospacing="0" w:line="360" w:lineRule="auto"/>
              <w:ind w:left="0" w:right="0" w:firstLine="480" w:firstLineChars="200"/>
              <w:jc w:val="left"/>
              <w:textAlignment w:val="auto"/>
              <w:rPr>
                <w:rFonts w:hint="eastAsia" w:ascii="Times New Roman" w:eastAsia="宋体" w:cs="宋体"/>
                <w:b w:val="0"/>
                <w:bCs w:val="0"/>
                <w:color w:val="auto"/>
                <w:kern w:val="0"/>
                <w:sz w:val="24"/>
                <w:szCs w:val="24"/>
                <w:lang w:val="en-US" w:eastAsia="zh-CN" w:bidi="ar"/>
              </w:rPr>
            </w:pPr>
            <w:r>
              <w:rPr>
                <w:rFonts w:hint="eastAsia" w:ascii="宋体" w:hAnsi="宋体" w:eastAsia="宋体" w:cs="宋体"/>
                <w:color w:val="auto"/>
                <w:kern w:val="0"/>
                <w:sz w:val="24"/>
                <w:szCs w:val="24"/>
                <w:lang w:val="en-US" w:eastAsia="zh-CN" w:bidi="ar"/>
              </w:rPr>
              <w:t>外购的其余原料不需要预处理，按配比进行称重、配料，配料过程中将产生一定的包装袋等固废。</w:t>
            </w:r>
            <w:r>
              <w:rPr>
                <w:rFonts w:hint="eastAsia" w:ascii="Times New Roman" w:eastAsia="宋体" w:cs="宋体"/>
                <w:b w:val="0"/>
                <w:bCs w:val="0"/>
                <w:color w:val="auto"/>
                <w:kern w:val="0"/>
                <w:sz w:val="24"/>
                <w:szCs w:val="24"/>
                <w:lang w:val="en-US" w:eastAsia="zh-CN" w:bidi="ar"/>
              </w:rPr>
              <w:t>炒锅内加入食用油、牛油，加热后加入葱、姜、炒锅内加入食用油、牛油，加热后加入葱、姜、蒜、辣椒、花椒以及其他经营料后的原料，炒制20min 后加水熬制，加水量约占原料量的 15%。炒锅采用天然气作为能源</w:t>
            </w:r>
            <w:r>
              <w:rPr>
                <w:rFonts w:hint="eastAsia" w:cs="宋体"/>
                <w:b w:val="0"/>
                <w:bCs w:val="0"/>
                <w:color w:val="auto"/>
                <w:kern w:val="0"/>
                <w:sz w:val="24"/>
                <w:szCs w:val="24"/>
                <w:lang w:val="en-US" w:eastAsia="zh-CN" w:bidi="ar"/>
              </w:rPr>
              <w:t>，</w:t>
            </w:r>
            <w:r>
              <w:rPr>
                <w:rFonts w:hint="eastAsia" w:ascii="Times New Roman" w:eastAsia="宋体" w:cs="宋体"/>
                <w:b w:val="0"/>
                <w:bCs w:val="0"/>
                <w:color w:val="auto"/>
                <w:kern w:val="0"/>
                <w:sz w:val="24"/>
                <w:szCs w:val="24"/>
                <w:lang w:val="en-US" w:eastAsia="zh-CN" w:bidi="ar"/>
              </w:rPr>
              <w:t>批料炒制时长为1小时，每天炒制4批次料，该过程将产生油烟、异味。</w:t>
            </w:r>
          </w:p>
          <w:p w14:paraId="129FB29C">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ascii="Times New Roman" w:eastAsia="宋体" w:cs="宋体"/>
                <w:b w:val="0"/>
                <w:bCs w:val="0"/>
                <w:color w:val="auto"/>
                <w:kern w:val="0"/>
                <w:sz w:val="24"/>
                <w:szCs w:val="24"/>
                <w:lang w:val="en-US" w:eastAsia="zh-CN" w:bidi="ar"/>
              </w:rPr>
            </w:pPr>
            <w:r>
              <w:rPr>
                <w:rFonts w:hint="eastAsia" w:cs="宋体"/>
                <w:b w:val="0"/>
                <w:bCs w:val="0"/>
                <w:color w:val="auto"/>
                <w:kern w:val="0"/>
                <w:sz w:val="24"/>
                <w:szCs w:val="24"/>
                <w:lang w:val="en-US" w:eastAsia="zh-CN" w:bidi="ar"/>
              </w:rPr>
              <w:t>③</w:t>
            </w:r>
            <w:r>
              <w:rPr>
                <w:rFonts w:hint="eastAsia" w:ascii="Times New Roman" w:eastAsia="宋体" w:cs="宋体"/>
                <w:b w:val="0"/>
                <w:bCs w:val="0"/>
                <w:color w:val="auto"/>
                <w:kern w:val="0"/>
                <w:sz w:val="24"/>
                <w:szCs w:val="24"/>
                <w:lang w:val="en-US" w:eastAsia="zh-CN" w:bidi="ar"/>
              </w:rPr>
              <w:t>分离火锅油</w:t>
            </w:r>
          </w:p>
          <w:p w14:paraId="0D0B377A">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ascii="Times New Roman" w:eastAsia="宋体" w:cs="宋体"/>
                <w:b w:val="0"/>
                <w:bCs w:val="0"/>
                <w:color w:val="auto"/>
                <w:kern w:val="0"/>
                <w:sz w:val="24"/>
                <w:szCs w:val="24"/>
                <w:lang w:val="en-US" w:eastAsia="zh-CN" w:bidi="ar"/>
              </w:rPr>
            </w:pPr>
            <w:r>
              <w:rPr>
                <w:rFonts w:hint="eastAsia" w:ascii="Times New Roman" w:eastAsia="宋体" w:cs="宋体"/>
                <w:b w:val="0"/>
                <w:bCs w:val="0"/>
                <w:color w:val="auto"/>
                <w:kern w:val="0"/>
                <w:sz w:val="24"/>
                <w:szCs w:val="24"/>
                <w:lang w:val="en-US" w:eastAsia="zh-CN" w:bidi="ar"/>
              </w:rPr>
              <w:t>使用离心机将焖制好的火锅底料进行油、料分离，制作火锅油产品。此过程会产生噪声和料渣。</w:t>
            </w:r>
          </w:p>
          <w:p w14:paraId="79E8F916">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ascii="Times New Roman" w:eastAsia="宋体" w:cs="宋体"/>
                <w:b w:val="0"/>
                <w:bCs w:val="0"/>
                <w:color w:val="auto"/>
                <w:kern w:val="0"/>
                <w:sz w:val="24"/>
                <w:szCs w:val="24"/>
                <w:lang w:val="en-US" w:eastAsia="zh-CN" w:bidi="ar"/>
              </w:rPr>
            </w:pPr>
            <w:r>
              <w:rPr>
                <w:rFonts w:hint="eastAsia" w:cs="宋体"/>
                <w:b w:val="0"/>
                <w:bCs w:val="0"/>
                <w:color w:val="auto"/>
                <w:kern w:val="0"/>
                <w:sz w:val="24"/>
                <w:szCs w:val="24"/>
                <w:lang w:val="en-US" w:eastAsia="zh-CN" w:bidi="ar"/>
              </w:rPr>
              <w:t>④</w:t>
            </w:r>
            <w:r>
              <w:rPr>
                <w:rFonts w:hint="eastAsia" w:ascii="Times New Roman" w:eastAsia="宋体" w:cs="宋体"/>
                <w:b w:val="0"/>
                <w:bCs w:val="0"/>
                <w:color w:val="auto"/>
                <w:kern w:val="0"/>
                <w:sz w:val="24"/>
                <w:szCs w:val="24"/>
                <w:lang w:val="en-US" w:eastAsia="zh-CN" w:bidi="ar"/>
              </w:rPr>
              <w:t>计量灌装</w:t>
            </w:r>
          </w:p>
          <w:p w14:paraId="27AF3F6B">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ascii="Times New Roman" w:eastAsia="宋体" w:cs="宋体"/>
                <w:b w:val="0"/>
                <w:bCs w:val="0"/>
                <w:color w:val="auto"/>
                <w:kern w:val="0"/>
                <w:sz w:val="24"/>
                <w:szCs w:val="24"/>
                <w:lang w:val="en-US" w:eastAsia="zh-CN" w:bidi="ar"/>
              </w:rPr>
            </w:pPr>
            <w:r>
              <w:rPr>
                <w:rFonts w:hint="eastAsia" w:ascii="Times New Roman" w:eastAsia="宋体" w:cs="宋体"/>
                <w:b w:val="0"/>
                <w:bCs w:val="0"/>
                <w:color w:val="auto"/>
                <w:kern w:val="0"/>
                <w:sz w:val="24"/>
                <w:szCs w:val="24"/>
                <w:lang w:val="en-US" w:eastAsia="zh-CN" w:bidi="ar"/>
              </w:rPr>
              <w:t>将焖制好的火锅底料及分离出的火锅油使用全自动灌装机进行计量灌装此过程会产生噪声。</w:t>
            </w:r>
          </w:p>
          <w:p w14:paraId="19C49334">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ascii="Times New Roman" w:eastAsia="宋体" w:cs="宋体"/>
                <w:b w:val="0"/>
                <w:bCs w:val="0"/>
                <w:color w:val="auto"/>
                <w:kern w:val="0"/>
                <w:sz w:val="24"/>
                <w:szCs w:val="24"/>
                <w:lang w:val="en-US" w:eastAsia="zh-CN" w:bidi="ar"/>
              </w:rPr>
            </w:pPr>
            <w:r>
              <w:rPr>
                <w:rFonts w:hint="eastAsia" w:cs="宋体"/>
                <w:b w:val="0"/>
                <w:bCs w:val="0"/>
                <w:color w:val="auto"/>
                <w:kern w:val="0"/>
                <w:sz w:val="24"/>
                <w:szCs w:val="24"/>
                <w:lang w:val="en-US" w:eastAsia="zh-CN" w:bidi="ar"/>
              </w:rPr>
              <w:t>⑤</w:t>
            </w:r>
            <w:r>
              <w:rPr>
                <w:rFonts w:hint="eastAsia" w:ascii="Times New Roman" w:eastAsia="宋体" w:cs="宋体"/>
                <w:b w:val="0"/>
                <w:bCs w:val="0"/>
                <w:color w:val="auto"/>
                <w:kern w:val="0"/>
                <w:sz w:val="24"/>
                <w:szCs w:val="24"/>
                <w:lang w:val="en-US" w:eastAsia="zh-CN" w:bidi="ar"/>
              </w:rPr>
              <w:t>冷却</w:t>
            </w:r>
          </w:p>
          <w:p w14:paraId="72F72C5E">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ascii="Times New Roman" w:eastAsia="宋体" w:cs="宋体"/>
                <w:b w:val="0"/>
                <w:bCs w:val="0"/>
                <w:color w:val="auto"/>
                <w:kern w:val="0"/>
                <w:sz w:val="24"/>
                <w:szCs w:val="24"/>
                <w:lang w:val="en-US" w:eastAsia="zh-CN" w:bidi="ar"/>
              </w:rPr>
            </w:pPr>
            <w:r>
              <w:rPr>
                <w:rFonts w:hint="eastAsia" w:cs="宋体"/>
                <w:b w:val="0"/>
                <w:bCs w:val="0"/>
                <w:color w:val="auto"/>
                <w:kern w:val="0"/>
                <w:sz w:val="24"/>
                <w:szCs w:val="24"/>
                <w:lang w:val="en-US" w:eastAsia="zh-CN" w:bidi="ar"/>
              </w:rPr>
              <w:t>部分灌装后的产品进入冷却线进行冷却，此过程会有噪声产生</w:t>
            </w:r>
            <w:r>
              <w:rPr>
                <w:rFonts w:hint="eastAsia" w:ascii="Times New Roman" w:eastAsia="宋体" w:cs="宋体"/>
                <w:b w:val="0"/>
                <w:bCs w:val="0"/>
                <w:color w:val="auto"/>
                <w:kern w:val="0"/>
                <w:sz w:val="24"/>
                <w:szCs w:val="24"/>
                <w:lang w:val="en-US" w:eastAsia="zh-CN" w:bidi="ar"/>
              </w:rPr>
              <w:t>。</w:t>
            </w:r>
          </w:p>
          <w:p w14:paraId="2EE32F26">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cs="宋体"/>
                <w:b w:val="0"/>
                <w:bCs w:val="0"/>
                <w:color w:val="auto"/>
                <w:kern w:val="0"/>
                <w:sz w:val="24"/>
                <w:szCs w:val="24"/>
                <w:lang w:val="en-US" w:eastAsia="zh-CN" w:bidi="ar"/>
              </w:rPr>
            </w:pPr>
            <w:r>
              <w:rPr>
                <w:rFonts w:hint="eastAsia" w:cs="宋体"/>
                <w:b w:val="0"/>
                <w:bCs w:val="0"/>
                <w:color w:val="auto"/>
                <w:kern w:val="0"/>
                <w:sz w:val="24"/>
                <w:szCs w:val="24"/>
                <w:lang w:val="en-US" w:eastAsia="zh-CN" w:bidi="ar"/>
              </w:rPr>
              <w:t>⑥杀菌</w:t>
            </w:r>
          </w:p>
          <w:p w14:paraId="791E328C">
            <w:pPr>
              <w:keepNext w:val="0"/>
              <w:keepLines w:val="0"/>
              <w:widowControl/>
              <w:suppressLineNumbers w:val="0"/>
              <w:spacing w:before="0" w:beforeAutospacing="0" w:after="0" w:afterAutospacing="0"/>
              <w:ind w:left="0" w:right="0"/>
              <w:rPr>
                <w:rFonts w:hint="eastAsia"/>
                <w:color w:val="auto"/>
                <w:lang w:val="en-US" w:eastAsia="zh-CN"/>
              </w:rPr>
            </w:pPr>
            <w:r>
              <w:rPr>
                <w:rFonts w:hint="eastAsia" w:cs="宋体"/>
                <w:b w:val="0"/>
                <w:bCs w:val="0"/>
                <w:color w:val="auto"/>
                <w:kern w:val="0"/>
                <w:sz w:val="24"/>
                <w:szCs w:val="24"/>
                <w:lang w:val="en-US" w:eastAsia="zh-CN" w:bidi="ar"/>
              </w:rPr>
              <w:t>部分低温炒制的产品需要经过通过杀菌线或杀菌锅对微生物进行杀菌和除菌，此过程有废水和噪声产生。</w:t>
            </w:r>
          </w:p>
          <w:p w14:paraId="664D6F17">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eastAsia" w:ascii="Times New Roman" w:eastAsia="宋体" w:cs="宋体"/>
                <w:b w:val="0"/>
                <w:bCs w:val="0"/>
                <w:color w:val="auto"/>
                <w:kern w:val="0"/>
                <w:sz w:val="24"/>
                <w:szCs w:val="24"/>
                <w:lang w:val="en-US" w:eastAsia="zh-CN" w:bidi="ar"/>
              </w:rPr>
            </w:pPr>
            <w:r>
              <w:rPr>
                <w:rFonts w:hint="eastAsia" w:ascii="Times New Roman" w:eastAsia="宋体" w:cs="宋体"/>
                <w:b w:val="0"/>
                <w:bCs w:val="0"/>
                <w:color w:val="auto"/>
                <w:kern w:val="0"/>
                <w:sz w:val="24"/>
                <w:szCs w:val="24"/>
                <w:lang w:val="en-US" w:eastAsia="zh-CN" w:bidi="ar"/>
              </w:rPr>
              <w:t>⑦装箱、入库</w:t>
            </w:r>
          </w:p>
          <w:p w14:paraId="4AF6D41C">
            <w:pPr>
              <w:pStyle w:val="1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360" w:lineRule="auto"/>
              <w:ind w:left="0" w:right="0" w:firstLine="480" w:firstLineChars="200"/>
              <w:textAlignment w:val="auto"/>
              <w:rPr>
                <w:rFonts w:hint="default" w:ascii="Times New Roman" w:hAnsi="Times New Roman" w:eastAsia="宋体" w:cs="Times New Roman"/>
                <w:color w:val="auto"/>
                <w:kern w:val="2"/>
                <w:sz w:val="24"/>
                <w:szCs w:val="22"/>
                <w:shd w:val="clear" w:color="auto" w:fill="FFFFFF"/>
                <w:lang w:val="en-US" w:eastAsia="zh-CN" w:bidi="ar-SA"/>
              </w:rPr>
            </w:pPr>
            <w:r>
              <w:rPr>
                <w:rFonts w:hint="eastAsia" w:ascii="Times New Roman" w:eastAsia="宋体" w:cs="宋体"/>
                <w:b w:val="0"/>
                <w:bCs w:val="0"/>
                <w:color w:val="auto"/>
                <w:kern w:val="0"/>
                <w:sz w:val="24"/>
                <w:szCs w:val="24"/>
                <w:lang w:val="en-US" w:eastAsia="zh-CN" w:bidi="ar"/>
              </w:rPr>
              <w:t>将</w:t>
            </w:r>
            <w:r>
              <w:rPr>
                <w:rFonts w:hint="eastAsia" w:cs="宋体"/>
                <w:b w:val="0"/>
                <w:bCs w:val="0"/>
                <w:color w:val="auto"/>
                <w:kern w:val="0"/>
                <w:sz w:val="24"/>
                <w:szCs w:val="24"/>
                <w:lang w:val="en-US" w:eastAsia="zh-CN" w:bidi="ar"/>
              </w:rPr>
              <w:t>冷却、杀菌</w:t>
            </w:r>
            <w:r>
              <w:rPr>
                <w:rFonts w:hint="eastAsia" w:ascii="Times New Roman" w:eastAsia="宋体" w:cs="宋体"/>
                <w:b w:val="0"/>
                <w:bCs w:val="0"/>
                <w:color w:val="auto"/>
                <w:kern w:val="0"/>
                <w:sz w:val="24"/>
                <w:szCs w:val="24"/>
                <w:lang w:val="en-US" w:eastAsia="zh-CN" w:bidi="ar"/>
              </w:rPr>
              <w:t>好的产品进行</w:t>
            </w:r>
            <w:r>
              <w:rPr>
                <w:rFonts w:hint="eastAsia" w:cs="宋体"/>
                <w:b w:val="0"/>
                <w:bCs w:val="0"/>
                <w:color w:val="auto"/>
                <w:kern w:val="0"/>
                <w:sz w:val="24"/>
                <w:szCs w:val="24"/>
                <w:lang w:val="en-US" w:eastAsia="zh-CN" w:bidi="ar"/>
              </w:rPr>
              <w:t>包装、喷码</w:t>
            </w:r>
            <w:r>
              <w:rPr>
                <w:rFonts w:hint="eastAsia" w:ascii="Times New Roman" w:eastAsia="宋体" w:cs="宋体"/>
                <w:b w:val="0"/>
                <w:bCs w:val="0"/>
                <w:color w:val="auto"/>
                <w:kern w:val="0"/>
                <w:sz w:val="24"/>
                <w:szCs w:val="24"/>
                <w:lang w:val="en-US" w:eastAsia="zh-CN" w:bidi="ar"/>
              </w:rPr>
              <w:t>装箱，然后转入成品库房</w:t>
            </w:r>
            <w:r>
              <w:rPr>
                <w:rFonts w:hint="eastAsia" w:cs="宋体"/>
                <w:b w:val="0"/>
                <w:bCs w:val="0"/>
                <w:color w:val="auto"/>
                <w:kern w:val="0"/>
                <w:sz w:val="24"/>
                <w:szCs w:val="24"/>
                <w:lang w:val="en-US" w:eastAsia="zh-CN" w:bidi="ar"/>
              </w:rPr>
              <w:t>，此过程有噪声</w:t>
            </w:r>
            <w:r>
              <w:rPr>
                <w:rFonts w:hint="eastAsia" w:ascii="Times New Roman" w:eastAsia="宋体" w:cs="宋体"/>
                <w:b w:val="0"/>
                <w:bCs w:val="0"/>
                <w:color w:val="auto"/>
                <w:kern w:val="0"/>
                <w:sz w:val="24"/>
                <w:szCs w:val="24"/>
                <w:lang w:val="en-US" w:eastAsia="zh-CN" w:bidi="ar"/>
              </w:rPr>
              <w:t>。</w:t>
            </w:r>
          </w:p>
        </w:tc>
      </w:tr>
      <w:tr w14:paraId="158E89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26" w:type="dxa"/>
            <w:tcBorders>
              <w:bottom w:val="single" w:color="auto" w:sz="8" w:space="0"/>
            </w:tcBorders>
          </w:tcPr>
          <w:p w14:paraId="473BFBD4">
            <w:pPr>
              <w:pStyle w:val="4"/>
              <w:keepNext w:val="0"/>
              <w:keepLines w:val="0"/>
              <w:suppressLineNumbers w:val="0"/>
              <w:spacing w:before="0" w:beforeAutospacing="0" w:after="0" w:afterAutospacing="0"/>
              <w:ind w:left="0" w:right="0"/>
              <w:rPr>
                <w:rFonts w:hint="eastAsia" w:eastAsia="宋体"/>
                <w:color w:val="auto"/>
                <w:sz w:val="28"/>
                <w:szCs w:val="28"/>
                <w:lang w:eastAsia="zh-CN"/>
              </w:rPr>
            </w:pPr>
            <w:r>
              <w:rPr>
                <w:rFonts w:hint="eastAsia"/>
                <w:color w:val="auto"/>
                <w:sz w:val="28"/>
                <w:szCs w:val="28"/>
                <w:lang w:eastAsia="zh-CN"/>
              </w:rPr>
              <w:t>六、水平衡</w:t>
            </w:r>
          </w:p>
          <w:p w14:paraId="7D66679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项目营运期</w:t>
            </w:r>
            <w:r>
              <w:rPr>
                <w:rFonts w:hint="eastAsia" w:cs="Times New Roman"/>
                <w:color w:val="auto"/>
                <w:kern w:val="0"/>
                <w:sz w:val="24"/>
                <w:szCs w:val="24"/>
                <w:lang w:val="en-US" w:eastAsia="zh-CN"/>
              </w:rPr>
              <w:t>用水主要为设备及地面清洗用水、生产用水、生活用水以及食堂用水。</w:t>
            </w:r>
          </w:p>
          <w:p w14:paraId="5FE760A8">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2"/>
                <w:sz w:val="24"/>
                <w:szCs w:val="32"/>
                <w:lang w:val="en-US" w:eastAsia="zh-CN" w:bidi="ar-SA"/>
              </w:rPr>
            </w:pPr>
            <w:r>
              <w:rPr>
                <w:rFonts w:hint="eastAsia" w:cs="Times New Roman"/>
                <w:color w:val="auto"/>
                <w:kern w:val="2"/>
                <w:sz w:val="24"/>
                <w:szCs w:val="32"/>
                <w:lang w:val="en-US" w:eastAsia="zh-CN" w:bidi="ar-SA"/>
              </w:rPr>
              <w:t>①设备及地面清洗用排水</w:t>
            </w:r>
          </w:p>
          <w:p w14:paraId="29F6D95C">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2"/>
                <w:sz w:val="24"/>
                <w:szCs w:val="32"/>
                <w:vertAlign w:val="baseline"/>
                <w:lang w:val="en-US" w:eastAsia="zh-CN" w:bidi="ar-SA"/>
              </w:rPr>
            </w:pPr>
            <w:r>
              <w:rPr>
                <w:rFonts w:hint="eastAsia" w:cs="Times New Roman"/>
                <w:color w:val="auto"/>
                <w:kern w:val="2"/>
                <w:sz w:val="24"/>
                <w:szCs w:val="32"/>
                <w:vertAlign w:val="baseline"/>
                <w:lang w:val="en-US" w:eastAsia="zh-CN" w:bidi="ar-SA"/>
              </w:rPr>
              <w:t>生产车间需要清洁的清洁，类比同类项目，地面清洗水用量约2L/m</w:t>
            </w:r>
            <w:r>
              <w:rPr>
                <w:rFonts w:hint="eastAsia" w:cs="Times New Roman"/>
                <w:color w:val="auto"/>
                <w:kern w:val="2"/>
                <w:sz w:val="24"/>
                <w:szCs w:val="32"/>
                <w:vertAlign w:val="superscript"/>
                <w:lang w:val="en-US" w:eastAsia="zh-CN" w:bidi="ar-SA"/>
              </w:rPr>
              <w:t>2</w:t>
            </w:r>
            <w:r>
              <w:rPr>
                <w:rFonts w:hint="eastAsia" w:cs="Times New Roman"/>
                <w:color w:val="auto"/>
                <w:kern w:val="2"/>
                <w:sz w:val="24"/>
                <w:szCs w:val="32"/>
                <w:vertAlign w:val="baseline"/>
                <w:lang w:val="en-US" w:eastAsia="zh-CN" w:bidi="ar-SA"/>
              </w:rPr>
              <w:t>.d，本项目生产车间需要清洁的面积约2000m</w:t>
            </w:r>
            <w:r>
              <w:rPr>
                <w:rFonts w:hint="eastAsia" w:cs="Times New Roman"/>
                <w:color w:val="auto"/>
                <w:kern w:val="2"/>
                <w:sz w:val="24"/>
                <w:szCs w:val="32"/>
                <w:vertAlign w:val="superscript"/>
                <w:lang w:val="en-US" w:eastAsia="zh-CN" w:bidi="ar-SA"/>
              </w:rPr>
              <w:t>2</w:t>
            </w:r>
            <w:r>
              <w:rPr>
                <w:rFonts w:hint="eastAsia" w:cs="Times New Roman"/>
                <w:color w:val="auto"/>
                <w:kern w:val="2"/>
                <w:sz w:val="24"/>
                <w:szCs w:val="32"/>
                <w:vertAlign w:val="baseline"/>
                <w:lang w:val="en-US" w:eastAsia="zh-CN" w:bidi="ar-SA"/>
              </w:rPr>
              <w:t>，每天需要清洁水4m</w:t>
            </w:r>
            <w:r>
              <w:rPr>
                <w:rFonts w:hint="eastAsia" w:cs="Times New Roman"/>
                <w:color w:val="auto"/>
                <w:kern w:val="2"/>
                <w:sz w:val="24"/>
                <w:szCs w:val="32"/>
                <w:vertAlign w:val="superscript"/>
                <w:lang w:val="en-US" w:eastAsia="zh-CN" w:bidi="ar-SA"/>
              </w:rPr>
              <w:t>3</w:t>
            </w:r>
            <w:r>
              <w:rPr>
                <w:rFonts w:hint="eastAsia" w:cs="Times New Roman"/>
                <w:color w:val="auto"/>
                <w:kern w:val="2"/>
                <w:sz w:val="24"/>
                <w:szCs w:val="32"/>
                <w:vertAlign w:val="baseline"/>
                <w:lang w:val="en-US" w:eastAsia="zh-CN" w:bidi="ar-SA"/>
              </w:rPr>
              <w:t>，炒锅每日清洗一次，每日用水量约2m</w:t>
            </w:r>
            <w:r>
              <w:rPr>
                <w:rFonts w:hint="eastAsia" w:cs="Times New Roman"/>
                <w:color w:val="auto"/>
                <w:kern w:val="2"/>
                <w:sz w:val="24"/>
                <w:szCs w:val="32"/>
                <w:vertAlign w:val="superscript"/>
                <w:lang w:val="en-US" w:eastAsia="zh-CN" w:bidi="ar-SA"/>
              </w:rPr>
              <w:t>3</w:t>
            </w:r>
            <w:r>
              <w:rPr>
                <w:rFonts w:hint="eastAsia" w:cs="Times New Roman"/>
                <w:color w:val="auto"/>
                <w:kern w:val="2"/>
                <w:sz w:val="24"/>
                <w:szCs w:val="32"/>
                <w:vertAlign w:val="baseline"/>
                <w:lang w:val="en-US" w:eastAsia="zh-CN" w:bidi="ar-SA"/>
              </w:rPr>
              <w:t>/d。排污系数以0.85计，则地面清洗水排水量为3.4m</w:t>
            </w:r>
            <w:r>
              <w:rPr>
                <w:rFonts w:hint="eastAsia" w:cs="Times New Roman"/>
                <w:color w:val="auto"/>
                <w:kern w:val="2"/>
                <w:sz w:val="24"/>
                <w:szCs w:val="32"/>
                <w:vertAlign w:val="superscript"/>
                <w:lang w:val="en-US" w:eastAsia="zh-CN" w:bidi="ar-SA"/>
              </w:rPr>
              <w:t>3</w:t>
            </w:r>
            <w:r>
              <w:rPr>
                <w:rFonts w:hint="eastAsia" w:cs="Times New Roman"/>
                <w:color w:val="auto"/>
                <w:kern w:val="2"/>
                <w:sz w:val="24"/>
                <w:szCs w:val="32"/>
                <w:vertAlign w:val="baseline"/>
                <w:lang w:val="en-US" w:eastAsia="zh-CN" w:bidi="ar-SA"/>
              </w:rPr>
              <w:t>/d，设备清洗水排水量为1.7m</w:t>
            </w:r>
            <w:r>
              <w:rPr>
                <w:rFonts w:hint="eastAsia" w:cs="Times New Roman"/>
                <w:color w:val="auto"/>
                <w:kern w:val="2"/>
                <w:sz w:val="24"/>
                <w:szCs w:val="32"/>
                <w:vertAlign w:val="superscript"/>
                <w:lang w:val="en-US" w:eastAsia="zh-CN" w:bidi="ar-SA"/>
              </w:rPr>
              <w:t>3</w:t>
            </w:r>
            <w:r>
              <w:rPr>
                <w:rFonts w:hint="eastAsia" w:cs="Times New Roman"/>
                <w:color w:val="auto"/>
                <w:kern w:val="2"/>
                <w:sz w:val="24"/>
                <w:szCs w:val="32"/>
                <w:vertAlign w:val="baseline"/>
                <w:lang w:val="en-US" w:eastAsia="zh-CN" w:bidi="ar-SA"/>
              </w:rPr>
              <w:t>/d</w:t>
            </w:r>
            <w:r>
              <w:rPr>
                <w:rFonts w:hint="eastAsia" w:ascii="Times New Roman" w:hAnsi="Times New Roman" w:eastAsia="宋体" w:cs="Times New Roman"/>
                <w:color w:val="auto"/>
                <w:kern w:val="2"/>
                <w:sz w:val="24"/>
                <w:szCs w:val="32"/>
                <w:vertAlign w:val="baseline"/>
                <w:lang w:val="en-US" w:eastAsia="zh-CN" w:bidi="ar-SA"/>
              </w:rPr>
              <w:t>。</w:t>
            </w:r>
          </w:p>
          <w:p w14:paraId="3CB2B24B">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eastAsia" w:eastAsia="宋体"/>
                <w:color w:val="auto"/>
                <w:sz w:val="24"/>
                <w:szCs w:val="32"/>
                <w:lang w:eastAsia="zh-CN"/>
              </w:rPr>
            </w:pPr>
            <w:r>
              <w:rPr>
                <w:rFonts w:hint="eastAsia"/>
                <w:color w:val="auto"/>
                <w:sz w:val="24"/>
                <w:szCs w:val="32"/>
                <w:lang w:eastAsia="zh-CN"/>
              </w:rPr>
              <w:t>②生产用排水</w:t>
            </w:r>
          </w:p>
          <w:p w14:paraId="29B82E54">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default"/>
                <w:color w:val="auto"/>
                <w:sz w:val="24"/>
                <w:szCs w:val="32"/>
                <w:lang w:val="en-US" w:eastAsia="zh-CN"/>
              </w:rPr>
            </w:pPr>
            <w:r>
              <w:rPr>
                <w:rFonts w:hint="eastAsia"/>
                <w:color w:val="auto"/>
                <w:sz w:val="24"/>
                <w:szCs w:val="32"/>
                <w:lang w:eastAsia="zh-CN"/>
              </w:rPr>
              <w:t>本项目现未建设鸡精生产线。餐佐料生产过程中原料采购时已清洗干净，不需要再次清洗，餐佐料生产时将加入占原料</w:t>
            </w:r>
            <w:r>
              <w:rPr>
                <w:rFonts w:hint="eastAsia"/>
                <w:color w:val="auto"/>
                <w:sz w:val="24"/>
                <w:szCs w:val="32"/>
                <w:lang w:val="en-US" w:eastAsia="zh-CN"/>
              </w:rPr>
              <w:t>15%的水，本生产线使用的各种原料量为1925t/a，加水量为288.75m</w:t>
            </w:r>
            <w:r>
              <w:rPr>
                <w:rFonts w:hint="eastAsia"/>
                <w:color w:val="auto"/>
                <w:sz w:val="24"/>
                <w:szCs w:val="32"/>
                <w:vertAlign w:val="superscript"/>
                <w:lang w:val="en-US" w:eastAsia="zh-CN"/>
              </w:rPr>
              <w:t>3</w:t>
            </w:r>
            <w:r>
              <w:rPr>
                <w:rFonts w:hint="eastAsia"/>
                <w:color w:val="auto"/>
                <w:sz w:val="24"/>
                <w:szCs w:val="32"/>
                <w:lang w:val="en-US" w:eastAsia="zh-CN"/>
              </w:rPr>
              <w:t>/a，每天用水0.96m</w:t>
            </w:r>
            <w:r>
              <w:rPr>
                <w:rFonts w:hint="eastAsia"/>
                <w:color w:val="auto"/>
                <w:sz w:val="24"/>
                <w:szCs w:val="32"/>
                <w:vertAlign w:val="superscript"/>
                <w:lang w:val="en-US" w:eastAsia="zh-CN"/>
              </w:rPr>
              <w:t>3</w:t>
            </w:r>
            <w:r>
              <w:rPr>
                <w:rFonts w:hint="eastAsia"/>
                <w:color w:val="auto"/>
                <w:sz w:val="24"/>
                <w:szCs w:val="32"/>
                <w:lang w:val="en-US" w:eastAsia="zh-CN"/>
              </w:rPr>
              <w:t>，该水进入产品不外排。煮椒每日用水为6m</w:t>
            </w:r>
            <w:r>
              <w:rPr>
                <w:rFonts w:hint="eastAsia"/>
                <w:color w:val="auto"/>
                <w:sz w:val="24"/>
                <w:szCs w:val="32"/>
                <w:vertAlign w:val="superscript"/>
                <w:lang w:val="en-US" w:eastAsia="zh-CN"/>
              </w:rPr>
              <w:t>3</w:t>
            </w:r>
            <w:r>
              <w:rPr>
                <w:rFonts w:hint="eastAsia"/>
                <w:color w:val="auto"/>
                <w:sz w:val="24"/>
                <w:szCs w:val="32"/>
                <w:lang w:val="en-US" w:eastAsia="zh-CN"/>
              </w:rPr>
              <w:t>，年用水量为1800m</w:t>
            </w:r>
            <w:r>
              <w:rPr>
                <w:rFonts w:hint="eastAsia"/>
                <w:color w:val="auto"/>
                <w:sz w:val="24"/>
                <w:szCs w:val="32"/>
                <w:vertAlign w:val="superscript"/>
                <w:lang w:val="en-US" w:eastAsia="zh-CN"/>
              </w:rPr>
              <w:t>3</w:t>
            </w:r>
            <w:r>
              <w:rPr>
                <w:rFonts w:hint="eastAsia"/>
                <w:color w:val="auto"/>
                <w:sz w:val="24"/>
                <w:szCs w:val="32"/>
                <w:lang w:val="en-US" w:eastAsia="zh-CN"/>
              </w:rPr>
              <w:t>，大量水进入产品内，根据业主提供信息可知，每日外排水量为0.6m</w:t>
            </w:r>
            <w:r>
              <w:rPr>
                <w:rFonts w:hint="eastAsia"/>
                <w:color w:val="auto"/>
                <w:sz w:val="24"/>
                <w:szCs w:val="32"/>
                <w:vertAlign w:val="superscript"/>
                <w:lang w:val="en-US" w:eastAsia="zh-CN"/>
              </w:rPr>
              <w:t>3</w:t>
            </w:r>
            <w:r>
              <w:rPr>
                <w:rFonts w:hint="eastAsia"/>
                <w:color w:val="auto"/>
                <w:sz w:val="24"/>
                <w:szCs w:val="32"/>
                <w:lang w:val="en-US" w:eastAsia="zh-CN"/>
              </w:rPr>
              <w:t>/d。</w:t>
            </w:r>
          </w:p>
          <w:p w14:paraId="532943BB">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eastAsia"/>
                <w:color w:val="auto"/>
                <w:sz w:val="24"/>
                <w:szCs w:val="32"/>
                <w:lang w:eastAsia="zh-CN"/>
              </w:rPr>
            </w:pPr>
            <w:r>
              <w:rPr>
                <w:rFonts w:hint="eastAsia"/>
                <w:color w:val="auto"/>
                <w:sz w:val="24"/>
                <w:szCs w:val="32"/>
                <w:lang w:eastAsia="zh-CN"/>
              </w:rPr>
              <w:t>③生活用排水</w:t>
            </w:r>
          </w:p>
          <w:p w14:paraId="0B297365">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default" w:eastAsia="宋体"/>
                <w:color w:val="auto"/>
                <w:sz w:val="24"/>
                <w:szCs w:val="32"/>
                <w:lang w:val="en-US" w:eastAsia="zh-CN"/>
              </w:rPr>
            </w:pPr>
            <w:r>
              <w:rPr>
                <w:rFonts w:hint="eastAsia"/>
                <w:color w:val="auto"/>
                <w:sz w:val="24"/>
                <w:szCs w:val="32"/>
                <w:lang w:eastAsia="zh-CN"/>
              </w:rPr>
              <w:t>本项目新增劳动定员</w:t>
            </w:r>
            <w:r>
              <w:rPr>
                <w:rFonts w:hint="eastAsia"/>
                <w:color w:val="auto"/>
                <w:sz w:val="24"/>
                <w:szCs w:val="32"/>
                <w:lang w:val="en-US" w:eastAsia="zh-CN"/>
              </w:rPr>
              <w:t>40人，根据《建筑给水排水设计规范》（GB50015-2003）所制定的用水定额核算该项目用水量，不住宿员工用水按照50L/人.d计算，则生活用水量约2m</w:t>
            </w:r>
            <w:r>
              <w:rPr>
                <w:rFonts w:hint="eastAsia"/>
                <w:color w:val="auto"/>
                <w:sz w:val="24"/>
                <w:szCs w:val="32"/>
                <w:vertAlign w:val="superscript"/>
                <w:lang w:val="en-US" w:eastAsia="zh-CN"/>
              </w:rPr>
              <w:t>3</w:t>
            </w:r>
            <w:r>
              <w:rPr>
                <w:rFonts w:hint="eastAsia"/>
                <w:color w:val="auto"/>
                <w:sz w:val="24"/>
                <w:szCs w:val="32"/>
                <w:lang w:val="en-US" w:eastAsia="zh-CN"/>
              </w:rPr>
              <w:t>/d，生活污水产生系数为0.85，则生活排水量为1.7m</w:t>
            </w:r>
            <w:r>
              <w:rPr>
                <w:rFonts w:hint="eastAsia"/>
                <w:color w:val="auto"/>
                <w:sz w:val="24"/>
                <w:szCs w:val="32"/>
                <w:vertAlign w:val="superscript"/>
                <w:lang w:val="en-US" w:eastAsia="zh-CN"/>
              </w:rPr>
              <w:t>3</w:t>
            </w:r>
            <w:r>
              <w:rPr>
                <w:rFonts w:hint="eastAsia"/>
                <w:color w:val="auto"/>
                <w:sz w:val="24"/>
                <w:szCs w:val="32"/>
                <w:lang w:val="en-US" w:eastAsia="zh-CN"/>
              </w:rPr>
              <w:t>/d</w:t>
            </w:r>
          </w:p>
          <w:p w14:paraId="04B34D8F">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eastAsia" w:eastAsia="宋体"/>
                <w:color w:val="auto"/>
                <w:sz w:val="24"/>
                <w:szCs w:val="32"/>
                <w:lang w:eastAsia="zh-CN"/>
              </w:rPr>
            </w:pPr>
            <w:r>
              <w:rPr>
                <w:rFonts w:hint="eastAsia"/>
                <w:color w:val="auto"/>
                <w:sz w:val="24"/>
                <w:szCs w:val="32"/>
                <w:lang w:eastAsia="zh-CN"/>
              </w:rPr>
              <w:t>④食堂用排水</w:t>
            </w:r>
          </w:p>
          <w:p w14:paraId="6E89F36F">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default"/>
                <w:color w:val="auto"/>
                <w:sz w:val="24"/>
                <w:szCs w:val="32"/>
              </w:rPr>
            </w:pPr>
            <w:r>
              <w:rPr>
                <w:rFonts w:hint="eastAsia"/>
                <w:color w:val="auto"/>
                <w:sz w:val="24"/>
                <w:szCs w:val="32"/>
                <w:lang w:eastAsia="zh-CN"/>
              </w:rPr>
              <w:t>项目设有员工食堂，每天供应两餐。根据《建筑给排水设计规范》</w:t>
            </w:r>
            <w:r>
              <w:rPr>
                <w:rFonts w:hint="eastAsia"/>
                <w:color w:val="auto"/>
                <w:sz w:val="24"/>
                <w:szCs w:val="32"/>
                <w:lang w:val="en-US" w:eastAsia="zh-CN"/>
              </w:rPr>
              <w:t>（GB50015-2003），职工食堂用水定额按每人每餐15L计算，则项目食堂每天用水量为1.2m</w:t>
            </w:r>
            <w:r>
              <w:rPr>
                <w:rFonts w:hint="eastAsia"/>
                <w:color w:val="auto"/>
                <w:sz w:val="24"/>
                <w:szCs w:val="32"/>
                <w:vertAlign w:val="superscript"/>
                <w:lang w:val="en-US" w:eastAsia="zh-CN"/>
              </w:rPr>
              <w:t>3</w:t>
            </w:r>
            <w:r>
              <w:rPr>
                <w:rFonts w:hint="eastAsia"/>
                <w:color w:val="auto"/>
                <w:sz w:val="24"/>
                <w:szCs w:val="32"/>
                <w:lang w:val="en-US" w:eastAsia="zh-CN"/>
              </w:rPr>
              <w:t>，排污系数取0.85，则每天排水1.02m</w:t>
            </w:r>
            <w:r>
              <w:rPr>
                <w:rFonts w:hint="eastAsia"/>
                <w:color w:val="auto"/>
                <w:sz w:val="24"/>
                <w:szCs w:val="32"/>
                <w:vertAlign w:val="superscript"/>
                <w:lang w:val="en-US" w:eastAsia="zh-CN"/>
              </w:rPr>
              <w:t>3</w:t>
            </w:r>
            <w:r>
              <w:rPr>
                <w:rFonts w:hint="default"/>
                <w:color w:val="auto"/>
                <w:sz w:val="24"/>
                <w:szCs w:val="32"/>
              </w:rPr>
              <w:t>。</w:t>
            </w:r>
          </w:p>
          <w:p w14:paraId="7B409B7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因此，本项目用水量为</w:t>
            </w:r>
            <w:r>
              <w:rPr>
                <w:rFonts w:hint="eastAsia" w:cs="Times New Roman"/>
                <w:color w:val="auto"/>
                <w:kern w:val="0"/>
                <w:sz w:val="24"/>
                <w:szCs w:val="24"/>
                <w:lang w:val="en-US" w:eastAsia="zh-CN"/>
              </w:rPr>
              <w:t>16.16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/d，排水量为</w:t>
            </w:r>
            <w:r>
              <w:rPr>
                <w:rFonts w:hint="eastAsia" w:cs="Times New Roman"/>
                <w:color w:val="auto"/>
                <w:kern w:val="0"/>
                <w:sz w:val="24"/>
                <w:szCs w:val="24"/>
                <w:lang w:val="en-US" w:eastAsia="zh-CN"/>
              </w:rPr>
              <w:t>8.42</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/d</w:t>
            </w:r>
            <w:r>
              <w:rPr>
                <w:rFonts w:hint="eastAsia" w:cs="Times New Roman"/>
                <w:color w:val="auto"/>
                <w:kern w:val="0"/>
                <w:sz w:val="24"/>
                <w:szCs w:val="24"/>
                <w:lang w:val="en-US" w:eastAsia="zh-CN"/>
              </w:rPr>
              <w:t>，该项目坚守后全厂，</w:t>
            </w:r>
            <w:r>
              <w:rPr>
                <w:rFonts w:hint="eastAsia" w:ascii="Times New Roman" w:hAnsi="Times New Roman" w:eastAsia="宋体" w:cs="Times New Roman"/>
                <w:color w:val="auto"/>
                <w:kern w:val="0"/>
                <w:sz w:val="24"/>
                <w:szCs w:val="24"/>
                <w:lang w:val="en-US" w:eastAsia="zh-CN"/>
              </w:rPr>
              <w:t>用水量为</w:t>
            </w:r>
            <w:r>
              <w:rPr>
                <w:rFonts w:hint="eastAsia" w:cs="Times New Roman"/>
                <w:color w:val="auto"/>
                <w:kern w:val="0"/>
                <w:sz w:val="24"/>
                <w:szCs w:val="24"/>
                <w:lang w:val="en-US" w:eastAsia="zh-CN"/>
              </w:rPr>
              <w:t>31.29</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/d，排水量为</w:t>
            </w:r>
            <w:r>
              <w:rPr>
                <w:rFonts w:hint="eastAsia" w:cs="Times New Roman"/>
                <w:color w:val="auto"/>
                <w:kern w:val="0"/>
                <w:sz w:val="24"/>
                <w:szCs w:val="24"/>
                <w:lang w:val="en-US" w:eastAsia="zh-CN"/>
              </w:rPr>
              <w:t>14.94</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/d</w:t>
            </w:r>
            <w:r>
              <w:rPr>
                <w:rFonts w:hint="eastAsia" w:cs="Times New Roman"/>
                <w:color w:val="auto"/>
                <w:kern w:val="0"/>
                <w:sz w:val="24"/>
                <w:szCs w:val="24"/>
                <w:lang w:val="en-US" w:eastAsia="zh-CN"/>
              </w:rPr>
              <w:t>。厂区综合污水经厂区自建污水处理站处理达标后排入园区污水管网</w:t>
            </w:r>
            <w:r>
              <w:rPr>
                <w:rFonts w:hint="eastAsia" w:ascii="Times New Roman" w:hAnsi="Times New Roman" w:eastAsia="宋体" w:cs="Times New Roman"/>
                <w:color w:val="auto"/>
                <w:kern w:val="0"/>
                <w:sz w:val="24"/>
                <w:szCs w:val="24"/>
                <w:lang w:val="en-US" w:eastAsia="zh-CN"/>
              </w:rPr>
              <w:t>。水量平衡情况见图2-</w:t>
            </w:r>
            <w:r>
              <w:rPr>
                <w:rFonts w:hint="eastAsia" w:cs="Times New Roman"/>
                <w:color w:val="auto"/>
                <w:kern w:val="0"/>
                <w:sz w:val="24"/>
                <w:szCs w:val="24"/>
                <w:lang w:val="en-US" w:eastAsia="zh-CN"/>
              </w:rPr>
              <w:t>3</w:t>
            </w:r>
            <w:r>
              <w:rPr>
                <w:rFonts w:hint="eastAsia" w:ascii="Times New Roman" w:hAnsi="Times New Roman" w:eastAsia="宋体" w:cs="Times New Roman"/>
                <w:color w:val="auto"/>
                <w:kern w:val="0"/>
                <w:sz w:val="24"/>
                <w:szCs w:val="24"/>
                <w:lang w:val="en-US" w:eastAsia="zh-CN"/>
              </w:rPr>
              <w:t>。</w:t>
            </w:r>
          </w:p>
          <w:p w14:paraId="6F06B0BB">
            <w:pPr>
              <w:pStyle w:val="33"/>
              <w:keepNext w:val="0"/>
              <w:keepLines w:val="0"/>
              <w:suppressLineNumbers w:val="0"/>
              <w:spacing w:before="0" w:beforeAutospacing="0" w:after="0" w:afterAutospacing="0"/>
              <w:ind w:left="0" w:leftChars="0" w:right="0" w:firstLine="0" w:firstLineChars="0"/>
              <w:rPr>
                <w:rFonts w:hint="eastAsia" w:ascii="Times New Roman" w:hAnsi="Times New Roman" w:eastAsia="宋体" w:cs="Times New Roman"/>
                <w:color w:val="auto"/>
                <w:kern w:val="0"/>
                <w:sz w:val="24"/>
                <w:szCs w:val="24"/>
                <w:lang w:val="en-US" w:eastAsia="zh-CN"/>
              </w:rPr>
            </w:pPr>
            <w:r>
              <w:rPr>
                <w:rFonts w:hint="eastAsia" w:ascii="Times New Roman" w:hAnsi="Times New Roman" w:cs="Times New Roman"/>
                <w:color w:val="auto"/>
                <w:sz w:val="24"/>
                <w:lang w:eastAsia="zh-CN"/>
              </w:rPr>
              <w:t xml:space="preserve"> </w:t>
            </w:r>
            <w:r>
              <w:rPr>
                <w:rFonts w:hint="eastAsia" w:ascii="Times New Roman" w:hAnsi="Times New Roman" w:cs="Times New Roman"/>
                <w:color w:val="auto"/>
                <w:sz w:val="24"/>
                <w:lang w:val="en-US" w:eastAsia="zh-CN"/>
              </w:rPr>
              <w:t xml:space="preserve"> </w:t>
            </w:r>
            <w:r>
              <w:rPr>
                <w:rFonts w:hint="default" w:ascii="Times New Roman" w:hAnsi="Times New Roman" w:eastAsia="宋体" w:cs="Times New Roman"/>
                <w:color w:val="auto"/>
                <w:sz w:val="24"/>
                <w:lang w:val="en-US"/>
              </w:rPr>
              <w:pict>
                <v:group id="_x0000_s2253" o:spid="_x0000_s2253" o:spt="203" style="height:275.9pt;width:397.25pt;" coordsize="5045075,3503922" editas="canvas">
                  <o:lock v:ext="edit"/>
                  <v:shape id="_x0000_s2254" o:spid="_x0000_s2254" o:spt="75" type="#_x0000_t75" style="position:absolute;left:0;top:0;height:3503922;width:5045075;" filled="f" stroked="t" coordsize="21600,21600">
                    <v:fill on="f" focussize="0,0"/>
                    <v:stroke color="#000000" joinstyle="miter"/>
                    <v:imagedata o:title=""/>
                    <o:lock v:ext="edit" aspectratio="f"/>
                  </v:shape>
                  <v:shape id="_x0000_s2255" o:spid="_x0000_s2255" o:spt="109" type="#_x0000_t109" style="position:absolute;left:46990;top:1384297;height:745488;width:544195;" fillcolor="#FFFFFF" filled="t" stroked="t" coordsize="21600,21600">
                    <v:path/>
                    <v:fill on="t" color2="#FFFFFF" focussize="0,0"/>
                    <v:stroke color="#000000" joinstyle="miter"/>
                    <v:imagedata o:title=""/>
                    <o:lock v:ext="edit" aspectratio="f"/>
                    <v:textbox>
                      <w:txbxContent>
                        <w:p w14:paraId="040B54B7">
                          <w:pPr>
                            <w:pStyle w:val="33"/>
                            <w:keepNext w:val="0"/>
                            <w:keepLines w:val="0"/>
                            <w:pageBreakBefore w:val="0"/>
                            <w:widowControl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自来水16.16</w:t>
                          </w:r>
                        </w:p>
                      </w:txbxContent>
                    </v:textbox>
                  </v:shape>
                  <v:shape id="_x0000_s2257" o:spid="_x0000_s2257" o:spt="109" type="#_x0000_t109" style="position:absolute;left:1456055;top:263524;height:262255;width:800100;" fillcolor="#FFFFFF" filled="t" stroked="t" coordsize="21600,21600">
                    <v:path/>
                    <v:fill on="t" color2="#FFFFFF" focussize="0,0"/>
                    <v:stroke color="#000000" joinstyle="miter"/>
                    <v:imagedata o:title=""/>
                    <o:lock v:ext="edit" aspectratio="f"/>
                    <v:textbox>
                      <w:txbxContent>
                        <w:p w14:paraId="505253C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生活用水</w:t>
                          </w:r>
                        </w:p>
                      </w:txbxContent>
                    </v:textbox>
                  </v:shape>
                  <v:shape id="_x0000_s2258" o:spid="_x0000_s2258" o:spt="109" type="#_x0000_t109" style="position:absolute;left:4046855;top:850263;height:440054;width:930275;" fillcolor="#FFFFFF" filled="t" stroked="t" coordsize="21600,21600">
                    <v:path/>
                    <v:fill on="t" color2="#FFFFFF" focussize="0,0"/>
                    <v:stroke color="#000000" joinstyle="miter"/>
                    <v:imagedata o:title=""/>
                    <o:lock v:ext="edit" aspectratio="f"/>
                    <v:textbox>
                      <w:txbxContent>
                        <w:p w14:paraId="52B876D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lang w:eastAsia="zh-CN"/>
                            </w:rPr>
                          </w:pPr>
                          <w:r>
                            <w:rPr>
                              <w:rFonts w:hint="eastAsia"/>
                              <w:sz w:val="21"/>
                              <w:szCs w:val="21"/>
                              <w:lang w:eastAsia="zh-CN"/>
                            </w:rPr>
                            <w:t>厂区污水处理站</w:t>
                          </w:r>
                        </w:p>
                      </w:txbxContent>
                    </v:textbox>
                  </v:shape>
                  <v:line id="_x0000_s2259" o:spid="_x0000_s2259" o:spt="20" style="position:absolute;left:2272665;top:377189;height:1905;width:1433830;" filled="f" stroked="t" coordsize="21600,21600">
                    <v:path arrowok="t"/>
                    <v:fill on="f" focussize="0,0"/>
                    <v:stroke weight="1pt" color="#000000" endarrow="open"/>
                    <v:imagedata o:title=""/>
                    <o:lock v:ext="edit" aspectratio="f"/>
                  </v:line>
                  <v:line id="_x0000_s2260" o:spid="_x0000_s2260" o:spt="20" style="position:absolute;left:2358390;top:932178;height:635;width:387350;" filled="f" stroked="t" coordsize="21600,21600">
                    <v:path arrowok="t"/>
                    <v:fill on="f" focussize="0,0"/>
                    <v:stroke weight="1pt" color="#000000" endarrow="open"/>
                    <v:imagedata o:title=""/>
                    <o:lock v:ext="edit" aspectratio="f"/>
                  </v:line>
                  <v:shape id="_x0000_s2262" o:spid="_x0000_s2262" o:spt="202" type="#_x0000_t202" style="position:absolute;left:1811020;top:1153157;height:250190;width:527050;" filled="f" stroked="f" coordsize="21600,21600">
                    <v:path/>
                    <v:fill on="f" focussize="0,0"/>
                    <v:stroke on="f"/>
                    <v:imagedata o:title=""/>
                    <o:lock v:ext="edit" aspectratio="f"/>
                    <v:textbox>
                      <w:txbxContent>
                        <w:p w14:paraId="7ECBAE1E">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0.3</w:t>
                          </w:r>
                        </w:p>
                      </w:txbxContent>
                    </v:textbox>
                  </v:shape>
                  <v:shape id="_x0000_s2263" o:spid="_x0000_s2263" o:spt="202" type="#_x0000_t202" style="position:absolute;left:2003425;top:0;height:292099;width:506730;" filled="f" stroked="f" coordsize="21600,21600">
                    <v:path/>
                    <v:fill on="f" focussize="0,0"/>
                    <v:stroke on="f"/>
                    <v:imagedata o:title=""/>
                    <o:lock v:ext="edit" aspectratio="f"/>
                    <v:textbox>
                      <w:txbxContent>
                        <w:p w14:paraId="32110F5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0.3</w:t>
                          </w:r>
                        </w:p>
                      </w:txbxContent>
                    </v:textbox>
                  </v:shape>
                  <v:shape id="_x0000_s2264" o:spid="_x0000_s2264" o:spt="37" type="#_x0000_t37" style="position:absolute;left:1782445;top:121920;height:147319;width:128905;rotation:-5898240f;" filled="f" stroked="t" coordsize="21600,21600">
                    <v:path arrowok="t"/>
                    <v:fill on="f" focussize="0,0"/>
                    <v:stroke color="#000000" dashstyle="dash" endarrow="open"/>
                    <v:imagedata o:title=""/>
                    <o:lock v:ext="edit" aspectratio="f"/>
                  </v:shape>
                  <v:shape id="_x0000_s2265" o:spid="_x0000_s2265" o:spt="109" type="#_x0000_t109" style="position:absolute;left:2712720;top:2996558;height:284480;width:800100;" fillcolor="#FFFFFF" filled="t" stroked="f" coordsize="21600,21600">
                    <v:path/>
                    <v:fill on="t" color2="#FFFFFF" focussize="0,0"/>
                    <v:stroke on="f" joinstyle="miter"/>
                    <v:imagedata o:title=""/>
                    <o:lock v:ext="edit" aspectratio="f"/>
                    <v:textbox>
                      <w:txbxContent>
                        <w:p w14:paraId="2FC9A0D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进入产品</w:t>
                          </w:r>
                        </w:p>
                      </w:txbxContent>
                    </v:textbox>
                  </v:shape>
                  <v:shape id="_x0000_s2271" o:spid="_x0000_s2271" o:spt="202" type="#_x0000_t202" style="position:absolute;left:1871345;top:529589;height:279399;width:467360;" filled="f" stroked="f" coordsize="21600,21600">
                    <v:path/>
                    <v:fill on="f" focussize="0,0"/>
                    <v:stroke on="f"/>
                    <v:imagedata o:title=""/>
                    <o:lock v:ext="edit" aspectratio="f"/>
                    <v:textbox>
                      <w:txbxContent>
                        <w:p w14:paraId="178A4ED2">
                          <w:pPr>
                            <w:ind w:left="0" w:leftChars="0" w:firstLine="0" w:firstLineChars="0"/>
                            <w:rPr>
                              <w:rFonts w:hint="default" w:eastAsia="宋体"/>
                              <w:sz w:val="21"/>
                              <w:szCs w:val="21"/>
                              <w:lang w:val="en-US" w:eastAsia="zh-CN"/>
                            </w:rPr>
                          </w:pPr>
                          <w:r>
                            <w:rPr>
                              <w:rFonts w:hint="eastAsia"/>
                              <w:sz w:val="21"/>
                              <w:szCs w:val="21"/>
                              <w:lang w:val="en-US" w:eastAsia="zh-CN"/>
                            </w:rPr>
                            <w:t>0.6</w:t>
                          </w:r>
                        </w:p>
                      </w:txbxContent>
                    </v:textbox>
                  </v:shape>
                  <v:shape id="_x0000_s2272" o:spid="_x0000_s2272" o:spt="38" type="#_x0000_t38" style="position:absolute;left:1574800;top:1802126;flip:y;height:139065;width:158750;" filled="f" stroked="t" coordsize="21600,21600" adj="10886">
                    <v:path arrowok="t"/>
                    <v:fill on="f" focussize="0,0"/>
                    <v:stroke weight="0.5pt" color="#000000" joinstyle="miter" dashstyle="dash" endarrow="open"/>
                    <v:imagedata o:title=""/>
                    <o:lock v:ext="edit" aspectratio="f"/>
                  </v:shape>
                  <v:line id="_x0000_s2273" o:spid="_x0000_s2273" o:spt="20" style="position:absolute;left:932180;top:396874;flip:x;height:2764784;width:7620;" fillcolor="#FFFFFF" filled="t" stroked="t" coordsize="21600,21600">
                    <v:path arrowok="t"/>
                    <v:fill on="t" color2="#FFFFFF" focussize="0,0"/>
                    <v:stroke weight="1.5pt" color="#000000"/>
                    <v:imagedata o:title=""/>
                    <o:lock v:ext="edit" aspectratio="f"/>
                  </v:line>
                  <v:line id="_x0000_s2274" o:spid="_x0000_s2274" o:spt="20" style="position:absolute;left:949960;top:393699;height:0;width:508000;" filled="f" stroked="t" coordsize="21600,21600">
                    <v:path arrowok="t"/>
                    <v:fill on="f" focussize="0,0"/>
                    <v:stroke weight="1pt" color="#000000" endarrow="open"/>
                    <v:imagedata o:title=""/>
                    <o:lock v:ext="edit" aspectratio="f"/>
                  </v:line>
                  <v:line id="_x0000_s2275" o:spid="_x0000_s2275" o:spt="20" style="position:absolute;left:949325;top:1529077;height:0;width:508000;" filled="f" stroked="t" coordsize="21600,21600">
                    <v:path arrowok="t"/>
                    <v:fill on="f" focussize="0,0"/>
                    <v:stroke weight="1pt" color="#000000" endarrow="open"/>
                    <v:imagedata o:title=""/>
                    <o:lock v:ext="edit" aspectratio="f"/>
                  </v:line>
                  <v:line id="_x0000_s2276" o:spid="_x0000_s2276" o:spt="20" style="position:absolute;left:942975;top:958848;height:0;width:508000;" filled="f" stroked="t" coordsize="21600,21600">
                    <v:path arrowok="t"/>
                    <v:fill on="f" focussize="0,0"/>
                    <v:stroke weight="1pt" color="#000000" endarrow="open"/>
                    <v:imagedata o:title=""/>
                    <o:lock v:ext="edit" aspectratio="f"/>
                  </v:line>
                  <v:shape id="_x0000_s2277" o:spid="_x0000_s2277" o:spt="109" type="#_x0000_t109" style="position:absolute;left:1457325;top:1394457;height:253999;width:982345;" fillcolor="#FFFFFF" filled="t" stroked="t" coordsize="21600,21600">
                    <v:path/>
                    <v:fill on="t" color2="#FFFFFF" focussize="0,0"/>
                    <v:stroke color="#000000" joinstyle="miter"/>
                    <v:imagedata o:title=""/>
                    <o:lock v:ext="edit" aspectratio="f"/>
                    <v:textbox>
                      <w:txbxContent>
                        <w:p w14:paraId="58089BA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设备清洗水</w:t>
                          </w:r>
                        </w:p>
                      </w:txbxContent>
                    </v:textbox>
                  </v:shape>
                  <v:shape id="_x0000_s2278" o:spid="_x0000_s2278" o:spt="109" type="#_x0000_t109" style="position:absolute;left:1419225;top:800733;height:254000;width:934720;" fillcolor="#FFFFFF" filled="t" stroked="t" coordsize="21600,21600">
                    <v:path/>
                    <v:fill on="t" color2="#FFFFFF" focussize="0,0"/>
                    <v:stroke color="#000000" joinstyle="miter"/>
                    <v:imagedata o:title=""/>
                    <o:lock v:ext="edit" aspectratio="f"/>
                    <v:textbox>
                      <w:txbxContent>
                        <w:p w14:paraId="685AFC5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地面清洗水</w:t>
                          </w:r>
                        </w:p>
                      </w:txbxContent>
                    </v:textbox>
                  </v:shape>
                  <v:line id="_x0000_s2279" o:spid="_x0000_s2279" o:spt="20" style="position:absolute;left:925830;top:3156578;height:0;width:508000;" filled="f" stroked="t" coordsize="21600,21600">
                    <v:path arrowok="t"/>
                    <v:fill on="f" focussize="0,0"/>
                    <v:stroke weight="1pt" color="#000000" endarrow="open"/>
                    <v:imagedata o:title=""/>
                    <o:lock v:ext="edit" aspectratio="f"/>
                  </v:line>
                  <v:line id="_x0000_s2280" o:spid="_x0000_s2280" o:spt="20" style="position:absolute;left:943610;top:2602224;height:0;width:508000;" filled="f" stroked="t" coordsize="21600,21600">
                    <v:path arrowok="t"/>
                    <v:fill on="f" focussize="0,0"/>
                    <v:stroke weight="1pt" color="#000000" endarrow="open"/>
                    <v:imagedata o:title=""/>
                    <o:lock v:ext="edit" aspectratio="f"/>
                  </v:line>
                  <v:line id="_x0000_s2281" o:spid="_x0000_s2281" o:spt="20" style="position:absolute;left:944880;top:2031996;height:0;width:508000;" filled="f" stroked="t" coordsize="21600,21600">
                    <v:path arrowok="t"/>
                    <v:fill on="f" focussize="0,0"/>
                    <v:stroke weight="1pt" color="#000000" endarrow="open"/>
                    <v:imagedata o:title=""/>
                    <o:lock v:ext="edit" aspectratio="f"/>
                  </v:line>
                  <v:shape id="_x0000_s2282" o:spid="_x0000_s2282" o:spt="109" type="#_x0000_t109" style="position:absolute;left:1425575;top:2465700;height:241299;width:977900;" fillcolor="#FFFFFF" filled="t" stroked="t" coordsize="21600,21600">
                    <v:path/>
                    <v:fill on="t" color2="#FFFFFF" focussize="0,0"/>
                    <v:stroke color="#000000" joinstyle="miter"/>
                    <v:imagedata o:title=""/>
                    <o:lock v:ext="edit" aspectratio="f"/>
                    <v:textbox>
                      <w:txbxContent>
                        <w:p w14:paraId="7348944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煮椒用水</w:t>
                          </w:r>
                        </w:p>
                      </w:txbxContent>
                    </v:textbox>
                  </v:shape>
                  <v:shape id="_x0000_s2283" o:spid="_x0000_s2283" o:spt="109" type="#_x0000_t109" style="position:absolute;left:1466850;top:1919601;height:241299;width:977900;" fillcolor="#FFFFFF" filled="t" stroked="t" coordsize="21600,21600">
                    <v:path/>
                    <v:fill on="t" color2="#FFFFFF" focussize="0,0"/>
                    <v:stroke color="#000000" joinstyle="miter"/>
                    <v:imagedata o:title=""/>
                    <o:lock v:ext="edit" aspectratio="f"/>
                    <v:textbox>
                      <w:txbxContent>
                        <w:p w14:paraId="4573951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食堂用水</w:t>
                          </w:r>
                        </w:p>
                      </w:txbxContent>
                    </v:textbox>
                  </v:shape>
                  <v:shape id="_x0000_s2284" o:spid="_x0000_s2284" o:spt="109" type="#_x0000_t109" style="position:absolute;left:1417955;top:3045453;height:241300;width:977900;" fillcolor="#FFFFFF" filled="t" stroked="t" coordsize="21600,21600">
                    <v:path/>
                    <v:fill on="t" color2="#FFFFFF" focussize="0,0"/>
                    <v:stroke color="#000000" joinstyle="miter"/>
                    <v:imagedata o:title=""/>
                    <o:lock v:ext="edit" aspectratio="f"/>
                    <v:textbox>
                      <w:txbxContent>
                        <w:p w14:paraId="43D632E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餐佐料加水</w:t>
                          </w:r>
                        </w:p>
                      </w:txbxContent>
                    </v:textbox>
                  </v:shape>
                  <v:line id="_x0000_s2285" o:spid="_x0000_s2285" o:spt="20" style="position:absolute;left:615315;top:1736086;flip:y;height:7620;width:326390;" filled="f" stroked="t" coordsize="21600,21600">
                    <v:path arrowok="t"/>
                    <v:fill on="f" focussize="0,0"/>
                    <v:stroke weight="1pt" color="#000000" endarrow="open"/>
                    <v:imagedata o:title=""/>
                    <o:lock v:ext="edit" aspectratio="f"/>
                  </v:line>
                  <v:shape id="_x0000_s2286" o:spid="_x0000_s2286" o:spt="37" type="#_x0000_t37" style="position:absolute;left:1648460;top:1251582;height:139700;width:127000;rotation:-5898240f;" filled="f" stroked="t" coordsize="21600,21600">
                    <v:path arrowok="t"/>
                    <v:fill on="f" focussize="0,0"/>
                    <v:stroke color="#000000" dashstyle="dash" endarrow="open"/>
                    <v:imagedata o:title=""/>
                    <o:lock v:ext="edit" aspectratio="f"/>
                  </v:shape>
                  <v:shape id="_x0000_s2287" o:spid="_x0000_s2287" o:spt="37" type="#_x0000_t37" style="position:absolute;left:1697355;top:673099;height:139699;width:127000;rotation:-5898240f;" filled="f" stroked="t" coordsize="21600,21600">
                    <v:path arrowok="t"/>
                    <v:fill on="f" focussize="0,0"/>
                    <v:stroke color="#000000" dashstyle="dash" endarrow="open"/>
                    <v:imagedata o:title=""/>
                    <o:lock v:ext="edit" aspectratio="f"/>
                  </v:shape>
                  <v:shape id="_x0000_s2288" o:spid="_x0000_s2288" o:spt="202" type="#_x0000_t202" style="position:absolute;left:996950;top:727073;height:241300;width:322580;" filled="f" stroked="f" coordsize="21600,21600">
                    <v:path/>
                    <v:fill on="f" focussize="0,0"/>
                    <v:stroke on="f"/>
                    <v:imagedata o:title=""/>
                    <o:lock v:ext="edit" aspectratio="f"/>
                    <v:textbox>
                      <w:txbxContent>
                        <w:p w14:paraId="6EE7E07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4</w:t>
                          </w:r>
                        </w:p>
                      </w:txbxContent>
                    </v:textbox>
                  </v:shape>
                  <v:shape id="_x0000_s2289" o:spid="_x0000_s2289" o:spt="202" type="#_x0000_t202" style="position:absolute;left:1015365;top:173355;height:241299;width:425450;" filled="f" stroked="f" coordsize="21600,21600">
                    <v:path/>
                    <v:fill on="f" focussize="0,0"/>
                    <v:stroke on="f"/>
                    <v:imagedata o:title=""/>
                    <o:lock v:ext="edit" aspectratio="f"/>
                    <v:textbox>
                      <w:txbxContent>
                        <w:p w14:paraId="01DDE4C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2</w:t>
                          </w:r>
                        </w:p>
                      </w:txbxContent>
                    </v:textbox>
                  </v:shape>
                  <v:shape id="_x0000_s2290" o:spid="_x0000_s2290" o:spt="202" type="#_x0000_t202" style="position:absolute;left:1818005;top:1675126;height:248285;width:441325;" filled="f" stroked="f" coordsize="21600,21600">
                    <v:path/>
                    <v:fill on="f" focussize="0,0"/>
                    <v:stroke on="f"/>
                    <v:imagedata o:title=""/>
                    <o:lock v:ext="edit" aspectratio="f"/>
                    <v:textbox>
                      <w:txbxContent>
                        <w:p w14:paraId="3321761D">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0.18</w:t>
                          </w:r>
                        </w:p>
                      </w:txbxContent>
                    </v:textbox>
                  </v:shape>
                  <v:shape id="_x0000_s2291" o:spid="_x0000_s2291" o:spt="202" type="#_x0000_t202" style="position:absolute;left:996950;top:1758946;height:241300;width:381000;" filled="f" stroked="f" coordsize="21600,21600">
                    <v:path/>
                    <v:fill on="f" focussize="0,0"/>
                    <v:stroke on="f"/>
                    <v:imagedata o:title=""/>
                    <o:lock v:ext="edit" aspectratio="f"/>
                    <v:textbox>
                      <w:txbxContent>
                        <w:p w14:paraId="051FA42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1.2</w:t>
                          </w:r>
                        </w:p>
                      </w:txbxContent>
                    </v:textbox>
                  </v:shape>
                  <v:shape id="_x0000_s2292" o:spid="_x0000_s2292" o:spt="202" type="#_x0000_t202" style="position:absolute;left:967105;top:1268727;height:241300;width:381000;" filled="f" stroked="f" coordsize="21600,21600">
                    <v:path/>
                    <v:fill on="f" focussize="0,0"/>
                    <v:stroke on="f"/>
                    <v:imagedata o:title=""/>
                    <o:lock v:ext="edit" aspectratio="f"/>
                    <v:textbox>
                      <w:txbxContent>
                        <w:p w14:paraId="3DDEA66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2</w:t>
                          </w:r>
                        </w:p>
                      </w:txbxContent>
                    </v:textbox>
                  </v:shape>
                  <v:shape id="_x0000_s2293" o:spid="_x0000_s2293" o:spt="202" type="#_x0000_t202" style="position:absolute;left:1021080;top:2330445;height:241299;width:381000;" filled="f" stroked="f" coordsize="21600,21600">
                    <v:path/>
                    <v:fill on="f" focussize="0,0"/>
                    <v:stroke on="f"/>
                    <v:imagedata o:title=""/>
                    <o:lock v:ext="edit" aspectratio="f"/>
                    <v:textbox>
                      <w:txbxContent>
                        <w:p w14:paraId="3406CE1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6</w:t>
                          </w:r>
                        </w:p>
                      </w:txbxContent>
                    </v:textbox>
                  </v:shape>
                  <v:shape id="_x0000_s2294" o:spid="_x0000_s2294" o:spt="202" type="#_x0000_t202" style="position:absolute;left:989330;top:2870194;height:241299;width:444500;" filled="f" stroked="f" coordsize="21600,21600">
                    <v:path/>
                    <v:fill on="f" focussize="0,0"/>
                    <v:stroke on="f"/>
                    <v:imagedata o:title=""/>
                    <o:lock v:ext="edit" aspectratio="f"/>
                    <v:textbox>
                      <w:txbxContent>
                        <w:p w14:paraId="4F35834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0.96</w:t>
                          </w:r>
                        </w:p>
                      </w:txbxContent>
                    </v:textbox>
                  </v:shape>
                  <v:line id="_x0000_s2295" o:spid="_x0000_s2295" o:spt="20" style="position:absolute;left:3672205;top:401319;height:2193285;width:15240;" filled="f" stroked="t" coordsize="21600,21600">
                    <v:path arrowok="t"/>
                    <v:fill on="f" focussize="0,0"/>
                    <v:stroke weight="1.5pt" color="#000000"/>
                    <v:imagedata o:title=""/>
                    <o:lock v:ext="edit" aspectratio="f"/>
                  </v:line>
                  <v:shape id="_x0000_s2296" o:spid="_x0000_s2296" o:spt="109" type="#_x0000_t109" style="position:absolute;left:2743200;top:806448;height:254000;width:514350;" fillcolor="#FFFFFF" filled="t" stroked="t" coordsize="21600,21600">
                    <v:path/>
                    <v:fill on="t" color2="#FFFFFF" focussize="0,0"/>
                    <v:stroke color="#000000" joinstyle="miter"/>
                    <v:imagedata o:title=""/>
                    <o:lock v:ext="edit" aspectratio="f"/>
                    <v:textbox>
                      <w:txbxContent>
                        <w:p w14:paraId="77826C2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隔油</w:t>
                          </w:r>
                        </w:p>
                      </w:txbxContent>
                    </v:textbox>
                  </v:shape>
                  <v:line id="_x0000_s2297" o:spid="_x0000_s2297" o:spt="20" style="position:absolute;left:2442210;top:1497327;height:635;width:325755;" filled="f" stroked="t" coordsize="21600,21600">
                    <v:path arrowok="t"/>
                    <v:fill on="f" focussize="0,0"/>
                    <v:stroke weight="1pt" color="#000000" endarrow="open"/>
                    <v:imagedata o:title=""/>
                    <o:lock v:ext="edit" aspectratio="f"/>
                  </v:line>
                  <v:shape id="_x0000_s2298" o:spid="_x0000_s2298" o:spt="109" type="#_x0000_t109" style="position:absolute;left:2759710;top:1354452;height:254000;width:508000;" fillcolor="#FFFFFF" filled="t" stroked="t" coordsize="21600,21600">
                    <v:path/>
                    <v:fill on="t" color2="#FFFFFF" focussize="0,0"/>
                    <v:stroke color="#000000" joinstyle="miter"/>
                    <v:imagedata o:title=""/>
                    <o:lock v:ext="edit" aspectratio="f"/>
                    <v:textbox>
                      <w:txbxContent>
                        <w:p w14:paraId="3BC38BB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隔油</w:t>
                          </w:r>
                        </w:p>
                      </w:txbxContent>
                    </v:textbox>
                  </v:shape>
                  <v:line id="_x0000_s2299" o:spid="_x0000_s2299" o:spt="20" style="position:absolute;left:2473960;top:2037076;height:635;width:357505;" filled="f" stroked="t" coordsize="21600,21600">
                    <v:path arrowok="t"/>
                    <v:fill on="f" focussize="0,0"/>
                    <v:stroke weight="1pt" color="#000000" endarrow="open"/>
                    <v:imagedata o:title=""/>
                    <o:lock v:ext="edit" aspectratio="f"/>
                  </v:line>
                  <v:shape id="_x0000_s2300" o:spid="_x0000_s2300" o:spt="109" type="#_x0000_t109" style="position:absolute;left:2823210;top:1901821;height:253999;width:508000;" fillcolor="#FFFFFF" filled="t" stroked="t" coordsize="21600,21600">
                    <v:path/>
                    <v:fill on="t" color2="#FFFFFF" focussize="0,0"/>
                    <v:stroke color="#000000" joinstyle="miter"/>
                    <v:imagedata o:title=""/>
                    <o:lock v:ext="edit" aspectratio="f"/>
                    <v:textbox>
                      <w:txbxContent>
                        <w:p w14:paraId="6B087CE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隔油</w:t>
                          </w:r>
                        </w:p>
                      </w:txbxContent>
                    </v:textbox>
                  </v:shape>
                  <v:line id="_x0000_s2301" o:spid="_x0000_s2301" o:spt="20" style="position:absolute;left:2426335;top:2568569;height:635;width:1268095;" filled="f" stroked="t" coordsize="21600,21600">
                    <v:path arrowok="t"/>
                    <v:fill on="f" focussize="0,0"/>
                    <v:stroke weight="1pt" color="#000000" endarrow="open"/>
                    <v:imagedata o:title=""/>
                    <o:lock v:ext="edit" aspectratio="f"/>
                  </v:line>
                  <v:line id="_x0000_s2302" o:spid="_x0000_s2302" o:spt="20" style="position:absolute;left:2402205;top:3172453;height:0;width:317500;" filled="f" stroked="t" coordsize="21600,21600">
                    <v:path arrowok="t"/>
                    <v:fill on="f" focussize="0,0"/>
                    <v:stroke weight="1pt" color="#000000" endarrow="open"/>
                    <v:imagedata o:title=""/>
                    <o:lock v:ext="edit" aspectratio="f"/>
                  </v:line>
                  <v:line id="_x0000_s2303" o:spid="_x0000_s2303" o:spt="20" style="position:absolute;left:3259455;top:918208;height:0;width:381000;" filled="f" stroked="t" coordsize="21600,21600">
                    <v:path arrowok="t"/>
                    <v:fill on="f" focussize="0,0"/>
                    <v:stroke weight="1pt" color="#000000" endarrow="open"/>
                    <v:imagedata o:title=""/>
                    <o:lock v:ext="edit" aspectratio="f"/>
                  </v:line>
                  <v:line id="_x0000_s2304" o:spid="_x0000_s2304" o:spt="20" style="position:absolute;left:3322955;top:2045331;height:0;width:381000;" filled="f" stroked="t" coordsize="21600,21600">
                    <v:path arrowok="t"/>
                    <v:fill on="f" focussize="0,0"/>
                    <v:stroke weight="1pt" color="#000000" endarrow="open"/>
                    <v:imagedata o:title=""/>
                    <o:lock v:ext="edit" aspectratio="f"/>
                  </v:line>
                  <v:line id="_x0000_s2305" o:spid="_x0000_s2305" o:spt="20" style="position:absolute;left:3253105;top:1475102;height:0;width:381000;" filled="f" stroked="t" coordsize="21600,21600">
                    <v:path arrowok="t"/>
                    <v:fill on="f" focussize="0,0"/>
                    <v:stroke weight="1pt" color="#000000" endarrow="open"/>
                    <v:imagedata o:title=""/>
                    <o:lock v:ext="edit" aspectratio="f"/>
                  </v:line>
                  <v:line id="_x0000_s2306" o:spid="_x0000_s2306" o:spt="20" style="position:absolute;left:3656330;top:1116328;height:635;width:317500;" filled="f" stroked="t" coordsize="21600,21600">
                    <v:path arrowok="t"/>
                    <v:fill on="f" focussize="0,0"/>
                    <v:stroke weight="1pt" color="#000000" endarrow="open"/>
                    <v:imagedata o:title=""/>
                    <o:lock v:ext="edit" aspectratio="f"/>
                  </v:line>
                  <v:line id="_x0000_s2307" o:spid="_x0000_s2307" o:spt="20" style="position:absolute;left:4410710;top:1290317;flip:x;height:438149;width:7620;" filled="f" stroked="t" coordsize="21600,21600">
                    <v:path arrowok="t"/>
                    <v:fill on="f" focussize="0,0"/>
                    <v:stroke weight="1pt" color="#000000" endarrow="open"/>
                    <v:imagedata o:title=""/>
                    <o:lock v:ext="edit" aspectratio="f"/>
                  </v:line>
                  <v:shape id="_x0000_s2308" o:spid="_x0000_s2308" o:spt="109" type="#_x0000_t109" style="position:absolute;left:3918585;top:1719576;height:431799;width:927100;" fillcolor="#FFFFFF" filled="t" stroked="t" coordsize="21600,21600">
                    <v:path/>
                    <v:fill on="t" color2="#FFFFFF" focussize="0,0"/>
                    <v:stroke color="#000000" joinstyle="miter"/>
                    <v:imagedata o:title=""/>
                    <o:lock v:ext="edit" aspectratio="f"/>
                    <v:textbox>
                      <w:txbxContent>
                        <w:p w14:paraId="0574F7E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lang w:eastAsia="zh-CN"/>
                            </w:rPr>
                          </w:pPr>
                          <w:r>
                            <w:rPr>
                              <w:rFonts w:hint="eastAsia"/>
                              <w:sz w:val="21"/>
                              <w:szCs w:val="21"/>
                              <w:lang w:eastAsia="zh-CN"/>
                            </w:rPr>
                            <w:t>园区污水处理厂</w:t>
                          </w:r>
                        </w:p>
                      </w:txbxContent>
                    </v:textbox>
                  </v:shape>
                  <v:shape id="_x0000_s2309" o:spid="_x0000_s2309" o:spt="202" type="#_x0000_t202" style="position:absolute;left:2663825;top:203835;height:228599;width:419100;" filled="f" stroked="f" coordsize="21600,21600">
                    <v:path/>
                    <v:fill on="f" focussize="0,0"/>
                    <v:stroke on="f"/>
                    <v:imagedata o:title=""/>
                    <o:lock v:ext="edit" aspectratio="f"/>
                    <v:textbox>
                      <w:txbxContent>
                        <w:p w14:paraId="28D1DFED">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1.7</w:t>
                          </w:r>
                        </w:p>
                      </w:txbxContent>
                    </v:textbox>
                  </v:shape>
                  <v:shape id="_x0000_s2310" o:spid="_x0000_s2310" o:spt="202" type="#_x0000_t202" style="position:absolute;left:2386330;top:687704;height:241299;width:427990;" filled="f" stroked="f" coordsize="21600,21600">
                    <v:path/>
                    <v:fill on="f" focussize="0,0"/>
                    <v:stroke on="f"/>
                    <v:imagedata o:title=""/>
                    <o:lock v:ext="edit" aspectratio="f"/>
                    <v:textbox>
                      <w:txbxContent>
                        <w:p w14:paraId="10B4C54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3.4</w:t>
                          </w:r>
                        </w:p>
                      </w:txbxContent>
                    </v:textbox>
                  </v:shape>
                  <v:shape id="_x0000_s2311" o:spid="_x0000_s2311" o:spt="202" type="#_x0000_t202" style="position:absolute;left:3259455;top:655954;height:241299;width:421005;" filled="f" stroked="f" coordsize="21600,21600">
                    <v:path/>
                    <v:fill on="f" focussize="0,0"/>
                    <v:stroke on="f"/>
                    <v:imagedata o:title=""/>
                    <o:lock v:ext="edit" aspectratio="f"/>
                    <v:textbox>
                      <w:txbxContent>
                        <w:p w14:paraId="0C71A65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3.4</w:t>
                          </w:r>
                        </w:p>
                      </w:txbxContent>
                    </v:textbox>
                  </v:shape>
                  <v:shape id="_x0000_s2312" o:spid="_x0000_s2312" o:spt="202" type="#_x0000_t202" style="position:absolute;left:2433955;top:1259202;height:241300;width:381000;" filled="f" stroked="f" coordsize="21600,21600">
                    <v:path/>
                    <v:fill on="f" focussize="0,0"/>
                    <v:stroke on="f"/>
                    <v:imagedata o:title=""/>
                    <o:lock v:ext="edit" aspectratio="f"/>
                    <v:textbox>
                      <w:txbxContent>
                        <w:p w14:paraId="336A492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1.7</w:t>
                          </w:r>
                        </w:p>
                      </w:txbxContent>
                    </v:textbox>
                  </v:shape>
                  <v:shape id="_x0000_s2313" o:spid="_x0000_s2313" o:spt="202" type="#_x0000_t202" style="position:absolute;left:3227705;top:1219832;height:241300;width:381000;" filled="f" stroked="f" coordsize="21600,21600">
                    <v:path/>
                    <v:fill on="f" focussize="0,0"/>
                    <v:stroke on="f"/>
                    <v:imagedata o:title=""/>
                    <o:lock v:ext="edit" aspectratio="f"/>
                    <v:textbox>
                      <w:txbxContent>
                        <w:p w14:paraId="4DA058A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1.7</w:t>
                          </w:r>
                        </w:p>
                      </w:txbxContent>
                    </v:textbox>
                  </v:shape>
                  <v:shape id="_x0000_s2314" o:spid="_x0000_s2314" o:spt="202" type="#_x0000_t202" style="position:absolute;left:2426335;top:1783076;height:241300;width:431800;" filled="f" stroked="f" coordsize="21600,21600">
                    <v:path/>
                    <v:fill on="f" focussize="0,0"/>
                    <v:stroke on="f"/>
                    <v:imagedata o:title=""/>
                    <o:lock v:ext="edit" aspectratio="f"/>
                    <v:textbox>
                      <w:txbxContent>
                        <w:p w14:paraId="0386724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1.02</w:t>
                          </w:r>
                        </w:p>
                      </w:txbxContent>
                    </v:textbox>
                  </v:shape>
                  <v:shape id="_x0000_s2315" o:spid="_x0000_s2315" o:spt="202" type="#_x0000_t202" style="position:absolute;left:3346450;top:1767201;height:241300;width:431800;" filled="f" stroked="f" coordsize="21600,21600">
                    <v:path/>
                    <v:fill on="f" focussize="0,0"/>
                    <v:stroke on="f"/>
                    <v:imagedata o:title=""/>
                    <o:lock v:ext="edit" aspectratio="f"/>
                    <v:textbox>
                      <w:txbxContent>
                        <w:p w14:paraId="199D94E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1.02</w:t>
                          </w:r>
                        </w:p>
                      </w:txbxContent>
                    </v:textbox>
                  </v:shape>
                  <v:line id="_x0000_s2316" o:spid="_x0000_s2316" o:spt="20" style="position:absolute;left:3045460;top:2560949;flip:x;height:431799;width:0;" filled="f" stroked="t" coordsize="21600,21600">
                    <v:path arrowok="t"/>
                    <v:fill on="f" focussize="0,0"/>
                    <v:stroke weight="1pt" color="#000000" endarrow="open"/>
                    <v:imagedata o:title=""/>
                    <o:lock v:ext="edit" aspectratio="f"/>
                  </v:line>
                  <v:shape id="_x0000_s2317" o:spid="_x0000_s2317" o:spt="202" type="#_x0000_t202" style="position:absolute;left:2410460;top:2878449;height:241299;width:444500;" filled="f" stroked="f" coordsize="21600,21600">
                    <v:path/>
                    <v:fill on="f" focussize="0,0"/>
                    <v:stroke on="f"/>
                    <v:imagedata o:title=""/>
                    <o:lock v:ext="edit" aspectratio="f"/>
                    <v:textbox>
                      <w:txbxContent>
                        <w:p w14:paraId="1964A7A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0.96</w:t>
                          </w:r>
                        </w:p>
                      </w:txbxContent>
                    </v:textbox>
                  </v:shape>
                  <v:shape id="_x0000_s2318" o:spid="_x0000_s2318" o:spt="202" type="#_x0000_t202" style="position:absolute;left:3251835;top:2338700;height:241299;width:381000;" filled="f" stroked="f" coordsize="21600,21600">
                    <v:path/>
                    <v:fill on="f" focussize="0,0"/>
                    <v:stroke on="f"/>
                    <v:imagedata o:title=""/>
                    <o:lock v:ext="edit" aspectratio="f"/>
                    <v:textbox>
                      <w:txbxContent>
                        <w:p w14:paraId="079710C9">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0.6</w:t>
                          </w:r>
                        </w:p>
                      </w:txbxContent>
                    </v:textbox>
                  </v:shape>
                  <v:shape id="_x0000_s2319" o:spid="_x0000_s2319" o:spt="202" type="#_x0000_t202" style="position:absolute;left:3045460;top:2680329;height:241300;width:381000;" filled="f" stroked="f" coordsize="21600,21600">
                    <v:path/>
                    <v:fill on="f" focussize="0,0"/>
                    <v:stroke on="f"/>
                    <v:imagedata o:title=""/>
                    <o:lock v:ext="edit" aspectratio="f"/>
                    <v:textbox>
                      <w:txbxContent>
                        <w:p w14:paraId="1B9F526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5.4</w:t>
                          </w:r>
                        </w:p>
                      </w:txbxContent>
                    </v:textbox>
                  </v:shape>
                  <v:shape id="_x0000_s2320" o:spid="_x0000_s2320" o:spt="202" type="#_x0000_t202" style="position:absolute;left:3672205;top:854708;height:228600;width:419100;" filled="f" stroked="f" coordsize="21600,21600">
                    <v:path/>
                    <v:fill on="f" focussize="0,0"/>
                    <v:stroke on="f"/>
                    <v:imagedata o:title=""/>
                    <o:lock v:ext="edit" aspectratio="f"/>
                    <v:textbox>
                      <w:txbxContent>
                        <w:p w14:paraId="55FAA5C4">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8.42</w:t>
                          </w:r>
                        </w:p>
                      </w:txbxContent>
                    </v:textbox>
                  </v:shape>
                  <v:shape id="_x0000_s2321" o:spid="_x0000_s2321" o:spt="202" type="#_x0000_t202" style="position:absolute;left:4497705;top:1410332;height:228599;width:419100;" filled="f" stroked="f" coordsize="21600,21600">
                    <v:path/>
                    <v:fill on="f" focussize="0,0"/>
                    <v:stroke on="f"/>
                    <v:imagedata o:title=""/>
                    <o:lock v:ext="edit" aspectratio="f"/>
                    <v:textbox>
                      <w:txbxContent>
                        <w:p w14:paraId="6B052C0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8.42</w:t>
                          </w:r>
                        </w:p>
                      </w:txbxContent>
                    </v:textbox>
                  </v:shape>
                  <w10:wrap type="none"/>
                  <w10:anchorlock/>
                </v:group>
              </w:pict>
            </w:r>
          </w:p>
          <w:p w14:paraId="59C0B148">
            <w:pPr>
              <w:pStyle w:val="94"/>
              <w:keepNext w:val="0"/>
              <w:keepLines w:val="0"/>
              <w:widowControl/>
              <w:suppressLineNumbers w:val="0"/>
              <w:spacing w:before="0" w:beforeAutospacing="0" w:after="0" w:afterAutospacing="0"/>
              <w:ind w:left="0" w:right="0" w:firstLine="422"/>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图2</w:t>
            </w:r>
            <w:r>
              <w:rPr>
                <w:rFonts w:hint="default" w:ascii="Times New Roman" w:hAnsi="Times New Roman" w:eastAsia="宋体" w:cs="Times New Roman"/>
                <w:color w:val="auto"/>
                <w:sz w:val="21"/>
                <w:lang w:val="en-US" w:eastAsia="zh-CN"/>
              </w:rPr>
              <w:t>-</w:t>
            </w:r>
            <w:r>
              <w:rPr>
                <w:rFonts w:hint="eastAsia" w:cs="Times New Roman"/>
                <w:color w:val="auto"/>
                <w:sz w:val="21"/>
                <w:lang w:val="en-US" w:eastAsia="zh-CN"/>
              </w:rPr>
              <w:t>2</w:t>
            </w:r>
            <w:r>
              <w:rPr>
                <w:rFonts w:hint="default" w:ascii="Times New Roman" w:hAnsi="Times New Roman" w:eastAsia="宋体" w:cs="Times New Roman"/>
                <w:color w:val="auto"/>
                <w:sz w:val="21"/>
                <w:lang w:val="en-US" w:eastAsia="zh-CN"/>
              </w:rPr>
              <w:t xml:space="preserve">  </w:t>
            </w:r>
            <w:r>
              <w:rPr>
                <w:rFonts w:hint="eastAsia" w:cs="Times New Roman"/>
                <w:color w:val="auto"/>
                <w:sz w:val="21"/>
                <w:lang w:val="en-US" w:eastAsia="zh-CN"/>
              </w:rPr>
              <w:t>本项目</w:t>
            </w:r>
            <w:r>
              <w:rPr>
                <w:rFonts w:hint="eastAsia" w:ascii="Times New Roman" w:hAnsi="Times New Roman" w:eastAsia="宋体" w:cs="Times New Roman"/>
                <w:color w:val="auto"/>
                <w:sz w:val="21"/>
                <w:lang w:val="en-US" w:eastAsia="zh-CN"/>
              </w:rPr>
              <w:t>水平衡关系</w:t>
            </w:r>
            <w:r>
              <w:rPr>
                <w:rFonts w:hint="default" w:ascii="Times New Roman" w:hAnsi="Times New Roman" w:eastAsia="宋体" w:cs="Times New Roman"/>
                <w:color w:val="auto"/>
                <w:sz w:val="21"/>
                <w:lang w:val="en-US" w:eastAsia="zh-CN"/>
              </w:rPr>
              <w:t>图</w:t>
            </w:r>
            <w:r>
              <w:rPr>
                <w:rFonts w:hint="eastAsia" w:ascii="Times New Roman" w:hAnsi="Times New Roman" w:eastAsia="宋体" w:cs="Times New Roman"/>
                <w:color w:val="auto"/>
                <w:sz w:val="21"/>
                <w:lang w:val="en-US" w:eastAsia="zh-CN"/>
              </w:rPr>
              <w:t xml:space="preserve">    m</w:t>
            </w:r>
            <w:r>
              <w:rPr>
                <w:rFonts w:hint="eastAsia" w:ascii="Times New Roman" w:hAnsi="Times New Roman" w:eastAsia="宋体" w:cs="Times New Roman"/>
                <w:color w:val="auto"/>
                <w:sz w:val="21"/>
                <w:vertAlign w:val="superscript"/>
                <w:lang w:val="en-US" w:eastAsia="zh-CN"/>
              </w:rPr>
              <w:t>3</w:t>
            </w:r>
            <w:r>
              <w:rPr>
                <w:rFonts w:hint="eastAsia" w:ascii="Times New Roman" w:hAnsi="Times New Roman" w:eastAsia="宋体" w:cs="Times New Roman"/>
                <w:color w:val="auto"/>
                <w:sz w:val="21"/>
                <w:lang w:val="en-US" w:eastAsia="zh-CN"/>
              </w:rPr>
              <w:t>/d</w:t>
            </w:r>
          </w:p>
          <w:p w14:paraId="49835B32">
            <w:pPr>
              <w:pStyle w:val="4"/>
              <w:keepNext w:val="0"/>
              <w:keepLines w:val="0"/>
              <w:suppressLineNumbers w:val="0"/>
              <w:spacing w:before="0" w:beforeAutospacing="0" w:after="0" w:afterAutospacing="0"/>
              <w:ind w:left="0" w:right="0"/>
              <w:rPr>
                <w:rFonts w:hint="eastAsia"/>
                <w:color w:val="auto"/>
                <w:sz w:val="28"/>
                <w:szCs w:val="28"/>
                <w:lang w:eastAsia="zh-CN"/>
              </w:rPr>
            </w:pPr>
            <w:r>
              <w:rPr>
                <w:rFonts w:hint="default" w:ascii="Times New Roman" w:hAnsi="Times New Roman" w:eastAsia="宋体" w:cs="Times New Roman"/>
                <w:color w:val="auto"/>
                <w:sz w:val="24"/>
                <w:lang w:val="en-US"/>
              </w:rPr>
              <w:pict>
                <v:group id="_x0000_s2238" o:spid="_x0000_s2238" o:spt="203" style="height:320.3pt;width:430.35pt;" coordsize="5465445,4067800" editas="canvas">
                  <o:lock v:ext="edit"/>
                  <v:shape id="_x0000_s2239" o:spid="_x0000_s2239" o:spt="75" type="#_x0000_t75" style="position:absolute;left:0;top:0;height:4067800;width:5465445;" filled="f" stroked="t" coordsize="21600,21600">
                    <v:fill on="f" focussize="0,0"/>
                    <v:stroke color="#000000" joinstyle="miter"/>
                    <v:imagedata o:title=""/>
                    <o:lock v:ext="edit" aspectratio="f"/>
                  </v:shape>
                  <v:shape id="_x0000_s2240" o:spid="_x0000_s2240" o:spt="109" type="#_x0000_t109" style="position:absolute;left:46990;top:1384297;height:745488;width:544195;" fillcolor="#FFFFFF" filled="t" stroked="t" coordsize="21600,21600">
                    <v:path/>
                    <v:fill on="t" color2="#FFFFFF" focussize="0,0"/>
                    <v:stroke color="#000000" joinstyle="miter"/>
                    <v:imagedata o:title=""/>
                    <o:lock v:ext="edit" aspectratio="f"/>
                    <v:textbox>
                      <w:txbxContent>
                        <w:p w14:paraId="515DF35F">
                          <w:pPr>
                            <w:pStyle w:val="33"/>
                            <w:keepNext w:val="0"/>
                            <w:keepLines w:val="0"/>
                            <w:pageBreakBefore w:val="0"/>
                            <w:widowControl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自来水31.29</w:t>
                          </w:r>
                        </w:p>
                      </w:txbxContent>
                    </v:textbox>
                  </v:shape>
                  <v:shape id="_x0000_s2241" o:spid="_x0000_s2241" o:spt="109" type="#_x0000_t109" style="position:absolute;left:1456055;top:263524;height:262255;width:800100;" fillcolor="#FFFFFF" filled="t" stroked="t" coordsize="21600,21600">
                    <v:path/>
                    <v:fill on="t" color2="#FFFFFF" focussize="0,0"/>
                    <v:stroke color="#000000" joinstyle="miter"/>
                    <v:imagedata o:title=""/>
                    <o:lock v:ext="edit" aspectratio="f"/>
                    <v:textbox>
                      <w:txbxContent>
                        <w:p w14:paraId="1C69DB5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生活用水</w:t>
                          </w:r>
                        </w:p>
                      </w:txbxContent>
                    </v:textbox>
                  </v:shape>
                  <v:shape id="_x0000_s2242" o:spid="_x0000_s2242" o:spt="109" type="#_x0000_t109" style="position:absolute;left:4046855;top:850263;height:440054;width:930275;" fillcolor="#FFFFFF" filled="t" stroked="t" coordsize="21600,21600">
                    <v:path/>
                    <v:fill on="t" color2="#FFFFFF" focussize="0,0"/>
                    <v:stroke color="#000000" joinstyle="miter"/>
                    <v:imagedata o:title=""/>
                    <o:lock v:ext="edit" aspectratio="f"/>
                    <v:textbox>
                      <w:txbxContent>
                        <w:p w14:paraId="348DCE9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lang w:eastAsia="zh-CN"/>
                            </w:rPr>
                          </w:pPr>
                          <w:r>
                            <w:rPr>
                              <w:rFonts w:hint="eastAsia"/>
                              <w:sz w:val="21"/>
                              <w:szCs w:val="21"/>
                              <w:lang w:eastAsia="zh-CN"/>
                            </w:rPr>
                            <w:t>厂区污水处理站</w:t>
                          </w:r>
                        </w:p>
                      </w:txbxContent>
                    </v:textbox>
                  </v:shape>
                  <v:line id="_x0000_s2243" o:spid="_x0000_s2243" o:spt="20" style="position:absolute;left:2272665;top:377189;height:1905;width:1433830;" filled="f" stroked="t" coordsize="21600,21600">
                    <v:path arrowok="t"/>
                    <v:fill on="f" focussize="0,0"/>
                    <v:stroke weight="1pt" color="#000000" endarrow="open"/>
                    <v:imagedata o:title=""/>
                    <o:lock v:ext="edit" aspectratio="f"/>
                  </v:line>
                  <v:line id="_x0000_s2244" o:spid="_x0000_s2244" o:spt="20" style="position:absolute;left:2358390;top:932178;height:635;width:387350;" filled="f" stroked="t" coordsize="21600,21600">
                    <v:path arrowok="t"/>
                    <v:fill on="f" focussize="0,0"/>
                    <v:stroke weight="1pt" color="#000000" endarrow="open"/>
                    <v:imagedata o:title=""/>
                    <o:lock v:ext="edit" aspectratio="f"/>
                  </v:line>
                  <v:shape id="_x0000_s2245" o:spid="_x0000_s2245" o:spt="202" type="#_x0000_t202" style="position:absolute;left:1811020;top:1153157;height:250190;width:527050;" filled="f" stroked="f" coordsize="21600,21600">
                    <v:path/>
                    <v:fill on="f" focussize="0,0"/>
                    <v:stroke on="f"/>
                    <v:imagedata o:title=""/>
                    <o:lock v:ext="edit" aspectratio="f"/>
                    <v:textbox>
                      <w:txbxContent>
                        <w:p w14:paraId="13C28C0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0.4</w:t>
                          </w:r>
                        </w:p>
                      </w:txbxContent>
                    </v:textbox>
                  </v:shape>
                  <v:shape id="_x0000_s2246" o:spid="_x0000_s2246" o:spt="202" type="#_x0000_t202" style="position:absolute;left:2003425;top:0;height:292099;width:506730;" filled="f" stroked="f" coordsize="21600,21600">
                    <v:path/>
                    <v:fill on="f" focussize="0,0"/>
                    <v:stroke on="f"/>
                    <v:imagedata o:title=""/>
                    <o:lock v:ext="edit" aspectratio="f"/>
                    <v:textbox>
                      <w:txbxContent>
                        <w:p w14:paraId="6C8360B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0.54</w:t>
                          </w:r>
                        </w:p>
                      </w:txbxContent>
                    </v:textbox>
                  </v:shape>
                  <v:shape id="_x0000_s2247" o:spid="_x0000_s2247" o:spt="37" type="#_x0000_t37" style="position:absolute;left:1782445;top:121920;height:147319;width:128905;rotation:-5898240f;" filled="f" stroked="t" coordsize="21600,21600">
                    <v:path arrowok="t"/>
                    <v:fill on="f" focussize="0,0"/>
                    <v:stroke color="#000000" dashstyle="dash" endarrow="open"/>
                    <v:imagedata o:title=""/>
                    <o:lock v:ext="edit" aspectratio="f"/>
                  </v:shape>
                  <v:shape id="_x0000_s2248" o:spid="_x0000_s2248" o:spt="109" type="#_x0000_t109" style="position:absolute;left:2712720;top:2996558;height:284480;width:800100;" fillcolor="#FFFFFF" filled="t" stroked="f" coordsize="21600,21600">
                    <v:path/>
                    <v:fill on="t" color2="#FFFFFF" focussize="0,0"/>
                    <v:stroke on="f"/>
                    <v:imagedata o:title=""/>
                    <o:lock v:ext="edit" aspectratio="f"/>
                    <v:textbox>
                      <w:txbxContent>
                        <w:p w14:paraId="392CEE8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进入产品</w:t>
                          </w:r>
                        </w:p>
                      </w:txbxContent>
                    </v:textbox>
                  </v:shape>
                  <v:shape id="_x0000_s2249" o:spid="_x0000_s2249" o:spt="202" type="#_x0000_t202" style="position:absolute;left:1871345;top:529589;height:279399;width:467360;" filled="f" stroked="f" coordsize="21600,21600">
                    <v:path/>
                    <v:fill on="f" focussize="0,0"/>
                    <v:stroke on="f"/>
                    <v:imagedata o:title=""/>
                    <o:lock v:ext="edit" aspectratio="f"/>
                    <v:textbox>
                      <w:txbxContent>
                        <w:p w14:paraId="320E0F2E">
                          <w:pPr>
                            <w:ind w:left="0" w:leftChars="0" w:firstLine="0" w:firstLineChars="0"/>
                            <w:rPr>
                              <w:rFonts w:hint="default" w:eastAsia="宋体"/>
                              <w:sz w:val="21"/>
                              <w:szCs w:val="21"/>
                              <w:lang w:val="en-US" w:eastAsia="zh-CN"/>
                            </w:rPr>
                          </w:pPr>
                          <w:r>
                            <w:rPr>
                              <w:rFonts w:hint="eastAsia"/>
                              <w:sz w:val="21"/>
                              <w:szCs w:val="21"/>
                              <w:lang w:val="en-US" w:eastAsia="zh-CN"/>
                            </w:rPr>
                            <w:t>1.14</w:t>
                          </w:r>
                        </w:p>
                      </w:txbxContent>
                    </v:textbox>
                  </v:shape>
                  <v:shape id="_x0000_s2250" o:spid="_x0000_s2250" o:spt="38" type="#_x0000_t38" style="position:absolute;left:1574800;top:1802126;flip:y;height:139065;width:158750;" filled="f" stroked="t" coordsize="21600,21600" adj="10886">
                    <v:path arrowok="t"/>
                    <v:fill on="f" focussize="0,0"/>
                    <v:stroke weight="0.5pt" color="#000000" joinstyle="miter" dashstyle="dash" endarrow="open"/>
                    <v:imagedata o:title=""/>
                    <o:lock v:ext="edit" aspectratio="f"/>
                  </v:shape>
                  <v:line id="_x0000_s2251" o:spid="_x0000_s2251" o:spt="20" style="position:absolute;left:939800;top:396874;height:3272783;width:23495;" filled="f" stroked="t" coordsize="21600,21600">
                    <v:path arrowok="t"/>
                    <v:fill on="f" focussize="0,0"/>
                    <v:stroke weight="1pt" color="#000000"/>
                    <v:imagedata o:title=""/>
                    <o:lock v:ext="edit" aspectratio="f"/>
                  </v:line>
                  <v:line id="_x0000_s2252" o:spid="_x0000_s2252" o:spt="20" style="position:absolute;left:949960;top:393699;height:0;width:508000;" filled="f" stroked="t" coordsize="21600,21600">
                    <v:path arrowok="t"/>
                    <v:fill on="f" focussize="0,0"/>
                    <v:stroke weight="1pt" color="#000000" endarrow="open"/>
                    <v:imagedata o:title=""/>
                    <o:lock v:ext="edit" aspectratio="f"/>
                  </v:line>
                  <v:line id="_x0000_s2268" o:spid="_x0000_s2268" o:spt="20" style="position:absolute;left:949325;top:1529077;height:0;width:508000;" filled="f" stroked="t" coordsize="21600,21600">
                    <v:path arrowok="t"/>
                    <v:fill on="f" focussize="0,0"/>
                    <v:stroke weight="1pt" color="#000000" endarrow="open"/>
                    <v:imagedata o:title=""/>
                    <o:lock v:ext="edit" aspectratio="f"/>
                  </v:line>
                  <v:line id="_x0000_s2269" o:spid="_x0000_s2269" o:spt="20" style="position:absolute;left:942975;top:958848;height:0;width:508000;" filled="f" stroked="t" coordsize="21600,21600">
                    <v:path arrowok="t"/>
                    <v:fill on="f" focussize="0,0"/>
                    <v:stroke weight="1pt" color="#000000" endarrow="open"/>
                    <v:imagedata o:title=""/>
                    <o:lock v:ext="edit" aspectratio="f"/>
                  </v:line>
                  <v:shape id="_x0000_s2270" o:spid="_x0000_s2270" o:spt="109" type="#_x0000_t109" style="position:absolute;left:1457325;top:1394457;height:253999;width:982345;" fillcolor="#FFFFFF" filled="t" stroked="t" coordsize="21600,21600">
                    <v:path/>
                    <v:fill on="t" color2="#FFFFFF" focussize="0,0"/>
                    <v:stroke color="#000000" joinstyle="miter"/>
                    <v:imagedata o:title=""/>
                    <o:lock v:ext="edit" aspectratio="f"/>
                    <v:textbox>
                      <w:txbxContent>
                        <w:p w14:paraId="3C66910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设备清洗水</w:t>
                          </w:r>
                        </w:p>
                      </w:txbxContent>
                    </v:textbox>
                  </v:shape>
                  <v:shape id="_x0000_s2322" o:spid="_x0000_s2322" o:spt="109" type="#_x0000_t109" style="position:absolute;left:1419225;top:800733;height:254000;width:934720;" fillcolor="#FFFFFF" filled="t" stroked="t" coordsize="21600,21600">
                    <v:path/>
                    <v:fill on="t" color2="#FFFFFF" focussize="0,0"/>
                    <v:stroke color="#000000" joinstyle="miter"/>
                    <v:imagedata o:title=""/>
                    <o:lock v:ext="edit" aspectratio="f"/>
                    <v:textbox>
                      <w:txbxContent>
                        <w:p w14:paraId="07AD5CD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地面清洗水</w:t>
                          </w:r>
                        </w:p>
                      </w:txbxContent>
                    </v:textbox>
                  </v:shape>
                  <v:line id="_x0000_s2323" o:spid="_x0000_s2323" o:spt="20" style="position:absolute;left:965200;top:3148323;height:635;width:452755;" filled="f" stroked="t" coordsize="21600,21600">
                    <v:path arrowok="t"/>
                    <v:fill on="f" focussize="0,0"/>
                    <v:stroke weight="1pt" color="#000000" endarrow="open"/>
                    <v:imagedata o:title=""/>
                    <o:lock v:ext="edit" aspectratio="f"/>
                  </v:line>
                  <v:line id="_x0000_s2324" o:spid="_x0000_s2324" o:spt="20" style="position:absolute;left:943610;top:2602224;height:0;width:508000;" filled="f" stroked="t" coordsize="21600,21600">
                    <v:path arrowok="t"/>
                    <v:fill on="f" focussize="0,0"/>
                    <v:stroke weight="1pt" color="#000000" endarrow="open"/>
                    <v:imagedata o:title=""/>
                    <o:lock v:ext="edit" aspectratio="f"/>
                  </v:line>
                  <v:line id="_x0000_s2325" o:spid="_x0000_s2325" o:spt="20" style="position:absolute;left:944880;top:2031996;height:0;width:508000;" filled="f" stroked="t" coordsize="21600,21600">
                    <v:path arrowok="t"/>
                    <v:fill on="f" focussize="0,0"/>
                    <v:stroke weight="1pt" color="#000000" endarrow="open"/>
                    <v:imagedata o:title=""/>
                    <o:lock v:ext="edit" aspectratio="f"/>
                  </v:line>
                  <v:shape id="_x0000_s2326" o:spid="_x0000_s2326" o:spt="109" type="#_x0000_t109" style="position:absolute;left:1425575;top:2465700;height:241299;width:977900;" fillcolor="#FFFFFF" filled="t" stroked="t" coordsize="21600,21600">
                    <v:path/>
                    <v:fill on="t" color2="#FFFFFF" focussize="0,0"/>
                    <v:stroke color="#000000" joinstyle="miter"/>
                    <v:imagedata o:title=""/>
                    <o:lock v:ext="edit" aspectratio="f"/>
                    <v:textbox>
                      <w:txbxContent>
                        <w:p w14:paraId="187443A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煮椒用水</w:t>
                          </w:r>
                        </w:p>
                      </w:txbxContent>
                    </v:textbox>
                  </v:shape>
                  <v:shape id="_x0000_s2327" o:spid="_x0000_s2327" o:spt="109" type="#_x0000_t109" style="position:absolute;left:1466850;top:1919601;height:241299;width:977900;" fillcolor="#FFFFFF" filled="t" stroked="t" coordsize="21600,21600">
                    <v:path/>
                    <v:fill on="t" color2="#FFFFFF" focussize="0,0"/>
                    <v:stroke color="#000000" joinstyle="miter"/>
                    <v:imagedata o:title=""/>
                    <o:lock v:ext="edit" aspectratio="f"/>
                    <v:textbox>
                      <w:txbxContent>
                        <w:p w14:paraId="33DD245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食堂用水</w:t>
                          </w:r>
                        </w:p>
                      </w:txbxContent>
                    </v:textbox>
                  </v:shape>
                  <v:shape id="_x0000_s2328" o:spid="_x0000_s2328" o:spt="109" type="#_x0000_t109" style="position:absolute;left:1417955;top:3045453;height:241300;width:977900;" fillcolor="#FFFFFF" filled="t" stroked="t" coordsize="21600,21600">
                    <v:path/>
                    <v:fill on="t" color2="#FFFFFF" focussize="0,0"/>
                    <v:stroke color="#000000" joinstyle="miter"/>
                    <v:imagedata o:title=""/>
                    <o:lock v:ext="edit" aspectratio="f"/>
                    <v:textbox>
                      <w:txbxContent>
                        <w:p w14:paraId="4A1B7BA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餐佐料加水</w:t>
                          </w:r>
                        </w:p>
                      </w:txbxContent>
                    </v:textbox>
                  </v:shape>
                  <v:line id="_x0000_s2329" o:spid="_x0000_s2329" o:spt="20" style="position:absolute;left:615315;top:1736086;flip:y;height:7620;width:326390;" filled="f" stroked="t" coordsize="21600,21600">
                    <v:path arrowok="t"/>
                    <v:fill on="f" focussize="0,0"/>
                    <v:stroke weight="1pt" color="#000000" endarrow="open"/>
                    <v:imagedata o:title=""/>
                    <o:lock v:ext="edit" aspectratio="f"/>
                  </v:line>
                  <v:shape id="_x0000_s2330" o:spid="_x0000_s2330" o:spt="37" type="#_x0000_t37" style="position:absolute;left:1648460;top:1251582;height:139700;width:127000;rotation:-5898240f;" filled="f" stroked="t" coordsize="21600,21600">
                    <v:path arrowok="t"/>
                    <v:fill on="f" focussize="0,0"/>
                    <v:stroke color="#000000" dashstyle="dash" endarrow="open"/>
                    <v:imagedata o:title=""/>
                    <o:lock v:ext="edit" aspectratio="f"/>
                  </v:shape>
                  <v:shape id="_x0000_s2331" o:spid="_x0000_s2331" o:spt="37" type="#_x0000_t37" style="position:absolute;left:1697355;top:673099;height:139699;width:127000;rotation:-5898240f;" filled="f" stroked="t" coordsize="21600,21600">
                    <v:path arrowok="t"/>
                    <v:fill on="f" focussize="0,0"/>
                    <v:stroke color="#000000" dashstyle="dash" endarrow="open"/>
                    <v:imagedata o:title=""/>
                    <o:lock v:ext="edit" aspectratio="f"/>
                  </v:shape>
                  <v:shape id="_x0000_s2332" o:spid="_x0000_s2332" o:spt="202" type="#_x0000_t202" style="position:absolute;left:996950;top:727073;height:241300;width:441960;" filled="f" stroked="f" coordsize="21600,21600">
                    <v:path/>
                    <v:fill on="f" focussize="0,0"/>
                    <v:stroke on="f"/>
                    <v:imagedata o:title=""/>
                    <o:lock v:ext="edit" aspectratio="f"/>
                    <v:textbox>
                      <w:txbxContent>
                        <w:p w14:paraId="21396839">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7.6</w:t>
                          </w:r>
                        </w:p>
                      </w:txbxContent>
                    </v:textbox>
                  </v:shape>
                  <v:shape id="_x0000_s2333" o:spid="_x0000_s2333" o:spt="202" type="#_x0000_t202" style="position:absolute;left:1015365;top:173355;height:241299;width:425450;" filled="f" stroked="f" coordsize="21600,21600">
                    <v:path/>
                    <v:fill on="f" focussize="0,0"/>
                    <v:stroke on="f"/>
                    <v:imagedata o:title=""/>
                    <o:lock v:ext="edit" aspectratio="f"/>
                    <v:textbox>
                      <w:txbxContent>
                        <w:p w14:paraId="58889C4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3.6</w:t>
                          </w:r>
                        </w:p>
                      </w:txbxContent>
                    </v:textbox>
                  </v:shape>
                  <v:shape id="_x0000_s2334" o:spid="_x0000_s2334" o:spt="202" type="#_x0000_t202" style="position:absolute;left:1818005;top:1675126;height:248285;width:528320;" filled="f" stroked="f" coordsize="21600,21600">
                    <v:path/>
                    <v:fill on="f" focussize="0,0"/>
                    <v:stroke on="f"/>
                    <v:imagedata o:title=""/>
                    <o:lock v:ext="edit" aspectratio="f"/>
                    <v:textbox>
                      <w:txbxContent>
                        <w:p w14:paraId="1F154BE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0.32</w:t>
                          </w:r>
                        </w:p>
                      </w:txbxContent>
                    </v:textbox>
                  </v:shape>
                  <v:shape id="_x0000_s2335" o:spid="_x0000_s2335" o:spt="202" type="#_x0000_t202" style="position:absolute;left:996950;top:1758946;height:241299;width:459740;" filled="f" stroked="f" coordsize="21600,21600">
                    <v:path/>
                    <v:fill on="f" focussize="0,0"/>
                    <v:stroke on="f"/>
                    <v:imagedata o:title=""/>
                    <o:lock v:ext="edit" aspectratio="f"/>
                    <v:textbox>
                      <w:txbxContent>
                        <w:p w14:paraId="0918F28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2.16</w:t>
                          </w:r>
                        </w:p>
                      </w:txbxContent>
                    </v:textbox>
                  </v:shape>
                  <v:shape id="_x0000_s2336" o:spid="_x0000_s2336" o:spt="202" type="#_x0000_t202" style="position:absolute;left:967105;top:1268727;height:241300;width:381000;" filled="f" stroked="f" coordsize="21600,21600">
                    <v:path/>
                    <v:fill on="f" focussize="0,0"/>
                    <v:stroke on="f"/>
                    <v:imagedata o:title=""/>
                    <o:lock v:ext="edit" aspectratio="f"/>
                    <v:textbox>
                      <w:txbxContent>
                        <w:p w14:paraId="36B9604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2.8</w:t>
                          </w:r>
                        </w:p>
                      </w:txbxContent>
                    </v:textbox>
                  </v:shape>
                  <v:shape id="_x0000_s2337" o:spid="_x0000_s2337" o:spt="202" type="#_x0000_t202" style="position:absolute;left:1021080;top:2330445;height:241299;width:381000;" filled="f" stroked="f" coordsize="21600,21600">
                    <v:path/>
                    <v:fill on="f" focussize="0,0"/>
                    <v:stroke on="f"/>
                    <v:imagedata o:title=""/>
                    <o:lock v:ext="edit" aspectratio="f"/>
                    <v:textbox>
                      <w:txbxContent>
                        <w:p w14:paraId="5151995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12</w:t>
                          </w:r>
                        </w:p>
                      </w:txbxContent>
                    </v:textbox>
                  </v:shape>
                  <v:shape id="_x0000_s2338" o:spid="_x0000_s2338" o:spt="202" type="#_x0000_t202" style="position:absolute;left:981710;top:2846064;height:241299;width:444500;" filled="f" stroked="f" coordsize="21600,21600">
                    <v:path/>
                    <v:fill on="f" focussize="0,0"/>
                    <v:stroke on="f"/>
                    <v:imagedata o:title=""/>
                    <o:lock v:ext="edit" aspectratio="f"/>
                    <v:textbox>
                      <w:txbxContent>
                        <w:p w14:paraId="49D6782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1.92</w:t>
                          </w:r>
                        </w:p>
                      </w:txbxContent>
                    </v:textbox>
                  </v:shape>
                  <v:line id="_x0000_s2339" o:spid="_x0000_s2339" o:spt="20" style="position:absolute;left:3672205;top:401319;height:2193285;width:15240;" filled="f" stroked="t" coordsize="21600,21600">
                    <v:path arrowok="t"/>
                    <v:fill on="f" focussize="0,0"/>
                    <v:stroke weight="1pt" color="#000000"/>
                    <v:imagedata o:title=""/>
                    <o:lock v:ext="edit" aspectratio="f"/>
                  </v:line>
                  <v:shape id="_x0000_s2340" o:spid="_x0000_s2340" o:spt="109" type="#_x0000_t109" style="position:absolute;left:2743200;top:806448;height:254000;width:514350;" fillcolor="#FFFFFF" filled="t" stroked="t" coordsize="21600,21600">
                    <v:path/>
                    <v:fill on="t" color2="#FFFFFF" focussize="0,0"/>
                    <v:stroke color="#000000" joinstyle="miter"/>
                    <v:imagedata o:title=""/>
                    <o:lock v:ext="edit" aspectratio="f"/>
                    <v:textbox>
                      <w:txbxContent>
                        <w:p w14:paraId="3CBF4B4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隔油</w:t>
                          </w:r>
                        </w:p>
                      </w:txbxContent>
                    </v:textbox>
                  </v:shape>
                  <v:line id="_x0000_s2341" o:spid="_x0000_s2341" o:spt="20" style="position:absolute;left:2442210;top:1497327;height:635;width:325755;" filled="f" stroked="t" coordsize="21600,21600">
                    <v:path arrowok="t"/>
                    <v:fill on="f" focussize="0,0"/>
                    <v:stroke weight="1pt" color="#000000" endarrow="open"/>
                    <v:imagedata o:title=""/>
                    <o:lock v:ext="edit" aspectratio="f"/>
                  </v:line>
                  <v:shape id="_x0000_s2342" o:spid="_x0000_s2342" o:spt="109" type="#_x0000_t109" style="position:absolute;left:2759710;top:1354452;height:254000;width:508000;" fillcolor="#FFFFFF" filled="t" stroked="t" coordsize="21600,21600">
                    <v:path/>
                    <v:fill on="t" color2="#FFFFFF" focussize="0,0"/>
                    <v:stroke color="#000000" joinstyle="miter"/>
                    <v:imagedata o:title=""/>
                    <o:lock v:ext="edit" aspectratio="f"/>
                    <v:textbox>
                      <w:txbxContent>
                        <w:p w14:paraId="576CA53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隔油</w:t>
                          </w:r>
                        </w:p>
                      </w:txbxContent>
                    </v:textbox>
                  </v:shape>
                  <v:line id="_x0000_s2343" o:spid="_x0000_s2343" o:spt="20" style="position:absolute;left:2473960;top:2037076;height:635;width:357505;" filled="f" stroked="t" coordsize="21600,21600">
                    <v:path arrowok="t"/>
                    <v:fill on="f" focussize="0,0"/>
                    <v:stroke weight="1pt" color="#000000" endarrow="open"/>
                    <v:imagedata o:title=""/>
                    <o:lock v:ext="edit" aspectratio="f"/>
                  </v:line>
                  <v:shape id="_x0000_s2344" o:spid="_x0000_s2344" o:spt="109" type="#_x0000_t109" style="position:absolute;left:2823210;top:1901821;height:253999;width:508000;" fillcolor="#FFFFFF" filled="t" stroked="t" coordsize="21600,21600">
                    <v:path/>
                    <v:fill on="t" color2="#FFFFFF" focussize="0,0"/>
                    <v:stroke color="#000000" joinstyle="miter"/>
                    <v:imagedata o:title=""/>
                    <o:lock v:ext="edit" aspectratio="f"/>
                    <v:textbox>
                      <w:txbxContent>
                        <w:p w14:paraId="15D8528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隔油</w:t>
                          </w:r>
                        </w:p>
                      </w:txbxContent>
                    </v:textbox>
                  </v:shape>
                  <v:line id="_x0000_s2345" o:spid="_x0000_s2345" o:spt="20" style="position:absolute;left:2426335;top:2568569;height:635;width:1268095;" filled="f" stroked="t" coordsize="21600,21600">
                    <v:path arrowok="t"/>
                    <v:fill on="f" focussize="0,0"/>
                    <v:stroke weight="1pt" color="#000000" endarrow="open"/>
                    <v:imagedata o:title=""/>
                    <o:lock v:ext="edit" aspectratio="f"/>
                  </v:line>
                  <v:line id="_x0000_s2346" o:spid="_x0000_s2346" o:spt="20" style="position:absolute;left:2402205;top:3172453;height:0;width:317500;" filled="f" stroked="t" coordsize="21600,21600">
                    <v:path arrowok="t"/>
                    <v:fill on="f" focussize="0,0"/>
                    <v:stroke weight="1pt" color="#000000" endarrow="open"/>
                    <v:imagedata o:title=""/>
                    <o:lock v:ext="edit" aspectratio="f"/>
                  </v:line>
                  <v:line id="_x0000_s2347" o:spid="_x0000_s2347" o:spt="20" style="position:absolute;left:3259455;top:918208;height:0;width:381000;" filled="f" stroked="t" coordsize="21600,21600">
                    <v:path arrowok="t"/>
                    <v:fill on="f" focussize="0,0"/>
                    <v:stroke weight="1pt" color="#000000" endarrow="open"/>
                    <v:imagedata o:title=""/>
                    <o:lock v:ext="edit" aspectratio="f"/>
                  </v:line>
                  <v:line id="_x0000_s2348" o:spid="_x0000_s2348" o:spt="20" style="position:absolute;left:3322955;top:2045331;height:0;width:381000;" filled="f" stroked="t" coordsize="21600,21600">
                    <v:path arrowok="t"/>
                    <v:fill on="f" focussize="0,0"/>
                    <v:stroke weight="1pt" color="#000000" endarrow="open"/>
                    <v:imagedata o:title=""/>
                    <o:lock v:ext="edit" aspectratio="f"/>
                  </v:line>
                  <v:line id="_x0000_s2349" o:spid="_x0000_s2349" o:spt="20" style="position:absolute;left:3253105;top:1475102;height:0;width:381000;" filled="f" stroked="t" coordsize="21600,21600">
                    <v:path arrowok="t"/>
                    <v:fill on="f" focussize="0,0"/>
                    <v:stroke weight="1pt" color="#000000" endarrow="open"/>
                    <v:imagedata o:title=""/>
                    <o:lock v:ext="edit" aspectratio="f"/>
                  </v:line>
                  <v:line id="_x0000_s2350" o:spid="_x0000_s2350" o:spt="20" style="position:absolute;left:3656330;top:1116328;height:635;width:317500;" filled="f" stroked="t" coordsize="21600,21600">
                    <v:path arrowok="t"/>
                    <v:fill on="f" focussize="0,0"/>
                    <v:stroke weight="1pt" color="#000000" endarrow="open"/>
                    <v:imagedata o:title=""/>
                    <o:lock v:ext="edit" aspectratio="f"/>
                  </v:line>
                  <v:line id="_x0000_s2351" o:spid="_x0000_s2351" o:spt="20" style="position:absolute;left:4410710;top:1290317;flip:x;height:438149;width:7620;" filled="f" stroked="t" coordsize="21600,21600">
                    <v:path arrowok="t"/>
                    <v:fill on="f" focussize="0,0"/>
                    <v:stroke weight="1pt" color="#000000" endarrow="open"/>
                    <v:imagedata o:title=""/>
                    <o:lock v:ext="edit" aspectratio="f"/>
                  </v:line>
                  <v:shape id="_x0000_s2352" o:spid="_x0000_s2352" o:spt="109" type="#_x0000_t109" style="position:absolute;left:3918585;top:1719576;height:431799;width:927100;" fillcolor="#FFFFFF" filled="t" stroked="t" coordsize="21600,21600">
                    <v:path/>
                    <v:fill on="t" color2="#FFFFFF" focussize="0,0"/>
                    <v:stroke color="#000000" joinstyle="miter"/>
                    <v:imagedata o:title=""/>
                    <o:lock v:ext="edit" aspectratio="f"/>
                    <v:textbox>
                      <w:txbxContent>
                        <w:p w14:paraId="1631DC8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lang w:eastAsia="zh-CN"/>
                            </w:rPr>
                          </w:pPr>
                          <w:r>
                            <w:rPr>
                              <w:rFonts w:hint="eastAsia"/>
                              <w:sz w:val="21"/>
                              <w:szCs w:val="21"/>
                              <w:lang w:eastAsia="zh-CN"/>
                            </w:rPr>
                            <w:t>园区污水处理厂</w:t>
                          </w:r>
                        </w:p>
                      </w:txbxContent>
                    </v:textbox>
                  </v:shape>
                  <v:shape id="_x0000_s2353" o:spid="_x0000_s2353" o:spt="202" type="#_x0000_t202" style="position:absolute;left:2663825;top:203835;height:228599;width:419100;" filled="f" stroked="f" coordsize="21600,21600">
                    <v:path/>
                    <v:fill on="f" focussize="0,0"/>
                    <v:stroke on="f"/>
                    <v:imagedata o:title=""/>
                    <o:lock v:ext="edit" aspectratio="f"/>
                    <v:textbox>
                      <w:txbxContent>
                        <w:p w14:paraId="4E01791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3.06</w:t>
                          </w:r>
                        </w:p>
                      </w:txbxContent>
                    </v:textbox>
                  </v:shape>
                  <v:shape id="_x0000_s2354" o:spid="_x0000_s2354" o:spt="202" type="#_x0000_t202" style="position:absolute;left:2386330;top:687704;height:241299;width:427990;" filled="f" stroked="f" coordsize="21600,21600">
                    <v:path/>
                    <v:fill on="f" focussize="0,0"/>
                    <v:stroke on="f"/>
                    <v:imagedata o:title=""/>
                    <o:lock v:ext="edit" aspectratio="f"/>
                    <v:textbox>
                      <w:txbxContent>
                        <w:p w14:paraId="48D2DAE4">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6.46</w:t>
                          </w:r>
                        </w:p>
                      </w:txbxContent>
                    </v:textbox>
                  </v:shape>
                  <v:shape id="_x0000_s2355" o:spid="_x0000_s2355" o:spt="202" type="#_x0000_t202" style="position:absolute;left:3259455;top:655954;height:241299;width:421005;" filled="f" stroked="f" coordsize="21600,21600">
                    <v:path/>
                    <v:fill on="f" focussize="0,0"/>
                    <v:stroke on="f"/>
                    <v:imagedata o:title=""/>
                    <o:lock v:ext="edit" aspectratio="f"/>
                    <v:textbox>
                      <w:txbxContent>
                        <w:p w14:paraId="38C9714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6.46</w:t>
                          </w:r>
                        </w:p>
                      </w:txbxContent>
                    </v:textbox>
                  </v:shape>
                  <v:shape id="_x0000_s2356" o:spid="_x0000_s2356" o:spt="202" type="#_x0000_t202" style="position:absolute;left:2433955;top:1259202;height:241300;width:381000;" filled="f" stroked="f" coordsize="21600,21600">
                    <v:path/>
                    <v:fill on="f" focussize="0,0"/>
                    <v:stroke on="f"/>
                    <v:imagedata o:title=""/>
                    <o:lock v:ext="edit" aspectratio="f"/>
                    <v:textbox>
                      <w:txbxContent>
                        <w:p w14:paraId="778CF05D">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2.38</w:t>
                          </w:r>
                        </w:p>
                      </w:txbxContent>
                    </v:textbox>
                  </v:shape>
                  <v:shape id="_x0000_s2357" o:spid="_x0000_s2357" o:spt="202" type="#_x0000_t202" style="position:absolute;left:3227705;top:1219832;height:241300;width:491490;" filled="f" stroked="f" coordsize="21600,21600">
                    <v:path/>
                    <v:fill on="f" focussize="0,0"/>
                    <v:stroke on="f"/>
                    <v:imagedata o:title=""/>
                    <o:lock v:ext="edit" aspectratio="f"/>
                    <v:textbox>
                      <w:txbxContent>
                        <w:p w14:paraId="03182F89">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2.38</w:t>
                          </w:r>
                        </w:p>
                      </w:txbxContent>
                    </v:textbox>
                  </v:shape>
                  <v:shape id="_x0000_s2358" o:spid="_x0000_s2358" o:spt="202" type="#_x0000_t202" style="position:absolute;left:2426335;top:1783076;height:241300;width:431800;" filled="f" stroked="f" coordsize="21600,21600">
                    <v:path/>
                    <v:fill on="f" focussize="0,0"/>
                    <v:stroke on="f"/>
                    <v:imagedata o:title=""/>
                    <o:lock v:ext="edit" aspectratio="f"/>
                    <v:textbox>
                      <w:txbxContent>
                        <w:p w14:paraId="57724C9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1.84</w:t>
                          </w:r>
                        </w:p>
                      </w:txbxContent>
                    </v:textbox>
                  </v:shape>
                  <v:shape id="_x0000_s2359" o:spid="_x0000_s2359" o:spt="202" type="#_x0000_t202" style="position:absolute;left:3346450;top:1767201;height:241300;width:431800;" filled="f" stroked="f" coordsize="21600,21600">
                    <v:path/>
                    <v:fill on="f" focussize="0,0"/>
                    <v:stroke on="f"/>
                    <v:imagedata o:title=""/>
                    <o:lock v:ext="edit" aspectratio="f"/>
                    <v:textbox>
                      <w:txbxContent>
                        <w:p w14:paraId="02D2E47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1.84</w:t>
                          </w:r>
                        </w:p>
                      </w:txbxContent>
                    </v:textbox>
                  </v:shape>
                  <v:line id="_x0000_s2360" o:spid="_x0000_s2360" o:spt="20" style="position:absolute;left:3045460;top:2560949;flip:x;height:431799;width:0;" filled="f" stroked="t" coordsize="21600,21600">
                    <v:path arrowok="t"/>
                    <v:fill on="f" focussize="0,0"/>
                    <v:stroke weight="1pt" color="#000000" endarrow="open"/>
                    <v:imagedata o:title=""/>
                    <o:lock v:ext="edit" aspectratio="f"/>
                  </v:line>
                  <v:shape id="_x0000_s2361" o:spid="_x0000_s2361" o:spt="202" type="#_x0000_t202" style="position:absolute;left:2410460;top:2878449;height:241299;width:444500;" filled="f" stroked="f" coordsize="21600,21600">
                    <v:path/>
                    <v:fill on="f" focussize="0,0"/>
                    <v:stroke on="f"/>
                    <v:imagedata o:title=""/>
                    <o:lock v:ext="edit" aspectratio="f"/>
                    <v:textbox>
                      <w:txbxContent>
                        <w:p w14:paraId="4458415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1.92</w:t>
                          </w:r>
                        </w:p>
                      </w:txbxContent>
                    </v:textbox>
                  </v:shape>
                  <v:shape id="_x0000_s2362" o:spid="_x0000_s2362" o:spt="202" type="#_x0000_t202" style="position:absolute;left:3251835;top:2338700;height:241299;width:381000;" filled="f" stroked="f" coordsize="21600,21600">
                    <v:path/>
                    <v:fill on="f" focussize="0,0"/>
                    <v:stroke on="f"/>
                    <v:imagedata o:title=""/>
                    <o:lock v:ext="edit" aspectratio="f"/>
                    <v:textbox>
                      <w:txbxContent>
                        <w:p w14:paraId="4FA006B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1.2</w:t>
                          </w:r>
                        </w:p>
                      </w:txbxContent>
                    </v:textbox>
                  </v:shape>
                  <v:shape id="_x0000_s2363" o:spid="_x0000_s2363" o:spt="202" type="#_x0000_t202" style="position:absolute;left:3045460;top:2680329;height:241299;width:547370;" filled="f" stroked="f" coordsize="21600,21600">
                    <v:path/>
                    <v:fill on="f" focussize="0,0"/>
                    <v:stroke on="f"/>
                    <v:imagedata o:title=""/>
                    <o:lock v:ext="edit" aspectratio="f"/>
                    <v:textbox>
                      <w:txbxContent>
                        <w:p w14:paraId="192A3AF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10.8</w:t>
                          </w:r>
                        </w:p>
                      </w:txbxContent>
                    </v:textbox>
                  </v:shape>
                  <v:shape id="_x0000_s2364" o:spid="_x0000_s2364" o:spt="202" type="#_x0000_t202" style="position:absolute;left:3672205;top:854708;height:228600;width:522605;" filled="f" stroked="f" coordsize="21600,21600">
                    <v:path/>
                    <v:fill on="f" focussize="0,0"/>
                    <v:stroke on="f"/>
                    <v:imagedata o:title=""/>
                    <o:lock v:ext="edit" aspectratio="f"/>
                    <v:textbox>
                      <w:txbxContent>
                        <w:p w14:paraId="175890A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14.94</w:t>
                          </w:r>
                        </w:p>
                      </w:txbxContent>
                    </v:textbox>
                  </v:shape>
                  <v:shape id="_x0000_s2365" o:spid="_x0000_s2365" o:spt="202" type="#_x0000_t202" style="position:absolute;left:4497705;top:1410332;height:228599;width:586105;" filled="f" stroked="f" coordsize="21600,21600">
                    <v:path/>
                    <v:fill on="f" focussize="0,0"/>
                    <v:stroke on="f"/>
                    <v:imagedata o:title=""/>
                    <o:lock v:ext="edit" aspectratio="f"/>
                    <v:textbox>
                      <w:txbxContent>
                        <w:p w14:paraId="14002559">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14.94</w:t>
                          </w:r>
                        </w:p>
                      </w:txbxContent>
                    </v:textbox>
                  </v:shape>
                  <v:shape id="_x0000_s2366" o:spid="_x0000_s2366" o:spt="109" type="#_x0000_t109" style="position:absolute;left:1481455;top:3545197;height:241299;width:914400;" fillcolor="#FFFFFF" filled="t" stroked="t" coordsize="21600,21600">
                    <v:path/>
                    <v:fill on="t" color2="#FFFFFF" focussize="0,0"/>
                    <v:stroke color="#000000" joinstyle="miter"/>
                    <v:imagedata o:title=""/>
                    <o:lock v:ext="edit" aspectratio="f"/>
                    <v:textbox>
                      <w:txbxContent>
                        <w:p w14:paraId="2265CF9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绿化用水</w:t>
                          </w:r>
                        </w:p>
                      </w:txbxContent>
                    </v:textbox>
                  </v:shape>
                  <v:line id="_x0000_s2367" o:spid="_x0000_s2367" o:spt="20" style="position:absolute;left:957580;top:3648067;height:0;width:508000;" filled="f" stroked="t" coordsize="21600,21600">
                    <v:path arrowok="t"/>
                    <v:fill on="f" focussize="0,0"/>
                    <v:stroke weight="1pt" color="#000000" endarrow="open"/>
                    <v:imagedata o:title=""/>
                    <o:lock v:ext="edit" aspectratio="f"/>
                  </v:line>
                  <v:line id="_x0000_s2368" o:spid="_x0000_s2368" o:spt="20" style="position:absolute;left:2410460;top:3672197;height:635;width:285750;" fillcolor="#FFFFFF" filled="t" stroked="t" coordsize="21600,21600">
                    <v:path arrowok="t"/>
                    <v:fill on="t" color2="#FFFFFF" focussize="0,0"/>
                    <v:stroke color="#000000" dashstyle="dash" endarrow="block"/>
                    <v:imagedata o:title=""/>
                    <o:lock v:ext="edit" aspectratio="f"/>
                  </v:line>
                  <v:shape id="_x0000_s2369" o:spid="_x0000_s2369" o:spt="109" type="#_x0000_t109" style="position:absolute;left:2703830;top:3521702;height:279399;width:648970;" fillcolor="#FFFFFF" filled="t" stroked="f" coordsize="21600,21600">
                    <v:path/>
                    <v:fill on="t" color2="#FFFFFF" focussize="0,0"/>
                    <v:stroke on="f"/>
                    <v:imagedata o:title=""/>
                    <o:lock v:ext="edit" aspectratio="f"/>
                    <v:textbox>
                      <w:txbxContent>
                        <w:p w14:paraId="1892274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损耗</w:t>
                          </w:r>
                        </w:p>
                      </w:txbxContent>
                    </v:textbox>
                  </v:shape>
                  <v:shape id="_x0000_s2370" o:spid="_x0000_s2370" o:spt="202" type="#_x0000_t202" style="position:absolute;left:2418080;top:3449947;height:241300;width:444500;" filled="f" stroked="f" coordsize="21600,21600">
                    <v:path/>
                    <v:fill on="f" focussize="0,0"/>
                    <v:stroke on="f"/>
                    <v:imagedata o:title=""/>
                    <o:lock v:ext="edit" aspectratio="f"/>
                    <v:textbox>
                      <w:txbxContent>
                        <w:p w14:paraId="0754ECC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0.21</w:t>
                          </w:r>
                        </w:p>
                      </w:txbxContent>
                    </v:textbox>
                  </v:shape>
                  <v:shape id="_x0000_s2371" o:spid="_x0000_s2371" o:spt="202" type="#_x0000_t202" style="position:absolute;left:990600;top:3404227;height:241300;width:444500;" filled="f" stroked="f" coordsize="21600,21600">
                    <v:path/>
                    <v:fill on="f" focussize="0,0"/>
                    <v:stroke on="f"/>
                    <v:imagedata o:title=""/>
                    <o:lock v:ext="edit" aspectratio="f"/>
                    <v:textbox>
                      <w:txbxContent>
                        <w:p w14:paraId="65B4D9B0">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hint="default" w:eastAsia="宋体"/>
                              <w:sz w:val="21"/>
                              <w:szCs w:val="21"/>
                              <w:lang w:val="en-US" w:eastAsia="zh-CN"/>
                            </w:rPr>
                          </w:pPr>
                          <w:r>
                            <w:rPr>
                              <w:rFonts w:hint="eastAsia"/>
                              <w:sz w:val="21"/>
                              <w:szCs w:val="21"/>
                              <w:lang w:val="en-US" w:eastAsia="zh-CN"/>
                            </w:rPr>
                            <w:t>0.21</w:t>
                          </w:r>
                        </w:p>
                      </w:txbxContent>
                    </v:textbox>
                  </v:shape>
                  <w10:wrap type="none"/>
                  <w10:anchorlock/>
                </v:group>
              </w:pict>
            </w:r>
          </w:p>
          <w:p w14:paraId="1F04ACFE">
            <w:pPr>
              <w:pStyle w:val="94"/>
              <w:keepNext w:val="0"/>
              <w:keepLines w:val="0"/>
              <w:widowControl/>
              <w:suppressLineNumbers w:val="0"/>
              <w:spacing w:before="0" w:beforeAutospacing="0" w:after="0" w:afterAutospacing="0"/>
              <w:ind w:left="0" w:right="0" w:firstLine="422"/>
              <w:rPr>
                <w:rFonts w:hint="default" w:ascii="Times New Roman" w:hAnsi="Times New Roman" w:eastAsia="宋体" w:cs="Times New Roman"/>
                <w:color w:val="auto"/>
                <w:sz w:val="21"/>
                <w:lang w:val="en-US" w:eastAsia="zh-CN"/>
              </w:rPr>
            </w:pPr>
            <w:r>
              <w:rPr>
                <w:rFonts w:hint="eastAsia"/>
                <w:color w:val="auto"/>
                <w:sz w:val="28"/>
                <w:szCs w:val="28"/>
                <w:lang w:val="en-US" w:eastAsia="zh-CN"/>
              </w:rPr>
              <w:t xml:space="preserve"> </w:t>
            </w:r>
            <w:r>
              <w:rPr>
                <w:rFonts w:hint="eastAsia" w:ascii="Times New Roman" w:hAnsi="Times New Roman" w:eastAsia="宋体" w:cs="Times New Roman"/>
                <w:color w:val="auto"/>
                <w:sz w:val="21"/>
                <w:lang w:val="en-US" w:eastAsia="zh-CN"/>
              </w:rPr>
              <w:t>图2</w:t>
            </w:r>
            <w:r>
              <w:rPr>
                <w:rFonts w:hint="default" w:ascii="Times New Roman" w:hAnsi="Times New Roman" w:eastAsia="宋体" w:cs="Times New Roman"/>
                <w:color w:val="auto"/>
                <w:sz w:val="21"/>
                <w:lang w:val="en-US" w:eastAsia="zh-CN"/>
              </w:rPr>
              <w:t>-</w:t>
            </w:r>
            <w:r>
              <w:rPr>
                <w:rFonts w:hint="eastAsia" w:cs="Times New Roman"/>
                <w:color w:val="auto"/>
                <w:sz w:val="21"/>
                <w:lang w:val="en-US" w:eastAsia="zh-CN"/>
              </w:rPr>
              <w:t>3</w:t>
            </w:r>
            <w:r>
              <w:rPr>
                <w:rFonts w:hint="default" w:ascii="Times New Roman" w:hAnsi="Times New Roman" w:eastAsia="宋体" w:cs="Times New Roman"/>
                <w:color w:val="auto"/>
                <w:sz w:val="21"/>
                <w:lang w:val="en-US" w:eastAsia="zh-CN"/>
              </w:rPr>
              <w:t xml:space="preserve">  </w:t>
            </w:r>
            <w:r>
              <w:rPr>
                <w:rFonts w:hint="eastAsia" w:cs="Times New Roman"/>
                <w:color w:val="auto"/>
                <w:sz w:val="21"/>
                <w:lang w:val="en-US" w:eastAsia="zh-CN"/>
              </w:rPr>
              <w:t>项目扩建后全厂水平衡</w:t>
            </w:r>
            <w:r>
              <w:rPr>
                <w:rFonts w:hint="default" w:ascii="Times New Roman" w:hAnsi="Times New Roman" w:eastAsia="宋体" w:cs="Times New Roman"/>
                <w:color w:val="auto"/>
                <w:sz w:val="21"/>
                <w:lang w:val="en-US" w:eastAsia="zh-CN"/>
              </w:rPr>
              <w:t>图</w:t>
            </w:r>
            <w:r>
              <w:rPr>
                <w:rFonts w:hint="eastAsia" w:ascii="Times New Roman" w:hAnsi="Times New Roman" w:eastAsia="宋体" w:cs="Times New Roman"/>
                <w:color w:val="auto"/>
                <w:sz w:val="21"/>
                <w:lang w:val="en-US" w:eastAsia="zh-CN"/>
              </w:rPr>
              <w:t xml:space="preserve">    m</w:t>
            </w:r>
            <w:r>
              <w:rPr>
                <w:rFonts w:hint="eastAsia" w:ascii="Times New Roman" w:hAnsi="Times New Roman" w:eastAsia="宋体" w:cs="Times New Roman"/>
                <w:color w:val="auto"/>
                <w:sz w:val="21"/>
                <w:vertAlign w:val="superscript"/>
                <w:lang w:val="en-US" w:eastAsia="zh-CN"/>
              </w:rPr>
              <w:t>3</w:t>
            </w:r>
            <w:r>
              <w:rPr>
                <w:rFonts w:hint="eastAsia" w:ascii="Times New Roman" w:hAnsi="Times New Roman" w:eastAsia="宋体" w:cs="Times New Roman"/>
                <w:color w:val="auto"/>
                <w:sz w:val="21"/>
                <w:lang w:val="en-US" w:eastAsia="zh-CN"/>
              </w:rPr>
              <w:t>/d</w:t>
            </w:r>
          </w:p>
          <w:p w14:paraId="4F391547">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lang w:eastAsia="zh-CN"/>
              </w:rPr>
              <w:t>八</w:t>
            </w:r>
            <w:r>
              <w:rPr>
                <w:rFonts w:hint="eastAsia"/>
                <w:color w:val="auto"/>
                <w:sz w:val="28"/>
                <w:szCs w:val="28"/>
              </w:rPr>
              <w:t>、项目变动情况</w:t>
            </w:r>
          </w:p>
          <w:p w14:paraId="07BF17B6">
            <w:pPr>
              <w:keepNext w:val="0"/>
              <w:keepLines w:val="0"/>
              <w:widowControl/>
              <w:suppressLineNumbers w:val="0"/>
              <w:spacing w:before="0" w:beforeAutospacing="0" w:after="0" w:afterAutospacing="0"/>
              <w:ind w:left="0" w:right="0" w:firstLine="600" w:firstLineChars="250"/>
              <w:jc w:val="left"/>
              <w:rPr>
                <w:rFonts w:hint="default"/>
                <w:color w:val="auto"/>
              </w:rPr>
            </w:pPr>
            <w:r>
              <w:rPr>
                <w:rFonts w:hint="eastAsia"/>
                <w:color w:val="auto"/>
              </w:rPr>
              <w:t>根据生态环境部发布的〈关于印发环评管理中部分行业建设项目重大变动清单的通知〉（环办〔</w:t>
            </w:r>
            <w:r>
              <w:rPr>
                <w:rFonts w:hint="default"/>
                <w:color w:val="auto"/>
              </w:rPr>
              <w:t>2015</w:t>
            </w:r>
            <w:r>
              <w:rPr>
                <w:rFonts w:hint="eastAsia"/>
                <w:color w:val="auto"/>
              </w:rPr>
              <w:t>〕</w:t>
            </w:r>
            <w:r>
              <w:rPr>
                <w:rFonts w:hint="default"/>
                <w:color w:val="auto"/>
              </w:rPr>
              <w:t>52</w:t>
            </w:r>
            <w:r>
              <w:rPr>
                <w:rFonts w:hint="eastAsia"/>
                <w:color w:val="auto"/>
              </w:rPr>
              <w:t>号）、〈关于印发制浆造纸等十四个行业建设项目重大变动清单的通知〉（环办环评〔</w:t>
            </w:r>
            <w:r>
              <w:rPr>
                <w:rFonts w:hint="default"/>
                <w:color w:val="auto"/>
              </w:rPr>
              <w:t>2018</w:t>
            </w:r>
            <w:r>
              <w:rPr>
                <w:rFonts w:hint="eastAsia"/>
                <w:color w:val="auto"/>
              </w:rPr>
              <w:t>〕</w:t>
            </w:r>
            <w:r>
              <w:rPr>
                <w:rFonts w:hint="default"/>
                <w:color w:val="auto"/>
              </w:rPr>
              <w:t>6</w:t>
            </w:r>
            <w:r>
              <w:rPr>
                <w:rFonts w:hint="eastAsia"/>
                <w:color w:val="auto"/>
              </w:rPr>
              <w:t>号）、〈关于印发淀粉等五个行业建设项目重大变动清单的通知〉（环办环评函〔</w:t>
            </w:r>
            <w:r>
              <w:rPr>
                <w:rFonts w:hint="default"/>
                <w:color w:val="auto"/>
              </w:rPr>
              <w:t>2019</w:t>
            </w:r>
            <w:r>
              <w:rPr>
                <w:rFonts w:hint="eastAsia"/>
                <w:color w:val="auto"/>
              </w:rPr>
              <w:t>〕</w:t>
            </w:r>
            <w:r>
              <w:rPr>
                <w:rFonts w:hint="default"/>
                <w:color w:val="auto"/>
              </w:rPr>
              <w:t>934</w:t>
            </w:r>
            <w:r>
              <w:rPr>
                <w:rFonts w:hint="eastAsia"/>
                <w:color w:val="auto"/>
              </w:rPr>
              <w:t>号）有关规定，本项目不在2</w:t>
            </w:r>
            <w:r>
              <w:rPr>
                <w:rFonts w:hint="default"/>
                <w:color w:val="auto"/>
              </w:rPr>
              <w:t>8</w:t>
            </w:r>
            <w:r>
              <w:rPr>
                <w:rFonts w:hint="eastAsia"/>
                <w:color w:val="auto"/>
              </w:rPr>
              <w:t>个行业建设项目重大变动清单内。</w:t>
            </w:r>
          </w:p>
          <w:p w14:paraId="6CAADE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Times New Roman" w:hAnsi="Times New Roman" w:eastAsia="宋体"/>
                <w:color w:val="auto"/>
                <w:sz w:val="24"/>
                <w:szCs w:val="24"/>
                <w:u w:val="single"/>
                <w:lang w:val="en-US" w:eastAsia="zh-CN"/>
              </w:rPr>
            </w:pPr>
            <w:r>
              <w:rPr>
                <w:rFonts w:hint="eastAsia" w:ascii="Times New Roman" w:hAnsi="Times New Roman" w:eastAsia="宋体"/>
                <w:color w:val="auto"/>
                <w:sz w:val="24"/>
                <w:szCs w:val="24"/>
                <w:u w:val="single"/>
                <w:lang w:val="en-US" w:eastAsia="zh-CN"/>
              </w:rPr>
              <w:t>根据环评资料和现场调查，本项目发生的变动情况如下：</w:t>
            </w:r>
          </w:p>
          <w:p w14:paraId="4F0AA3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ascii="Times New Roman" w:hAnsi="Times New Roman" w:eastAsia="宋体"/>
                <w:color w:val="auto"/>
                <w:sz w:val="24"/>
                <w:szCs w:val="24"/>
                <w:u w:val="single"/>
                <w:lang w:val="en-US" w:eastAsia="zh-CN"/>
              </w:rPr>
            </w:pPr>
            <w:r>
              <w:rPr>
                <w:rFonts w:hint="eastAsia"/>
                <w:color w:val="auto"/>
                <w:sz w:val="24"/>
                <w:szCs w:val="24"/>
                <w:u w:val="single"/>
                <w:lang w:val="en-US" w:eastAsia="zh-CN"/>
              </w:rPr>
              <w:t>1</w:t>
            </w:r>
            <w:r>
              <w:rPr>
                <w:rFonts w:hint="eastAsia" w:ascii="Times New Roman" w:hAnsi="Times New Roman" w:eastAsia="宋体"/>
                <w:color w:val="auto"/>
                <w:sz w:val="24"/>
                <w:szCs w:val="24"/>
                <w:u w:val="single"/>
                <w:lang w:val="en-US" w:eastAsia="zh-CN"/>
              </w:rPr>
              <w:t>、总平面布置变化。</w:t>
            </w:r>
            <w:r>
              <w:rPr>
                <w:rFonts w:hint="eastAsia"/>
                <w:color w:val="auto"/>
                <w:sz w:val="24"/>
                <w:szCs w:val="24"/>
                <w:u w:val="single"/>
                <w:lang w:val="en-US" w:eastAsia="zh-CN"/>
              </w:rPr>
              <w:t>原环评2#生产厂房为4F结构，实际上</w:t>
            </w:r>
            <w:r>
              <w:rPr>
                <w:rFonts w:hint="eastAsia" w:ascii="Times New Roman" w:hAnsi="Times New Roman" w:eastAsia="宋体"/>
                <w:color w:val="auto"/>
                <w:sz w:val="24"/>
                <w:szCs w:val="24"/>
                <w:u w:val="single"/>
                <w:lang w:val="en-US" w:eastAsia="zh-CN"/>
              </w:rPr>
              <w:t>项目</w:t>
            </w:r>
            <w:r>
              <w:rPr>
                <w:rFonts w:hint="eastAsia"/>
                <w:color w:val="auto"/>
                <w:sz w:val="24"/>
                <w:szCs w:val="24"/>
                <w:u w:val="single"/>
                <w:lang w:val="en-US" w:eastAsia="zh-CN"/>
              </w:rPr>
              <w:t>未建设鸡精生产线</w:t>
            </w:r>
            <w:r>
              <w:rPr>
                <w:rFonts w:hint="eastAsia" w:ascii="Times New Roman" w:hAnsi="Times New Roman" w:eastAsia="宋体"/>
                <w:color w:val="auto"/>
                <w:sz w:val="24"/>
                <w:szCs w:val="24"/>
                <w:u w:val="single"/>
                <w:lang w:val="en-US" w:eastAsia="zh-CN"/>
              </w:rPr>
              <w:t>，</w:t>
            </w:r>
            <w:r>
              <w:rPr>
                <w:rFonts w:hint="eastAsia"/>
                <w:color w:val="auto"/>
                <w:sz w:val="24"/>
                <w:szCs w:val="24"/>
                <w:u w:val="single"/>
                <w:lang w:val="en-US" w:eastAsia="zh-CN"/>
              </w:rPr>
              <w:t>并在空地新建设原料和场坪库房，并在厂区西北角配套建设机修房、配电房、垃圾房、危废间等辅助设施</w:t>
            </w:r>
            <w:r>
              <w:rPr>
                <w:rFonts w:hint="eastAsia" w:ascii="Times New Roman" w:hAnsi="Times New Roman" w:eastAsia="宋体"/>
                <w:color w:val="auto"/>
                <w:sz w:val="24"/>
                <w:szCs w:val="24"/>
                <w:u w:val="single"/>
                <w:lang w:val="en-US" w:eastAsia="zh-CN"/>
              </w:rPr>
              <w:t>，因此总平面布置有所变化。</w:t>
            </w:r>
          </w:p>
          <w:p w14:paraId="0474BD1A">
            <w:pPr>
              <w:pStyle w:val="33"/>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360" w:lineRule="auto"/>
              <w:ind w:left="0" w:right="0" w:firstLine="480" w:firstLineChars="200"/>
              <w:textAlignment w:val="auto"/>
              <w:rPr>
                <w:rFonts w:hint="default" w:ascii="Times New Roman" w:hAnsi="Times New Roman" w:eastAsia="宋体"/>
                <w:color w:val="auto"/>
                <w:sz w:val="24"/>
                <w:szCs w:val="24"/>
                <w:u w:val="single"/>
                <w:lang w:val="en-US" w:eastAsia="zh-CN"/>
              </w:rPr>
            </w:pPr>
            <w:r>
              <w:rPr>
                <w:rFonts w:hint="eastAsia" w:ascii="Times New Roman" w:hAnsi="Times New Roman"/>
                <w:color w:val="auto"/>
                <w:sz w:val="24"/>
                <w:szCs w:val="24"/>
                <w:u w:val="single"/>
                <w:lang w:val="en-US" w:eastAsia="zh-CN"/>
              </w:rPr>
              <w:t>2</w:t>
            </w:r>
            <w:r>
              <w:rPr>
                <w:rFonts w:hint="eastAsia" w:ascii="Times New Roman" w:hAnsi="Times New Roman" w:eastAsia="宋体"/>
                <w:color w:val="auto"/>
                <w:sz w:val="24"/>
                <w:szCs w:val="24"/>
                <w:u w:val="single"/>
                <w:lang w:val="en-US" w:eastAsia="zh-CN"/>
              </w:rPr>
              <w:t>、生产工艺变化。</w:t>
            </w:r>
            <w:r>
              <w:rPr>
                <w:rFonts w:hint="eastAsia" w:ascii="Times New Roman" w:hAnsi="Times New Roman"/>
                <w:color w:val="auto"/>
                <w:sz w:val="24"/>
                <w:szCs w:val="24"/>
                <w:u w:val="single"/>
                <w:lang w:val="en-US" w:eastAsia="zh-CN"/>
              </w:rPr>
              <w:t>根据实际情况，本项目所生产的部分餐佐料是低温炒制的，不满足微生物要求和标准，因此增加对产品的杀菌工序，相应增加了杀菌设备；原环评粉碎机对葱姜蒜进行粉碎，现实际使用斩拌机进行粉碎；同时根据产品研发的需要，在厂区内新建设2个研发实验室进行产品研发，研发过程设计炒料工序，炒料过程植物油使用量为0.5t/a，环评中全厂油料使用量2600t/a，油烟新增排放量。</w:t>
            </w:r>
          </w:p>
          <w:p w14:paraId="188FA337">
            <w:pPr>
              <w:pStyle w:val="33"/>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360" w:lineRule="auto"/>
              <w:ind w:left="0" w:right="0"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u w:val="single"/>
                <w:lang w:val="en-US" w:eastAsia="zh-CN"/>
              </w:rPr>
              <w:t>3、生产设备、辅料用料变化。原环评未对储油罐、研发实验室的设备进行细化描述，本次验收完善大豆油的储存装置以及研发实验室所需要的器材和物品。</w:t>
            </w:r>
          </w:p>
          <w:p w14:paraId="72CB51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Times New Roman" w:hAnsi="Times New Roman" w:eastAsia="宋体"/>
                <w:color w:val="auto"/>
                <w:sz w:val="24"/>
                <w:szCs w:val="24"/>
                <w:u w:val="single"/>
                <w:lang w:val="en-US" w:eastAsia="zh-CN"/>
              </w:rPr>
            </w:pPr>
            <w:r>
              <w:rPr>
                <w:rFonts w:hint="eastAsia" w:ascii="Times New Roman" w:hAnsi="Times New Roman" w:eastAsia="宋体"/>
                <w:color w:val="auto"/>
                <w:sz w:val="24"/>
                <w:szCs w:val="24"/>
                <w:u w:val="single"/>
                <w:lang w:val="en-US" w:eastAsia="zh-CN"/>
              </w:rPr>
              <w:t>4、废气污染防治措施变化。原环评</w:t>
            </w:r>
            <w:r>
              <w:rPr>
                <w:rFonts w:hint="eastAsia"/>
                <w:color w:val="auto"/>
                <w:sz w:val="24"/>
                <w:szCs w:val="24"/>
                <w:u w:val="single"/>
                <w:lang w:val="en-US" w:eastAsia="zh-CN"/>
              </w:rPr>
              <w:t>中生产过程2#生产车间产生的油烟和异味均经过10台</w:t>
            </w:r>
            <w:r>
              <w:rPr>
                <w:rFonts w:hint="eastAsia" w:ascii="Times New Roman" w:hAnsi="Times New Roman" w:eastAsia="宋体"/>
                <w:color w:val="auto"/>
                <w:sz w:val="24"/>
                <w:szCs w:val="24"/>
                <w:u w:val="single"/>
                <w:lang w:val="en-US" w:eastAsia="zh-CN"/>
              </w:rPr>
              <w:t>油烟净化器+</w:t>
            </w:r>
            <w:r>
              <w:rPr>
                <w:rFonts w:hint="eastAsia"/>
                <w:color w:val="auto"/>
                <w:sz w:val="24"/>
                <w:szCs w:val="24"/>
                <w:u w:val="single"/>
                <w:lang w:val="en-US" w:eastAsia="zh-CN"/>
              </w:rPr>
              <w:t>1套</w:t>
            </w:r>
            <w:r>
              <w:rPr>
                <w:rFonts w:hint="eastAsia" w:ascii="Times New Roman" w:hAnsi="Times New Roman" w:eastAsia="宋体"/>
                <w:color w:val="auto"/>
                <w:sz w:val="24"/>
                <w:szCs w:val="24"/>
                <w:u w:val="single"/>
                <w:lang w:val="en-US" w:eastAsia="zh-CN"/>
              </w:rPr>
              <w:t>碱喷淋净化后经15m高排气筒排放</w:t>
            </w:r>
            <w:r>
              <w:rPr>
                <w:rFonts w:hint="eastAsia"/>
                <w:color w:val="auto"/>
                <w:sz w:val="24"/>
                <w:szCs w:val="24"/>
                <w:u w:val="single"/>
                <w:lang w:val="en-US" w:eastAsia="zh-CN"/>
              </w:rPr>
              <w:t>，1#生产车间产生的油烟和异味经4台油烟净化器+1套碱喷淋净化后经15m高排气筒排放</w:t>
            </w:r>
            <w:r>
              <w:rPr>
                <w:rFonts w:hint="eastAsia" w:ascii="Times New Roman" w:hAnsi="Times New Roman" w:eastAsia="宋体"/>
                <w:color w:val="auto"/>
                <w:sz w:val="24"/>
                <w:szCs w:val="24"/>
                <w:u w:val="single"/>
                <w:lang w:val="en-US" w:eastAsia="zh-CN"/>
              </w:rPr>
              <w:t>。</w:t>
            </w:r>
            <w:r>
              <w:rPr>
                <w:rFonts w:hint="eastAsia"/>
                <w:color w:val="auto"/>
                <w:sz w:val="24"/>
                <w:szCs w:val="24"/>
                <w:u w:val="single"/>
                <w:lang w:val="en-US" w:eastAsia="zh-CN"/>
              </w:rPr>
              <w:t>现</w:t>
            </w:r>
            <w:r>
              <w:rPr>
                <w:rFonts w:hint="eastAsia" w:ascii="Times New Roman" w:hAnsi="Times New Roman" w:eastAsia="宋体"/>
                <w:color w:val="auto"/>
                <w:sz w:val="24"/>
                <w:szCs w:val="24"/>
                <w:u w:val="single"/>
                <w:lang w:val="en-US" w:eastAsia="zh-CN"/>
              </w:rPr>
              <w:t>实际</w:t>
            </w:r>
            <w:r>
              <w:rPr>
                <w:rFonts w:hint="eastAsia"/>
                <w:color w:val="auto"/>
                <w:sz w:val="24"/>
                <w:szCs w:val="24"/>
                <w:u w:val="single"/>
                <w:lang w:val="en-US" w:eastAsia="zh-CN"/>
              </w:rPr>
              <w:t>1#和2#</w:t>
            </w:r>
            <w:r>
              <w:rPr>
                <w:rFonts w:hint="eastAsia" w:ascii="Times New Roman" w:hAnsi="Times New Roman" w:eastAsia="宋体"/>
                <w:color w:val="auto"/>
                <w:sz w:val="24"/>
                <w:szCs w:val="24"/>
                <w:u w:val="single"/>
                <w:lang w:val="en-US" w:eastAsia="zh-CN"/>
              </w:rPr>
              <w:t>车间油烟、异味</w:t>
            </w:r>
            <w:r>
              <w:rPr>
                <w:rFonts w:hint="eastAsia"/>
                <w:color w:val="auto"/>
                <w:sz w:val="24"/>
                <w:szCs w:val="24"/>
                <w:u w:val="single"/>
                <w:lang w:val="en-US" w:eastAsia="zh-CN"/>
              </w:rPr>
              <w:t>分别</w:t>
            </w:r>
            <w:r>
              <w:rPr>
                <w:rFonts w:hint="eastAsia" w:ascii="Times New Roman" w:hAnsi="Times New Roman" w:eastAsia="宋体"/>
                <w:color w:val="auto"/>
                <w:sz w:val="24"/>
                <w:szCs w:val="24"/>
                <w:u w:val="single"/>
                <w:lang w:val="en-US" w:eastAsia="zh-CN"/>
              </w:rPr>
              <w:t>经</w:t>
            </w:r>
            <w:r>
              <w:rPr>
                <w:rFonts w:hint="eastAsia"/>
                <w:color w:val="auto"/>
                <w:sz w:val="24"/>
                <w:szCs w:val="24"/>
                <w:u w:val="single"/>
                <w:lang w:val="en-US" w:eastAsia="zh-CN"/>
              </w:rPr>
              <w:t>2套</w:t>
            </w:r>
            <w:r>
              <w:rPr>
                <w:rFonts w:hint="eastAsia" w:ascii="Times New Roman" w:hAnsi="Times New Roman" w:eastAsia="宋体"/>
                <w:color w:val="auto"/>
                <w:sz w:val="24"/>
                <w:szCs w:val="24"/>
                <w:u w:val="single"/>
                <w:lang w:val="en-US" w:eastAsia="zh-CN"/>
              </w:rPr>
              <w:t>油烟净化器+水喷淋净化后</w:t>
            </w:r>
            <w:r>
              <w:rPr>
                <w:rFonts w:hint="eastAsia"/>
                <w:color w:val="auto"/>
                <w:sz w:val="24"/>
                <w:szCs w:val="24"/>
                <w:u w:val="single"/>
                <w:lang w:val="en-US" w:eastAsia="zh-CN"/>
              </w:rPr>
              <w:t>分别</w:t>
            </w:r>
            <w:r>
              <w:rPr>
                <w:rFonts w:hint="eastAsia" w:ascii="Times New Roman" w:hAnsi="Times New Roman" w:eastAsia="宋体"/>
                <w:color w:val="auto"/>
                <w:sz w:val="24"/>
                <w:szCs w:val="24"/>
                <w:u w:val="single"/>
                <w:lang w:val="en-US" w:eastAsia="zh-CN"/>
              </w:rPr>
              <w:t>经</w:t>
            </w:r>
            <w:r>
              <w:rPr>
                <w:rFonts w:hint="eastAsia"/>
                <w:color w:val="auto"/>
                <w:sz w:val="24"/>
                <w:szCs w:val="24"/>
                <w:u w:val="single"/>
                <w:lang w:val="en-US" w:eastAsia="zh-CN"/>
              </w:rPr>
              <w:t>2根</w:t>
            </w:r>
            <w:r>
              <w:rPr>
                <w:rFonts w:hint="eastAsia" w:ascii="Times New Roman" w:hAnsi="Times New Roman" w:eastAsia="宋体"/>
                <w:color w:val="auto"/>
                <w:sz w:val="24"/>
                <w:szCs w:val="24"/>
                <w:u w:val="single"/>
                <w:lang w:val="en-US" w:eastAsia="zh-CN"/>
              </w:rPr>
              <w:t>15m高排气筒排放</w:t>
            </w:r>
            <w:r>
              <w:rPr>
                <w:rFonts w:hint="eastAsia"/>
                <w:color w:val="auto"/>
                <w:sz w:val="24"/>
                <w:szCs w:val="24"/>
                <w:u w:val="single"/>
                <w:lang w:val="en-US" w:eastAsia="zh-CN"/>
              </w:rPr>
              <w:t>，水喷淋+油烟净化器的处理方式同样适用于炒料油烟和异味的处理，处理效率可达90%，并且能够实现达标排放</w:t>
            </w:r>
            <w:r>
              <w:rPr>
                <w:rFonts w:hint="eastAsia" w:ascii="Times New Roman" w:hAnsi="Times New Roman" w:eastAsia="宋体"/>
                <w:color w:val="auto"/>
                <w:sz w:val="24"/>
                <w:szCs w:val="24"/>
                <w:u w:val="single"/>
                <w:lang w:val="en-US" w:eastAsia="zh-CN"/>
              </w:rPr>
              <w:t>。</w:t>
            </w:r>
          </w:p>
          <w:p w14:paraId="05C56F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Times New Roman" w:hAnsi="Times New Roman" w:eastAsia="宋体"/>
                <w:color w:val="auto"/>
                <w:sz w:val="24"/>
                <w:szCs w:val="24"/>
                <w:u w:val="single"/>
                <w:lang w:val="en-US" w:eastAsia="zh-CN"/>
              </w:rPr>
            </w:pPr>
            <w:r>
              <w:rPr>
                <w:rFonts w:hint="eastAsia"/>
                <w:color w:val="auto"/>
                <w:sz w:val="24"/>
                <w:szCs w:val="24"/>
                <w:u w:val="single"/>
                <w:lang w:val="en-US" w:eastAsia="zh-CN"/>
              </w:rPr>
              <w:t>5</w:t>
            </w:r>
            <w:r>
              <w:rPr>
                <w:rFonts w:hint="eastAsia" w:ascii="Times New Roman" w:hAnsi="Times New Roman" w:eastAsia="宋体"/>
                <w:color w:val="auto"/>
                <w:sz w:val="24"/>
                <w:szCs w:val="24"/>
                <w:u w:val="single"/>
                <w:lang w:val="en-US" w:eastAsia="zh-CN"/>
              </w:rPr>
              <w:t>、废</w:t>
            </w:r>
            <w:r>
              <w:rPr>
                <w:rFonts w:hint="eastAsia"/>
                <w:color w:val="auto"/>
                <w:sz w:val="24"/>
                <w:szCs w:val="24"/>
                <w:u w:val="single"/>
                <w:lang w:val="en-US" w:eastAsia="zh-CN"/>
              </w:rPr>
              <w:t>水</w:t>
            </w:r>
            <w:r>
              <w:rPr>
                <w:rFonts w:hint="eastAsia" w:ascii="Times New Roman" w:hAnsi="Times New Roman" w:eastAsia="宋体"/>
                <w:color w:val="auto"/>
                <w:sz w:val="24"/>
                <w:szCs w:val="24"/>
                <w:u w:val="single"/>
                <w:lang w:val="en-US" w:eastAsia="zh-CN"/>
              </w:rPr>
              <w:t>污染防治措施变化。原环评</w:t>
            </w:r>
            <w:r>
              <w:rPr>
                <w:rFonts w:hint="eastAsia"/>
                <w:color w:val="auto"/>
                <w:sz w:val="24"/>
                <w:szCs w:val="24"/>
                <w:u w:val="single"/>
                <w:lang w:val="en-US" w:eastAsia="zh-CN"/>
              </w:rPr>
              <w:t>中厂区污水处理站</w:t>
            </w:r>
            <w:r>
              <w:rPr>
                <w:rFonts w:hint="eastAsia" w:ascii="Times New Roman" w:hAnsi="Times New Roman" w:eastAsia="宋体"/>
                <w:color w:val="auto"/>
                <w:sz w:val="24"/>
                <w:szCs w:val="24"/>
                <w:u w:val="single"/>
                <w:lang w:val="en-US" w:eastAsia="zh-CN"/>
              </w:rPr>
              <w:t>规模为20m</w:t>
            </w:r>
            <w:r>
              <w:rPr>
                <w:rFonts w:hint="eastAsia" w:ascii="Times New Roman" w:hAnsi="Times New Roman" w:eastAsia="宋体"/>
                <w:color w:val="auto"/>
                <w:sz w:val="24"/>
                <w:szCs w:val="24"/>
                <w:u w:val="single"/>
                <w:vertAlign w:val="superscript"/>
                <w:lang w:val="en-US" w:eastAsia="zh-CN"/>
              </w:rPr>
              <w:t>3</w:t>
            </w:r>
            <w:r>
              <w:rPr>
                <w:rFonts w:hint="eastAsia" w:ascii="Times New Roman" w:hAnsi="Times New Roman" w:eastAsia="宋体"/>
                <w:color w:val="auto"/>
                <w:sz w:val="24"/>
                <w:szCs w:val="24"/>
                <w:u w:val="single"/>
                <w:lang w:val="en-US" w:eastAsia="zh-CN"/>
              </w:rPr>
              <w:t>/d，处理工艺为“厌氧+好氧+絮凝沉淀”二级生化处理工艺，污水处理站，处理规模能力为30m</w:t>
            </w:r>
            <w:r>
              <w:rPr>
                <w:rFonts w:hint="eastAsia" w:ascii="Times New Roman" w:hAnsi="Times New Roman" w:eastAsia="宋体"/>
                <w:color w:val="auto"/>
                <w:sz w:val="24"/>
                <w:szCs w:val="24"/>
                <w:u w:val="single"/>
                <w:vertAlign w:val="superscript"/>
                <w:lang w:val="en-US" w:eastAsia="zh-CN"/>
              </w:rPr>
              <w:t>3</w:t>
            </w:r>
            <w:r>
              <w:rPr>
                <w:rFonts w:hint="eastAsia" w:ascii="Times New Roman" w:hAnsi="Times New Roman" w:eastAsia="宋体"/>
                <w:color w:val="auto"/>
                <w:sz w:val="24"/>
                <w:szCs w:val="24"/>
                <w:u w:val="single"/>
                <w:lang w:val="en-US" w:eastAsia="zh-CN"/>
              </w:rPr>
              <w:t>/d，处理工艺为“厌氧+调节+SBR”工艺。现厂区综合污水的排污量</w:t>
            </w:r>
            <w:r>
              <w:rPr>
                <w:rFonts w:hint="eastAsia"/>
                <w:color w:val="auto"/>
                <w:sz w:val="24"/>
                <w:szCs w:val="24"/>
                <w:u w:val="single"/>
                <w:lang w:val="en-US" w:eastAsia="zh-CN"/>
              </w:rPr>
              <w:t>不到</w:t>
            </w:r>
            <w:r>
              <w:rPr>
                <w:rFonts w:hint="eastAsia" w:ascii="Times New Roman" w:hAnsi="Times New Roman" w:eastAsia="宋体"/>
                <w:color w:val="auto"/>
                <w:sz w:val="24"/>
                <w:szCs w:val="24"/>
                <w:u w:val="single"/>
                <w:lang w:val="en-US" w:eastAsia="zh-CN"/>
              </w:rPr>
              <w:t>20m</w:t>
            </w:r>
            <w:r>
              <w:rPr>
                <w:rFonts w:hint="eastAsia" w:ascii="Times New Roman" w:hAnsi="Times New Roman" w:eastAsia="宋体"/>
                <w:color w:val="auto"/>
                <w:sz w:val="24"/>
                <w:szCs w:val="24"/>
                <w:u w:val="single"/>
                <w:vertAlign w:val="superscript"/>
                <w:lang w:val="en-US" w:eastAsia="zh-CN"/>
              </w:rPr>
              <w:t>3</w:t>
            </w:r>
            <w:r>
              <w:rPr>
                <w:rFonts w:hint="eastAsia" w:ascii="Times New Roman" w:hAnsi="Times New Roman" w:eastAsia="宋体"/>
                <w:color w:val="auto"/>
                <w:sz w:val="24"/>
                <w:szCs w:val="24"/>
                <w:u w:val="single"/>
                <w:lang w:val="en-US" w:eastAsia="zh-CN"/>
              </w:rPr>
              <w:t>，该工艺适用于本项目的水质，并且废水能够达标排放。</w:t>
            </w:r>
          </w:p>
          <w:p w14:paraId="660ECF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Times New Roman" w:hAnsi="Times New Roman" w:eastAsia="宋体"/>
                <w:color w:val="auto"/>
                <w:sz w:val="24"/>
                <w:szCs w:val="24"/>
              </w:rPr>
            </w:pPr>
            <w:r>
              <w:rPr>
                <w:rFonts w:hint="eastAsia" w:ascii="Times New Roman" w:hAnsi="Times New Roman" w:eastAsia="宋体"/>
                <w:color w:val="auto"/>
                <w:sz w:val="24"/>
                <w:szCs w:val="24"/>
              </w:rPr>
              <w:t>项目不属于《</w:t>
            </w:r>
            <w:r>
              <w:rPr>
                <w:rFonts w:hint="default" w:ascii="Times New Roman" w:hAnsi="Times New Roman" w:eastAsia="宋体"/>
                <w:color w:val="auto"/>
                <w:sz w:val="24"/>
                <w:szCs w:val="24"/>
              </w:rPr>
              <w:t>关于印发制浆造纸等十四个行业建设项目重大变动清单的通知</w:t>
            </w:r>
            <w:r>
              <w:rPr>
                <w:rFonts w:hint="eastAsia" w:ascii="Times New Roman" w:hAnsi="Times New Roman" w:eastAsia="宋体"/>
                <w:color w:val="auto"/>
                <w:sz w:val="24"/>
                <w:szCs w:val="24"/>
              </w:rPr>
              <w:t>》</w:t>
            </w:r>
            <w:r>
              <w:rPr>
                <w:rFonts w:hint="default" w:ascii="Times New Roman" w:hAnsi="Times New Roman" w:eastAsia="宋体"/>
                <w:color w:val="auto"/>
                <w:sz w:val="24"/>
                <w:szCs w:val="24"/>
              </w:rPr>
              <w:t>（环办环评〔2018〕6号）</w:t>
            </w:r>
            <w:r>
              <w:rPr>
                <w:rFonts w:hint="eastAsia" w:ascii="Times New Roman" w:hAnsi="Times New Roman" w:eastAsia="宋体"/>
                <w:color w:val="auto"/>
                <w:sz w:val="24"/>
                <w:szCs w:val="24"/>
              </w:rPr>
              <w:t>和《</w:t>
            </w:r>
            <w:r>
              <w:rPr>
                <w:rFonts w:hint="default" w:ascii="Times New Roman" w:hAnsi="Times New Roman" w:eastAsia="宋体"/>
                <w:color w:val="auto"/>
                <w:sz w:val="24"/>
                <w:szCs w:val="24"/>
              </w:rPr>
              <w:t>关于印发淀粉等五个行业建设项目重大变动清单的通知</w:t>
            </w:r>
            <w:r>
              <w:rPr>
                <w:rFonts w:hint="eastAsia" w:ascii="Times New Roman" w:hAnsi="Times New Roman" w:eastAsia="宋体"/>
                <w:color w:val="auto"/>
                <w:sz w:val="24"/>
                <w:szCs w:val="24"/>
              </w:rPr>
              <w:t>》</w:t>
            </w:r>
            <w:r>
              <w:rPr>
                <w:rFonts w:hint="default" w:ascii="Times New Roman" w:hAnsi="Times New Roman" w:eastAsia="宋体"/>
                <w:color w:val="auto"/>
                <w:sz w:val="24"/>
                <w:szCs w:val="24"/>
              </w:rPr>
              <w:t>（环办环评函〔2019〕934号</w:t>
            </w:r>
            <w:r>
              <w:rPr>
                <w:rFonts w:hint="eastAsia" w:ascii="Times New Roman" w:hAnsi="Times New Roman" w:eastAsia="宋体"/>
                <w:color w:val="auto"/>
                <w:sz w:val="24"/>
                <w:szCs w:val="24"/>
              </w:rPr>
              <w:t>）中的</w:t>
            </w:r>
            <w:r>
              <w:rPr>
                <w:rFonts w:hint="default" w:ascii="Times New Roman" w:hAnsi="Times New Roman" w:eastAsia="宋体"/>
                <w:color w:val="auto"/>
                <w:sz w:val="24"/>
                <w:szCs w:val="24"/>
              </w:rPr>
              <w:t>28个行业建设项目</w:t>
            </w:r>
            <w:r>
              <w:rPr>
                <w:rFonts w:hint="eastAsia" w:ascii="Times New Roman" w:hAnsi="Times New Roman" w:eastAsia="宋体"/>
                <w:color w:val="auto"/>
                <w:sz w:val="24"/>
                <w:szCs w:val="24"/>
              </w:rPr>
              <w:t>内。</w:t>
            </w:r>
          </w:p>
          <w:p w14:paraId="1E832D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Times New Roman" w:hAnsi="Times New Roman"/>
                <w:color w:val="auto"/>
                <w:sz w:val="28"/>
                <w:szCs w:val="28"/>
              </w:rPr>
            </w:pPr>
            <w:r>
              <w:rPr>
                <w:rFonts w:hint="eastAsia" w:ascii="Times New Roman" w:hAnsi="Times New Roman" w:eastAsia="宋体"/>
                <w:color w:val="auto"/>
                <w:sz w:val="24"/>
                <w:szCs w:val="24"/>
              </w:rPr>
              <w:t>本次验收根据《关于印发</w:t>
            </w:r>
            <w:r>
              <w:rPr>
                <w:rFonts w:hint="eastAsia"/>
                <w:color w:val="auto"/>
                <w:sz w:val="24"/>
                <w:szCs w:val="24"/>
                <w:lang w:eastAsia="zh-CN"/>
              </w:rPr>
              <w:t>〈</w:t>
            </w:r>
            <w:r>
              <w:rPr>
                <w:rFonts w:hint="eastAsia" w:ascii="Times New Roman" w:hAnsi="Times New Roman" w:eastAsia="宋体"/>
                <w:color w:val="auto"/>
                <w:sz w:val="24"/>
                <w:szCs w:val="24"/>
              </w:rPr>
              <w:t>污染影响类建设项目重大变动清单（试行）</w:t>
            </w:r>
            <w:r>
              <w:rPr>
                <w:rFonts w:hint="eastAsia"/>
                <w:color w:val="auto"/>
                <w:sz w:val="24"/>
                <w:szCs w:val="24"/>
                <w:lang w:eastAsia="zh-CN"/>
              </w:rPr>
              <w:t>〉</w:t>
            </w:r>
            <w:r>
              <w:rPr>
                <w:rFonts w:hint="eastAsia" w:ascii="Times New Roman" w:hAnsi="Times New Roman" w:eastAsia="宋体"/>
                <w:color w:val="auto"/>
                <w:sz w:val="24"/>
                <w:szCs w:val="24"/>
              </w:rPr>
              <w:t>的通知》（环办环评函</w:t>
            </w:r>
            <w:r>
              <w:rPr>
                <w:rFonts w:hint="eastAsia"/>
                <w:color w:val="auto"/>
                <w:sz w:val="24"/>
                <w:szCs w:val="24"/>
                <w:lang w:eastAsia="zh-CN"/>
              </w:rPr>
              <w:t>〔</w:t>
            </w:r>
            <w:r>
              <w:rPr>
                <w:rFonts w:hint="eastAsia" w:ascii="Times New Roman" w:hAnsi="Times New Roman" w:eastAsia="宋体"/>
                <w:color w:val="auto"/>
                <w:sz w:val="24"/>
                <w:szCs w:val="24"/>
              </w:rPr>
              <w:t>2020</w:t>
            </w:r>
            <w:r>
              <w:rPr>
                <w:rFonts w:hint="eastAsia"/>
                <w:color w:val="auto"/>
                <w:sz w:val="24"/>
                <w:szCs w:val="24"/>
                <w:lang w:eastAsia="zh-CN"/>
              </w:rPr>
              <w:t>〕</w:t>
            </w:r>
            <w:r>
              <w:rPr>
                <w:rFonts w:hint="eastAsia" w:ascii="Times New Roman" w:hAnsi="Times New Roman" w:eastAsia="宋体"/>
                <w:color w:val="auto"/>
                <w:sz w:val="24"/>
                <w:szCs w:val="24"/>
              </w:rPr>
              <w:t>688号）对变动情况进行判定，判定分析见下：</w:t>
            </w:r>
          </w:p>
          <w:p w14:paraId="7EAE29D0">
            <w:pPr>
              <w:keepNext w:val="0"/>
              <w:keepLines w:val="0"/>
              <w:widowControl/>
              <w:suppressLineNumbers w:val="0"/>
              <w:spacing w:before="0" w:beforeAutospacing="0" w:after="0" w:afterAutospacing="0" w:line="240" w:lineRule="auto"/>
              <w:ind w:left="0" w:right="0"/>
              <w:jc w:val="center"/>
              <w:rPr>
                <w:rFonts w:hint="eastAsia"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2-</w:t>
            </w:r>
            <w:r>
              <w:rPr>
                <w:rFonts w:hint="eastAsia" w:cs="Times New Roman"/>
                <w:b/>
                <w:color w:val="auto"/>
                <w:sz w:val="21"/>
                <w:szCs w:val="21"/>
                <w:lang w:val="en-US" w:eastAsia="zh-CN"/>
              </w:rPr>
              <w:t>7</w:t>
            </w:r>
            <w:r>
              <w:rPr>
                <w:rFonts w:hint="eastAsia"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rPr>
              <w:t xml:space="preserve"> 项目变动情况一览表</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3313"/>
              <w:gridCol w:w="3453"/>
              <w:gridCol w:w="1248"/>
            </w:tblGrid>
            <w:tr w14:paraId="59BCA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pct"/>
                  <w:vAlign w:val="center"/>
                </w:tcPr>
                <w:p w14:paraId="17CE517B">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类别</w:t>
                  </w:r>
                </w:p>
              </w:tc>
              <w:tc>
                <w:tcPr>
                  <w:tcW w:w="1872" w:type="pct"/>
                  <w:vAlign w:val="center"/>
                </w:tcPr>
                <w:p w14:paraId="2FDEBF25">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环办环评函</w:t>
                  </w:r>
                  <w:r>
                    <w:rPr>
                      <w:rFonts w:hint="eastAsia" w:cs="Times New Roman"/>
                      <w:b/>
                      <w:color w:val="auto"/>
                      <w:sz w:val="21"/>
                      <w:szCs w:val="21"/>
                      <w:lang w:eastAsia="zh-CN"/>
                    </w:rPr>
                    <w:t>〔</w:t>
                  </w:r>
                  <w:r>
                    <w:rPr>
                      <w:rFonts w:hint="eastAsia" w:ascii="Times New Roman" w:hAnsi="Times New Roman" w:eastAsia="宋体" w:cs="Times New Roman"/>
                      <w:b/>
                      <w:color w:val="auto"/>
                      <w:sz w:val="21"/>
                      <w:szCs w:val="21"/>
                    </w:rPr>
                    <w:t>2020</w:t>
                  </w:r>
                  <w:r>
                    <w:rPr>
                      <w:rFonts w:hint="eastAsia" w:cs="Times New Roman"/>
                      <w:b/>
                      <w:color w:val="auto"/>
                      <w:sz w:val="21"/>
                      <w:szCs w:val="21"/>
                      <w:lang w:eastAsia="zh-CN"/>
                    </w:rPr>
                    <w:t>〕</w:t>
                  </w:r>
                  <w:r>
                    <w:rPr>
                      <w:rFonts w:hint="eastAsia" w:ascii="Times New Roman" w:hAnsi="Times New Roman" w:eastAsia="宋体" w:cs="Times New Roman"/>
                      <w:b/>
                      <w:color w:val="auto"/>
                      <w:sz w:val="21"/>
                      <w:szCs w:val="21"/>
                    </w:rPr>
                    <w:t>688号</w:t>
                  </w:r>
                </w:p>
              </w:tc>
              <w:tc>
                <w:tcPr>
                  <w:tcW w:w="1951" w:type="pct"/>
                  <w:vAlign w:val="center"/>
                </w:tcPr>
                <w:p w14:paraId="3685A1CE">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变动情况</w:t>
                  </w:r>
                </w:p>
              </w:tc>
              <w:tc>
                <w:tcPr>
                  <w:tcW w:w="705" w:type="pct"/>
                  <w:vAlign w:val="center"/>
                </w:tcPr>
                <w:p w14:paraId="2837B602">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判定</w:t>
                  </w:r>
                </w:p>
              </w:tc>
            </w:tr>
            <w:tr w14:paraId="472F3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pct"/>
                  <w:vAlign w:val="center"/>
                </w:tcPr>
                <w:p w14:paraId="1D1215A4">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eastAsia="zh-CN"/>
                    </w:rPr>
                    <w:t>地点</w:t>
                  </w:r>
                </w:p>
              </w:tc>
              <w:tc>
                <w:tcPr>
                  <w:tcW w:w="1872" w:type="pct"/>
                  <w:vAlign w:val="center"/>
                </w:tcPr>
                <w:p w14:paraId="4289491C">
                  <w:pPr>
                    <w:pStyle w:val="66"/>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在原厂址附近调整（包括总平面布置变化）导致环境防护距离范围变化且新增敏感点的。</w:t>
                  </w:r>
                </w:p>
              </w:tc>
              <w:tc>
                <w:tcPr>
                  <w:tcW w:w="1951" w:type="pct"/>
                  <w:vAlign w:val="center"/>
                </w:tcPr>
                <w:p w14:paraId="2FB12630">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本项目总平面布置发生变化，未导致卫生防护距离变化且新增敏感点。</w:t>
                  </w:r>
                </w:p>
              </w:tc>
              <w:tc>
                <w:tcPr>
                  <w:tcW w:w="705" w:type="pct"/>
                  <w:vAlign w:val="center"/>
                </w:tcPr>
                <w:p w14:paraId="4E8E9EB2">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不属于重大变动</w:t>
                  </w:r>
                </w:p>
              </w:tc>
            </w:tr>
            <w:tr w14:paraId="4A1BA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pct"/>
                  <w:vAlign w:val="center"/>
                </w:tcPr>
                <w:p w14:paraId="2DCF3ABA">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eastAsia="zh-CN"/>
                    </w:rPr>
                  </w:pPr>
                  <w:r>
                    <w:rPr>
                      <w:rFonts w:hint="eastAsia" w:ascii="Times New Roman" w:hAnsi="Times New Roman" w:eastAsia="宋体" w:cs="Times New Roman"/>
                      <w:b w:val="0"/>
                      <w:bCs/>
                      <w:color w:val="auto"/>
                      <w:sz w:val="21"/>
                      <w:szCs w:val="21"/>
                      <w:lang w:val="en-US" w:eastAsia="zh-CN"/>
                    </w:rPr>
                    <w:t>生产工艺</w:t>
                  </w:r>
                </w:p>
              </w:tc>
              <w:tc>
                <w:tcPr>
                  <w:tcW w:w="1872" w:type="pct"/>
                  <w:vAlign w:val="center"/>
                </w:tcPr>
                <w:p w14:paraId="2BD51F20">
                  <w:pPr>
                    <w:pStyle w:val="66"/>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6.新增产品品种或生产工艺（含主要生产装置、设备及配套设施）、主要原辅材料、燃料变化，导致以下情形之一：</w:t>
                  </w:r>
                </w:p>
                <w:p w14:paraId="1EF3FA07">
                  <w:pPr>
                    <w:pStyle w:val="66"/>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（1）新增排放污染物种类的（毒性、挥发性降低的除外）；</w:t>
                  </w:r>
                </w:p>
                <w:p w14:paraId="4FC082C2">
                  <w:pPr>
                    <w:pStyle w:val="66"/>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（2）位于环境质量不达标区的建设项目相应污染物排放量增加的；</w:t>
                  </w:r>
                </w:p>
                <w:p w14:paraId="28694E75">
                  <w:pPr>
                    <w:pStyle w:val="66"/>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（3）废水第一类污染物排放量增加的；</w:t>
                  </w:r>
                </w:p>
                <w:p w14:paraId="546193F5">
                  <w:pPr>
                    <w:pStyle w:val="66"/>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（4）其他污染物排放量增加10%及以上的。</w:t>
                  </w:r>
                </w:p>
              </w:tc>
              <w:tc>
                <w:tcPr>
                  <w:tcW w:w="1951" w:type="pct"/>
                  <w:vAlign w:val="center"/>
                </w:tcPr>
                <w:p w14:paraId="051FC15D">
                  <w:pPr>
                    <w:pStyle w:val="33"/>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uto"/>
                    <w:ind w:left="0" w:right="0" w:firstLine="420" w:firstLineChars="200"/>
                    <w:textAlignment w:val="auto"/>
                    <w:rPr>
                      <w:rFonts w:hint="default" w:ascii="Times New Roman" w:hAnsi="Times New Roman" w:eastAsia="宋体" w:cs="Times New Roman"/>
                      <w:b w:val="0"/>
                      <w:bCs/>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rPr>
                    <w:t>本项目</w:t>
                  </w:r>
                  <w:r>
                    <w:rPr>
                      <w:rFonts w:hint="eastAsia" w:cs="Times New Roman"/>
                      <w:b w:val="0"/>
                      <w:bCs/>
                      <w:color w:val="auto"/>
                      <w:sz w:val="21"/>
                      <w:szCs w:val="21"/>
                      <w:lang w:val="en-US" w:eastAsia="zh-CN"/>
                    </w:rPr>
                    <w:t>生产设备发生变化，根据实际细化了研发实验室和储油罐等设备，但未新增污染物排放种类。</w:t>
                  </w:r>
                  <w:r>
                    <w:rPr>
                      <w:rFonts w:hint="eastAsia" w:ascii="Times New Roman" w:hAnsi="Times New Roman" w:eastAsia="宋体" w:cs="Times New Roman"/>
                      <w:b w:val="0"/>
                      <w:bCs/>
                      <w:color w:val="auto"/>
                      <w:sz w:val="21"/>
                      <w:szCs w:val="21"/>
                      <w:lang w:val="en-US" w:eastAsia="zh-CN" w:bidi="ar-SA"/>
                    </w:rPr>
                    <w:t>炒料过程植物油使用量为0.5t/a，环评中全厂油料使用量2600t/a，油烟新增排放量，但新增量远低于10%。</w:t>
                  </w:r>
                </w:p>
                <w:p w14:paraId="013EAF33">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lang w:val="en-US" w:eastAsia="zh-CN"/>
                    </w:rPr>
                  </w:pPr>
                </w:p>
              </w:tc>
              <w:tc>
                <w:tcPr>
                  <w:tcW w:w="705" w:type="pct"/>
                  <w:vAlign w:val="center"/>
                </w:tcPr>
                <w:p w14:paraId="4A8C07C2">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rPr>
                    <w:t>不属于重大变动</w:t>
                  </w:r>
                </w:p>
              </w:tc>
            </w:tr>
            <w:tr w14:paraId="493DB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0" w:type="pct"/>
                  <w:vAlign w:val="center"/>
                </w:tcPr>
                <w:p w14:paraId="3104C239">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环保措施</w:t>
                  </w:r>
                </w:p>
              </w:tc>
              <w:tc>
                <w:tcPr>
                  <w:tcW w:w="1872" w:type="pct"/>
                  <w:vAlign w:val="center"/>
                </w:tcPr>
                <w:p w14:paraId="51F72CB8">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环保措施：</w:t>
                  </w:r>
                </w:p>
                <w:p w14:paraId="253892A0">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r>
                    <w:rPr>
                      <w:rFonts w:hint="eastAsia" w:ascii="Times New Roman" w:hAnsi="Times New Roman" w:eastAsia="宋体" w:cs="Times New Roman"/>
                      <w:color w:val="auto"/>
                      <w:sz w:val="21"/>
                      <w:szCs w:val="21"/>
                    </w:rPr>
                    <w:t>、废气、废水污染防治措施变化，导致第6条中所列情形之一（废气无组织排放改为有组织排放、污染防治措施强化或改进的除外）或大气污染物无组织排放量增加10%及以上的。</w:t>
                  </w:r>
                </w:p>
              </w:tc>
              <w:tc>
                <w:tcPr>
                  <w:tcW w:w="1951" w:type="pct"/>
                  <w:vAlign w:val="center"/>
                </w:tcPr>
                <w:p w14:paraId="00539A2D">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color w:val="auto"/>
                      <w:sz w:val="21"/>
                      <w:szCs w:val="21"/>
                      <w:lang w:val="en-US" w:eastAsia="zh-CN"/>
                    </w:rPr>
                  </w:pPr>
                  <w:r>
                    <w:rPr>
                      <w:rFonts w:hint="eastAsia" w:cs="Times New Roman"/>
                      <w:color w:val="auto"/>
                      <w:sz w:val="21"/>
                      <w:szCs w:val="21"/>
                      <w:lang w:val="en-US" w:eastAsia="zh-CN"/>
                    </w:rPr>
                    <w:t>①油烟、异味的处理方式发生变化，改碱喷淋+油烟净化器的处理方式为水喷淋+油烟净化器的处理方式，该方式的处理效率能达到90%，不会导致大气污染物无组织排放量增加10%以上。</w:t>
                  </w:r>
                </w:p>
                <w:p w14:paraId="6E03AE40">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default" w:cs="Times New Roman"/>
                      <w:color w:val="auto"/>
                      <w:sz w:val="21"/>
                      <w:szCs w:val="21"/>
                      <w:lang w:val="en-US" w:eastAsia="zh-CN"/>
                    </w:rPr>
                  </w:pPr>
                  <w:r>
                    <w:rPr>
                      <w:rFonts w:hint="eastAsia" w:cs="Times New Roman"/>
                      <w:color w:val="auto"/>
                      <w:sz w:val="21"/>
                      <w:szCs w:val="21"/>
                      <w:lang w:val="en-US" w:eastAsia="zh-CN"/>
                    </w:rPr>
                    <w:t>②废水处理规模和工艺发生变化，处理规模增大，使用“厌氧+调节+SBR”工艺处理污水，废水能够实现达标排放。</w:t>
                  </w:r>
                </w:p>
              </w:tc>
              <w:tc>
                <w:tcPr>
                  <w:tcW w:w="705" w:type="pct"/>
                  <w:vAlign w:val="center"/>
                </w:tcPr>
                <w:p w14:paraId="79271F8B">
                  <w:pPr>
                    <w:pStyle w:val="6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不属于重大变动</w:t>
                  </w:r>
                </w:p>
              </w:tc>
            </w:tr>
          </w:tbl>
          <w:p w14:paraId="22112DE4">
            <w:pPr>
              <w:keepNext w:val="0"/>
              <w:keepLines w:val="0"/>
              <w:widowControl/>
              <w:suppressLineNumbers w:val="0"/>
              <w:autoSpaceDE w:val="0"/>
              <w:autoSpaceDN w:val="0"/>
              <w:spacing w:before="0" w:beforeAutospacing="0" w:after="0" w:afterAutospacing="0"/>
              <w:ind w:left="0" w:right="0" w:firstLine="480"/>
              <w:rPr>
                <w:rFonts w:hint="eastAsia" w:eastAsia="宋体"/>
                <w:color w:val="auto"/>
                <w:lang w:eastAsia="zh-CN"/>
              </w:rPr>
            </w:pPr>
            <w:r>
              <w:rPr>
                <w:rFonts w:hint="eastAsia" w:eastAsiaTheme="minorEastAsia"/>
                <w:b/>
                <w:bCs/>
                <w:color w:val="auto"/>
                <w:szCs w:val="24"/>
              </w:rPr>
              <w:t>综上，本项目未发</w:t>
            </w:r>
            <w:r>
              <w:rPr>
                <w:rFonts w:hint="eastAsia" w:eastAsiaTheme="minorEastAsia"/>
                <w:b/>
                <w:color w:val="auto"/>
                <w:szCs w:val="24"/>
              </w:rPr>
              <w:t>生重大变动。</w:t>
            </w:r>
          </w:p>
          <w:p w14:paraId="7C31CE82">
            <w:pPr>
              <w:keepNext w:val="0"/>
              <w:keepLines w:val="0"/>
              <w:widowControl/>
              <w:suppressLineNumbers w:val="0"/>
              <w:autoSpaceDE w:val="0"/>
              <w:autoSpaceDN w:val="0"/>
              <w:spacing w:before="0" w:beforeAutospacing="0" w:after="0" w:afterAutospacing="0"/>
              <w:ind w:left="0" w:right="0" w:firstLine="0" w:firstLineChars="0"/>
              <w:rPr>
                <w:rFonts w:hint="default"/>
                <w:color w:val="auto"/>
              </w:rPr>
            </w:pPr>
          </w:p>
          <w:p w14:paraId="5C6681EA">
            <w:pPr>
              <w:pStyle w:val="2"/>
              <w:rPr>
                <w:rFonts w:hint="default"/>
                <w:color w:val="auto"/>
              </w:rPr>
            </w:pPr>
          </w:p>
          <w:p w14:paraId="34C11955">
            <w:pPr>
              <w:pStyle w:val="2"/>
              <w:rPr>
                <w:rFonts w:hint="default"/>
                <w:color w:val="auto"/>
              </w:rPr>
            </w:pPr>
          </w:p>
          <w:p w14:paraId="1E07E6A2">
            <w:pPr>
              <w:pStyle w:val="2"/>
              <w:rPr>
                <w:rFonts w:hint="default"/>
                <w:color w:val="auto"/>
              </w:rPr>
            </w:pPr>
          </w:p>
          <w:p w14:paraId="23EC619B">
            <w:pPr>
              <w:pStyle w:val="2"/>
              <w:rPr>
                <w:rFonts w:hint="default"/>
                <w:color w:val="auto"/>
              </w:rPr>
            </w:pPr>
          </w:p>
          <w:p w14:paraId="3CDB7D9A">
            <w:pPr>
              <w:pStyle w:val="2"/>
              <w:rPr>
                <w:rFonts w:hint="default"/>
                <w:color w:val="auto"/>
              </w:rPr>
            </w:pPr>
          </w:p>
          <w:p w14:paraId="7C94FB17">
            <w:pPr>
              <w:pStyle w:val="2"/>
              <w:rPr>
                <w:rFonts w:hint="default"/>
                <w:color w:val="auto"/>
              </w:rPr>
            </w:pPr>
          </w:p>
          <w:p w14:paraId="676CE7AE">
            <w:pPr>
              <w:pStyle w:val="2"/>
              <w:rPr>
                <w:rFonts w:hint="default"/>
                <w:color w:val="auto"/>
              </w:rPr>
            </w:pPr>
          </w:p>
          <w:p w14:paraId="60E02E01">
            <w:pPr>
              <w:pStyle w:val="2"/>
              <w:rPr>
                <w:rFonts w:hint="default"/>
                <w:color w:val="auto"/>
              </w:rPr>
            </w:pPr>
          </w:p>
          <w:p w14:paraId="6717A424">
            <w:pPr>
              <w:pStyle w:val="2"/>
              <w:rPr>
                <w:rFonts w:hint="default"/>
                <w:color w:val="auto"/>
              </w:rPr>
            </w:pPr>
          </w:p>
          <w:p w14:paraId="2EE43D92">
            <w:pPr>
              <w:pStyle w:val="2"/>
              <w:rPr>
                <w:rFonts w:hint="default"/>
                <w:color w:val="auto"/>
              </w:rPr>
            </w:pPr>
          </w:p>
          <w:p w14:paraId="0ADC0E8C">
            <w:pPr>
              <w:pStyle w:val="2"/>
              <w:rPr>
                <w:rFonts w:hint="default"/>
                <w:color w:val="auto"/>
              </w:rPr>
            </w:pPr>
          </w:p>
          <w:p w14:paraId="2FBAD0BA">
            <w:pPr>
              <w:pStyle w:val="2"/>
              <w:rPr>
                <w:rFonts w:hint="default"/>
                <w:color w:val="auto"/>
              </w:rPr>
            </w:pPr>
          </w:p>
          <w:p w14:paraId="79004A97">
            <w:pPr>
              <w:pStyle w:val="2"/>
              <w:rPr>
                <w:rFonts w:hint="default"/>
                <w:color w:val="auto"/>
              </w:rPr>
            </w:pPr>
          </w:p>
          <w:p w14:paraId="2FC1FBC8">
            <w:pPr>
              <w:pStyle w:val="2"/>
              <w:rPr>
                <w:rFonts w:hint="default"/>
                <w:color w:val="auto"/>
              </w:rPr>
            </w:pPr>
          </w:p>
          <w:p w14:paraId="7070D986">
            <w:pPr>
              <w:pStyle w:val="2"/>
              <w:rPr>
                <w:rFonts w:hint="default"/>
                <w:color w:val="auto"/>
              </w:rPr>
            </w:pPr>
          </w:p>
          <w:p w14:paraId="60C613CC">
            <w:pPr>
              <w:pStyle w:val="2"/>
              <w:rPr>
                <w:rFonts w:hint="default"/>
                <w:color w:val="auto"/>
              </w:rPr>
            </w:pPr>
          </w:p>
          <w:p w14:paraId="0AB76397">
            <w:pPr>
              <w:pStyle w:val="2"/>
              <w:rPr>
                <w:rFonts w:hint="default"/>
                <w:color w:val="auto"/>
              </w:rPr>
            </w:pPr>
          </w:p>
          <w:p w14:paraId="5AF5833D">
            <w:pPr>
              <w:pStyle w:val="2"/>
              <w:rPr>
                <w:rFonts w:hint="default"/>
                <w:color w:val="auto"/>
              </w:rPr>
            </w:pPr>
          </w:p>
          <w:p w14:paraId="46ED0035">
            <w:pPr>
              <w:pStyle w:val="2"/>
              <w:rPr>
                <w:rFonts w:hint="default"/>
                <w:color w:val="auto"/>
              </w:rPr>
            </w:pPr>
          </w:p>
        </w:tc>
      </w:tr>
    </w:tbl>
    <w:p w14:paraId="6C68143E">
      <w:pPr>
        <w:ind w:firstLine="480"/>
        <w:rPr>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26" w:charSpace="0"/>
        </w:sectPr>
      </w:pPr>
      <w:bookmarkStart w:id="8" w:name="_Toc519515358"/>
    </w:p>
    <w:p w14:paraId="27BAA6F4">
      <w:pPr>
        <w:pStyle w:val="3"/>
        <w:rPr>
          <w:rFonts w:hint="eastAsia"/>
          <w:color w:val="auto"/>
        </w:rPr>
      </w:pPr>
      <w:bookmarkStart w:id="9" w:name="_Toc519594902"/>
      <w:bookmarkStart w:id="10" w:name="_Toc5060"/>
      <w:r>
        <w:rPr>
          <w:rFonts w:hint="eastAsia"/>
          <w:color w:val="auto"/>
        </w:rPr>
        <w:t>表三</w:t>
      </w:r>
      <w:r>
        <w:rPr>
          <w:color w:val="auto"/>
        </w:rPr>
        <w:t xml:space="preserve">  </w:t>
      </w:r>
      <w:r>
        <w:rPr>
          <w:rFonts w:hint="eastAsia"/>
          <w:color w:val="auto"/>
        </w:rPr>
        <w:t>主要污染源、污染物处理和排放</w:t>
      </w:r>
      <w:bookmarkEnd w:id="8"/>
      <w:bookmarkEnd w:id="9"/>
      <w:bookmarkEnd w:id="10"/>
    </w:p>
    <w:tbl>
      <w:tblPr>
        <w:tblStyle w:val="28"/>
        <w:tblW w:w="9200" w:type="dxa"/>
        <w:tblInd w:w="-3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200"/>
      </w:tblGrid>
      <w:tr w14:paraId="2EBE9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200" w:type="dxa"/>
          </w:tcPr>
          <w:p w14:paraId="7680B82B">
            <w:pPr>
              <w:pStyle w:val="4"/>
              <w:keepNext w:val="0"/>
              <w:keepLines w:val="0"/>
              <w:suppressLineNumbers w:val="0"/>
              <w:spacing w:before="0" w:beforeAutospacing="0" w:after="0" w:afterAutospacing="0"/>
              <w:ind w:left="0" w:right="0"/>
              <w:rPr>
                <w:rFonts w:hint="default"/>
                <w:color w:val="auto"/>
                <w:sz w:val="28"/>
                <w:szCs w:val="28"/>
              </w:rPr>
            </w:pPr>
            <w:r>
              <w:rPr>
                <w:rFonts w:hint="eastAsia" w:ascii="宋体" w:hAnsi="宋体"/>
                <w:color w:val="auto"/>
                <w:sz w:val="28"/>
                <w:szCs w:val="28"/>
              </w:rPr>
              <w:t>一、</w:t>
            </w:r>
            <w:r>
              <w:rPr>
                <w:rFonts w:hint="eastAsia"/>
                <w:color w:val="auto"/>
                <w:sz w:val="28"/>
                <w:szCs w:val="28"/>
              </w:rPr>
              <w:t>施工期主要污染物和环境保护设施</w:t>
            </w:r>
          </w:p>
          <w:p w14:paraId="5DCFA5BE">
            <w:pPr>
              <w:keepNext w:val="0"/>
              <w:keepLines w:val="0"/>
              <w:widowControl/>
              <w:suppressLineNumbers w:val="0"/>
              <w:spacing w:before="0" w:beforeAutospacing="0" w:after="0" w:afterAutospacing="0"/>
              <w:ind w:left="0" w:right="0" w:firstLine="480"/>
              <w:rPr>
                <w:rFonts w:hint="default" w:ascii="Times New Roman" w:hAnsi="Times New Roman"/>
                <w:color w:val="auto"/>
                <w:sz w:val="24"/>
                <w:szCs w:val="24"/>
                <w:lang w:val="en-US" w:eastAsia="zh-CN"/>
              </w:rPr>
            </w:pPr>
            <w:r>
              <w:rPr>
                <w:rFonts w:hint="eastAsia" w:ascii="Times New Roman" w:hAnsi="Times New Roman"/>
                <w:color w:val="auto"/>
                <w:sz w:val="24"/>
                <w:szCs w:val="24"/>
                <w:lang w:val="en-US" w:eastAsia="zh-CN"/>
              </w:rPr>
              <w:t>1、废水：项目施工期废水主要为施工人员生活污水和施工废水，生活污水经已建化粪池处理后排入园区污水处理厂进一步处理，施工产生的泥浆污水和车轮清洗水可经格栅和沉淀池去除悬浮物和泥沙后重复利用。</w:t>
            </w:r>
          </w:p>
          <w:p w14:paraId="1A259A49">
            <w:pPr>
              <w:keepNext w:val="0"/>
              <w:keepLines w:val="0"/>
              <w:widowControl/>
              <w:suppressLineNumbers w:val="0"/>
              <w:spacing w:before="0" w:beforeAutospacing="0" w:after="0" w:afterAutospacing="0"/>
              <w:ind w:left="0" w:right="0" w:firstLine="480"/>
              <w:rPr>
                <w:rFonts w:hint="default" w:ascii="Times New Roman" w:hAnsi="Times New Roman"/>
                <w:color w:val="auto"/>
                <w:sz w:val="24"/>
                <w:szCs w:val="24"/>
                <w:lang w:val="en-US" w:eastAsia="zh-CN"/>
              </w:rPr>
            </w:pPr>
            <w:r>
              <w:rPr>
                <w:rFonts w:hint="eastAsia" w:ascii="Times New Roman" w:hAnsi="Times New Roman"/>
                <w:color w:val="auto"/>
                <w:sz w:val="24"/>
                <w:szCs w:val="24"/>
                <w:lang w:val="en-US" w:eastAsia="zh-CN"/>
              </w:rPr>
              <w:t>2、废气：</w:t>
            </w:r>
            <w:r>
              <w:rPr>
                <w:rFonts w:hint="eastAsia" w:ascii="Times New Roman" w:hAnsi="Times New Roman" w:eastAsia="宋体" w:cs="Times New Roman"/>
                <w:color w:val="auto"/>
                <w:kern w:val="0"/>
                <w:sz w:val="24"/>
                <w:szCs w:val="24"/>
                <w:lang w:val="en-US" w:eastAsia="zh-CN"/>
              </w:rPr>
              <w:t>本项目施工期大气污染物主要来源于施工产生的扬尘和运输车辆产生的汽车尾气</w:t>
            </w:r>
            <w:r>
              <w:rPr>
                <w:rFonts w:hint="eastAsia" w:ascii="Times New Roman" w:hAnsi="Times New Roman"/>
                <w:color w:val="auto"/>
                <w:sz w:val="24"/>
                <w:szCs w:val="24"/>
                <w:lang w:val="en-US" w:eastAsia="zh-CN"/>
              </w:rPr>
              <w:t>。对于扬尘项目采用喷水雾法降低扬尘，同时对运输交通运输道路及时洒水、清扫，对于运输车辆，采取加强车辆封闭，要求车辆限速行驶以及保持路面清洁以减少汽车扬尘的产生。项目施工期间</w:t>
            </w:r>
            <w:r>
              <w:rPr>
                <w:rFonts w:hint="eastAsia" w:ascii="Times New Roman" w:hAnsi="Times New Roman" w:eastAsia="宋体" w:cs="Times New Roman"/>
                <w:color w:val="auto"/>
                <w:kern w:val="0"/>
                <w:sz w:val="24"/>
                <w:szCs w:val="24"/>
                <w:lang w:val="en-US" w:eastAsia="zh-CN"/>
              </w:rPr>
              <w:t>使用节能低耗的运输车辆，减少汽车尾气的产生量。合理安排材料运输时段，减少交通拥挤和堵塞概率，降低汽车尾气对环境产生的污染</w:t>
            </w:r>
            <w:r>
              <w:rPr>
                <w:rFonts w:hint="eastAsia"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加强对车辆的维修保养</w:t>
            </w:r>
            <w:r>
              <w:rPr>
                <w:rFonts w:hint="eastAsia"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禁止使用废气排放超标的车辆</w:t>
            </w:r>
            <w:r>
              <w:rPr>
                <w:rFonts w:hint="eastAsia" w:cs="Times New Roman"/>
                <w:color w:val="auto"/>
                <w:kern w:val="0"/>
                <w:sz w:val="24"/>
                <w:szCs w:val="24"/>
                <w:lang w:val="en-US" w:eastAsia="zh-CN"/>
              </w:rPr>
              <w:t>。</w:t>
            </w:r>
          </w:p>
          <w:p w14:paraId="7E931A2A">
            <w:pPr>
              <w:keepNext w:val="0"/>
              <w:keepLines w:val="0"/>
              <w:widowControl/>
              <w:suppressLineNumbers w:val="0"/>
              <w:spacing w:before="0" w:beforeAutospacing="0" w:after="0" w:afterAutospacing="0"/>
              <w:ind w:left="0" w:right="0" w:firstLine="480"/>
              <w:rPr>
                <w:rFonts w:hint="default" w:ascii="Times New Roman" w:hAnsi="Times New Roman"/>
                <w:color w:val="auto"/>
                <w:sz w:val="24"/>
                <w:szCs w:val="24"/>
                <w:lang w:val="en-US" w:eastAsia="zh-CN"/>
              </w:rPr>
            </w:pPr>
            <w:r>
              <w:rPr>
                <w:rFonts w:hint="eastAsia" w:ascii="Times New Roman" w:hAnsi="Times New Roman"/>
                <w:color w:val="auto"/>
                <w:sz w:val="24"/>
                <w:szCs w:val="24"/>
                <w:lang w:val="en-US" w:eastAsia="zh-CN"/>
              </w:rPr>
              <w:t>3、噪声：本项目施工期噪声主要来自</w:t>
            </w:r>
            <w:r>
              <w:rPr>
                <w:rFonts w:hint="eastAsia" w:ascii="Times New Roman" w:hAnsi="Times New Roman" w:eastAsia="宋体" w:cs="Times New Roman"/>
                <w:color w:val="auto"/>
                <w:kern w:val="0"/>
                <w:sz w:val="24"/>
                <w:szCs w:val="24"/>
                <w:lang w:val="en-US" w:eastAsia="zh-CN"/>
              </w:rPr>
              <w:t>设备安装过程中因使用钻机、电锤、切割机等而产生噪声</w:t>
            </w:r>
            <w:r>
              <w:rPr>
                <w:rFonts w:hint="eastAsia" w:ascii="Times New Roman" w:hAnsi="Times New Roman"/>
                <w:color w:val="auto"/>
                <w:sz w:val="24"/>
                <w:szCs w:val="24"/>
                <w:lang w:val="en-US" w:eastAsia="zh-CN"/>
              </w:rPr>
              <w:t>。采取措施：尽量采用低噪声设备，合理安排施工时间，加强施工队伍的管理，禁止大声喧哗，避免不必要的噪声发生。</w:t>
            </w:r>
          </w:p>
          <w:p w14:paraId="3E385B3D">
            <w:pPr>
              <w:keepNext w:val="0"/>
              <w:keepLines w:val="0"/>
              <w:widowControl/>
              <w:suppressLineNumbers w:val="0"/>
              <w:spacing w:before="0" w:beforeAutospacing="0" w:after="0" w:afterAutospacing="0"/>
              <w:ind w:left="0" w:right="0" w:firstLine="480"/>
              <w:rPr>
                <w:rFonts w:hint="default" w:ascii="Times New Roman" w:hAnsi="Times New Roman"/>
                <w:color w:val="auto"/>
                <w:sz w:val="24"/>
                <w:szCs w:val="24"/>
                <w:lang w:val="en-US" w:eastAsia="zh-CN"/>
              </w:rPr>
            </w:pPr>
            <w:r>
              <w:rPr>
                <w:rFonts w:hint="eastAsia" w:ascii="Times New Roman" w:hAnsi="Times New Roman"/>
                <w:color w:val="auto"/>
                <w:sz w:val="24"/>
                <w:szCs w:val="24"/>
                <w:lang w:val="en-US" w:eastAsia="zh-CN"/>
              </w:rPr>
              <w:t>4、固废：项目施工期产生的固废主要为建筑垃圾</w:t>
            </w:r>
            <w:r>
              <w:rPr>
                <w:rFonts w:hint="eastAsia" w:ascii="Times New Roman" w:hAnsi="Times New Roman" w:eastAsia="宋体" w:cs="Times New Roman"/>
                <w:color w:val="auto"/>
                <w:kern w:val="0"/>
                <w:sz w:val="24"/>
                <w:szCs w:val="24"/>
                <w:lang w:val="en-US" w:eastAsia="zh-CN"/>
              </w:rPr>
              <w:t>以及施工人员产生的生活垃圾</w:t>
            </w:r>
            <w:r>
              <w:rPr>
                <w:rFonts w:hint="eastAsia" w:ascii="Times New Roman" w:hAnsi="Times New Roman"/>
                <w:color w:val="auto"/>
                <w:sz w:val="24"/>
                <w:szCs w:val="24"/>
                <w:lang w:val="en-US" w:eastAsia="zh-CN"/>
              </w:rPr>
              <w:t>。</w:t>
            </w:r>
            <w:r>
              <w:rPr>
                <w:rFonts w:hint="eastAsia" w:ascii="Times New Roman" w:hAnsi="Times New Roman" w:eastAsia="宋体" w:cs="Times New Roman"/>
                <w:color w:val="auto"/>
                <w:kern w:val="0"/>
                <w:sz w:val="24"/>
                <w:szCs w:val="24"/>
                <w:lang w:val="en-US" w:eastAsia="zh-CN"/>
              </w:rPr>
              <w:t>施工单位袋装收集施工人员生活垃圾，定期交市政环卫部门清运处理；对于碎砖瓦砾等可与挖出的土方一起用于厂区场坪和回填；对于废油漆、涂料等，用容器收集后交由专业单位回收处理。</w:t>
            </w:r>
          </w:p>
          <w:p w14:paraId="2B5F9670">
            <w:pPr>
              <w:keepNext w:val="0"/>
              <w:keepLines w:val="0"/>
              <w:widowControl/>
              <w:suppressLineNumbers w:val="0"/>
              <w:spacing w:before="0" w:beforeAutospacing="0" w:after="0" w:afterAutospacing="0"/>
              <w:ind w:left="0" w:right="0" w:firstLine="480"/>
              <w:rPr>
                <w:rFonts w:hint="eastAsia" w:ascii="宋体" w:hAnsi="宋体"/>
                <w:color w:val="auto"/>
                <w:szCs w:val="24"/>
                <w:lang w:eastAsia="zh-CN"/>
              </w:rPr>
            </w:pPr>
            <w:r>
              <w:rPr>
                <w:rFonts w:hint="eastAsia" w:ascii="Times New Roman" w:hAnsi="Times New Roman"/>
                <w:color w:val="auto"/>
                <w:sz w:val="24"/>
                <w:szCs w:val="24"/>
                <w:lang w:eastAsia="zh-CN"/>
              </w:rPr>
              <w:t>经调查，本项目施工期未有环境遗留问题。</w:t>
            </w:r>
          </w:p>
          <w:p w14:paraId="722C4AEF">
            <w:pPr>
              <w:pStyle w:val="4"/>
              <w:keepNext w:val="0"/>
              <w:keepLines w:val="0"/>
              <w:suppressLineNumbers w:val="0"/>
              <w:spacing w:before="0" w:beforeAutospacing="0" w:after="0" w:afterAutospacing="0"/>
              <w:ind w:left="0" w:right="0"/>
              <w:rPr>
                <w:rFonts w:hint="default"/>
                <w:color w:val="auto"/>
                <w:sz w:val="28"/>
                <w:szCs w:val="28"/>
              </w:rPr>
            </w:pPr>
            <w:r>
              <w:rPr>
                <w:rFonts w:hint="eastAsia" w:ascii="宋体" w:hAnsi="宋体"/>
                <w:color w:val="auto"/>
                <w:sz w:val="28"/>
                <w:szCs w:val="28"/>
              </w:rPr>
              <w:t>二、</w:t>
            </w:r>
            <w:r>
              <w:rPr>
                <w:rFonts w:hint="eastAsia"/>
                <w:color w:val="auto"/>
                <w:sz w:val="28"/>
                <w:szCs w:val="28"/>
              </w:rPr>
              <w:t>运营期主要污染物和环境保护设施</w:t>
            </w:r>
          </w:p>
          <w:p w14:paraId="277306CF">
            <w:pPr>
              <w:pStyle w:val="5"/>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、废水</w:t>
            </w:r>
          </w:p>
          <w:p w14:paraId="2B7991E0">
            <w:pPr>
              <w:keepNext w:val="0"/>
              <w:keepLines w:val="0"/>
              <w:widowControl/>
              <w:suppressLineNumbers w:val="0"/>
              <w:spacing w:before="0" w:beforeAutospacing="0" w:after="0" w:afterAutospacing="0"/>
              <w:ind w:left="0" w:right="0" w:firstLine="480" w:firstLineChars="0"/>
              <w:rPr>
                <w:rFonts w:hint="default"/>
                <w:bCs/>
                <w:color w:val="auto"/>
              </w:rPr>
            </w:pPr>
            <w:r>
              <w:rPr>
                <w:rFonts w:hint="eastAsia"/>
                <w:bCs/>
                <w:color w:val="auto"/>
                <w:lang w:val="en-US" w:eastAsia="zh-CN"/>
              </w:rPr>
              <w:t>营运期废水主要来自生产废水、设备清洗废水、生活污水和食堂废水</w:t>
            </w:r>
            <w:r>
              <w:rPr>
                <w:rFonts w:hint="eastAsia"/>
                <w:bCs/>
                <w:color w:val="auto"/>
              </w:rPr>
              <w:t>。</w:t>
            </w:r>
          </w:p>
          <w:p w14:paraId="08417009">
            <w:pPr>
              <w:keepNext w:val="0"/>
              <w:keepLines w:val="0"/>
              <w:widowControl/>
              <w:suppressLineNumbers w:val="0"/>
              <w:spacing w:before="0" w:beforeAutospacing="0" w:after="0" w:afterAutospacing="0"/>
              <w:ind w:left="0" w:right="0" w:firstLine="480"/>
              <w:rPr>
                <w:rFonts w:hint="default"/>
                <w:color w:val="auto"/>
              </w:rPr>
            </w:pPr>
            <w:r>
              <w:rPr>
                <w:rFonts w:hint="eastAsia"/>
                <w:color w:val="auto"/>
              </w:rPr>
              <w:t>环评运营期要求：</w:t>
            </w:r>
            <w:r>
              <w:rPr>
                <w:rFonts w:hint="eastAsia"/>
                <w:color w:val="auto"/>
                <w:lang w:eastAsia="zh-CN"/>
              </w:rPr>
              <w:t>将原处理能力为</w:t>
            </w:r>
            <w:r>
              <w:rPr>
                <w:rFonts w:hint="eastAsia"/>
                <w:color w:val="auto"/>
                <w:lang w:val="en-US" w:eastAsia="zh-CN"/>
              </w:rPr>
              <w:t>10m</w:t>
            </w:r>
            <w:r>
              <w:rPr>
                <w:rFonts w:hint="eastAsia"/>
                <w:color w:val="auto"/>
                <w:vertAlign w:val="superscript"/>
                <w:lang w:val="en-US" w:eastAsia="zh-CN"/>
              </w:rPr>
              <w:t>3</w:t>
            </w:r>
            <w:r>
              <w:rPr>
                <w:rFonts w:hint="eastAsia"/>
                <w:color w:val="auto"/>
                <w:lang w:val="en-US" w:eastAsia="zh-CN"/>
              </w:rPr>
              <w:t>/d</w:t>
            </w:r>
            <w:r>
              <w:rPr>
                <w:rFonts w:hint="eastAsia"/>
                <w:color w:val="auto"/>
                <w:lang w:eastAsia="zh-CN"/>
              </w:rPr>
              <w:t>污水处理池升级改造为处理能力为</w:t>
            </w:r>
            <w:r>
              <w:rPr>
                <w:rFonts w:hint="eastAsia"/>
                <w:color w:val="auto"/>
                <w:lang w:val="en-US" w:eastAsia="zh-CN"/>
              </w:rPr>
              <w:t>20m</w:t>
            </w:r>
            <w:r>
              <w:rPr>
                <w:rFonts w:hint="eastAsia"/>
                <w:color w:val="auto"/>
                <w:vertAlign w:val="superscript"/>
                <w:lang w:val="en-US" w:eastAsia="zh-CN"/>
              </w:rPr>
              <w:t>3</w:t>
            </w:r>
            <w:r>
              <w:rPr>
                <w:rFonts w:hint="eastAsia"/>
                <w:color w:val="auto"/>
                <w:lang w:val="en-US" w:eastAsia="zh-CN"/>
              </w:rPr>
              <w:t>/d的设施。在1#、2#生产车间出口均设置格栅和隔油池，废水在车间出口先经隔杂、隔油后再排入厂内污水处理站处理达</w:t>
            </w:r>
            <w:r>
              <w:rPr>
                <w:rFonts w:hint="default"/>
                <w:color w:val="auto"/>
                <w:kern w:val="0"/>
                <w:sz w:val="24"/>
              </w:rPr>
              <w:t>《污水综合排放标准》GB8978-1996中三级标准</w:t>
            </w:r>
            <w:r>
              <w:rPr>
                <w:rFonts w:hint="eastAsia"/>
                <w:color w:val="auto"/>
                <w:lang w:val="en-US" w:eastAsia="zh-CN"/>
              </w:rPr>
              <w:t>后进入泡菜园区污水处理厂处理</w:t>
            </w:r>
            <w:r>
              <w:rPr>
                <w:rFonts w:hint="eastAsia"/>
                <w:bCs/>
                <w:color w:val="auto"/>
              </w:rPr>
              <w:t>。</w:t>
            </w:r>
          </w:p>
          <w:p w14:paraId="1FBBF515">
            <w:pPr>
              <w:keepNext w:val="0"/>
              <w:keepLines w:val="0"/>
              <w:widowControl/>
              <w:suppressLineNumbers w:val="0"/>
              <w:spacing w:before="0" w:beforeAutospacing="0" w:after="0" w:afterAutospacing="0"/>
              <w:ind w:left="0" w:right="0" w:firstLine="480"/>
              <w:rPr>
                <w:rFonts w:hint="default"/>
                <w:color w:val="auto"/>
              </w:rPr>
            </w:pPr>
            <w:r>
              <w:rPr>
                <w:rFonts w:hint="eastAsia" w:ascii="宋体" w:hAnsi="宋体"/>
                <w:color w:val="auto"/>
              </w:rPr>
              <w:t>验收实际情况：</w:t>
            </w:r>
            <w:r>
              <w:rPr>
                <w:rFonts w:hint="eastAsia" w:ascii="宋体" w:hAnsi="宋体"/>
                <w:color w:val="auto"/>
                <w:lang w:eastAsia="zh-CN"/>
              </w:rPr>
              <w:t>厂内污水处理站的处理能力为</w:t>
            </w:r>
            <w:r>
              <w:rPr>
                <w:rFonts w:hint="eastAsia" w:ascii="宋体" w:hAnsi="宋体"/>
                <w:color w:val="auto"/>
                <w:lang w:val="en-US" w:eastAsia="zh-CN"/>
              </w:rPr>
              <w:t>3</w:t>
            </w:r>
            <w:r>
              <w:rPr>
                <w:rFonts w:hint="eastAsia"/>
                <w:color w:val="auto"/>
                <w:lang w:val="en-US" w:eastAsia="zh-CN"/>
              </w:rPr>
              <w:t>0m</w:t>
            </w:r>
            <w:r>
              <w:rPr>
                <w:rFonts w:hint="eastAsia"/>
                <w:color w:val="auto"/>
                <w:vertAlign w:val="superscript"/>
                <w:lang w:val="en-US" w:eastAsia="zh-CN"/>
              </w:rPr>
              <w:t>3</w:t>
            </w:r>
            <w:r>
              <w:rPr>
                <w:rFonts w:hint="eastAsia"/>
                <w:color w:val="auto"/>
                <w:lang w:val="en-US" w:eastAsia="zh-CN"/>
              </w:rPr>
              <w:t>/d，生活污水经化粪池处理后进入污水处理站处理，生产废水及食堂废水经隔油池隔油后厂内出水处理站处理达</w:t>
            </w:r>
            <w:r>
              <w:rPr>
                <w:rFonts w:hint="default"/>
                <w:color w:val="auto"/>
                <w:kern w:val="0"/>
                <w:sz w:val="24"/>
              </w:rPr>
              <w:t>《污水综合排放标准》GB8978-1996中三级标准</w:t>
            </w:r>
            <w:r>
              <w:rPr>
                <w:rFonts w:hint="eastAsia"/>
                <w:color w:val="auto"/>
                <w:kern w:val="0"/>
                <w:sz w:val="24"/>
                <w:lang w:eastAsia="zh-CN"/>
              </w:rPr>
              <w:t>（</w:t>
            </w:r>
            <w:r>
              <w:rPr>
                <w:rFonts w:hint="eastAsia"/>
                <w:color w:val="auto"/>
                <w:kern w:val="0"/>
                <w:sz w:val="24"/>
              </w:rPr>
              <w:t>氨氮</w:t>
            </w:r>
            <w:r>
              <w:rPr>
                <w:rFonts w:hint="eastAsia"/>
                <w:color w:val="auto"/>
                <w:kern w:val="0"/>
                <w:sz w:val="24"/>
                <w:lang w:eastAsia="zh-CN"/>
              </w:rPr>
              <w:t>、总磷、色度、总氮</w:t>
            </w:r>
            <w:r>
              <w:rPr>
                <w:rFonts w:hint="eastAsia"/>
                <w:color w:val="auto"/>
                <w:kern w:val="0"/>
                <w:sz w:val="24"/>
              </w:rPr>
              <w:t>参照《污水排入城镇下水道水质标准》（GB/T31962-2015）表1中B等级标准</w:t>
            </w:r>
            <w:r>
              <w:rPr>
                <w:rFonts w:hint="eastAsia"/>
                <w:color w:val="auto"/>
                <w:kern w:val="0"/>
                <w:sz w:val="24"/>
                <w:lang w:eastAsia="zh-CN"/>
              </w:rPr>
              <w:t>）</w:t>
            </w:r>
            <w:r>
              <w:rPr>
                <w:rFonts w:hint="eastAsia"/>
                <w:color w:val="auto"/>
                <w:lang w:val="en-US" w:eastAsia="zh-CN"/>
              </w:rPr>
              <w:t>后进入泡菜园区污水处理厂处理</w:t>
            </w:r>
            <w:r>
              <w:rPr>
                <w:rFonts w:hint="eastAsia"/>
                <w:bCs/>
                <w:color w:val="auto"/>
              </w:rPr>
              <w:t>。</w:t>
            </w:r>
          </w:p>
          <w:p w14:paraId="014F5EF7">
            <w:pPr>
              <w:pStyle w:val="11"/>
              <w:keepNext w:val="0"/>
              <w:keepLines w:val="0"/>
              <w:widowControl/>
              <w:suppressLineNumbers w:val="0"/>
              <w:spacing w:before="0" w:beforeAutospacing="0" w:after="0" w:afterAutospacing="0"/>
              <w:ind w:left="0" w:right="0" w:firstLine="480"/>
              <w:jc w:val="center"/>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pict>
                <v:shape id="_x0000_i1028" o:spt="75" alt="19db5c9d2e33ea006cc74ed357d6d61" type="#_x0000_t75" style="height:292.2pt;width:382pt;" filled="f" o:preferrelative="t" stroked="f" coordsize="21600,21600">
                  <v:path/>
                  <v:fill on="f" focussize="0,0"/>
                  <v:stroke on="f"/>
                  <v:imagedata r:id="rId16" o:title="19db5c9d2e33ea006cc74ed357d6d61"/>
                  <o:lock v:ext="edit" aspectratio="t"/>
                  <w10:wrap type="none"/>
                  <w10:anchorlock/>
                </v:shape>
              </w:pict>
            </w:r>
          </w:p>
          <w:p w14:paraId="1ED88ADC">
            <w:pPr>
              <w:pStyle w:val="11"/>
              <w:keepNext w:val="0"/>
              <w:keepLines w:val="0"/>
              <w:widowControl/>
              <w:suppressLineNumbers w:val="0"/>
              <w:spacing w:before="0" w:beforeAutospacing="0" w:after="0" w:afterAutospacing="0"/>
              <w:ind w:left="0" w:right="0" w:firstLine="480"/>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附图3-1 废水处理流程图</w:t>
            </w:r>
          </w:p>
          <w:p w14:paraId="6128BCC5">
            <w:pPr>
              <w:pStyle w:val="5"/>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2</w:t>
            </w:r>
            <w:r>
              <w:rPr>
                <w:rFonts w:hint="eastAsia"/>
                <w:color w:val="auto"/>
                <w:sz w:val="24"/>
                <w:szCs w:val="24"/>
              </w:rPr>
              <w:t>、废气</w:t>
            </w:r>
          </w:p>
          <w:p w14:paraId="39305AEE">
            <w:pPr>
              <w:keepNext w:val="0"/>
              <w:keepLines w:val="0"/>
              <w:widowControl/>
              <w:suppressLineNumbers w:val="0"/>
              <w:spacing w:before="0" w:beforeAutospacing="0" w:after="0" w:afterAutospacing="0"/>
              <w:ind w:left="0" w:right="0" w:firstLine="480"/>
              <w:rPr>
                <w:rFonts w:hint="eastAsia" w:eastAsia="宋体"/>
                <w:bCs/>
                <w:color w:val="auto"/>
                <w:lang w:eastAsia="zh-CN"/>
              </w:rPr>
            </w:pPr>
            <w:r>
              <w:rPr>
                <w:rFonts w:hint="eastAsia" w:ascii="Times New Roman" w:hAnsi="Times New Roman" w:eastAsia="宋体" w:cs="Times New Roman"/>
                <w:color w:val="auto"/>
                <w:kern w:val="0"/>
                <w:sz w:val="24"/>
                <w:szCs w:val="24"/>
                <w:lang w:val="en-US" w:eastAsia="zh-CN"/>
              </w:rPr>
              <w:t>项目营运期废气产生的主要环节为</w:t>
            </w:r>
            <w:r>
              <w:rPr>
                <w:rFonts w:hint="eastAsia" w:cs="Times New Roman"/>
                <w:color w:val="auto"/>
                <w:kern w:val="0"/>
                <w:sz w:val="24"/>
                <w:szCs w:val="24"/>
                <w:lang w:val="en-US" w:eastAsia="zh-CN"/>
              </w:rPr>
              <w:t>油烟</w:t>
            </w:r>
            <w:r>
              <w:rPr>
                <w:rFonts w:hint="eastAsia"/>
                <w:bCs/>
                <w:color w:val="auto"/>
                <w:lang w:eastAsia="zh-CN"/>
              </w:rPr>
              <w:t>。</w:t>
            </w:r>
          </w:p>
          <w:p w14:paraId="1599FD71">
            <w:pPr>
              <w:keepNext w:val="0"/>
              <w:keepLines w:val="0"/>
              <w:widowControl/>
              <w:numPr>
                <w:ilvl w:val="0"/>
                <w:numId w:val="3"/>
              </w:numPr>
              <w:suppressLineNumbers w:val="0"/>
              <w:tabs>
                <w:tab w:val="left" w:pos="2283"/>
              </w:tabs>
              <w:spacing w:before="0" w:beforeAutospacing="0" w:after="0" w:afterAutospacing="0"/>
              <w:ind w:left="0" w:right="0" w:firstLine="480"/>
              <w:rPr>
                <w:rFonts w:hint="eastAsia"/>
                <w:b/>
                <w:bCs/>
                <w:color w:val="auto"/>
                <w:lang w:val="en-US" w:eastAsia="zh-CN"/>
              </w:rPr>
            </w:pPr>
            <w:r>
              <w:rPr>
                <w:rFonts w:hint="eastAsia"/>
                <w:b/>
                <w:bCs/>
                <w:color w:val="auto"/>
                <w:lang w:val="en-US" w:eastAsia="zh-CN"/>
              </w:rPr>
              <w:t>餐佐料生产线的油烟</w:t>
            </w:r>
          </w:p>
          <w:p w14:paraId="6C34B85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ind w:left="0" w:right="0" w:rightChars="0" w:firstLine="480" w:firstLineChars="200"/>
              <w:textAlignment w:val="auto"/>
              <w:rPr>
                <w:rFonts w:hint="default" w:eastAsia="宋体"/>
                <w:bCs/>
                <w:color w:val="auto"/>
                <w:lang w:val="en-US" w:eastAsia="zh-CN"/>
              </w:rPr>
            </w:pPr>
            <w:r>
              <w:rPr>
                <w:rFonts w:hint="eastAsia"/>
                <w:bCs/>
                <w:color w:val="auto"/>
              </w:rPr>
              <w:t>环评要求内容：</w:t>
            </w:r>
            <w:r>
              <w:rPr>
                <w:rFonts w:hint="eastAsia"/>
                <w:bCs/>
                <w:color w:val="auto"/>
                <w:lang w:eastAsia="zh-CN"/>
              </w:rPr>
              <w:t>对于新建的餐佐料生产线，每台炒锅上设置一个集气罩，共设置</w:t>
            </w:r>
            <w:r>
              <w:rPr>
                <w:rFonts w:hint="eastAsia"/>
                <w:bCs/>
                <w:color w:val="auto"/>
                <w:lang w:val="en-US" w:eastAsia="zh-CN"/>
              </w:rPr>
              <w:t>20个集气罩。两台炒锅共用一台油烟净化器（风机风量为7000m</w:t>
            </w:r>
            <w:r>
              <w:rPr>
                <w:rFonts w:hint="eastAsia"/>
                <w:bCs/>
                <w:color w:val="auto"/>
                <w:vertAlign w:val="superscript"/>
                <w:lang w:val="en-US" w:eastAsia="zh-CN"/>
              </w:rPr>
              <w:t>3</w:t>
            </w:r>
            <w:r>
              <w:rPr>
                <w:rFonts w:hint="eastAsia"/>
                <w:bCs/>
                <w:color w:val="auto"/>
                <w:lang w:val="en-US" w:eastAsia="zh-CN"/>
              </w:rPr>
              <w:t>/h），共计新增10台油烟净化器，10台油烟净化器排放口最后汇集1根排放口，经建喷淋塔处理后经15m高排气筒达标排放。对已建餐佐料生产线，环评要求对原排放口进行改造，将4个排放口收集为1根排放管，并新增1座碱喷淋塔去除异味后达标后经15m高排气筒排放。</w:t>
            </w:r>
          </w:p>
          <w:p w14:paraId="56506E9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ind w:left="0" w:right="0" w:rightChars="0" w:firstLine="480" w:firstLineChars="200"/>
              <w:textAlignment w:val="auto"/>
              <w:rPr>
                <w:rFonts w:hint="default" w:eastAsia="宋体"/>
                <w:bCs/>
                <w:color w:val="auto"/>
                <w:lang w:val="en-US" w:eastAsia="zh-CN"/>
              </w:rPr>
            </w:pPr>
            <w:r>
              <w:rPr>
                <w:rFonts w:hint="eastAsia"/>
                <w:bCs/>
                <w:color w:val="auto"/>
              </w:rPr>
              <w:t>验收实际情况：</w:t>
            </w:r>
            <w:r>
              <w:rPr>
                <w:rFonts w:hint="eastAsia"/>
                <w:bCs/>
                <w:color w:val="auto"/>
                <w:lang w:val="en-US" w:eastAsia="zh-CN"/>
              </w:rPr>
              <w:t>2#生产车间新建的餐佐料生产线，</w:t>
            </w:r>
            <w:r>
              <w:rPr>
                <w:rFonts w:hint="eastAsia"/>
                <w:bCs/>
                <w:color w:val="auto"/>
                <w:lang w:eastAsia="zh-CN"/>
              </w:rPr>
              <w:t>每台炒锅上设置一个集气罩，所有炒锅共用一套水喷淋</w:t>
            </w:r>
            <w:r>
              <w:rPr>
                <w:rFonts w:hint="eastAsia"/>
                <w:bCs/>
                <w:color w:val="auto"/>
                <w:lang w:val="en-US" w:eastAsia="zh-CN"/>
              </w:rPr>
              <w:t>+油烟净化器处理装备（风机风量为75000m</w:t>
            </w:r>
            <w:r>
              <w:rPr>
                <w:rFonts w:hint="eastAsia"/>
                <w:bCs/>
                <w:color w:val="auto"/>
                <w:vertAlign w:val="superscript"/>
                <w:lang w:val="en-US" w:eastAsia="zh-CN"/>
              </w:rPr>
              <w:t>3</w:t>
            </w:r>
            <w:r>
              <w:rPr>
                <w:rFonts w:hint="eastAsia"/>
                <w:bCs/>
                <w:color w:val="auto"/>
                <w:lang w:val="en-US" w:eastAsia="zh-CN"/>
              </w:rPr>
              <w:t>/h），处理后经15m高排气筒达标排放（DA002）</w:t>
            </w:r>
            <w:r>
              <w:rPr>
                <w:rFonts w:hint="eastAsia"/>
                <w:bCs/>
                <w:color w:val="auto"/>
              </w:rPr>
              <w:t>。</w:t>
            </w:r>
            <w:r>
              <w:rPr>
                <w:rFonts w:hint="eastAsia"/>
                <w:bCs/>
                <w:color w:val="auto"/>
                <w:lang w:eastAsia="zh-CN"/>
              </w:rPr>
              <w:t>对于</w:t>
            </w:r>
            <w:r>
              <w:rPr>
                <w:rFonts w:hint="eastAsia"/>
                <w:bCs/>
                <w:color w:val="auto"/>
                <w:lang w:val="en-US" w:eastAsia="zh-CN"/>
              </w:rPr>
              <w:t>1#生产车间已建餐佐料生产线，将4个排放口收集为1根排放管，并新增1座水喷淋塔，废气经处理后由15m高排气筒（DA001）排放。</w:t>
            </w:r>
          </w:p>
          <w:p w14:paraId="714A2D7B">
            <w:pPr>
              <w:keepNext w:val="0"/>
              <w:keepLines w:val="0"/>
              <w:widowControl/>
              <w:numPr>
                <w:ilvl w:val="0"/>
                <w:numId w:val="3"/>
              </w:numPr>
              <w:suppressLineNumbers w:val="0"/>
              <w:spacing w:before="0" w:beforeAutospacing="0" w:after="0" w:afterAutospacing="0"/>
              <w:ind w:left="0" w:leftChars="0" w:right="0" w:firstLine="482" w:firstLineChars="200"/>
              <w:rPr>
                <w:rFonts w:hint="eastAsia" w:cs="Times New Roman"/>
                <w:b/>
                <w:bCs/>
                <w:color w:val="auto"/>
                <w:kern w:val="0"/>
                <w:sz w:val="24"/>
                <w:szCs w:val="24"/>
                <w:lang w:val="en-US" w:eastAsia="zh-CN"/>
              </w:rPr>
            </w:pPr>
            <w:r>
              <w:rPr>
                <w:rFonts w:hint="eastAsia" w:cs="Times New Roman"/>
                <w:b/>
                <w:bCs/>
                <w:color w:val="auto"/>
                <w:kern w:val="0"/>
                <w:sz w:val="24"/>
                <w:szCs w:val="24"/>
                <w:lang w:val="en-US" w:eastAsia="zh-CN"/>
              </w:rPr>
              <w:t>粉尘</w:t>
            </w:r>
          </w:p>
          <w:p w14:paraId="78CE51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firstLine="480" w:firstLineChars="200"/>
              <w:textAlignment w:val="auto"/>
              <w:rPr>
                <w:rFonts w:hint="eastAsia" w:ascii="Times New Roman" w:hAnsi="Times New Roman" w:eastAsia="宋体" w:cs="Times New Roman"/>
                <w:b w:val="0"/>
                <w:bCs w:val="0"/>
                <w:color w:val="auto"/>
                <w:kern w:val="0"/>
                <w:sz w:val="24"/>
                <w:szCs w:val="24"/>
                <w:lang w:val="en-US" w:eastAsia="zh-CN" w:bidi="ar-SA"/>
              </w:rPr>
            </w:pPr>
            <w:r>
              <w:rPr>
                <w:rFonts w:hint="eastAsia"/>
                <w:bCs/>
                <w:color w:val="auto"/>
                <w:lang w:val="en-US" w:eastAsia="zh-CN"/>
              </w:rPr>
              <w:t>环评要求内容：鸡精生产线粉碎、配料、干燥、冷却过程会产生粉尘。在混料机、粉碎机上方设置集气罩，将产生的粉尘进行收集，通过引风机同振动流化床干燥机产生的粉尘一起进入管道末端的旋风除尘器+布袋除尘器处理后经15m高排气筒排放</w:t>
            </w:r>
            <w:r>
              <w:rPr>
                <w:rFonts w:hint="eastAsia" w:ascii="Times New Roman" w:hAnsi="Times New Roman" w:eastAsia="宋体" w:cs="Times New Roman"/>
                <w:b w:val="0"/>
                <w:bCs w:val="0"/>
                <w:color w:val="auto"/>
                <w:kern w:val="0"/>
                <w:sz w:val="24"/>
                <w:szCs w:val="24"/>
                <w:lang w:val="en-US" w:eastAsia="zh-CN" w:bidi="ar-SA"/>
              </w:rPr>
              <w:t>。</w:t>
            </w:r>
          </w:p>
          <w:p w14:paraId="48C899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firstLine="480" w:firstLineChars="200"/>
              <w:textAlignment w:val="auto"/>
              <w:rPr>
                <w:rFonts w:hint="eastAsia" w:ascii="Times New Roman" w:hAnsi="Times New Roman" w:eastAsia="宋体" w:cs="Times New Roman"/>
                <w:b w:val="0"/>
                <w:bCs w:val="0"/>
                <w:color w:val="auto"/>
                <w:kern w:val="0"/>
                <w:sz w:val="24"/>
                <w:szCs w:val="24"/>
                <w:lang w:val="en-US" w:eastAsia="zh-CN" w:bidi="ar-SA"/>
              </w:rPr>
            </w:pPr>
            <w:r>
              <w:rPr>
                <w:rFonts w:hint="eastAsia"/>
                <w:bCs/>
                <w:color w:val="auto"/>
                <w:lang w:val="en-US" w:eastAsia="zh-CN"/>
              </w:rPr>
              <w:t>验收实际情况：鸡精生产线未建立，无粉尘产生</w:t>
            </w:r>
            <w:r>
              <w:rPr>
                <w:rFonts w:hint="eastAsia" w:ascii="Times New Roman" w:hAnsi="Times New Roman" w:eastAsia="宋体" w:cs="Times New Roman"/>
                <w:b w:val="0"/>
                <w:bCs w:val="0"/>
                <w:color w:val="auto"/>
                <w:kern w:val="0"/>
                <w:sz w:val="24"/>
                <w:szCs w:val="24"/>
                <w:lang w:val="en-US" w:eastAsia="zh-CN" w:bidi="ar-SA"/>
              </w:rPr>
              <w:t>。</w:t>
            </w:r>
          </w:p>
          <w:p w14:paraId="22320141">
            <w:pPr>
              <w:keepNext w:val="0"/>
              <w:keepLines w:val="0"/>
              <w:widowControl/>
              <w:suppressLineNumbers w:val="0"/>
              <w:spacing w:before="0" w:beforeAutospacing="0" w:after="0" w:afterAutospacing="0"/>
              <w:ind w:left="0" w:right="0" w:firstLine="480"/>
              <w:rPr>
                <w:rFonts w:hint="eastAsia" w:eastAsia="宋体"/>
                <w:b/>
                <w:bCs w:val="0"/>
                <w:color w:val="auto"/>
                <w:lang w:eastAsia="zh-CN"/>
              </w:rPr>
            </w:pPr>
            <w:r>
              <w:rPr>
                <w:rFonts w:hint="eastAsia"/>
                <w:b/>
                <w:bCs w:val="0"/>
                <w:color w:val="auto"/>
              </w:rPr>
              <w:t>（</w:t>
            </w:r>
            <w:r>
              <w:rPr>
                <w:rFonts w:hint="eastAsia"/>
                <w:b/>
                <w:bCs w:val="0"/>
                <w:color w:val="auto"/>
                <w:lang w:val="en-US" w:eastAsia="zh-CN"/>
              </w:rPr>
              <w:t>3</w:t>
            </w:r>
            <w:r>
              <w:rPr>
                <w:rFonts w:hint="eastAsia"/>
                <w:b/>
                <w:bCs w:val="0"/>
                <w:color w:val="auto"/>
              </w:rPr>
              <w:t>）</w:t>
            </w:r>
            <w:r>
              <w:rPr>
                <w:rFonts w:hint="eastAsia"/>
                <w:b/>
                <w:bCs w:val="0"/>
                <w:color w:val="auto"/>
                <w:lang w:eastAsia="zh-CN"/>
              </w:rPr>
              <w:t>生产异味</w:t>
            </w:r>
          </w:p>
          <w:p w14:paraId="325C8A72">
            <w:pPr>
              <w:keepNext w:val="0"/>
              <w:keepLines w:val="0"/>
              <w:widowControl/>
              <w:suppressLineNumbers w:val="0"/>
              <w:spacing w:before="0" w:beforeAutospacing="0" w:after="0" w:afterAutospacing="0"/>
              <w:ind w:left="0" w:right="0" w:firstLine="480"/>
              <w:rPr>
                <w:rFonts w:hint="eastAsia" w:ascii="Times New Roman" w:hAnsi="Times New Roman" w:eastAsia="宋体" w:cs="Times New Roman"/>
                <w:bCs/>
                <w:color w:val="auto"/>
                <w:sz w:val="24"/>
                <w:szCs w:val="24"/>
                <w:lang w:eastAsia="zh-CN"/>
              </w:rPr>
            </w:pPr>
            <w:r>
              <w:rPr>
                <w:rFonts w:hint="eastAsia"/>
                <w:bCs/>
                <w:color w:val="auto"/>
              </w:rPr>
              <w:t>环评要求内容：</w:t>
            </w:r>
            <w:r>
              <w:rPr>
                <w:rFonts w:hint="eastAsia"/>
                <w:bCs/>
                <w:color w:val="auto"/>
                <w:lang w:eastAsia="zh-CN"/>
              </w:rPr>
              <w:t>在</w:t>
            </w:r>
            <w:r>
              <w:rPr>
                <w:rFonts w:hint="eastAsia"/>
                <w:bCs/>
                <w:color w:val="auto"/>
                <w:lang w:val="en-US" w:eastAsia="zh-CN"/>
              </w:rPr>
              <w:t>1#厂房和2#厂房分别新增1座碱喷淋塔用于去除火锅底料炒料异味和鸡精生产线产生异味，处理后的异味分别经排气筒排放</w:t>
            </w:r>
            <w:r>
              <w:rPr>
                <w:rFonts w:hint="eastAsia" w:ascii="Times New Roman" w:hAnsi="Times New Roman" w:eastAsia="宋体" w:cs="Times New Roman"/>
                <w:bCs/>
                <w:color w:val="auto"/>
                <w:sz w:val="24"/>
                <w:szCs w:val="24"/>
                <w:lang w:eastAsia="zh-CN"/>
              </w:rPr>
              <w:t>。</w:t>
            </w:r>
          </w:p>
          <w:p w14:paraId="1E24CE2B">
            <w:pPr>
              <w:keepNext w:val="0"/>
              <w:keepLines w:val="0"/>
              <w:widowControl/>
              <w:suppressLineNumbers w:val="0"/>
              <w:spacing w:before="0" w:beforeAutospacing="0" w:after="0" w:afterAutospacing="0"/>
              <w:ind w:left="0" w:right="0" w:firstLine="480"/>
              <w:rPr>
                <w:rFonts w:hint="eastAsia" w:ascii="Times New Roman" w:hAnsi="Times New Roman" w:eastAsia="宋体" w:cs="Times New Roman"/>
                <w:bCs/>
                <w:color w:val="auto"/>
                <w:sz w:val="24"/>
                <w:szCs w:val="24"/>
                <w:lang w:eastAsia="zh-CN"/>
              </w:rPr>
            </w:pPr>
            <w:r>
              <w:rPr>
                <w:rFonts w:hint="eastAsia"/>
                <w:bCs/>
                <w:color w:val="auto"/>
              </w:rPr>
              <w:t>验收实际情况：</w:t>
            </w:r>
            <w:r>
              <w:rPr>
                <w:rFonts w:hint="eastAsia"/>
                <w:bCs/>
                <w:color w:val="auto"/>
                <w:lang w:eastAsia="zh-CN"/>
              </w:rPr>
              <w:t>未建设鸡精生产线，</w:t>
            </w:r>
            <w:r>
              <w:rPr>
                <w:rFonts w:hint="eastAsia"/>
                <w:bCs/>
                <w:color w:val="auto"/>
                <w:lang w:val="en-US" w:eastAsia="zh-CN"/>
              </w:rPr>
              <w:t>1#、2#生产车间</w:t>
            </w:r>
            <w:r>
              <w:rPr>
                <w:rFonts w:hint="eastAsia"/>
                <w:bCs/>
                <w:color w:val="auto"/>
                <w:lang w:eastAsia="zh-CN"/>
              </w:rPr>
              <w:t>产生的异味分别经</w:t>
            </w:r>
            <w:r>
              <w:rPr>
                <w:rFonts w:hint="eastAsia"/>
                <w:bCs/>
                <w:color w:val="auto"/>
                <w:lang w:val="en-US" w:eastAsia="zh-CN"/>
              </w:rPr>
              <w:t>2套水喷淋装置+油烟净化器装置处理后分别经2根15m高排气（DA001和DA002）筒排放</w:t>
            </w:r>
            <w:r>
              <w:rPr>
                <w:rFonts w:hint="eastAsia" w:ascii="Times New Roman" w:hAnsi="Times New Roman" w:eastAsia="宋体" w:cs="Times New Roman"/>
                <w:bCs/>
                <w:color w:val="auto"/>
                <w:sz w:val="24"/>
                <w:szCs w:val="24"/>
                <w:lang w:eastAsia="zh-CN"/>
              </w:rPr>
              <w:t>。</w:t>
            </w:r>
          </w:p>
          <w:p w14:paraId="4FBBBDBA">
            <w:pPr>
              <w:keepNext w:val="0"/>
              <w:keepLines w:val="0"/>
              <w:widowControl/>
              <w:suppressLineNumbers w:val="0"/>
              <w:spacing w:before="0" w:beforeAutospacing="0" w:after="0" w:afterAutospacing="0"/>
              <w:ind w:left="0" w:right="0" w:firstLine="480"/>
              <w:rPr>
                <w:rFonts w:hint="eastAsia" w:eastAsia="宋体"/>
                <w:b/>
                <w:bCs w:val="0"/>
                <w:color w:val="auto"/>
                <w:lang w:eastAsia="zh-CN"/>
              </w:rPr>
            </w:pPr>
            <w:r>
              <w:rPr>
                <w:rFonts w:hint="eastAsia"/>
                <w:b/>
                <w:bCs w:val="0"/>
                <w:color w:val="auto"/>
              </w:rPr>
              <w:t>（</w:t>
            </w:r>
            <w:r>
              <w:rPr>
                <w:rFonts w:hint="eastAsia"/>
                <w:b/>
                <w:bCs w:val="0"/>
                <w:color w:val="auto"/>
                <w:lang w:val="en-US" w:eastAsia="zh-CN"/>
              </w:rPr>
              <w:t>4</w:t>
            </w:r>
            <w:r>
              <w:rPr>
                <w:rFonts w:hint="eastAsia"/>
                <w:b/>
                <w:bCs w:val="0"/>
                <w:color w:val="auto"/>
              </w:rPr>
              <w:t>）</w:t>
            </w:r>
            <w:r>
              <w:rPr>
                <w:rFonts w:hint="eastAsia"/>
                <w:b/>
                <w:bCs w:val="0"/>
                <w:color w:val="auto"/>
                <w:lang w:eastAsia="zh-CN"/>
              </w:rPr>
              <w:t>污水处理站异味</w:t>
            </w:r>
          </w:p>
          <w:p w14:paraId="64B0FFAF">
            <w:pPr>
              <w:keepNext w:val="0"/>
              <w:keepLines w:val="0"/>
              <w:widowControl/>
              <w:suppressLineNumbers w:val="0"/>
              <w:spacing w:before="0" w:beforeAutospacing="0" w:after="0" w:afterAutospacing="0"/>
              <w:ind w:left="0" w:right="0" w:firstLine="480"/>
              <w:rPr>
                <w:rFonts w:hint="eastAsia" w:ascii="Times New Roman" w:hAnsi="Times New Roman" w:eastAsia="宋体" w:cs="Times New Roman"/>
                <w:b w:val="0"/>
                <w:bCs w:val="0"/>
                <w:color w:val="auto"/>
                <w:kern w:val="0"/>
                <w:sz w:val="24"/>
                <w:lang w:val="en-US" w:eastAsia="zh-CN"/>
              </w:rPr>
            </w:pPr>
            <w:r>
              <w:rPr>
                <w:rFonts w:hint="eastAsia"/>
                <w:bCs/>
                <w:color w:val="auto"/>
              </w:rPr>
              <w:t>环评要求内容：</w:t>
            </w:r>
            <w:r>
              <w:rPr>
                <w:rFonts w:hint="eastAsia"/>
                <w:bCs/>
                <w:color w:val="auto"/>
                <w:lang w:eastAsia="zh-CN"/>
              </w:rPr>
              <w:t>污水处理设施在运行时会产生少量异味，项目厂区设置绿化带，绿化带采用高低树搭配，不同花卉数目参差交错、疏密相间的形式有效降低恶臭对周边环境的影响</w:t>
            </w:r>
            <w:r>
              <w:rPr>
                <w:rFonts w:hint="eastAsia" w:ascii="Times New Roman" w:hAnsi="Times New Roman" w:eastAsia="宋体" w:cs="Times New Roman"/>
                <w:b w:val="0"/>
                <w:bCs w:val="0"/>
                <w:color w:val="auto"/>
                <w:kern w:val="0"/>
                <w:sz w:val="24"/>
                <w:lang w:val="en-US" w:eastAsia="zh-CN"/>
              </w:rPr>
              <w:t>。</w:t>
            </w:r>
          </w:p>
          <w:p w14:paraId="5D01EBBA">
            <w:pPr>
              <w:keepNext w:val="0"/>
              <w:keepLines w:val="0"/>
              <w:widowControl/>
              <w:suppressLineNumbers w:val="0"/>
              <w:spacing w:before="0" w:beforeAutospacing="0" w:after="0" w:afterAutospacing="0"/>
              <w:ind w:left="0" w:right="0" w:firstLine="480"/>
              <w:rPr>
                <w:rFonts w:hint="eastAsia" w:ascii="Times New Roman" w:hAnsi="Times New Roman" w:eastAsia="宋体" w:cs="Times New Roman"/>
                <w:b w:val="0"/>
                <w:bCs w:val="0"/>
                <w:color w:val="auto"/>
                <w:kern w:val="0"/>
                <w:sz w:val="24"/>
                <w:lang w:val="en-US" w:eastAsia="zh-CN"/>
              </w:rPr>
            </w:pPr>
            <w:r>
              <w:rPr>
                <w:rFonts w:hint="eastAsia"/>
                <w:bCs/>
                <w:color w:val="auto"/>
              </w:rPr>
              <w:t>验收实际情况：</w:t>
            </w:r>
            <w:r>
              <w:rPr>
                <w:rFonts w:hint="eastAsia"/>
                <w:bCs/>
                <w:color w:val="auto"/>
                <w:lang w:eastAsia="zh-CN"/>
              </w:rPr>
              <w:t>污水处理设施进行了加盖处理，并辅助厂区绿化有效降低污水处理站异味</w:t>
            </w:r>
            <w:r>
              <w:rPr>
                <w:rFonts w:hint="eastAsia" w:ascii="Times New Roman" w:hAnsi="Times New Roman" w:eastAsia="宋体" w:cs="Times New Roman"/>
                <w:b w:val="0"/>
                <w:bCs w:val="0"/>
                <w:color w:val="auto"/>
                <w:kern w:val="0"/>
                <w:sz w:val="24"/>
                <w:lang w:val="en-US" w:eastAsia="zh-CN"/>
              </w:rPr>
              <w:t>。</w:t>
            </w:r>
          </w:p>
          <w:p w14:paraId="46BB1788">
            <w:pPr>
              <w:keepNext w:val="0"/>
              <w:keepLines w:val="0"/>
              <w:widowControl/>
              <w:suppressLineNumbers w:val="0"/>
              <w:spacing w:before="0" w:beforeAutospacing="0" w:after="0" w:afterAutospacing="0"/>
              <w:ind w:left="0" w:right="0" w:firstLine="480"/>
              <w:rPr>
                <w:rFonts w:hint="eastAsia" w:eastAsia="宋体"/>
                <w:b/>
                <w:bCs w:val="0"/>
                <w:color w:val="auto"/>
                <w:lang w:eastAsia="zh-CN"/>
              </w:rPr>
            </w:pPr>
            <w:r>
              <w:rPr>
                <w:rFonts w:hint="eastAsia"/>
                <w:b/>
                <w:bCs w:val="0"/>
                <w:color w:val="auto"/>
              </w:rPr>
              <w:t>（</w:t>
            </w:r>
            <w:r>
              <w:rPr>
                <w:rFonts w:hint="eastAsia"/>
                <w:b/>
                <w:bCs w:val="0"/>
                <w:color w:val="auto"/>
                <w:lang w:val="en-US" w:eastAsia="zh-CN"/>
              </w:rPr>
              <w:t>5</w:t>
            </w:r>
            <w:r>
              <w:rPr>
                <w:rFonts w:hint="eastAsia"/>
                <w:b/>
                <w:bCs w:val="0"/>
                <w:color w:val="auto"/>
              </w:rPr>
              <w:t>）</w:t>
            </w:r>
            <w:r>
              <w:rPr>
                <w:rFonts w:hint="eastAsia"/>
                <w:b/>
                <w:bCs w:val="0"/>
                <w:color w:val="auto"/>
                <w:lang w:eastAsia="zh-CN"/>
              </w:rPr>
              <w:t>食堂油烟</w:t>
            </w:r>
          </w:p>
          <w:p w14:paraId="4432CE82">
            <w:pPr>
              <w:keepNext w:val="0"/>
              <w:keepLines w:val="0"/>
              <w:widowControl/>
              <w:suppressLineNumbers w:val="0"/>
              <w:spacing w:before="0" w:beforeAutospacing="0" w:after="0" w:afterAutospacing="0"/>
              <w:ind w:left="0" w:right="0" w:firstLine="480"/>
              <w:rPr>
                <w:rFonts w:hint="eastAsia" w:ascii="Times New Roman" w:hAnsi="Times New Roman" w:eastAsia="宋体" w:cs="Times New Roman"/>
                <w:b w:val="0"/>
                <w:bCs w:val="0"/>
                <w:color w:val="auto"/>
                <w:kern w:val="0"/>
                <w:sz w:val="24"/>
                <w:lang w:val="en-US" w:eastAsia="zh-CN"/>
              </w:rPr>
            </w:pPr>
            <w:r>
              <w:rPr>
                <w:rFonts w:hint="eastAsia"/>
                <w:bCs/>
                <w:color w:val="auto"/>
              </w:rPr>
              <w:t>环评要求内容：</w:t>
            </w:r>
            <w:r>
              <w:rPr>
                <w:rFonts w:hint="eastAsia"/>
                <w:bCs/>
                <w:color w:val="auto"/>
                <w:lang w:eastAsia="zh-CN"/>
              </w:rPr>
              <w:t>依托原有食堂，</w:t>
            </w:r>
            <w:r>
              <w:rPr>
                <w:rFonts w:hint="eastAsia" w:ascii="Times New Roman" w:hAnsi="Times New Roman" w:eastAsia="宋体" w:cs="Times New Roman"/>
                <w:color w:val="auto"/>
                <w:sz w:val="24"/>
                <w:lang w:val="en-US" w:eastAsia="zh-CN"/>
              </w:rPr>
              <w:t>在食堂设置油烟净化器，食堂油烟经收集至净化器处理后引至屋顶排放。</w:t>
            </w:r>
          </w:p>
          <w:p w14:paraId="615B94E3">
            <w:pPr>
              <w:keepNext w:val="0"/>
              <w:keepLines w:val="0"/>
              <w:widowControl/>
              <w:suppressLineNumbers w:val="0"/>
              <w:spacing w:before="0" w:beforeAutospacing="0" w:after="0" w:afterAutospacing="0"/>
              <w:ind w:left="0" w:right="0" w:firstLine="480"/>
              <w:rPr>
                <w:rFonts w:hint="eastAsia" w:ascii="Times New Roman" w:hAnsi="Times New Roman" w:eastAsia="宋体" w:cs="Times New Roman"/>
                <w:color w:val="auto"/>
                <w:sz w:val="24"/>
                <w:lang w:val="en-US" w:eastAsia="zh-CN"/>
              </w:rPr>
            </w:pPr>
            <w:r>
              <w:rPr>
                <w:rFonts w:hint="eastAsia"/>
                <w:bCs/>
                <w:color w:val="auto"/>
              </w:rPr>
              <w:t>验收实际情况：</w:t>
            </w:r>
            <w:r>
              <w:rPr>
                <w:rFonts w:hint="eastAsia"/>
                <w:bCs/>
                <w:color w:val="auto"/>
                <w:lang w:eastAsia="zh-CN"/>
              </w:rPr>
              <w:t>依托原有食堂，</w:t>
            </w:r>
            <w:r>
              <w:rPr>
                <w:rFonts w:hint="eastAsia" w:ascii="Times New Roman" w:hAnsi="Times New Roman" w:eastAsia="宋体" w:cs="Times New Roman"/>
                <w:color w:val="auto"/>
                <w:sz w:val="24"/>
                <w:lang w:val="en-US" w:eastAsia="zh-CN"/>
              </w:rPr>
              <w:t>在食堂设置油烟净化器，食堂油烟经收集至净化器处理后引至屋顶排放（DA005）。</w:t>
            </w:r>
          </w:p>
          <w:p w14:paraId="0596B2B9">
            <w:pPr>
              <w:pStyle w:val="33"/>
              <w:keepNext w:val="0"/>
              <w:keepLines w:val="0"/>
              <w:numPr>
                <w:ilvl w:val="0"/>
                <w:numId w:val="4"/>
              </w:numPr>
              <w:suppressLineNumbers w:val="0"/>
              <w:spacing w:before="0" w:beforeAutospacing="0" w:after="0" w:afterAutospacing="0"/>
              <w:ind w:left="0" w:right="0"/>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t>研发实验室油烟</w:t>
            </w:r>
          </w:p>
          <w:p w14:paraId="4C26A039">
            <w:pPr>
              <w:keepNext w:val="0"/>
              <w:keepLines w:val="0"/>
              <w:widowControl/>
              <w:suppressLineNumbers w:val="0"/>
              <w:spacing w:before="0" w:beforeAutospacing="0" w:after="0" w:afterAutospacing="0"/>
              <w:ind w:left="0" w:right="0" w:firstLine="48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厂区新建2个研发实验室，研发炒料工序产生的油烟分别经2套油烟净化器处理后分别经2根15m高排气筒排放（DA003和DA004）。</w:t>
            </w:r>
          </w:p>
          <w:p w14:paraId="3EA73CB9">
            <w:pPr>
              <w:pStyle w:val="33"/>
              <w:keepNext w:val="0"/>
              <w:keepLines w:val="0"/>
              <w:numPr>
                <w:ilvl w:val="0"/>
                <w:numId w:val="4"/>
              </w:numPr>
              <w:suppressLineNumbers w:val="0"/>
              <w:spacing w:before="0" w:beforeAutospacing="0" w:after="0" w:afterAutospacing="0"/>
              <w:ind w:left="0" w:right="0"/>
              <w:rPr>
                <w:rFonts w:hint="eastAsia" w:ascii="Times New Roman" w:hAnsi="Times New Roman" w:cs="Times New Roman"/>
                <w:b/>
                <w:bCs/>
                <w:color w:val="auto"/>
                <w:sz w:val="24"/>
                <w:lang w:val="en-US" w:eastAsia="zh-CN"/>
              </w:rPr>
            </w:pPr>
            <w:r>
              <w:rPr>
                <w:rFonts w:hint="eastAsia" w:ascii="Times New Roman" w:hAnsi="Times New Roman" w:cs="Times New Roman"/>
                <w:b/>
                <w:bCs/>
                <w:color w:val="auto"/>
                <w:sz w:val="24"/>
                <w:lang w:val="en-US" w:eastAsia="zh-CN"/>
              </w:rPr>
              <w:t>天然气燃烧废气</w:t>
            </w:r>
          </w:p>
          <w:p w14:paraId="6D4BB188">
            <w:pPr>
              <w:keepNext w:val="0"/>
              <w:keepLines w:val="0"/>
              <w:widowControl/>
              <w:suppressLineNumbers w:val="0"/>
              <w:spacing w:before="0" w:beforeAutospacing="0" w:after="0" w:afterAutospacing="0"/>
              <w:ind w:left="0" w:right="0" w:firstLine="480"/>
              <w:rPr>
                <w:rFonts w:hint="eastAsia"/>
                <w:bCs/>
                <w:color w:val="auto"/>
                <w:lang w:val="en-US" w:eastAsia="zh-CN"/>
              </w:rPr>
            </w:pPr>
            <w:r>
              <w:rPr>
                <w:rFonts w:hint="eastAsia"/>
                <w:bCs/>
                <w:color w:val="auto"/>
                <w:lang w:val="en-US" w:eastAsia="zh-CN"/>
              </w:rPr>
              <w:t>鸡精生产设备热风炉使用天然气作为燃料，天然气的主要成分为甲烷，燃烧后的主要产物为CO</w:t>
            </w:r>
            <w:r>
              <w:rPr>
                <w:rFonts w:hint="eastAsia"/>
                <w:bCs/>
                <w:color w:val="auto"/>
                <w:vertAlign w:val="subscript"/>
                <w:lang w:val="en-US" w:eastAsia="zh-CN"/>
              </w:rPr>
              <w:t>2</w:t>
            </w:r>
            <w:r>
              <w:rPr>
                <w:rFonts w:hint="eastAsia"/>
                <w:bCs/>
                <w:color w:val="auto"/>
                <w:lang w:val="en-US" w:eastAsia="zh-CN"/>
              </w:rPr>
              <w:t>和H</w:t>
            </w:r>
            <w:r>
              <w:rPr>
                <w:rFonts w:hint="eastAsia"/>
                <w:bCs/>
                <w:color w:val="auto"/>
                <w:vertAlign w:val="subscript"/>
                <w:lang w:val="en-US" w:eastAsia="zh-CN"/>
              </w:rPr>
              <w:t>2</w:t>
            </w:r>
            <w:r>
              <w:rPr>
                <w:rFonts w:hint="eastAsia"/>
                <w:bCs/>
                <w:color w:val="auto"/>
                <w:lang w:val="en-US" w:eastAsia="zh-CN"/>
              </w:rPr>
              <w:t>O，属于清洁能源，经车间通风后无组织排放。</w:t>
            </w:r>
          </w:p>
          <w:p w14:paraId="29FD2623">
            <w:pPr>
              <w:keepNext w:val="0"/>
              <w:keepLines w:val="0"/>
              <w:widowControl/>
              <w:suppressLineNumbers w:val="0"/>
              <w:spacing w:before="0" w:beforeAutospacing="0" w:after="0" w:afterAutospacing="0"/>
              <w:ind w:left="0" w:right="0" w:firstLine="480"/>
              <w:rPr>
                <w:rFonts w:hint="eastAsia" w:ascii="Times New Roman" w:hAnsi="Times New Roman" w:eastAsia="宋体" w:cs="Times New Roman"/>
                <w:color w:val="auto"/>
                <w:sz w:val="24"/>
                <w:lang w:val="en-US" w:eastAsia="zh-CN"/>
              </w:rPr>
            </w:pPr>
            <w:r>
              <w:rPr>
                <w:rFonts w:hint="eastAsia"/>
                <w:bCs/>
                <w:color w:val="auto"/>
              </w:rPr>
              <w:t>验收实际情况：</w:t>
            </w:r>
            <w:r>
              <w:rPr>
                <w:rFonts w:hint="eastAsia"/>
                <w:bCs/>
                <w:color w:val="auto"/>
                <w:lang w:eastAsia="zh-CN"/>
              </w:rPr>
              <w:t>未建设鸡精生产线。</w:t>
            </w:r>
          </w:p>
          <w:p w14:paraId="0D78E063">
            <w:pPr>
              <w:pStyle w:val="5"/>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3</w:t>
            </w:r>
            <w:r>
              <w:rPr>
                <w:rFonts w:hint="eastAsia"/>
                <w:color w:val="auto"/>
                <w:sz w:val="24"/>
                <w:szCs w:val="24"/>
              </w:rPr>
              <w:t>、噪声</w:t>
            </w:r>
          </w:p>
          <w:p w14:paraId="55295E86">
            <w:pPr>
              <w:keepNext w:val="0"/>
              <w:keepLines w:val="0"/>
              <w:widowControl/>
              <w:suppressLineNumbers w:val="0"/>
              <w:autoSpaceDE w:val="0"/>
              <w:autoSpaceDN w:val="0"/>
              <w:spacing w:before="0" w:beforeAutospacing="0" w:after="0" w:afterAutospacing="0"/>
              <w:ind w:left="0" w:right="0" w:firstLine="480"/>
              <w:rPr>
                <w:rFonts w:hint="default"/>
                <w:color w:val="auto"/>
              </w:rPr>
            </w:pPr>
            <w:r>
              <w:rPr>
                <w:rFonts w:hint="eastAsia"/>
                <w:color w:val="auto"/>
                <w:szCs w:val="28"/>
                <w:lang w:val="en-US" w:eastAsia="zh-CN"/>
              </w:rPr>
              <w:t>本项目噪声主要来自于粉碎机、斩拌机、包装机等设备运行时产生的设备噪声</w:t>
            </w:r>
            <w:r>
              <w:rPr>
                <w:rFonts w:hint="eastAsia"/>
                <w:color w:val="auto"/>
                <w:szCs w:val="28"/>
              </w:rPr>
              <w:t>。</w:t>
            </w:r>
          </w:p>
          <w:p w14:paraId="619FB4CA">
            <w:pPr>
              <w:keepNext w:val="0"/>
              <w:keepLines w:val="0"/>
              <w:widowControl/>
              <w:suppressLineNumbers w:val="0"/>
              <w:autoSpaceDE w:val="0"/>
              <w:autoSpaceDN w:val="0"/>
              <w:spacing w:before="0" w:beforeAutospacing="0" w:after="0" w:afterAutospacing="0"/>
              <w:ind w:left="0" w:right="0" w:firstLine="480"/>
              <w:rPr>
                <w:rFonts w:hint="eastAsia"/>
                <w:color w:val="auto"/>
              </w:rPr>
            </w:pPr>
            <w:r>
              <w:rPr>
                <w:rFonts w:hint="eastAsia"/>
                <w:color w:val="auto"/>
              </w:rPr>
              <w:t>环评运营期要求：</w:t>
            </w:r>
          </w:p>
          <w:p w14:paraId="02410BB3">
            <w:pPr>
              <w:keepNext w:val="0"/>
              <w:keepLines w:val="0"/>
              <w:widowControl/>
              <w:suppressLineNumbers w:val="0"/>
              <w:autoSpaceDE w:val="0"/>
              <w:autoSpaceDN w:val="0"/>
              <w:spacing w:before="0" w:beforeAutospacing="0" w:after="0" w:afterAutospacing="0"/>
              <w:ind w:left="0" w:right="0" w:firstLine="480"/>
              <w:rPr>
                <w:rFonts w:hint="eastAsia" w:eastAsia="宋体"/>
                <w:color w:val="auto"/>
                <w:lang w:eastAsia="zh-CN"/>
              </w:rPr>
            </w:pPr>
            <w:r>
              <w:rPr>
                <w:rFonts w:hint="eastAsia" w:cs="Times New Roman"/>
                <w:color w:val="auto"/>
                <w:lang w:val="en-US" w:eastAsia="zh-CN"/>
              </w:rPr>
              <w:t>采取合理安排工作时间、选用低噪声设备、对振动机械装置设置减震垫、采用车间隔声等措施来降低噪声。</w:t>
            </w:r>
            <w:r>
              <w:rPr>
                <w:rFonts w:hint="eastAsia" w:ascii="Times New Roman" w:hAnsi="Times New Roman" w:eastAsia="宋体" w:cs="Times New Roman"/>
                <w:color w:val="auto"/>
                <w:lang w:val="en-US" w:eastAsia="zh-CN"/>
              </w:rPr>
              <w:t>。</w:t>
            </w:r>
          </w:p>
          <w:p w14:paraId="5EDBEBC5">
            <w:pPr>
              <w:keepNext w:val="0"/>
              <w:keepLines w:val="0"/>
              <w:widowControl/>
              <w:suppressLineNumbers w:val="0"/>
              <w:autoSpaceDE w:val="0"/>
              <w:autoSpaceDN w:val="0"/>
              <w:spacing w:before="0" w:beforeAutospacing="0" w:after="0" w:afterAutospacing="0"/>
              <w:ind w:left="0" w:right="0" w:firstLine="480"/>
              <w:rPr>
                <w:rFonts w:hint="default"/>
                <w:color w:val="auto"/>
              </w:rPr>
            </w:pPr>
            <w:r>
              <w:rPr>
                <w:rFonts w:hint="eastAsia"/>
                <w:color w:val="auto"/>
              </w:rPr>
              <w:t>验收实际情况：经调查，项目选用了先进的、</w:t>
            </w:r>
            <w:r>
              <w:rPr>
                <w:rFonts w:hint="eastAsia"/>
                <w:color w:val="auto"/>
                <w:lang w:eastAsia="zh-CN"/>
              </w:rPr>
              <w:t>噪声</w:t>
            </w:r>
            <w:r>
              <w:rPr>
                <w:rFonts w:hint="eastAsia"/>
                <w:color w:val="auto"/>
              </w:rPr>
              <w:t>低、震动小的生产设备，安装时采取台基减震等措施。在布设生产设备时，将高噪声设备集中摆放，置于厂区中部，以有效利用噪声距离衰减作用。安排专人定期维护机械设备，确保其正常运转</w:t>
            </w:r>
            <w:r>
              <w:rPr>
                <w:rFonts w:hint="eastAsia" w:ascii="宋体" w:hAnsi="宋体"/>
                <w:color w:val="auto"/>
              </w:rPr>
              <w:t>。</w:t>
            </w:r>
          </w:p>
          <w:p w14:paraId="2AC23946">
            <w:pPr>
              <w:pStyle w:val="5"/>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4</w:t>
            </w:r>
            <w:r>
              <w:rPr>
                <w:rFonts w:hint="eastAsia"/>
                <w:color w:val="auto"/>
                <w:sz w:val="24"/>
                <w:szCs w:val="24"/>
              </w:rPr>
              <w:t>、固体废物</w:t>
            </w:r>
          </w:p>
          <w:p w14:paraId="59274B39">
            <w:pPr>
              <w:keepNext w:val="0"/>
              <w:keepLines w:val="0"/>
              <w:widowControl/>
              <w:suppressLineNumbers w:val="0"/>
              <w:autoSpaceDE w:val="0"/>
              <w:autoSpaceDN w:val="0"/>
              <w:spacing w:before="0" w:beforeAutospacing="0" w:after="0" w:afterAutospacing="0"/>
              <w:ind w:left="0" w:right="0" w:firstLine="600" w:firstLineChars="250"/>
              <w:rPr>
                <w:rFonts w:hint="eastAsia" w:ascii="Times New Roman" w:hAnsi="Times New Roman"/>
                <w:b/>
                <w:color w:val="auto"/>
                <w:sz w:val="24"/>
                <w:szCs w:val="24"/>
              </w:rPr>
            </w:pPr>
            <w:r>
              <w:rPr>
                <w:rFonts w:hint="eastAsia"/>
                <w:color w:val="auto"/>
                <w:sz w:val="24"/>
                <w:szCs w:val="24"/>
                <w:lang w:val="en-US" w:eastAsia="zh-CN"/>
              </w:rPr>
              <w:t>项目</w:t>
            </w:r>
            <w:r>
              <w:rPr>
                <w:rFonts w:hint="eastAsia" w:ascii="Times New Roman" w:hAnsi="Times New Roman"/>
                <w:color w:val="auto"/>
                <w:sz w:val="24"/>
                <w:szCs w:val="24"/>
              </w:rPr>
              <w:t>营运期的固体废物主要包括</w:t>
            </w:r>
            <w:r>
              <w:rPr>
                <w:rFonts w:hint="eastAsia"/>
                <w:color w:val="auto"/>
                <w:sz w:val="24"/>
                <w:szCs w:val="24"/>
                <w:lang w:eastAsia="zh-CN"/>
              </w:rPr>
              <w:t>餐佐料生产线废菜、污水处理污泥、料渣、废油脂、废弃包装袋、生活垃圾以及产生的危险废物</w:t>
            </w:r>
            <w:r>
              <w:rPr>
                <w:rFonts w:hint="eastAsia" w:ascii="Times New Roman" w:hAnsi="Times New Roman"/>
                <w:color w:val="auto"/>
                <w:sz w:val="24"/>
                <w:szCs w:val="24"/>
              </w:rPr>
              <w:t>。项目</w:t>
            </w:r>
            <w:r>
              <w:rPr>
                <w:rFonts w:hint="eastAsia" w:ascii="宋体" w:hAnsi="宋体"/>
                <w:color w:val="auto"/>
                <w:sz w:val="24"/>
                <w:szCs w:val="24"/>
              </w:rPr>
              <w:t>固废产生及处置情况对比见</w:t>
            </w:r>
            <w:r>
              <w:rPr>
                <w:rFonts w:hint="eastAsia" w:ascii="Times New Roman" w:hAnsi="Times New Roman"/>
                <w:color w:val="auto"/>
                <w:sz w:val="24"/>
                <w:szCs w:val="24"/>
              </w:rPr>
              <w:t>表3-1。</w:t>
            </w:r>
          </w:p>
          <w:p w14:paraId="7161F883">
            <w:pPr>
              <w:keepNext w:val="0"/>
              <w:keepLines w:val="0"/>
              <w:widowControl/>
              <w:suppressLineNumbers w:val="0"/>
              <w:spacing w:before="0" w:beforeAutospacing="0" w:after="0" w:afterAutospacing="0"/>
              <w:ind w:left="0" w:right="0"/>
              <w:jc w:val="center"/>
              <w:rPr>
                <w:rFonts w:hint="eastAsia" w:ascii="Times New Roman" w:hAnsi="Times New Roman"/>
                <w:b/>
                <w:color w:val="auto"/>
                <w:sz w:val="21"/>
                <w:szCs w:val="21"/>
              </w:rPr>
            </w:pPr>
            <w:r>
              <w:rPr>
                <w:rFonts w:hint="eastAsia" w:ascii="Times New Roman" w:hAnsi="Times New Roman"/>
                <w:b/>
                <w:color w:val="auto"/>
                <w:sz w:val="21"/>
                <w:szCs w:val="21"/>
              </w:rPr>
              <w:t>表3-1 项目固废产生及处置情况对比</w:t>
            </w:r>
          </w:p>
          <w:tbl>
            <w:tblPr>
              <w:tblStyle w:val="27"/>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
              <w:gridCol w:w="818"/>
              <w:gridCol w:w="574"/>
              <w:gridCol w:w="1160"/>
              <w:gridCol w:w="841"/>
              <w:gridCol w:w="770"/>
              <w:gridCol w:w="770"/>
              <w:gridCol w:w="1477"/>
              <w:gridCol w:w="1412"/>
              <w:gridCol w:w="879"/>
            </w:tblGrid>
            <w:tr w14:paraId="0085E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jc w:val="center"/>
              </w:trPr>
              <w:tc>
                <w:tcPr>
                  <w:tcW w:w="41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10D92EF">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r>
                    <w:rPr>
                      <w:rFonts w:hint="eastAsia" w:ascii="Times New Roman" w:hAnsi="Times New Roman"/>
                      <w:b/>
                      <w:bCs w:val="0"/>
                      <w:color w:val="auto"/>
                      <w:sz w:val="21"/>
                      <w:szCs w:val="21"/>
                    </w:rPr>
                    <w:t>序号</w:t>
                  </w:r>
                </w:p>
              </w:tc>
              <w:tc>
                <w:tcPr>
                  <w:tcW w:w="81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90B39CD">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r>
                    <w:rPr>
                      <w:rFonts w:hint="eastAsia" w:ascii="Times New Roman" w:hAnsi="Times New Roman"/>
                      <w:b/>
                      <w:bCs w:val="0"/>
                      <w:color w:val="auto"/>
                      <w:sz w:val="21"/>
                      <w:szCs w:val="21"/>
                    </w:rPr>
                    <w:t>固废名称</w:t>
                  </w:r>
                </w:p>
              </w:tc>
              <w:tc>
                <w:tcPr>
                  <w:tcW w:w="574" w:type="dxa"/>
                  <w:vMerge w:val="restart"/>
                  <w:tcBorders>
                    <w:top w:val="single" w:color="auto" w:sz="4" w:space="0"/>
                    <w:left w:val="single" w:color="auto" w:sz="4" w:space="0"/>
                    <w:right w:val="single" w:color="auto" w:sz="4" w:space="0"/>
                    <w:tl2br w:val="nil"/>
                    <w:tr2bl w:val="nil"/>
                  </w:tcBorders>
                  <w:noWrap w:val="0"/>
                  <w:vAlign w:val="center"/>
                </w:tcPr>
                <w:p w14:paraId="1C11337C">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eastAsia="宋体"/>
                      <w:b/>
                      <w:bCs w:val="0"/>
                      <w:color w:val="auto"/>
                      <w:sz w:val="21"/>
                      <w:szCs w:val="21"/>
                      <w:lang w:eastAsia="zh-CN"/>
                    </w:rPr>
                  </w:pPr>
                  <w:r>
                    <w:rPr>
                      <w:rFonts w:hint="eastAsia"/>
                      <w:b/>
                      <w:bCs w:val="0"/>
                      <w:color w:val="auto"/>
                      <w:sz w:val="21"/>
                      <w:szCs w:val="21"/>
                      <w:lang w:eastAsia="zh-CN"/>
                    </w:rPr>
                    <w:t>固废属性</w:t>
                  </w:r>
                </w:p>
              </w:tc>
              <w:tc>
                <w:tcPr>
                  <w:tcW w:w="1160" w:type="dxa"/>
                  <w:vMerge w:val="restart"/>
                  <w:tcBorders>
                    <w:top w:val="single" w:color="auto" w:sz="4" w:space="0"/>
                    <w:left w:val="single" w:color="auto" w:sz="4" w:space="0"/>
                    <w:right w:val="single" w:color="auto" w:sz="4" w:space="0"/>
                    <w:tl2br w:val="nil"/>
                    <w:tr2bl w:val="nil"/>
                  </w:tcBorders>
                  <w:noWrap w:val="0"/>
                  <w:vAlign w:val="center"/>
                </w:tcPr>
                <w:p w14:paraId="090B7404">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r>
                    <w:rPr>
                      <w:rFonts w:hint="default" w:ascii="Times New Roman" w:hAnsi="Times New Roman" w:eastAsia="宋体" w:cs="Times New Roman"/>
                      <w:b/>
                      <w:bCs w:val="0"/>
                      <w:color w:val="auto"/>
                      <w:sz w:val="21"/>
                      <w:szCs w:val="21"/>
                      <w:lang w:val="en-US" w:eastAsia="zh-CN"/>
                    </w:rPr>
                    <w:t>废物代码</w:t>
                  </w:r>
                </w:p>
              </w:tc>
              <w:tc>
                <w:tcPr>
                  <w:tcW w:w="841" w:type="dxa"/>
                  <w:vMerge w:val="restart"/>
                  <w:tcBorders>
                    <w:top w:val="single" w:color="auto" w:sz="4" w:space="0"/>
                    <w:left w:val="single" w:color="auto" w:sz="4" w:space="0"/>
                    <w:right w:val="single" w:color="auto" w:sz="4" w:space="0"/>
                    <w:tl2br w:val="nil"/>
                    <w:tr2bl w:val="nil"/>
                  </w:tcBorders>
                  <w:noWrap w:val="0"/>
                  <w:vAlign w:val="center"/>
                </w:tcPr>
                <w:p w14:paraId="53980B68">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eastAsia" w:cs="Times New Roman"/>
                      <w:b/>
                      <w:bCs w:val="0"/>
                      <w:color w:val="auto"/>
                      <w:sz w:val="21"/>
                      <w:szCs w:val="21"/>
                      <w:lang w:val="en-US" w:eastAsia="zh-CN"/>
                    </w:rPr>
                    <w:t>形态</w:t>
                  </w:r>
                </w:p>
              </w:tc>
              <w:tc>
                <w:tcPr>
                  <w:tcW w:w="770" w:type="dxa"/>
                  <w:vMerge w:val="restart"/>
                  <w:tcBorders>
                    <w:top w:val="single" w:color="auto" w:sz="4" w:space="0"/>
                    <w:left w:val="single" w:color="auto" w:sz="4" w:space="0"/>
                    <w:right w:val="single" w:color="auto" w:sz="4" w:space="0"/>
                    <w:tl2br w:val="nil"/>
                    <w:tr2bl w:val="nil"/>
                  </w:tcBorders>
                  <w:noWrap w:val="0"/>
                  <w:vAlign w:val="center"/>
                </w:tcPr>
                <w:p w14:paraId="0048D30D">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cs="Times New Roman"/>
                      <w:b/>
                      <w:bCs w:val="0"/>
                      <w:color w:val="auto"/>
                      <w:sz w:val="21"/>
                      <w:szCs w:val="21"/>
                      <w:lang w:val="en-US" w:eastAsia="zh-CN"/>
                    </w:rPr>
                  </w:pPr>
                  <w:r>
                    <w:rPr>
                      <w:rFonts w:hint="eastAsia"/>
                      <w:b/>
                      <w:bCs w:val="0"/>
                      <w:color w:val="auto"/>
                      <w:sz w:val="21"/>
                      <w:szCs w:val="21"/>
                      <w:lang w:eastAsia="zh-CN"/>
                    </w:rPr>
                    <w:t>环评</w:t>
                  </w:r>
                  <w:r>
                    <w:rPr>
                      <w:rFonts w:hint="eastAsia" w:ascii="Times New Roman" w:hAnsi="Times New Roman"/>
                      <w:b/>
                      <w:bCs w:val="0"/>
                      <w:color w:val="auto"/>
                      <w:sz w:val="21"/>
                      <w:szCs w:val="21"/>
                    </w:rPr>
                    <w:t>产生量t/a</w:t>
                  </w:r>
                </w:p>
              </w:tc>
              <w:tc>
                <w:tcPr>
                  <w:tcW w:w="77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C96C783">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eastAsia="Times New Roman"/>
                      <w:b/>
                      <w:bCs w:val="0"/>
                      <w:color w:val="auto"/>
                      <w:sz w:val="21"/>
                      <w:szCs w:val="21"/>
                    </w:rPr>
                  </w:pPr>
                  <w:r>
                    <w:rPr>
                      <w:rFonts w:hint="eastAsia" w:ascii="Times New Roman" w:hAnsi="Times New Roman"/>
                      <w:b/>
                      <w:bCs w:val="0"/>
                      <w:color w:val="auto"/>
                      <w:sz w:val="21"/>
                      <w:szCs w:val="21"/>
                    </w:rPr>
                    <w:t>实际产生量t/a</w:t>
                  </w:r>
                </w:p>
              </w:tc>
              <w:tc>
                <w:tcPr>
                  <w:tcW w:w="14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9D5F8E">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r>
                    <w:rPr>
                      <w:rFonts w:hint="eastAsia" w:ascii="Times New Roman" w:hAnsi="Times New Roman"/>
                      <w:b/>
                      <w:bCs w:val="0"/>
                      <w:color w:val="auto"/>
                      <w:sz w:val="21"/>
                      <w:szCs w:val="21"/>
                    </w:rPr>
                    <w:t>环评阶段处置情况</w:t>
                  </w:r>
                </w:p>
              </w:tc>
              <w:tc>
                <w:tcPr>
                  <w:tcW w:w="14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1ED7C1">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r>
                    <w:rPr>
                      <w:rFonts w:hint="eastAsia" w:ascii="Times New Roman" w:hAnsi="Times New Roman"/>
                      <w:b/>
                      <w:bCs w:val="0"/>
                      <w:color w:val="auto"/>
                      <w:sz w:val="21"/>
                      <w:szCs w:val="21"/>
                    </w:rPr>
                    <w:t>验收实际处置情况</w:t>
                  </w:r>
                </w:p>
              </w:tc>
              <w:tc>
                <w:tcPr>
                  <w:tcW w:w="87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4A3573D0">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val="0"/>
                      <w:bCs/>
                      <w:color w:val="auto"/>
                      <w:sz w:val="21"/>
                      <w:szCs w:val="21"/>
                    </w:rPr>
                  </w:pPr>
                  <w:r>
                    <w:rPr>
                      <w:rFonts w:hint="eastAsia" w:ascii="Times New Roman" w:hAnsi="Times New Roman"/>
                      <w:b/>
                      <w:bCs w:val="0"/>
                      <w:color w:val="auto"/>
                      <w:sz w:val="21"/>
                      <w:szCs w:val="21"/>
                    </w:rPr>
                    <w:t>备注</w:t>
                  </w:r>
                </w:p>
              </w:tc>
            </w:tr>
            <w:tr w14:paraId="418F0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blHeader/>
                <w:jc w:val="center"/>
              </w:trPr>
              <w:tc>
                <w:tcPr>
                  <w:tcW w:w="41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5E77C71">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p>
              </w:tc>
              <w:tc>
                <w:tcPr>
                  <w:tcW w:w="8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1FCDABB">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p>
              </w:tc>
              <w:tc>
                <w:tcPr>
                  <w:tcW w:w="574" w:type="dxa"/>
                  <w:vMerge w:val="continue"/>
                  <w:tcBorders>
                    <w:left w:val="single" w:color="auto" w:sz="4" w:space="0"/>
                    <w:bottom w:val="single" w:color="auto" w:sz="4" w:space="0"/>
                    <w:right w:val="single" w:color="auto" w:sz="4" w:space="0"/>
                    <w:tl2br w:val="nil"/>
                    <w:tr2bl w:val="nil"/>
                  </w:tcBorders>
                  <w:noWrap w:val="0"/>
                  <w:vAlign w:val="center"/>
                </w:tcPr>
                <w:p w14:paraId="406EA7B2">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p>
              </w:tc>
              <w:tc>
                <w:tcPr>
                  <w:tcW w:w="1160" w:type="dxa"/>
                  <w:vMerge w:val="continue"/>
                  <w:tcBorders>
                    <w:left w:val="single" w:color="auto" w:sz="4" w:space="0"/>
                    <w:bottom w:val="single" w:color="auto" w:sz="4" w:space="0"/>
                    <w:right w:val="single" w:color="auto" w:sz="4" w:space="0"/>
                    <w:tl2br w:val="nil"/>
                    <w:tr2bl w:val="nil"/>
                  </w:tcBorders>
                  <w:noWrap w:val="0"/>
                  <w:vAlign w:val="center"/>
                </w:tcPr>
                <w:p w14:paraId="03C75F67">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p>
              </w:tc>
              <w:tc>
                <w:tcPr>
                  <w:tcW w:w="841" w:type="dxa"/>
                  <w:vMerge w:val="continue"/>
                  <w:tcBorders>
                    <w:left w:val="single" w:color="auto" w:sz="4" w:space="0"/>
                    <w:bottom w:val="single" w:color="auto" w:sz="4" w:space="0"/>
                    <w:right w:val="single" w:color="auto" w:sz="4" w:space="0"/>
                    <w:tl2br w:val="nil"/>
                    <w:tr2bl w:val="nil"/>
                  </w:tcBorders>
                  <w:noWrap w:val="0"/>
                  <w:vAlign w:val="center"/>
                </w:tcPr>
                <w:p w14:paraId="52746EB9">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p>
              </w:tc>
              <w:tc>
                <w:tcPr>
                  <w:tcW w:w="770" w:type="dxa"/>
                  <w:vMerge w:val="continue"/>
                  <w:tcBorders>
                    <w:left w:val="single" w:color="auto" w:sz="4" w:space="0"/>
                    <w:bottom w:val="single" w:color="auto" w:sz="4" w:space="0"/>
                    <w:right w:val="single" w:color="auto" w:sz="4" w:space="0"/>
                    <w:tl2br w:val="nil"/>
                    <w:tr2bl w:val="nil"/>
                  </w:tcBorders>
                  <w:noWrap w:val="0"/>
                  <w:vAlign w:val="center"/>
                </w:tcPr>
                <w:p w14:paraId="7CD81405">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p>
              </w:tc>
              <w:tc>
                <w:tcPr>
                  <w:tcW w:w="77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52DA4DC">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p>
              </w:tc>
              <w:tc>
                <w:tcPr>
                  <w:tcW w:w="14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19B198">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r>
                    <w:rPr>
                      <w:rFonts w:hint="eastAsia" w:ascii="Times New Roman" w:hAnsi="Times New Roman"/>
                      <w:b/>
                      <w:bCs w:val="0"/>
                      <w:color w:val="auto"/>
                      <w:sz w:val="21"/>
                      <w:szCs w:val="21"/>
                    </w:rPr>
                    <w:t>处置措施</w:t>
                  </w:r>
                </w:p>
              </w:tc>
              <w:tc>
                <w:tcPr>
                  <w:tcW w:w="14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4D4477">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bCs w:val="0"/>
                      <w:color w:val="auto"/>
                      <w:sz w:val="21"/>
                      <w:szCs w:val="21"/>
                    </w:rPr>
                  </w:pPr>
                  <w:r>
                    <w:rPr>
                      <w:rFonts w:hint="eastAsia" w:ascii="Times New Roman" w:hAnsi="Times New Roman"/>
                      <w:b/>
                      <w:bCs w:val="0"/>
                      <w:color w:val="auto"/>
                      <w:sz w:val="21"/>
                      <w:szCs w:val="21"/>
                    </w:rPr>
                    <w:t>处置措施</w:t>
                  </w:r>
                </w:p>
              </w:tc>
              <w:tc>
                <w:tcPr>
                  <w:tcW w:w="87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93AD4C4">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val="0"/>
                      <w:bCs/>
                      <w:color w:val="auto"/>
                      <w:sz w:val="21"/>
                      <w:szCs w:val="21"/>
                    </w:rPr>
                  </w:pPr>
                </w:p>
              </w:tc>
            </w:tr>
            <w:tr w14:paraId="65CD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C911E2">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ascii="Times New Roman" w:hAnsi="Times New Roman"/>
                      <w:b w:val="0"/>
                      <w:bCs/>
                      <w:color w:val="auto"/>
                      <w:sz w:val="21"/>
                      <w:szCs w:val="21"/>
                    </w:rPr>
                  </w:pPr>
                  <w:r>
                    <w:rPr>
                      <w:rFonts w:hint="eastAsia" w:ascii="Times New Roman" w:hAnsi="Times New Roman"/>
                      <w:b w:val="0"/>
                      <w:bCs/>
                      <w:color w:val="auto"/>
                      <w:sz w:val="21"/>
                      <w:szCs w:val="21"/>
                    </w:rPr>
                    <w:t>1</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6AA4C1">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eastAsia="宋体"/>
                      <w:b w:val="0"/>
                      <w:bCs/>
                      <w:color w:val="auto"/>
                      <w:sz w:val="21"/>
                      <w:szCs w:val="21"/>
                      <w:lang w:eastAsia="zh-CN"/>
                    </w:rPr>
                  </w:pPr>
                  <w:r>
                    <w:rPr>
                      <w:rFonts w:hint="eastAsia"/>
                      <w:b w:val="0"/>
                      <w:bCs/>
                      <w:color w:val="auto"/>
                      <w:sz w:val="21"/>
                      <w:szCs w:val="21"/>
                      <w:lang w:eastAsia="zh-CN"/>
                    </w:rPr>
                    <w:t>餐佐料生产线废菜</w:t>
                  </w:r>
                </w:p>
              </w:tc>
              <w:tc>
                <w:tcPr>
                  <w:tcW w:w="574" w:type="dxa"/>
                  <w:vMerge w:val="restart"/>
                  <w:tcBorders>
                    <w:top w:val="single" w:color="auto" w:sz="4" w:space="0"/>
                    <w:left w:val="single" w:color="auto" w:sz="4" w:space="0"/>
                    <w:right w:val="single" w:color="auto" w:sz="4" w:space="0"/>
                    <w:tl2br w:val="nil"/>
                    <w:tr2bl w:val="nil"/>
                  </w:tcBorders>
                  <w:noWrap w:val="0"/>
                  <w:vAlign w:val="center"/>
                </w:tcPr>
                <w:p w14:paraId="443F0952">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一般固废</w:t>
                  </w: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97D37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F11F46A">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C4542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0.37</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8978E3">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color w:val="auto"/>
                      <w:sz w:val="21"/>
                      <w:szCs w:val="21"/>
                      <w:lang w:val="en-US" w:eastAsia="zh-CN"/>
                    </w:rPr>
                  </w:pPr>
                  <w:r>
                    <w:rPr>
                      <w:rFonts w:hint="eastAsia"/>
                      <w:b w:val="0"/>
                      <w:bCs/>
                      <w:color w:val="auto"/>
                      <w:sz w:val="21"/>
                      <w:szCs w:val="21"/>
                      <w:lang w:val="en-US" w:eastAsia="zh-CN"/>
                    </w:rPr>
                    <w:t>0.37</w:t>
                  </w:r>
                </w:p>
              </w:tc>
              <w:tc>
                <w:tcPr>
                  <w:tcW w:w="14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9C109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lang w:val="en-US" w:eastAsia="zh-CN"/>
                    </w:rPr>
                  </w:pPr>
                  <w:r>
                    <w:rPr>
                      <w:rFonts w:hint="eastAsia"/>
                      <w:b w:val="0"/>
                      <w:bCs/>
                      <w:color w:val="auto"/>
                      <w:sz w:val="21"/>
                      <w:szCs w:val="21"/>
                      <w:lang w:val="en-US" w:eastAsia="zh-CN"/>
                    </w:rPr>
                    <w:t>园区环卫部门清运</w:t>
                  </w:r>
                </w:p>
              </w:tc>
              <w:tc>
                <w:tcPr>
                  <w:tcW w:w="14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929FF3">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宋体"/>
                      <w:b w:val="0"/>
                      <w:bCs/>
                      <w:color w:val="auto"/>
                      <w:sz w:val="21"/>
                      <w:szCs w:val="21"/>
                      <w:lang w:val="en-US" w:eastAsia="zh-CN"/>
                    </w:rPr>
                  </w:pPr>
                  <w:r>
                    <w:rPr>
                      <w:rFonts w:hint="eastAsia" w:cs="宋体"/>
                      <w:b w:val="0"/>
                      <w:bCs/>
                      <w:color w:val="auto"/>
                      <w:sz w:val="21"/>
                      <w:szCs w:val="21"/>
                      <w:lang w:val="en-US" w:eastAsia="zh-CN"/>
                    </w:rPr>
                    <w:t>交由眉山市安和旅游开发有限公司清运处置</w:t>
                  </w:r>
                </w:p>
              </w:tc>
              <w:tc>
                <w:tcPr>
                  <w:tcW w:w="87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5B620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lang w:eastAsia="zh-CN"/>
                    </w:rPr>
                  </w:pPr>
                  <w:r>
                    <w:rPr>
                      <w:rFonts w:hint="eastAsia"/>
                      <w:b w:val="0"/>
                      <w:bCs/>
                      <w:color w:val="auto"/>
                      <w:sz w:val="21"/>
                      <w:szCs w:val="21"/>
                      <w:lang w:eastAsia="zh-CN"/>
                    </w:rPr>
                    <w:t>处置方式合理</w:t>
                  </w:r>
                </w:p>
              </w:tc>
            </w:tr>
            <w:tr w14:paraId="11B31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B22568">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ascii="Times New Roman" w:hAnsi="Times New Roman" w:eastAsia="宋体"/>
                      <w:b w:val="0"/>
                      <w:bCs/>
                      <w:color w:val="auto"/>
                      <w:sz w:val="21"/>
                      <w:szCs w:val="21"/>
                      <w:lang w:val="en-US" w:eastAsia="zh-CN"/>
                    </w:rPr>
                  </w:pPr>
                  <w:r>
                    <w:rPr>
                      <w:rFonts w:hint="eastAsia"/>
                      <w:b w:val="0"/>
                      <w:bCs/>
                      <w:color w:val="auto"/>
                      <w:sz w:val="21"/>
                      <w:szCs w:val="21"/>
                      <w:lang w:val="en-US" w:eastAsia="zh-CN"/>
                    </w:rPr>
                    <w:t>2</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D27F3A">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eastAsia="宋体"/>
                      <w:b w:val="0"/>
                      <w:bCs/>
                      <w:color w:val="auto"/>
                      <w:sz w:val="21"/>
                      <w:szCs w:val="21"/>
                      <w:lang w:val="en-US" w:eastAsia="zh-CN"/>
                    </w:rPr>
                  </w:pPr>
                  <w:r>
                    <w:rPr>
                      <w:rFonts w:hint="eastAsia" w:ascii="宋体"/>
                      <w:b w:val="0"/>
                      <w:bCs/>
                      <w:color w:val="auto"/>
                      <w:sz w:val="21"/>
                      <w:szCs w:val="21"/>
                      <w:lang w:val="en-US" w:eastAsia="zh-CN"/>
                    </w:rPr>
                    <w:t>污水处理站污泥</w:t>
                  </w:r>
                </w:p>
              </w:tc>
              <w:tc>
                <w:tcPr>
                  <w:tcW w:w="574" w:type="dxa"/>
                  <w:vMerge w:val="continue"/>
                  <w:tcBorders>
                    <w:left w:val="single" w:color="auto" w:sz="4" w:space="0"/>
                    <w:right w:val="single" w:color="auto" w:sz="4" w:space="0"/>
                    <w:tl2br w:val="nil"/>
                    <w:tr2bl w:val="nil"/>
                  </w:tcBorders>
                  <w:noWrap w:val="0"/>
                  <w:vAlign w:val="center"/>
                </w:tcPr>
                <w:p w14:paraId="17C8756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ascii="Times New Roman" w:hAnsi="Times New Roman" w:eastAsia="宋体"/>
                      <w:b w:val="0"/>
                      <w:bCs/>
                      <w:color w:val="auto"/>
                      <w:sz w:val="21"/>
                      <w:szCs w:val="21"/>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BD19F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ascii="Times New Roman" w:hAnsi="Times New Roman" w:eastAsia="宋体"/>
                      <w:b w:val="0"/>
                      <w:bCs/>
                      <w:color w:val="auto"/>
                      <w:sz w:val="21"/>
                      <w:szCs w:val="21"/>
                    </w:rPr>
                  </w:pPr>
                  <w:r>
                    <w:rPr>
                      <w:rFonts w:hint="eastAsia" w:ascii="Times New Roman" w:hAnsi="Times New Roman" w:eastAsia="宋体" w:cs="Times New Roman"/>
                      <w:b w:val="0"/>
                      <w:bCs/>
                      <w:color w:val="auto"/>
                      <w:sz w:val="21"/>
                      <w:szCs w:val="21"/>
                      <w:lang w:val="en-US" w:eastAsia="zh-CN"/>
                    </w:rPr>
                    <w:t>/</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3056E5">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104E7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1</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77F26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color w:val="auto"/>
                      <w:sz w:val="21"/>
                      <w:szCs w:val="21"/>
                      <w:lang w:val="en-US" w:eastAsia="zh-CN"/>
                    </w:rPr>
                  </w:pPr>
                  <w:r>
                    <w:rPr>
                      <w:rFonts w:hint="eastAsia"/>
                      <w:b w:val="0"/>
                      <w:bCs/>
                      <w:color w:val="auto"/>
                      <w:sz w:val="21"/>
                      <w:szCs w:val="21"/>
                      <w:lang w:val="en-US" w:eastAsia="zh-CN"/>
                    </w:rPr>
                    <w:t>1</w:t>
                  </w:r>
                </w:p>
              </w:tc>
              <w:tc>
                <w:tcPr>
                  <w:tcW w:w="1477" w:type="dxa"/>
                  <w:tcBorders>
                    <w:left w:val="single" w:color="auto" w:sz="4" w:space="0"/>
                    <w:right w:val="single" w:color="auto" w:sz="4" w:space="0"/>
                    <w:tl2br w:val="nil"/>
                    <w:tr2bl w:val="nil"/>
                  </w:tcBorders>
                  <w:noWrap w:val="0"/>
                  <w:vAlign w:val="center"/>
                </w:tcPr>
                <w:p w14:paraId="34B78363">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宋体"/>
                      <w:b w:val="0"/>
                      <w:bCs/>
                      <w:color w:val="auto"/>
                      <w:sz w:val="21"/>
                      <w:szCs w:val="21"/>
                      <w:lang w:val="en-US" w:eastAsia="zh-CN"/>
                    </w:rPr>
                  </w:pPr>
                  <w:r>
                    <w:rPr>
                      <w:rFonts w:hint="eastAsia" w:cs="宋体"/>
                      <w:b w:val="0"/>
                      <w:bCs/>
                      <w:color w:val="auto"/>
                      <w:sz w:val="21"/>
                      <w:szCs w:val="21"/>
                      <w:lang w:val="en-US" w:eastAsia="zh-CN"/>
                    </w:rPr>
                    <w:t>交由市政部门处理</w:t>
                  </w:r>
                </w:p>
              </w:tc>
              <w:tc>
                <w:tcPr>
                  <w:tcW w:w="1412" w:type="dxa"/>
                  <w:tcBorders>
                    <w:left w:val="single" w:color="auto" w:sz="4" w:space="0"/>
                    <w:right w:val="single" w:color="auto" w:sz="4" w:space="0"/>
                    <w:tl2br w:val="nil"/>
                    <w:tr2bl w:val="nil"/>
                  </w:tcBorders>
                  <w:noWrap w:val="0"/>
                  <w:vAlign w:val="center"/>
                </w:tcPr>
                <w:p w14:paraId="3CF63BC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val="0"/>
                      <w:bCs/>
                      <w:color w:val="auto"/>
                      <w:sz w:val="21"/>
                      <w:szCs w:val="21"/>
                      <w:lang w:val="en-US" w:eastAsia="zh-CN"/>
                    </w:rPr>
                  </w:pPr>
                  <w:r>
                    <w:rPr>
                      <w:rFonts w:hint="eastAsia" w:cs="宋体"/>
                      <w:b w:val="0"/>
                      <w:bCs/>
                      <w:color w:val="auto"/>
                      <w:sz w:val="21"/>
                      <w:szCs w:val="21"/>
                      <w:lang w:val="en-US" w:eastAsia="zh-CN"/>
                    </w:rPr>
                    <w:t>交由有处理能力单位处置</w:t>
                  </w:r>
                </w:p>
              </w:tc>
              <w:tc>
                <w:tcPr>
                  <w:tcW w:w="879" w:type="dxa"/>
                  <w:tcBorders>
                    <w:top w:val="single" w:color="auto" w:sz="4" w:space="0"/>
                    <w:left w:val="single" w:color="auto" w:sz="4" w:space="0"/>
                    <w:right w:val="single" w:color="auto" w:sz="4" w:space="0"/>
                    <w:tl2br w:val="nil"/>
                    <w:tr2bl w:val="nil"/>
                  </w:tcBorders>
                  <w:noWrap w:val="0"/>
                  <w:vAlign w:val="center"/>
                </w:tcPr>
                <w:p w14:paraId="0551A68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lang w:val="en-US" w:eastAsia="zh-CN"/>
                    </w:rPr>
                  </w:pPr>
                  <w:r>
                    <w:rPr>
                      <w:rFonts w:hint="eastAsia"/>
                      <w:b w:val="0"/>
                      <w:bCs/>
                      <w:color w:val="auto"/>
                      <w:sz w:val="21"/>
                      <w:szCs w:val="21"/>
                      <w:lang w:eastAsia="zh-CN"/>
                    </w:rPr>
                    <w:t>处置方式合理</w:t>
                  </w:r>
                </w:p>
              </w:tc>
            </w:tr>
            <w:tr w14:paraId="6AC2F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B0366B2">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ascii="Times New Roman" w:hAnsi="Times New Roman" w:eastAsia="宋体"/>
                      <w:b w:val="0"/>
                      <w:bCs/>
                      <w:color w:val="auto"/>
                      <w:sz w:val="21"/>
                      <w:szCs w:val="21"/>
                      <w:lang w:val="en-US" w:eastAsia="zh-CN"/>
                    </w:rPr>
                  </w:pPr>
                  <w:r>
                    <w:rPr>
                      <w:rFonts w:hint="eastAsia"/>
                      <w:b w:val="0"/>
                      <w:bCs/>
                      <w:color w:val="auto"/>
                      <w:sz w:val="21"/>
                      <w:szCs w:val="21"/>
                      <w:lang w:val="en-US" w:eastAsia="zh-CN"/>
                    </w:rPr>
                    <w:t>3</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391CB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lang w:eastAsia="zh-CN"/>
                    </w:rPr>
                  </w:pPr>
                  <w:r>
                    <w:rPr>
                      <w:rFonts w:hint="eastAsia" w:ascii="宋体"/>
                      <w:b w:val="0"/>
                      <w:bCs/>
                      <w:color w:val="auto"/>
                      <w:sz w:val="21"/>
                      <w:szCs w:val="21"/>
                      <w:lang w:eastAsia="zh-CN"/>
                    </w:rPr>
                    <w:t>料渣</w:t>
                  </w:r>
                </w:p>
              </w:tc>
              <w:tc>
                <w:tcPr>
                  <w:tcW w:w="574" w:type="dxa"/>
                  <w:vMerge w:val="continue"/>
                  <w:tcBorders>
                    <w:left w:val="single" w:color="auto" w:sz="4" w:space="0"/>
                    <w:right w:val="single" w:color="auto" w:sz="4" w:space="0"/>
                    <w:tl2br w:val="nil"/>
                    <w:tr2bl w:val="nil"/>
                  </w:tcBorders>
                  <w:noWrap w:val="0"/>
                  <w:vAlign w:val="center"/>
                </w:tcPr>
                <w:p w14:paraId="3921B94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lang w:eastAsia="zh-CN"/>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4E933D">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lang w:eastAsia="zh-CN"/>
                    </w:rPr>
                  </w:pPr>
                  <w:r>
                    <w:rPr>
                      <w:rFonts w:hint="eastAsia" w:ascii="Times New Roman" w:hAnsi="Times New Roman" w:eastAsia="宋体" w:cs="Times New Roman"/>
                      <w:b w:val="0"/>
                      <w:bCs/>
                      <w:color w:val="auto"/>
                      <w:sz w:val="21"/>
                      <w:szCs w:val="21"/>
                      <w:lang w:val="en-US" w:eastAsia="zh-CN"/>
                    </w:rPr>
                    <w:t>/</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7C6A41">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119C31">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200</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E8C20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color w:val="auto"/>
                      <w:sz w:val="21"/>
                      <w:szCs w:val="21"/>
                      <w:lang w:val="en-US" w:eastAsia="zh-CN"/>
                    </w:rPr>
                  </w:pPr>
                  <w:r>
                    <w:rPr>
                      <w:rFonts w:hint="eastAsia"/>
                      <w:b w:val="0"/>
                      <w:bCs/>
                      <w:color w:val="auto"/>
                      <w:sz w:val="21"/>
                      <w:szCs w:val="21"/>
                      <w:lang w:val="en-US" w:eastAsia="zh-CN"/>
                    </w:rPr>
                    <w:t>200</w:t>
                  </w:r>
                </w:p>
              </w:tc>
              <w:tc>
                <w:tcPr>
                  <w:tcW w:w="1477" w:type="dxa"/>
                  <w:tcBorders>
                    <w:left w:val="single" w:color="auto" w:sz="4" w:space="0"/>
                    <w:right w:val="single" w:color="auto" w:sz="4" w:space="0"/>
                    <w:tl2br w:val="nil"/>
                    <w:tr2bl w:val="nil"/>
                  </w:tcBorders>
                  <w:noWrap w:val="0"/>
                  <w:vAlign w:val="center"/>
                </w:tcPr>
                <w:p w14:paraId="4A036E05">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宋体"/>
                      <w:b w:val="0"/>
                      <w:bCs/>
                      <w:color w:val="auto"/>
                      <w:sz w:val="21"/>
                      <w:szCs w:val="21"/>
                      <w:lang w:val="en-US" w:eastAsia="zh-CN"/>
                    </w:rPr>
                  </w:pPr>
                  <w:r>
                    <w:rPr>
                      <w:rFonts w:hint="eastAsia" w:cs="宋体"/>
                      <w:b w:val="0"/>
                      <w:bCs/>
                      <w:color w:val="auto"/>
                      <w:sz w:val="21"/>
                      <w:szCs w:val="21"/>
                      <w:lang w:val="en-US" w:eastAsia="zh-CN"/>
                    </w:rPr>
                    <w:t>交由有经营许可的餐厨垃圾处理单位处置</w:t>
                  </w:r>
                </w:p>
              </w:tc>
              <w:tc>
                <w:tcPr>
                  <w:tcW w:w="1412" w:type="dxa"/>
                  <w:tcBorders>
                    <w:left w:val="single" w:color="auto" w:sz="4" w:space="0"/>
                    <w:right w:val="single" w:color="auto" w:sz="4" w:space="0"/>
                    <w:tl2br w:val="nil"/>
                    <w:tr2bl w:val="nil"/>
                  </w:tcBorders>
                  <w:noWrap w:val="0"/>
                  <w:vAlign w:val="center"/>
                </w:tcPr>
                <w:p w14:paraId="43BF8C4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宋体"/>
                      <w:b w:val="0"/>
                      <w:bCs/>
                      <w:color w:val="auto"/>
                      <w:sz w:val="21"/>
                      <w:szCs w:val="21"/>
                      <w:lang w:val="en-US" w:eastAsia="zh-CN"/>
                    </w:rPr>
                  </w:pPr>
                  <w:r>
                    <w:rPr>
                      <w:rFonts w:hint="eastAsia" w:cs="宋体"/>
                      <w:b w:val="0"/>
                      <w:bCs/>
                      <w:color w:val="auto"/>
                      <w:sz w:val="21"/>
                      <w:szCs w:val="21"/>
                      <w:lang w:val="en-US" w:eastAsia="zh-CN"/>
                    </w:rPr>
                    <w:t>交由眉山市安和旅游开发有限公司清运处置</w:t>
                  </w:r>
                </w:p>
              </w:tc>
              <w:tc>
                <w:tcPr>
                  <w:tcW w:w="879" w:type="dxa"/>
                  <w:tcBorders>
                    <w:left w:val="single" w:color="auto" w:sz="4" w:space="0"/>
                    <w:right w:val="single" w:color="auto" w:sz="4" w:space="0"/>
                    <w:tl2br w:val="nil"/>
                    <w:tr2bl w:val="nil"/>
                  </w:tcBorders>
                  <w:noWrap w:val="0"/>
                  <w:vAlign w:val="center"/>
                </w:tcPr>
                <w:p w14:paraId="4FC0F74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b w:val="0"/>
                      <w:bCs/>
                      <w:color w:val="auto"/>
                      <w:sz w:val="21"/>
                      <w:szCs w:val="21"/>
                      <w:lang w:val="en-US" w:eastAsia="zh-CN"/>
                    </w:rPr>
                  </w:pPr>
                  <w:r>
                    <w:rPr>
                      <w:rFonts w:hint="eastAsia"/>
                      <w:b w:val="0"/>
                      <w:bCs/>
                      <w:color w:val="auto"/>
                      <w:sz w:val="21"/>
                      <w:szCs w:val="21"/>
                      <w:lang w:eastAsia="zh-CN"/>
                    </w:rPr>
                    <w:t>处置方式合理</w:t>
                  </w:r>
                </w:p>
              </w:tc>
            </w:tr>
            <w:tr w14:paraId="6A363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DA803A">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4</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BD3262">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lang w:eastAsia="zh-CN"/>
                    </w:rPr>
                  </w:pPr>
                  <w:r>
                    <w:rPr>
                      <w:rFonts w:hint="eastAsia" w:ascii="宋体"/>
                      <w:b w:val="0"/>
                      <w:bCs/>
                      <w:color w:val="auto"/>
                      <w:sz w:val="21"/>
                      <w:szCs w:val="21"/>
                      <w:lang w:eastAsia="zh-CN"/>
                    </w:rPr>
                    <w:t>废油脂</w:t>
                  </w:r>
                </w:p>
              </w:tc>
              <w:tc>
                <w:tcPr>
                  <w:tcW w:w="574" w:type="dxa"/>
                  <w:vMerge w:val="continue"/>
                  <w:tcBorders>
                    <w:left w:val="single" w:color="auto" w:sz="4" w:space="0"/>
                    <w:right w:val="single" w:color="auto" w:sz="4" w:space="0"/>
                    <w:tl2br w:val="nil"/>
                    <w:tr2bl w:val="nil"/>
                  </w:tcBorders>
                  <w:noWrap w:val="0"/>
                  <w:vAlign w:val="center"/>
                </w:tcPr>
                <w:p w14:paraId="227720D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lang w:eastAsia="zh-CN"/>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D34CA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lang w:eastAsia="zh-CN"/>
                    </w:rPr>
                  </w:pPr>
                  <w:r>
                    <w:rPr>
                      <w:rFonts w:hint="eastAsia" w:ascii="Times New Roman" w:hAnsi="Times New Roman" w:eastAsia="宋体" w:cs="Times New Roman"/>
                      <w:b w:val="0"/>
                      <w:bCs/>
                      <w:color w:val="auto"/>
                      <w:sz w:val="21"/>
                      <w:szCs w:val="21"/>
                      <w:lang w:val="en-US" w:eastAsia="zh-CN"/>
                    </w:rPr>
                    <w:t>/</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65933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43C0E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1.8</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14B49F">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1.8</w:t>
                  </w:r>
                </w:p>
              </w:tc>
              <w:tc>
                <w:tcPr>
                  <w:tcW w:w="1477" w:type="dxa"/>
                  <w:tcBorders>
                    <w:left w:val="single" w:color="auto" w:sz="4" w:space="0"/>
                    <w:right w:val="single" w:color="auto" w:sz="4" w:space="0"/>
                    <w:tl2br w:val="nil"/>
                    <w:tr2bl w:val="nil"/>
                  </w:tcBorders>
                  <w:noWrap w:val="0"/>
                  <w:vAlign w:val="center"/>
                </w:tcPr>
                <w:p w14:paraId="513EDB7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r>
                    <w:rPr>
                      <w:rFonts w:hint="eastAsia" w:cs="宋体"/>
                      <w:b w:val="0"/>
                      <w:bCs/>
                      <w:color w:val="auto"/>
                      <w:sz w:val="21"/>
                      <w:szCs w:val="21"/>
                      <w:lang w:val="en-US" w:eastAsia="zh-CN"/>
                    </w:rPr>
                    <w:t>由专门的回收单位进行清掏处理</w:t>
                  </w:r>
                </w:p>
              </w:tc>
              <w:tc>
                <w:tcPr>
                  <w:tcW w:w="1412" w:type="dxa"/>
                  <w:tcBorders>
                    <w:left w:val="single" w:color="auto" w:sz="4" w:space="0"/>
                    <w:right w:val="single" w:color="auto" w:sz="4" w:space="0"/>
                    <w:tl2br w:val="nil"/>
                    <w:tr2bl w:val="nil"/>
                  </w:tcBorders>
                  <w:noWrap w:val="0"/>
                  <w:vAlign w:val="center"/>
                </w:tcPr>
                <w:p w14:paraId="2B2FFC63">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r>
                    <w:rPr>
                      <w:rFonts w:hint="eastAsia" w:cs="宋体"/>
                      <w:b w:val="0"/>
                      <w:bCs/>
                      <w:color w:val="auto"/>
                      <w:sz w:val="21"/>
                      <w:szCs w:val="21"/>
                      <w:lang w:val="en-US" w:eastAsia="zh-CN"/>
                    </w:rPr>
                    <w:t>交由眉山市安和旅游开发有限公司清运处置</w:t>
                  </w:r>
                </w:p>
              </w:tc>
              <w:tc>
                <w:tcPr>
                  <w:tcW w:w="879" w:type="dxa"/>
                  <w:tcBorders>
                    <w:left w:val="single" w:color="auto" w:sz="4" w:space="0"/>
                    <w:right w:val="single" w:color="auto" w:sz="4" w:space="0"/>
                    <w:tl2br w:val="nil"/>
                    <w:tr2bl w:val="nil"/>
                  </w:tcBorders>
                  <w:noWrap w:val="0"/>
                  <w:vAlign w:val="center"/>
                </w:tcPr>
                <w:p w14:paraId="2409359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b w:val="0"/>
                      <w:bCs/>
                      <w:color w:val="auto"/>
                      <w:sz w:val="21"/>
                      <w:szCs w:val="21"/>
                      <w:lang w:val="en-US" w:eastAsia="zh-CN"/>
                    </w:rPr>
                  </w:pPr>
                  <w:r>
                    <w:rPr>
                      <w:rFonts w:hint="eastAsia"/>
                      <w:b w:val="0"/>
                      <w:bCs/>
                      <w:color w:val="auto"/>
                      <w:sz w:val="21"/>
                      <w:szCs w:val="21"/>
                      <w:lang w:eastAsia="zh-CN"/>
                    </w:rPr>
                    <w:t>处置方式合理</w:t>
                  </w:r>
                </w:p>
              </w:tc>
            </w:tr>
            <w:tr w14:paraId="00EAE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C5CC80">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5</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548D6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lang w:eastAsia="zh-CN"/>
                    </w:rPr>
                  </w:pPr>
                  <w:r>
                    <w:rPr>
                      <w:rFonts w:hint="eastAsia" w:ascii="宋体"/>
                      <w:b w:val="0"/>
                      <w:bCs/>
                      <w:color w:val="auto"/>
                      <w:sz w:val="21"/>
                      <w:szCs w:val="21"/>
                      <w:lang w:eastAsia="zh-CN"/>
                    </w:rPr>
                    <w:t>废弃包装袋</w:t>
                  </w:r>
                </w:p>
              </w:tc>
              <w:tc>
                <w:tcPr>
                  <w:tcW w:w="574" w:type="dxa"/>
                  <w:vMerge w:val="continue"/>
                  <w:tcBorders>
                    <w:left w:val="single" w:color="auto" w:sz="4" w:space="0"/>
                    <w:right w:val="single" w:color="auto" w:sz="4" w:space="0"/>
                    <w:tl2br w:val="nil"/>
                    <w:tr2bl w:val="nil"/>
                  </w:tcBorders>
                  <w:noWrap w:val="0"/>
                  <w:vAlign w:val="center"/>
                </w:tcPr>
                <w:p w14:paraId="021EE508">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lang w:val="en-US" w:eastAsia="zh-CN"/>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AB2115">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387D1A">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E2E7A3">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4000个</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D393235">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约合0.1t</w:t>
                  </w:r>
                </w:p>
              </w:tc>
              <w:tc>
                <w:tcPr>
                  <w:tcW w:w="1477" w:type="dxa"/>
                  <w:tcBorders>
                    <w:left w:val="single" w:color="auto" w:sz="4" w:space="0"/>
                    <w:right w:val="single" w:color="auto" w:sz="4" w:space="0"/>
                    <w:tl2br w:val="nil"/>
                    <w:tr2bl w:val="nil"/>
                  </w:tcBorders>
                  <w:noWrap w:val="0"/>
                  <w:vAlign w:val="center"/>
                </w:tcPr>
                <w:p w14:paraId="5E3734B0">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r>
                    <w:rPr>
                      <w:rFonts w:hint="eastAsia" w:cs="宋体"/>
                      <w:b w:val="0"/>
                      <w:bCs/>
                      <w:color w:val="auto"/>
                      <w:sz w:val="21"/>
                      <w:szCs w:val="21"/>
                      <w:lang w:val="en-US" w:eastAsia="zh-CN"/>
                    </w:rPr>
                    <w:t>外售废品回收站</w:t>
                  </w:r>
                </w:p>
              </w:tc>
              <w:tc>
                <w:tcPr>
                  <w:tcW w:w="1412" w:type="dxa"/>
                  <w:tcBorders>
                    <w:left w:val="single" w:color="auto" w:sz="4" w:space="0"/>
                    <w:right w:val="single" w:color="auto" w:sz="4" w:space="0"/>
                    <w:tl2br w:val="nil"/>
                    <w:tr2bl w:val="nil"/>
                  </w:tcBorders>
                  <w:noWrap w:val="0"/>
                  <w:vAlign w:val="center"/>
                </w:tcPr>
                <w:p w14:paraId="193B3C1A">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宋体"/>
                      <w:b w:val="0"/>
                      <w:bCs/>
                      <w:color w:val="auto"/>
                      <w:sz w:val="21"/>
                      <w:szCs w:val="21"/>
                      <w:lang w:val="en-US" w:eastAsia="zh-CN"/>
                    </w:rPr>
                  </w:pPr>
                  <w:r>
                    <w:rPr>
                      <w:rFonts w:hint="eastAsia" w:cs="宋体"/>
                      <w:b w:val="0"/>
                      <w:bCs/>
                      <w:color w:val="auto"/>
                      <w:sz w:val="21"/>
                      <w:szCs w:val="21"/>
                      <w:lang w:val="en-US" w:eastAsia="zh-CN"/>
                    </w:rPr>
                    <w:t>外售废品回收站</w:t>
                  </w:r>
                </w:p>
              </w:tc>
              <w:tc>
                <w:tcPr>
                  <w:tcW w:w="879" w:type="dxa"/>
                  <w:tcBorders>
                    <w:left w:val="single" w:color="auto" w:sz="4" w:space="0"/>
                    <w:right w:val="single" w:color="auto" w:sz="4" w:space="0"/>
                    <w:tl2br w:val="nil"/>
                    <w:tr2bl w:val="nil"/>
                  </w:tcBorders>
                  <w:noWrap w:val="0"/>
                  <w:vAlign w:val="center"/>
                </w:tcPr>
                <w:p w14:paraId="5C2B41C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eastAsia="宋体"/>
                      <w:b w:val="0"/>
                      <w:bCs/>
                      <w:color w:val="auto"/>
                      <w:sz w:val="21"/>
                      <w:szCs w:val="21"/>
                      <w:lang w:val="en-US" w:eastAsia="zh-CN"/>
                    </w:rPr>
                  </w:pPr>
                  <w:r>
                    <w:rPr>
                      <w:rFonts w:hint="eastAsia"/>
                      <w:b w:val="0"/>
                      <w:bCs/>
                      <w:color w:val="auto"/>
                      <w:sz w:val="21"/>
                      <w:szCs w:val="21"/>
                      <w:lang w:val="en-US" w:eastAsia="zh-CN"/>
                    </w:rPr>
                    <w:t>一致</w:t>
                  </w:r>
                </w:p>
              </w:tc>
            </w:tr>
            <w:tr w14:paraId="637BC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37F185">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6</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68CC2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lang w:eastAsia="zh-CN"/>
                    </w:rPr>
                  </w:pPr>
                  <w:r>
                    <w:rPr>
                      <w:rFonts w:hint="eastAsia" w:ascii="宋体"/>
                      <w:b w:val="0"/>
                      <w:bCs/>
                      <w:color w:val="auto"/>
                      <w:sz w:val="21"/>
                      <w:szCs w:val="21"/>
                      <w:lang w:eastAsia="zh-CN"/>
                    </w:rPr>
                    <w:t>生活厨余垃圾</w:t>
                  </w:r>
                </w:p>
              </w:tc>
              <w:tc>
                <w:tcPr>
                  <w:tcW w:w="574" w:type="dxa"/>
                  <w:vMerge w:val="continue"/>
                  <w:tcBorders>
                    <w:left w:val="single" w:color="auto" w:sz="4" w:space="0"/>
                    <w:right w:val="single" w:color="auto" w:sz="4" w:space="0"/>
                    <w:tl2br w:val="nil"/>
                    <w:tr2bl w:val="nil"/>
                  </w:tcBorders>
                  <w:noWrap w:val="0"/>
                  <w:vAlign w:val="center"/>
                </w:tcPr>
                <w:p w14:paraId="2017B568">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AE4DA1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252232">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161529">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6</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E0D55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6</w:t>
                  </w:r>
                </w:p>
              </w:tc>
              <w:tc>
                <w:tcPr>
                  <w:tcW w:w="1477" w:type="dxa"/>
                  <w:tcBorders>
                    <w:left w:val="single" w:color="auto" w:sz="4" w:space="0"/>
                    <w:right w:val="single" w:color="auto" w:sz="4" w:space="0"/>
                    <w:tl2br w:val="nil"/>
                    <w:tr2bl w:val="nil"/>
                  </w:tcBorders>
                  <w:noWrap w:val="0"/>
                  <w:vAlign w:val="center"/>
                </w:tcPr>
                <w:p w14:paraId="0357D6C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r>
                    <w:rPr>
                      <w:rFonts w:hint="eastAsia"/>
                      <w:b w:val="0"/>
                      <w:bCs/>
                      <w:color w:val="auto"/>
                      <w:sz w:val="21"/>
                      <w:szCs w:val="21"/>
                      <w:lang w:val="en-US" w:eastAsia="zh-CN"/>
                    </w:rPr>
                    <w:t>生活垃圾园区环卫部门清运，厨余垃圾交由有资质的单位处理</w:t>
                  </w:r>
                </w:p>
              </w:tc>
              <w:tc>
                <w:tcPr>
                  <w:tcW w:w="1412" w:type="dxa"/>
                  <w:tcBorders>
                    <w:left w:val="single" w:color="auto" w:sz="4" w:space="0"/>
                    <w:right w:val="single" w:color="auto" w:sz="4" w:space="0"/>
                    <w:tl2br w:val="nil"/>
                    <w:tr2bl w:val="nil"/>
                  </w:tcBorders>
                  <w:noWrap w:val="0"/>
                  <w:vAlign w:val="center"/>
                </w:tcPr>
                <w:p w14:paraId="373239F8">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r>
                    <w:rPr>
                      <w:rFonts w:hint="eastAsia"/>
                      <w:b w:val="0"/>
                      <w:bCs/>
                      <w:color w:val="auto"/>
                      <w:sz w:val="21"/>
                      <w:szCs w:val="21"/>
                      <w:lang w:val="en-US" w:eastAsia="zh-CN"/>
                    </w:rPr>
                    <w:t>生活垃圾园区环卫部门清运，厨余垃圾交由安和旅游公司处理</w:t>
                  </w:r>
                </w:p>
              </w:tc>
              <w:tc>
                <w:tcPr>
                  <w:tcW w:w="879" w:type="dxa"/>
                  <w:tcBorders>
                    <w:left w:val="single" w:color="auto" w:sz="4" w:space="0"/>
                    <w:right w:val="single" w:color="auto" w:sz="4" w:space="0"/>
                    <w:tl2br w:val="nil"/>
                    <w:tr2bl w:val="nil"/>
                  </w:tcBorders>
                  <w:noWrap w:val="0"/>
                  <w:vAlign w:val="center"/>
                </w:tcPr>
                <w:p w14:paraId="061F411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b w:val="0"/>
                      <w:bCs/>
                      <w:color w:val="auto"/>
                      <w:sz w:val="21"/>
                      <w:szCs w:val="21"/>
                      <w:lang w:val="en-US" w:eastAsia="zh-CN"/>
                    </w:rPr>
                  </w:pPr>
                  <w:r>
                    <w:rPr>
                      <w:rFonts w:hint="eastAsia"/>
                      <w:b w:val="0"/>
                      <w:bCs/>
                      <w:color w:val="auto"/>
                      <w:sz w:val="21"/>
                      <w:szCs w:val="21"/>
                      <w:lang w:val="en-US" w:eastAsia="zh-CN"/>
                    </w:rPr>
                    <w:t>一致</w:t>
                  </w:r>
                </w:p>
              </w:tc>
            </w:tr>
            <w:tr w14:paraId="35C32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0601D2">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7</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4CFE6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lang w:eastAsia="zh-CN"/>
                    </w:rPr>
                  </w:pPr>
                  <w:r>
                    <w:rPr>
                      <w:rFonts w:hint="eastAsia" w:ascii="宋体"/>
                      <w:b w:val="0"/>
                      <w:bCs/>
                      <w:color w:val="auto"/>
                      <w:sz w:val="21"/>
                      <w:szCs w:val="21"/>
                      <w:lang w:eastAsia="zh-CN"/>
                    </w:rPr>
                    <w:t>收集粉尘</w:t>
                  </w:r>
                </w:p>
              </w:tc>
              <w:tc>
                <w:tcPr>
                  <w:tcW w:w="574" w:type="dxa"/>
                  <w:vMerge w:val="continue"/>
                  <w:tcBorders>
                    <w:left w:val="single" w:color="auto" w:sz="4" w:space="0"/>
                    <w:right w:val="single" w:color="auto" w:sz="4" w:space="0"/>
                    <w:tl2br w:val="nil"/>
                    <w:tr2bl w:val="nil"/>
                  </w:tcBorders>
                  <w:noWrap w:val="0"/>
                  <w:vAlign w:val="center"/>
                </w:tcPr>
                <w:p w14:paraId="6007996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04EB1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502371">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82C2B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12.737</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FDE681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w:t>
                  </w:r>
                </w:p>
              </w:tc>
              <w:tc>
                <w:tcPr>
                  <w:tcW w:w="1477" w:type="dxa"/>
                  <w:tcBorders>
                    <w:left w:val="single" w:color="auto" w:sz="4" w:space="0"/>
                    <w:right w:val="single" w:color="auto" w:sz="4" w:space="0"/>
                    <w:tl2br w:val="nil"/>
                    <w:tr2bl w:val="nil"/>
                  </w:tcBorders>
                  <w:noWrap w:val="0"/>
                  <w:vAlign w:val="center"/>
                </w:tcPr>
                <w:p w14:paraId="2F0F5A1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r>
                    <w:rPr>
                      <w:rFonts w:hint="eastAsia" w:cs="宋体"/>
                      <w:b w:val="0"/>
                      <w:bCs/>
                      <w:color w:val="auto"/>
                      <w:sz w:val="21"/>
                      <w:szCs w:val="21"/>
                      <w:lang w:val="en-US" w:eastAsia="zh-CN"/>
                    </w:rPr>
                    <w:t>外售饲料厂</w:t>
                  </w:r>
                </w:p>
              </w:tc>
              <w:tc>
                <w:tcPr>
                  <w:tcW w:w="1412" w:type="dxa"/>
                  <w:tcBorders>
                    <w:left w:val="single" w:color="auto" w:sz="4" w:space="0"/>
                    <w:right w:val="single" w:color="auto" w:sz="4" w:space="0"/>
                    <w:tl2br w:val="nil"/>
                    <w:tr2bl w:val="nil"/>
                  </w:tcBorders>
                  <w:noWrap w:val="0"/>
                  <w:vAlign w:val="center"/>
                </w:tcPr>
                <w:p w14:paraId="20FD67D2">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宋体"/>
                      <w:b w:val="0"/>
                      <w:bCs/>
                      <w:color w:val="auto"/>
                      <w:sz w:val="21"/>
                      <w:szCs w:val="21"/>
                      <w:lang w:val="en-US" w:eastAsia="zh-CN"/>
                    </w:rPr>
                  </w:pPr>
                  <w:r>
                    <w:rPr>
                      <w:rFonts w:hint="eastAsia" w:cs="宋体"/>
                      <w:b w:val="0"/>
                      <w:bCs/>
                      <w:color w:val="auto"/>
                      <w:sz w:val="21"/>
                      <w:szCs w:val="21"/>
                      <w:lang w:val="en-US" w:eastAsia="zh-CN"/>
                    </w:rPr>
                    <w:t>/</w:t>
                  </w:r>
                </w:p>
              </w:tc>
              <w:tc>
                <w:tcPr>
                  <w:tcW w:w="879" w:type="dxa"/>
                  <w:tcBorders>
                    <w:left w:val="single" w:color="auto" w:sz="4" w:space="0"/>
                    <w:right w:val="single" w:color="auto" w:sz="4" w:space="0"/>
                    <w:tl2br w:val="nil"/>
                    <w:tr2bl w:val="nil"/>
                  </w:tcBorders>
                  <w:noWrap w:val="0"/>
                  <w:vAlign w:val="center"/>
                </w:tcPr>
                <w:p w14:paraId="4F6A858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鸡精生产线未建，无粉尘产生</w:t>
                  </w:r>
                </w:p>
              </w:tc>
            </w:tr>
            <w:tr w14:paraId="156D0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6FCE265">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8</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FAF9565">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rPr>
                  </w:pPr>
                  <w:r>
                    <w:rPr>
                      <w:rFonts w:hint="eastAsia" w:ascii="Times New Roman" w:hAnsi="Times New Roman" w:eastAsia="宋体" w:cs="Times New Roman"/>
                      <w:b w:val="0"/>
                      <w:bCs/>
                      <w:color w:val="auto"/>
                      <w:sz w:val="21"/>
                      <w:szCs w:val="21"/>
                      <w:lang w:val="en-US" w:eastAsia="zh-CN"/>
                    </w:rPr>
                    <w:t>废机油</w:t>
                  </w:r>
                </w:p>
              </w:tc>
              <w:tc>
                <w:tcPr>
                  <w:tcW w:w="574" w:type="dxa"/>
                  <w:vMerge w:val="restart"/>
                  <w:tcBorders>
                    <w:left w:val="single" w:color="auto" w:sz="4" w:space="0"/>
                    <w:right w:val="single" w:color="auto" w:sz="4" w:space="0"/>
                    <w:tl2br w:val="nil"/>
                    <w:tr2bl w:val="nil"/>
                  </w:tcBorders>
                  <w:noWrap w:val="0"/>
                  <w:vAlign w:val="center"/>
                </w:tcPr>
                <w:p w14:paraId="4495A64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r>
                    <w:rPr>
                      <w:rFonts w:hint="eastAsia" w:cs="Times New Roman"/>
                      <w:b w:val="0"/>
                      <w:bCs/>
                      <w:color w:val="auto"/>
                      <w:sz w:val="21"/>
                      <w:szCs w:val="21"/>
                      <w:lang w:val="en-US" w:eastAsia="zh-CN"/>
                    </w:rPr>
                    <w:t>危险废物</w:t>
                  </w: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673800">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900-249-08</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521521">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278D22">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4927E6">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w:t>
                  </w:r>
                  <w:r>
                    <w:rPr>
                      <w:rFonts w:hint="eastAsia" w:cs="Times New Roman"/>
                      <w:b w:val="0"/>
                      <w:bCs/>
                      <w:color w:val="auto"/>
                      <w:sz w:val="21"/>
                      <w:szCs w:val="21"/>
                      <w:lang w:val="en-US" w:eastAsia="zh-CN"/>
                    </w:rPr>
                    <w:t>05</w:t>
                  </w:r>
                </w:p>
              </w:tc>
              <w:tc>
                <w:tcPr>
                  <w:tcW w:w="1477" w:type="dxa"/>
                  <w:vMerge w:val="restart"/>
                  <w:tcBorders>
                    <w:left w:val="single" w:color="auto" w:sz="4" w:space="0"/>
                    <w:right w:val="single" w:color="auto" w:sz="4" w:space="0"/>
                    <w:tl2br w:val="nil"/>
                    <w:tr2bl w:val="nil"/>
                  </w:tcBorders>
                  <w:noWrap w:val="0"/>
                  <w:vAlign w:val="center"/>
                </w:tcPr>
                <w:p w14:paraId="73C0394E">
                  <w:pPr>
                    <w:keepNext w:val="0"/>
                    <w:keepLines w:val="0"/>
                    <w:pageBreakBefore w:val="0"/>
                    <w:widowControl/>
                    <w:suppressLineNumbers w:val="0"/>
                    <w:kinsoku/>
                    <w:wordWrap/>
                    <w:overflowPunct/>
                    <w:topLinePunct w:val="0"/>
                    <w:autoSpaceDE w:val="0"/>
                    <w:autoSpaceDN w:val="0"/>
                    <w:bidi w:val="0"/>
                    <w:spacing w:before="0" w:beforeAutospacing="0" w:after="0" w:afterAutospacing="0" w:line="240" w:lineRule="auto"/>
                    <w:ind w:left="0" w:right="0" w:firstLine="0" w:firstLineChars="0"/>
                    <w:jc w:val="center"/>
                    <w:textAlignment w:val="auto"/>
                    <w:rPr>
                      <w:rFonts w:hint="default" w:cs="宋体"/>
                      <w:b w:val="0"/>
                      <w:bCs/>
                      <w:color w:val="auto"/>
                      <w:sz w:val="21"/>
                      <w:szCs w:val="21"/>
                      <w:lang w:val="en-US" w:eastAsia="zh-CN"/>
                    </w:rPr>
                  </w:pPr>
                  <w:r>
                    <w:rPr>
                      <w:rFonts w:hint="eastAsia" w:cs="宋体"/>
                      <w:b w:val="0"/>
                      <w:bCs/>
                      <w:color w:val="auto"/>
                      <w:sz w:val="21"/>
                      <w:szCs w:val="21"/>
                      <w:lang w:val="en-US" w:eastAsia="zh-CN"/>
                    </w:rPr>
                    <w:t>/</w:t>
                  </w:r>
                </w:p>
              </w:tc>
              <w:tc>
                <w:tcPr>
                  <w:tcW w:w="1412" w:type="dxa"/>
                  <w:vMerge w:val="restart"/>
                  <w:tcBorders>
                    <w:left w:val="single" w:color="auto" w:sz="4" w:space="0"/>
                    <w:right w:val="single" w:color="auto" w:sz="4" w:space="0"/>
                    <w:tl2br w:val="nil"/>
                    <w:tr2bl w:val="nil"/>
                  </w:tcBorders>
                  <w:noWrap w:val="0"/>
                  <w:vAlign w:val="center"/>
                </w:tcPr>
                <w:p w14:paraId="7CEEB11F">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暂存在危废暂存间，定期交由相关资质单位处理</w:t>
                  </w:r>
                </w:p>
              </w:tc>
              <w:tc>
                <w:tcPr>
                  <w:tcW w:w="879" w:type="dxa"/>
                  <w:vMerge w:val="restart"/>
                  <w:tcBorders>
                    <w:left w:val="single" w:color="auto" w:sz="4" w:space="0"/>
                    <w:right w:val="single" w:color="auto" w:sz="4" w:space="0"/>
                    <w:tl2br w:val="nil"/>
                    <w:tr2bl w:val="nil"/>
                  </w:tcBorders>
                  <w:noWrap w:val="0"/>
                  <w:vAlign w:val="center"/>
                </w:tcPr>
                <w:p w14:paraId="1F181C3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auto"/>
                    <w:rPr>
                      <w:rFonts w:hint="eastAsia"/>
                      <w:b w:val="0"/>
                      <w:bCs/>
                      <w:color w:val="auto"/>
                      <w:sz w:val="21"/>
                      <w:szCs w:val="21"/>
                      <w:lang w:val="en-US" w:eastAsia="zh-CN"/>
                    </w:rPr>
                  </w:pPr>
                  <w:r>
                    <w:rPr>
                      <w:rFonts w:hint="eastAsia"/>
                      <w:b w:val="0"/>
                      <w:bCs/>
                      <w:color w:val="auto"/>
                      <w:sz w:val="21"/>
                      <w:szCs w:val="21"/>
                      <w:lang w:val="en-US" w:eastAsia="zh-CN"/>
                    </w:rPr>
                    <w:t>原环评未说明危废的产生情况，验收进行补充，危废处置方式合理。</w:t>
                  </w:r>
                </w:p>
              </w:tc>
            </w:tr>
            <w:tr w14:paraId="39C51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A4B500">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9</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FF06C4">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lang w:eastAsia="zh-CN"/>
                    </w:rPr>
                  </w:pPr>
                  <w:r>
                    <w:rPr>
                      <w:rFonts w:hint="eastAsia" w:ascii="宋体"/>
                      <w:b w:val="0"/>
                      <w:bCs/>
                      <w:color w:val="auto"/>
                      <w:sz w:val="21"/>
                      <w:szCs w:val="21"/>
                      <w:lang w:eastAsia="zh-CN"/>
                    </w:rPr>
                    <w:t>废弃沾染物</w:t>
                  </w:r>
                </w:p>
              </w:tc>
              <w:tc>
                <w:tcPr>
                  <w:tcW w:w="574" w:type="dxa"/>
                  <w:vMerge w:val="continue"/>
                  <w:tcBorders>
                    <w:left w:val="single" w:color="auto" w:sz="4" w:space="0"/>
                    <w:right w:val="single" w:color="auto" w:sz="4" w:space="0"/>
                    <w:tl2br w:val="nil"/>
                    <w:tr2bl w:val="nil"/>
                  </w:tcBorders>
                  <w:noWrap w:val="0"/>
                  <w:vAlign w:val="center"/>
                </w:tcPr>
                <w:p w14:paraId="5EDFFC42">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291F50">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900-</w:t>
                  </w:r>
                  <w:r>
                    <w:rPr>
                      <w:rFonts w:hint="eastAsia" w:cs="Times New Roman"/>
                      <w:b w:val="0"/>
                      <w:bCs/>
                      <w:color w:val="auto"/>
                      <w:sz w:val="21"/>
                      <w:szCs w:val="21"/>
                      <w:lang w:val="en-US" w:eastAsia="zh-CN"/>
                    </w:rPr>
                    <w:t>041</w:t>
                  </w:r>
                  <w:r>
                    <w:rPr>
                      <w:rFonts w:hint="eastAsia" w:ascii="Times New Roman" w:hAnsi="Times New Roman" w:eastAsia="宋体" w:cs="Times New Roman"/>
                      <w:b w:val="0"/>
                      <w:bCs/>
                      <w:color w:val="auto"/>
                      <w:sz w:val="21"/>
                      <w:szCs w:val="21"/>
                      <w:lang w:val="en-US" w:eastAsia="zh-CN"/>
                    </w:rPr>
                    <w:t>-</w:t>
                  </w:r>
                  <w:r>
                    <w:rPr>
                      <w:rFonts w:hint="eastAsia" w:cs="Times New Roman"/>
                      <w:b w:val="0"/>
                      <w:bCs/>
                      <w:color w:val="auto"/>
                      <w:sz w:val="21"/>
                      <w:szCs w:val="21"/>
                      <w:lang w:val="en-US" w:eastAsia="zh-CN"/>
                    </w:rPr>
                    <w:t>49</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6AF1FCB">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F8FEE2">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13AA70">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w:t>
                  </w:r>
                  <w:r>
                    <w:rPr>
                      <w:rFonts w:hint="eastAsia" w:cs="Times New Roman"/>
                      <w:b w:val="0"/>
                      <w:bCs/>
                      <w:color w:val="auto"/>
                      <w:sz w:val="21"/>
                      <w:szCs w:val="21"/>
                      <w:lang w:val="en-US" w:eastAsia="zh-CN"/>
                    </w:rPr>
                    <w:t>05</w:t>
                  </w:r>
                </w:p>
              </w:tc>
              <w:tc>
                <w:tcPr>
                  <w:tcW w:w="1477" w:type="dxa"/>
                  <w:vMerge w:val="continue"/>
                  <w:tcBorders>
                    <w:left w:val="single" w:color="auto" w:sz="4" w:space="0"/>
                    <w:right w:val="single" w:color="auto" w:sz="4" w:space="0"/>
                    <w:tl2br w:val="nil"/>
                    <w:tr2bl w:val="nil"/>
                  </w:tcBorders>
                  <w:noWrap w:val="0"/>
                  <w:vAlign w:val="center"/>
                </w:tcPr>
                <w:p w14:paraId="3158C48C">
                  <w:pPr>
                    <w:keepNext w:val="0"/>
                    <w:keepLines w:val="0"/>
                    <w:pageBreakBefore w:val="0"/>
                    <w:widowControl/>
                    <w:suppressLineNumbers w:val="0"/>
                    <w:kinsoku/>
                    <w:wordWrap/>
                    <w:overflowPunct/>
                    <w:topLinePunct w:val="0"/>
                    <w:autoSpaceDE w:val="0"/>
                    <w:autoSpaceDN w:val="0"/>
                    <w:bidi w:val="0"/>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p>
              </w:tc>
              <w:tc>
                <w:tcPr>
                  <w:tcW w:w="1412" w:type="dxa"/>
                  <w:vMerge w:val="continue"/>
                  <w:tcBorders>
                    <w:left w:val="single" w:color="auto" w:sz="4" w:space="0"/>
                    <w:right w:val="single" w:color="auto" w:sz="4" w:space="0"/>
                    <w:tl2br w:val="nil"/>
                    <w:tr2bl w:val="nil"/>
                  </w:tcBorders>
                  <w:noWrap w:val="0"/>
                  <w:vAlign w:val="center"/>
                </w:tcPr>
                <w:p w14:paraId="147DD22C">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p>
              </w:tc>
              <w:tc>
                <w:tcPr>
                  <w:tcW w:w="879" w:type="dxa"/>
                  <w:vMerge w:val="continue"/>
                  <w:tcBorders>
                    <w:left w:val="single" w:color="auto" w:sz="4" w:space="0"/>
                    <w:right w:val="single" w:color="auto" w:sz="4" w:space="0"/>
                    <w:tl2br w:val="nil"/>
                    <w:tr2bl w:val="nil"/>
                  </w:tcBorders>
                  <w:noWrap w:val="0"/>
                  <w:vAlign w:val="center"/>
                </w:tcPr>
                <w:p w14:paraId="71129E2F">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b w:val="0"/>
                      <w:bCs/>
                      <w:color w:val="auto"/>
                      <w:sz w:val="21"/>
                      <w:szCs w:val="21"/>
                      <w:lang w:val="en-US" w:eastAsia="zh-CN"/>
                    </w:rPr>
                  </w:pPr>
                </w:p>
              </w:tc>
            </w:tr>
            <w:tr w14:paraId="6DFD9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1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8C1554">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default"/>
                      <w:b w:val="0"/>
                      <w:bCs/>
                      <w:color w:val="auto"/>
                      <w:sz w:val="21"/>
                      <w:szCs w:val="21"/>
                      <w:lang w:val="en-US" w:eastAsia="zh-CN"/>
                    </w:rPr>
                  </w:pPr>
                  <w:r>
                    <w:rPr>
                      <w:rFonts w:hint="eastAsia"/>
                      <w:b w:val="0"/>
                      <w:bCs/>
                      <w:color w:val="auto"/>
                      <w:sz w:val="21"/>
                      <w:szCs w:val="21"/>
                      <w:lang w:val="en-US" w:eastAsia="zh-CN"/>
                    </w:rPr>
                    <w:t>10</w:t>
                  </w:r>
                </w:p>
              </w:tc>
              <w:tc>
                <w:tcPr>
                  <w:tcW w:w="8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8B2A1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eastAsia="宋体"/>
                      <w:b w:val="0"/>
                      <w:bCs/>
                      <w:color w:val="auto"/>
                      <w:sz w:val="21"/>
                      <w:szCs w:val="21"/>
                      <w:lang w:eastAsia="zh-CN"/>
                    </w:rPr>
                  </w:pPr>
                  <w:r>
                    <w:rPr>
                      <w:rFonts w:hint="eastAsia" w:ascii="宋体"/>
                      <w:b w:val="0"/>
                      <w:bCs/>
                      <w:color w:val="auto"/>
                      <w:sz w:val="21"/>
                      <w:szCs w:val="21"/>
                      <w:lang w:eastAsia="zh-CN"/>
                    </w:rPr>
                    <w:t>实验室检测废液</w:t>
                  </w:r>
                </w:p>
              </w:tc>
              <w:tc>
                <w:tcPr>
                  <w:tcW w:w="574" w:type="dxa"/>
                  <w:vMerge w:val="continue"/>
                  <w:tcBorders>
                    <w:left w:val="single" w:color="auto" w:sz="4" w:space="0"/>
                    <w:right w:val="single" w:color="auto" w:sz="4" w:space="0"/>
                    <w:tl2br w:val="nil"/>
                    <w:tr2bl w:val="nil"/>
                  </w:tcBorders>
                  <w:noWrap w:val="0"/>
                  <w:vAlign w:val="center"/>
                </w:tcPr>
                <w:p w14:paraId="72B4E5EE">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sz w:val="21"/>
                      <w:szCs w:val="21"/>
                      <w:lang w:val="en-US" w:eastAsia="zh-CN"/>
                    </w:rPr>
                  </w:pPr>
                </w:p>
              </w:tc>
              <w:tc>
                <w:tcPr>
                  <w:tcW w:w="11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AC217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900-04</w:t>
                  </w:r>
                  <w:r>
                    <w:rPr>
                      <w:rFonts w:hint="eastAsia" w:cs="Times New Roman"/>
                      <w:b w:val="0"/>
                      <w:bCs/>
                      <w:color w:val="auto"/>
                      <w:sz w:val="21"/>
                      <w:szCs w:val="21"/>
                      <w:lang w:val="en-US" w:eastAsia="zh-CN"/>
                    </w:rPr>
                    <w:t>7</w:t>
                  </w:r>
                  <w:r>
                    <w:rPr>
                      <w:rFonts w:hint="eastAsia" w:ascii="Times New Roman" w:hAnsi="Times New Roman" w:eastAsia="宋体" w:cs="Times New Roman"/>
                      <w:b w:val="0"/>
                      <w:bCs/>
                      <w:color w:val="auto"/>
                      <w:sz w:val="21"/>
                      <w:szCs w:val="21"/>
                      <w:lang w:val="en-US" w:eastAsia="zh-CN"/>
                    </w:rPr>
                    <w:t>-49</w:t>
                  </w:r>
                </w:p>
              </w:tc>
              <w:tc>
                <w:tcPr>
                  <w:tcW w:w="8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DD0AD7">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color w:val="auto"/>
                      <w:sz w:val="21"/>
                      <w:szCs w:val="21"/>
                    </w:rPr>
                  </w:pPr>
                  <w:r>
                    <w:rPr>
                      <w:rFonts w:hint="eastAsia" w:cs="Times New Roman"/>
                      <w:b w:val="0"/>
                      <w:bCs/>
                      <w:color w:val="auto"/>
                      <w:sz w:val="21"/>
                      <w:szCs w:val="21"/>
                      <w:lang w:val="en-US" w:eastAsia="zh-CN"/>
                    </w:rPr>
                    <w:t>固态</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4235FC">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b w:val="0"/>
                      <w:bCs/>
                      <w:color w:val="auto"/>
                      <w:sz w:val="21"/>
                      <w:szCs w:val="21"/>
                      <w:lang w:val="en-US" w:eastAsia="zh-CN"/>
                    </w:rPr>
                  </w:pPr>
                  <w:r>
                    <w:rPr>
                      <w:rFonts w:hint="eastAsia" w:cs="Times New Roman"/>
                      <w:b w:val="0"/>
                      <w:bCs/>
                      <w:color w:val="auto"/>
                      <w:sz w:val="21"/>
                      <w:szCs w:val="21"/>
                      <w:lang w:val="en-US" w:eastAsia="zh-CN"/>
                    </w:rPr>
                    <w:t>/</w:t>
                  </w:r>
                </w:p>
              </w:tc>
              <w:tc>
                <w:tcPr>
                  <w:tcW w:w="77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CC9C20">
                  <w:pPr>
                    <w:pStyle w:val="7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w:t>
                  </w:r>
                  <w:r>
                    <w:rPr>
                      <w:rFonts w:hint="eastAsia" w:cs="Times New Roman"/>
                      <w:b w:val="0"/>
                      <w:bCs/>
                      <w:color w:val="auto"/>
                      <w:sz w:val="21"/>
                      <w:szCs w:val="21"/>
                      <w:lang w:val="en-US" w:eastAsia="zh-CN"/>
                    </w:rPr>
                    <w:t>0</w:t>
                  </w:r>
                  <w:r>
                    <w:rPr>
                      <w:rFonts w:hint="eastAsia" w:ascii="Times New Roman" w:hAnsi="Times New Roman" w:eastAsia="宋体" w:cs="Times New Roman"/>
                      <w:b w:val="0"/>
                      <w:bCs/>
                      <w:color w:val="auto"/>
                      <w:sz w:val="21"/>
                      <w:szCs w:val="21"/>
                      <w:lang w:val="en-US" w:eastAsia="zh-CN"/>
                    </w:rPr>
                    <w:t>5</w:t>
                  </w:r>
                </w:p>
              </w:tc>
              <w:tc>
                <w:tcPr>
                  <w:tcW w:w="1477" w:type="dxa"/>
                  <w:vMerge w:val="continue"/>
                  <w:tcBorders>
                    <w:left w:val="single" w:color="auto" w:sz="4" w:space="0"/>
                    <w:right w:val="single" w:color="auto" w:sz="4" w:space="0"/>
                    <w:tl2br w:val="nil"/>
                    <w:tr2bl w:val="nil"/>
                  </w:tcBorders>
                  <w:noWrap w:val="0"/>
                  <w:vAlign w:val="center"/>
                </w:tcPr>
                <w:p w14:paraId="79BBB003">
                  <w:pPr>
                    <w:keepNext w:val="0"/>
                    <w:keepLines w:val="0"/>
                    <w:pageBreakBefore w:val="0"/>
                    <w:widowControl/>
                    <w:suppressLineNumbers w:val="0"/>
                    <w:kinsoku/>
                    <w:wordWrap/>
                    <w:overflowPunct/>
                    <w:topLinePunct w:val="0"/>
                    <w:autoSpaceDE w:val="0"/>
                    <w:autoSpaceDN w:val="0"/>
                    <w:bidi w:val="0"/>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p>
              </w:tc>
              <w:tc>
                <w:tcPr>
                  <w:tcW w:w="1412" w:type="dxa"/>
                  <w:vMerge w:val="continue"/>
                  <w:tcBorders>
                    <w:left w:val="single" w:color="auto" w:sz="4" w:space="0"/>
                    <w:right w:val="single" w:color="auto" w:sz="4" w:space="0"/>
                    <w:tl2br w:val="nil"/>
                    <w:tr2bl w:val="nil"/>
                  </w:tcBorders>
                  <w:noWrap w:val="0"/>
                  <w:vAlign w:val="center"/>
                </w:tcPr>
                <w:p w14:paraId="23D3532A">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cs="宋体"/>
                      <w:b w:val="0"/>
                      <w:bCs/>
                      <w:color w:val="auto"/>
                      <w:sz w:val="21"/>
                      <w:szCs w:val="21"/>
                      <w:lang w:val="en-US" w:eastAsia="zh-CN"/>
                    </w:rPr>
                  </w:pPr>
                </w:p>
              </w:tc>
              <w:tc>
                <w:tcPr>
                  <w:tcW w:w="879" w:type="dxa"/>
                  <w:vMerge w:val="continue"/>
                  <w:tcBorders>
                    <w:left w:val="single" w:color="auto" w:sz="4" w:space="0"/>
                    <w:right w:val="single" w:color="auto" w:sz="4" w:space="0"/>
                    <w:tl2br w:val="nil"/>
                    <w:tr2bl w:val="nil"/>
                  </w:tcBorders>
                  <w:noWrap w:val="0"/>
                  <w:vAlign w:val="center"/>
                </w:tcPr>
                <w:p w14:paraId="27C16A35">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jc w:val="center"/>
                    <w:textAlignment w:val="auto"/>
                    <w:rPr>
                      <w:rFonts w:hint="eastAsia"/>
                      <w:b w:val="0"/>
                      <w:bCs/>
                      <w:color w:val="auto"/>
                      <w:sz w:val="21"/>
                      <w:szCs w:val="21"/>
                      <w:lang w:val="en-US" w:eastAsia="zh-CN"/>
                    </w:rPr>
                  </w:pPr>
                </w:p>
              </w:tc>
            </w:tr>
          </w:tbl>
          <w:p w14:paraId="6120D700">
            <w:pPr>
              <w:rPr>
                <w:rFonts w:hint="eastAsia" w:ascii="Times New Roman" w:hAnsi="Times New Roman"/>
                <w:color w:val="auto"/>
                <w:sz w:val="24"/>
                <w:szCs w:val="24"/>
              </w:rPr>
            </w:pPr>
            <w:r>
              <w:rPr>
                <w:rFonts w:hint="eastAsia" w:ascii="Times New Roman" w:hAnsi="Times New Roman"/>
                <w:color w:val="auto"/>
                <w:sz w:val="24"/>
                <w:szCs w:val="24"/>
              </w:rPr>
              <w:t>综上，项目运营期固体废物妥善处置，去向明确。</w:t>
            </w:r>
          </w:p>
          <w:p w14:paraId="282CB20D">
            <w:pPr>
              <w:pStyle w:val="12"/>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241" w:firstLineChars="100"/>
              <w:textAlignment w:val="auto"/>
              <w:rPr>
                <w:rFonts w:hint="eastAsia" w:ascii="Times New Roman" w:hAnsi="Times New Roman" w:eastAsia="宋体" w:cs="Times New Roman"/>
                <w:b/>
                <w:bCs/>
                <w:color w:val="auto"/>
                <w:sz w:val="24"/>
                <w:szCs w:val="24"/>
                <w:lang w:val="en-US" w:eastAsia="zh-CN" w:bidi="ar-SA"/>
              </w:rPr>
            </w:pPr>
            <w:r>
              <w:rPr>
                <w:rFonts w:hint="eastAsia" w:ascii="Times New Roman" w:hAnsi="Times New Roman" w:eastAsia="宋体" w:cs="Times New Roman"/>
                <w:b/>
                <w:bCs/>
                <w:color w:val="auto"/>
                <w:sz w:val="24"/>
                <w:szCs w:val="24"/>
                <w:lang w:val="en-US" w:eastAsia="zh-CN" w:bidi="ar-SA"/>
              </w:rPr>
              <w:t>5、地下水</w:t>
            </w:r>
          </w:p>
          <w:p w14:paraId="76A7C338">
            <w:pPr>
              <w:keepNext w:val="0"/>
              <w:keepLines w:val="0"/>
              <w:widowControl/>
              <w:numPr>
                <w:ilvl w:val="0"/>
                <w:numId w:val="0"/>
              </w:numPr>
              <w:suppressLineNumbers w:val="0"/>
              <w:spacing w:before="0" w:beforeAutospacing="0" w:after="0" w:afterAutospacing="0"/>
              <w:ind w:left="0" w:right="0" w:firstLine="480" w:firstLineChars="200"/>
              <w:rPr>
                <w:rFonts w:hint="eastAsia" w:cs="Times New Roman"/>
                <w:color w:val="auto"/>
                <w:szCs w:val="21"/>
                <w:vertAlign w:val="baseline"/>
                <w:lang w:val="en-US" w:eastAsia="zh-CN" w:bidi="ar"/>
              </w:rPr>
            </w:pPr>
            <w:r>
              <w:rPr>
                <w:rFonts w:hint="eastAsia" w:cs="Times New Roman"/>
                <w:color w:val="auto"/>
                <w:szCs w:val="21"/>
                <w:vertAlign w:val="baseline"/>
                <w:lang w:val="en-US" w:eastAsia="zh-CN" w:bidi="ar"/>
              </w:rPr>
              <w:t>环评要求地下水污染预防措施采取源头控制措施和分区防渗措施。其中对污水处理站、油类原料库房做好重点防渗措施；对生产车间、固废间、其余原料库房采取一般防渗措施，厂区其他地面做好简单防渗。</w:t>
            </w:r>
          </w:p>
          <w:p w14:paraId="7968A074">
            <w:pPr>
              <w:pStyle w:val="4"/>
              <w:keepNext w:val="0"/>
              <w:keepLines w:val="0"/>
              <w:suppressLineNumbers w:val="0"/>
              <w:spacing w:before="0" w:beforeAutospacing="0" w:after="0" w:afterAutospacing="0"/>
              <w:ind w:left="0" w:right="0" w:firstLine="480" w:firstLineChars="200"/>
              <w:rPr>
                <w:rFonts w:hint="eastAsia" w:ascii="Times New Roman" w:hAnsi="Times New Roman" w:eastAsia="宋体" w:cs="Times New Roman"/>
                <w:b w:val="0"/>
                <w:bCs w:val="0"/>
                <w:color w:val="auto"/>
                <w:sz w:val="24"/>
                <w:szCs w:val="21"/>
                <w:vertAlign w:val="baseline"/>
                <w:lang w:val="en-US" w:eastAsia="zh-CN" w:bidi="ar"/>
              </w:rPr>
            </w:pPr>
            <w:r>
              <w:rPr>
                <w:rFonts w:hint="eastAsia" w:ascii="Times New Roman" w:hAnsi="Times New Roman" w:eastAsia="宋体" w:cs="Times New Roman"/>
                <w:b w:val="0"/>
                <w:bCs w:val="0"/>
                <w:color w:val="auto"/>
                <w:sz w:val="24"/>
                <w:szCs w:val="21"/>
                <w:vertAlign w:val="baseline"/>
                <w:lang w:val="en-US" w:eastAsia="zh-CN" w:bidi="ar"/>
              </w:rPr>
              <w:t>验收实际情况：按照环评要求对污水处理站、危废暂存间、油罐区和化粪池做好重点防渗措施；生产车间、固废间、其余原料库房采取一般防渗措施，厂区其他地面做好简单防渗。</w:t>
            </w:r>
          </w:p>
          <w:p w14:paraId="072A798D">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三、环保设施投资</w:t>
            </w:r>
          </w:p>
          <w:p w14:paraId="4C539D6B">
            <w:pPr>
              <w:keepNext w:val="0"/>
              <w:keepLines w:val="0"/>
              <w:widowControl/>
              <w:suppressLineNumbers w:val="0"/>
              <w:spacing w:before="0" w:beforeAutospacing="0" w:after="0" w:afterAutospacing="0"/>
              <w:ind w:left="0" w:right="0" w:firstLine="480"/>
              <w:rPr>
                <w:rFonts w:hint="default"/>
                <w:color w:val="auto"/>
                <w:kern w:val="2"/>
              </w:rPr>
            </w:pPr>
            <w:r>
              <w:rPr>
                <w:rFonts w:hint="eastAsia"/>
                <w:color w:val="auto"/>
              </w:rPr>
              <w:t>本项目总投资为</w:t>
            </w:r>
            <w:r>
              <w:rPr>
                <w:rFonts w:hint="eastAsia"/>
                <w:color w:val="auto"/>
                <w:lang w:val="en-US" w:eastAsia="zh-CN"/>
              </w:rPr>
              <w:t>2000</w:t>
            </w:r>
            <w:r>
              <w:rPr>
                <w:rFonts w:hint="eastAsia"/>
                <w:color w:val="auto"/>
              </w:rPr>
              <w:t>万元，环保投资约为</w:t>
            </w:r>
            <w:r>
              <w:rPr>
                <w:rFonts w:hint="eastAsia"/>
                <w:color w:val="auto"/>
                <w:lang w:val="en-US" w:eastAsia="zh-CN"/>
              </w:rPr>
              <w:t>70.5</w:t>
            </w:r>
            <w:r>
              <w:rPr>
                <w:rFonts w:hint="eastAsia"/>
                <w:color w:val="auto"/>
              </w:rPr>
              <w:t>万元，约占本项目总投资的</w:t>
            </w:r>
            <w:r>
              <w:rPr>
                <w:rFonts w:hint="eastAsia"/>
                <w:color w:val="auto"/>
                <w:lang w:val="en-US" w:eastAsia="zh-CN"/>
              </w:rPr>
              <w:t>3.525</w:t>
            </w:r>
            <w:r>
              <w:rPr>
                <w:rFonts w:hint="eastAsia"/>
                <w:color w:val="auto"/>
              </w:rPr>
              <w:t>%。本项目投资详见表</w:t>
            </w:r>
            <w:r>
              <w:rPr>
                <w:rFonts w:hint="default"/>
                <w:color w:val="auto"/>
              </w:rPr>
              <w:t>3-</w:t>
            </w:r>
            <w:r>
              <w:rPr>
                <w:rFonts w:hint="eastAsia"/>
                <w:color w:val="auto"/>
                <w:lang w:val="en-US" w:eastAsia="zh-CN"/>
              </w:rPr>
              <w:t>2</w:t>
            </w:r>
            <w:r>
              <w:rPr>
                <w:rFonts w:hint="eastAsia"/>
                <w:color w:val="auto"/>
                <w:kern w:val="2"/>
              </w:rPr>
              <w:t>。</w:t>
            </w:r>
          </w:p>
          <w:p w14:paraId="0FCFE0CE">
            <w:pPr>
              <w:pStyle w:val="61"/>
              <w:keepNext w:val="0"/>
              <w:keepLines w:val="0"/>
              <w:suppressLineNumbers w:val="0"/>
              <w:spacing w:before="0" w:beforeAutospacing="0" w:after="0" w:afterAutospacing="0" w:line="240" w:lineRule="auto"/>
              <w:ind w:left="0" w:right="0"/>
              <w:rPr>
                <w:rFonts w:hint="default"/>
                <w:b/>
                <w:bCs w:val="0"/>
                <w:color w:val="auto"/>
                <w:szCs w:val="28"/>
              </w:rPr>
            </w:pPr>
            <w:r>
              <w:rPr>
                <w:rFonts w:hint="eastAsia"/>
                <w:b/>
                <w:bCs w:val="0"/>
                <w:color w:val="auto"/>
                <w:szCs w:val="28"/>
              </w:rPr>
              <w:t>表</w:t>
            </w:r>
            <w:r>
              <w:rPr>
                <w:rFonts w:hint="default"/>
                <w:b/>
                <w:bCs w:val="0"/>
                <w:color w:val="auto"/>
                <w:szCs w:val="28"/>
              </w:rPr>
              <w:t>3-</w:t>
            </w:r>
            <w:r>
              <w:rPr>
                <w:rFonts w:hint="eastAsia"/>
                <w:b/>
                <w:bCs w:val="0"/>
                <w:color w:val="auto"/>
                <w:szCs w:val="28"/>
                <w:lang w:val="en-US" w:eastAsia="zh-CN"/>
              </w:rPr>
              <w:t>2</w:t>
            </w:r>
            <w:r>
              <w:rPr>
                <w:rFonts w:hint="default"/>
                <w:b/>
                <w:bCs w:val="0"/>
                <w:color w:val="auto"/>
                <w:szCs w:val="28"/>
              </w:rPr>
              <w:t xml:space="preserve"> </w:t>
            </w:r>
            <w:r>
              <w:rPr>
                <w:rFonts w:hint="eastAsia"/>
                <w:b/>
                <w:bCs w:val="0"/>
                <w:color w:val="auto"/>
                <w:szCs w:val="28"/>
              </w:rPr>
              <w:t>环保设施及实际投资情况一览表</w:t>
            </w:r>
            <w:r>
              <w:rPr>
                <w:rFonts w:hint="default"/>
                <w:b/>
                <w:bCs w:val="0"/>
                <w:color w:val="auto"/>
                <w:szCs w:val="28"/>
              </w:rPr>
              <w:t xml:space="preserve"> </w:t>
            </w:r>
            <w:r>
              <w:rPr>
                <w:rFonts w:hint="eastAsia"/>
                <w:b/>
                <w:bCs w:val="0"/>
                <w:color w:val="auto"/>
                <w:szCs w:val="28"/>
              </w:rPr>
              <w:t>单位：（万元）</w:t>
            </w:r>
          </w:p>
          <w:tbl>
            <w:tblPr>
              <w:tblStyle w:val="27"/>
              <w:tblpPr w:leftFromText="180" w:rightFromText="180" w:vertAnchor="text" w:horzAnchor="page" w:tblpX="98" w:tblpY="248"/>
              <w:tblOverlap w:val="never"/>
              <w:tblW w:w="4994"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858"/>
              <w:gridCol w:w="4197"/>
              <w:gridCol w:w="966"/>
              <w:gridCol w:w="1045"/>
              <w:gridCol w:w="1044"/>
            </w:tblGrid>
            <w:tr w14:paraId="3CE9D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4" w:type="dxa"/>
                  <w:noWrap w:val="0"/>
                  <w:vAlign w:val="center"/>
                </w:tcPr>
                <w:p w14:paraId="534D6E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color w:val="auto"/>
                      <w:kern w:val="0"/>
                      <w:sz w:val="21"/>
                      <w:szCs w:val="21"/>
                    </w:rPr>
                  </w:pPr>
                  <w:r>
                    <w:rPr>
                      <w:rFonts w:hint="default"/>
                      <w:b/>
                      <w:color w:val="auto"/>
                      <w:kern w:val="0"/>
                      <w:sz w:val="21"/>
                      <w:szCs w:val="21"/>
                    </w:rPr>
                    <w:t>工期</w:t>
                  </w:r>
                </w:p>
              </w:tc>
              <w:tc>
                <w:tcPr>
                  <w:tcW w:w="858" w:type="dxa"/>
                  <w:noWrap w:val="0"/>
                  <w:vAlign w:val="center"/>
                </w:tcPr>
                <w:p w14:paraId="45C9D1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color w:val="auto"/>
                      <w:kern w:val="0"/>
                      <w:sz w:val="21"/>
                      <w:szCs w:val="21"/>
                    </w:rPr>
                  </w:pPr>
                  <w:r>
                    <w:rPr>
                      <w:rFonts w:hint="default"/>
                      <w:b/>
                      <w:color w:val="auto"/>
                      <w:kern w:val="0"/>
                      <w:sz w:val="21"/>
                      <w:szCs w:val="21"/>
                    </w:rPr>
                    <w:t>环境要素</w:t>
                  </w:r>
                </w:p>
              </w:tc>
              <w:tc>
                <w:tcPr>
                  <w:tcW w:w="4198" w:type="dxa"/>
                  <w:noWrap w:val="0"/>
                  <w:vAlign w:val="center"/>
                </w:tcPr>
                <w:p w14:paraId="7F8D22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color w:val="auto"/>
                      <w:kern w:val="0"/>
                      <w:sz w:val="21"/>
                      <w:szCs w:val="21"/>
                    </w:rPr>
                  </w:pPr>
                  <w:r>
                    <w:rPr>
                      <w:rFonts w:hint="default"/>
                      <w:b/>
                      <w:color w:val="auto"/>
                      <w:kern w:val="0"/>
                      <w:sz w:val="21"/>
                      <w:szCs w:val="21"/>
                    </w:rPr>
                    <w:t>环保措施</w:t>
                  </w:r>
                </w:p>
              </w:tc>
              <w:tc>
                <w:tcPr>
                  <w:tcW w:w="966" w:type="dxa"/>
                  <w:noWrap w:val="0"/>
                  <w:vAlign w:val="center"/>
                </w:tcPr>
                <w:p w14:paraId="449CA6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color w:val="auto"/>
                      <w:kern w:val="0"/>
                      <w:sz w:val="21"/>
                      <w:szCs w:val="21"/>
                    </w:rPr>
                  </w:pPr>
                  <w:r>
                    <w:rPr>
                      <w:rFonts w:hint="eastAsia"/>
                      <w:b/>
                      <w:color w:val="auto"/>
                      <w:kern w:val="0"/>
                      <w:sz w:val="21"/>
                      <w:szCs w:val="21"/>
                      <w:lang w:eastAsia="zh-CN"/>
                    </w:rPr>
                    <w:t>环评拟投资</w:t>
                  </w:r>
                  <w:r>
                    <w:rPr>
                      <w:rFonts w:hint="eastAsia"/>
                      <w:b/>
                      <w:color w:val="auto"/>
                      <w:kern w:val="0"/>
                      <w:sz w:val="21"/>
                      <w:szCs w:val="21"/>
                    </w:rPr>
                    <w:t>（万元）</w:t>
                  </w:r>
                </w:p>
              </w:tc>
              <w:tc>
                <w:tcPr>
                  <w:tcW w:w="1045" w:type="dxa"/>
                  <w:noWrap w:val="0"/>
                  <w:vAlign w:val="center"/>
                </w:tcPr>
                <w:p w14:paraId="62555B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color w:val="auto"/>
                      <w:kern w:val="0"/>
                      <w:sz w:val="21"/>
                      <w:szCs w:val="21"/>
                      <w:lang w:eastAsia="zh-CN"/>
                    </w:rPr>
                  </w:pPr>
                  <w:r>
                    <w:rPr>
                      <w:rFonts w:hint="eastAsia"/>
                      <w:b/>
                      <w:color w:val="auto"/>
                      <w:kern w:val="0"/>
                      <w:sz w:val="21"/>
                      <w:szCs w:val="21"/>
                      <w:lang w:eastAsia="zh-CN"/>
                    </w:rPr>
                    <w:t>实际投资</w:t>
                  </w:r>
                  <w:r>
                    <w:rPr>
                      <w:rFonts w:hint="eastAsia"/>
                      <w:b/>
                      <w:color w:val="auto"/>
                      <w:kern w:val="0"/>
                      <w:sz w:val="21"/>
                      <w:szCs w:val="21"/>
                    </w:rPr>
                    <w:t>（万元）</w:t>
                  </w:r>
                </w:p>
              </w:tc>
              <w:tc>
                <w:tcPr>
                  <w:tcW w:w="1044" w:type="dxa"/>
                  <w:noWrap w:val="0"/>
                  <w:vAlign w:val="center"/>
                </w:tcPr>
                <w:p w14:paraId="327D69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color w:val="auto"/>
                      <w:kern w:val="0"/>
                      <w:sz w:val="21"/>
                      <w:szCs w:val="21"/>
                    </w:rPr>
                  </w:pPr>
                  <w:r>
                    <w:rPr>
                      <w:rFonts w:hint="eastAsia"/>
                      <w:b/>
                      <w:color w:val="auto"/>
                      <w:kern w:val="0"/>
                      <w:sz w:val="21"/>
                      <w:szCs w:val="21"/>
                    </w:rPr>
                    <w:t>备注</w:t>
                  </w:r>
                </w:p>
              </w:tc>
            </w:tr>
            <w:tr w14:paraId="5456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restart"/>
                  <w:noWrap w:val="0"/>
                  <w:vAlign w:val="center"/>
                </w:tcPr>
                <w:p w14:paraId="3CEF7A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施工期</w:t>
                  </w:r>
                </w:p>
              </w:tc>
              <w:tc>
                <w:tcPr>
                  <w:tcW w:w="858" w:type="dxa"/>
                  <w:vMerge w:val="restart"/>
                  <w:noWrap w:val="0"/>
                  <w:vAlign w:val="center"/>
                </w:tcPr>
                <w:p w14:paraId="32C227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废水</w:t>
                  </w:r>
                </w:p>
              </w:tc>
              <w:tc>
                <w:tcPr>
                  <w:tcW w:w="4198" w:type="dxa"/>
                  <w:noWrap w:val="0"/>
                  <w:vAlign w:val="center"/>
                </w:tcPr>
                <w:p w14:paraId="648B3F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color w:val="auto"/>
                      <w:kern w:val="0"/>
                      <w:sz w:val="21"/>
                      <w:szCs w:val="21"/>
                      <w:lang w:val="en-US" w:eastAsia="zh-CN"/>
                    </w:rPr>
                  </w:pPr>
                  <w:r>
                    <w:rPr>
                      <w:rFonts w:hint="eastAsia"/>
                      <w:color w:val="auto"/>
                      <w:kern w:val="0"/>
                      <w:sz w:val="21"/>
                      <w:szCs w:val="21"/>
                      <w:lang w:val="en-US" w:eastAsia="zh-CN"/>
                    </w:rPr>
                    <w:t>生活污水经一间厂房化粪池处理，排入园区污水管网。</w:t>
                  </w:r>
                </w:p>
              </w:tc>
              <w:tc>
                <w:tcPr>
                  <w:tcW w:w="966" w:type="dxa"/>
                  <w:noWrap w:val="0"/>
                  <w:vAlign w:val="center"/>
                </w:tcPr>
                <w:p w14:paraId="536A1D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w:t>
                  </w:r>
                </w:p>
              </w:tc>
              <w:tc>
                <w:tcPr>
                  <w:tcW w:w="1045" w:type="dxa"/>
                  <w:noWrap w:val="0"/>
                  <w:vAlign w:val="center"/>
                </w:tcPr>
                <w:p w14:paraId="5F8789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w:t>
                  </w:r>
                </w:p>
              </w:tc>
              <w:tc>
                <w:tcPr>
                  <w:tcW w:w="1044" w:type="dxa"/>
                  <w:noWrap w:val="0"/>
                  <w:vAlign w:val="center"/>
                </w:tcPr>
                <w:p w14:paraId="5318B4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利旧</w:t>
                  </w:r>
                </w:p>
              </w:tc>
            </w:tr>
            <w:tr w14:paraId="2B977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59CBA4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858" w:type="dxa"/>
                  <w:vMerge w:val="continue"/>
                  <w:noWrap w:val="0"/>
                  <w:vAlign w:val="center"/>
                </w:tcPr>
                <w:p w14:paraId="6CC80E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4198" w:type="dxa"/>
                  <w:noWrap w:val="0"/>
                  <w:vAlign w:val="center"/>
                </w:tcPr>
                <w:p w14:paraId="42BFE4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color w:val="auto"/>
                      <w:kern w:val="0"/>
                      <w:sz w:val="21"/>
                      <w:szCs w:val="21"/>
                      <w:lang w:val="en-US" w:eastAsia="zh-CN"/>
                    </w:rPr>
                  </w:pPr>
                  <w:r>
                    <w:rPr>
                      <w:rFonts w:hint="eastAsia"/>
                      <w:color w:val="auto"/>
                      <w:kern w:val="0"/>
                      <w:sz w:val="21"/>
                      <w:szCs w:val="21"/>
                      <w:lang w:val="en-US" w:eastAsia="zh-CN"/>
                    </w:rPr>
                    <w:t>设备冲洗废水经沉淀池沉淀后回用</w:t>
                  </w:r>
                </w:p>
              </w:tc>
              <w:tc>
                <w:tcPr>
                  <w:tcW w:w="966" w:type="dxa"/>
                  <w:noWrap w:val="0"/>
                  <w:vAlign w:val="center"/>
                </w:tcPr>
                <w:p w14:paraId="284DE9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1</w:t>
                  </w:r>
                </w:p>
              </w:tc>
              <w:tc>
                <w:tcPr>
                  <w:tcW w:w="1045" w:type="dxa"/>
                  <w:noWrap w:val="0"/>
                  <w:vAlign w:val="center"/>
                </w:tcPr>
                <w:p w14:paraId="31F082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1</w:t>
                  </w:r>
                </w:p>
              </w:tc>
              <w:tc>
                <w:tcPr>
                  <w:tcW w:w="1044" w:type="dxa"/>
                  <w:noWrap w:val="0"/>
                  <w:vAlign w:val="center"/>
                </w:tcPr>
                <w:p w14:paraId="10631C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新建</w:t>
                  </w:r>
                </w:p>
              </w:tc>
            </w:tr>
            <w:tr w14:paraId="12082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3222B1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858" w:type="dxa"/>
                  <w:vMerge w:val="restart"/>
                  <w:noWrap w:val="0"/>
                  <w:vAlign w:val="center"/>
                </w:tcPr>
                <w:p w14:paraId="791E2A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固废</w:t>
                  </w:r>
                </w:p>
              </w:tc>
              <w:tc>
                <w:tcPr>
                  <w:tcW w:w="4198" w:type="dxa"/>
                  <w:noWrap w:val="0"/>
                  <w:vAlign w:val="center"/>
                </w:tcPr>
                <w:p w14:paraId="0B8D2F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color w:val="auto"/>
                      <w:kern w:val="0"/>
                      <w:sz w:val="21"/>
                      <w:szCs w:val="21"/>
                      <w:lang w:val="en-US" w:eastAsia="zh-CN"/>
                    </w:rPr>
                  </w:pPr>
                  <w:r>
                    <w:rPr>
                      <w:rFonts w:hint="eastAsia"/>
                      <w:color w:val="auto"/>
                      <w:kern w:val="0"/>
                      <w:sz w:val="21"/>
                      <w:szCs w:val="21"/>
                      <w:lang w:val="en-US" w:eastAsia="zh-CN"/>
                    </w:rPr>
                    <w:t>建筑垃圾全部用于场地平整，无弃方产生</w:t>
                  </w:r>
                </w:p>
              </w:tc>
              <w:tc>
                <w:tcPr>
                  <w:tcW w:w="966" w:type="dxa"/>
                  <w:noWrap w:val="0"/>
                  <w:vAlign w:val="center"/>
                </w:tcPr>
                <w:p w14:paraId="08E29C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w:t>
                  </w:r>
                </w:p>
              </w:tc>
              <w:tc>
                <w:tcPr>
                  <w:tcW w:w="1045" w:type="dxa"/>
                  <w:noWrap w:val="0"/>
                  <w:vAlign w:val="center"/>
                </w:tcPr>
                <w:p w14:paraId="72A3DD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w:t>
                  </w:r>
                </w:p>
              </w:tc>
              <w:tc>
                <w:tcPr>
                  <w:tcW w:w="1044" w:type="dxa"/>
                  <w:noWrap w:val="0"/>
                  <w:vAlign w:val="center"/>
                </w:tcPr>
                <w:p w14:paraId="5C004F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val="en-US" w:eastAsia="zh-CN"/>
                    </w:rPr>
                    <w:t>/</w:t>
                  </w:r>
                </w:p>
              </w:tc>
            </w:tr>
            <w:tr w14:paraId="67171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0C8C53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858" w:type="dxa"/>
                  <w:vMerge w:val="continue"/>
                  <w:noWrap w:val="0"/>
                  <w:vAlign w:val="center"/>
                </w:tcPr>
                <w:p w14:paraId="50A4D9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4198" w:type="dxa"/>
                  <w:noWrap w:val="0"/>
                  <w:vAlign w:val="center"/>
                </w:tcPr>
                <w:p w14:paraId="280327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color w:val="auto"/>
                      <w:kern w:val="0"/>
                      <w:sz w:val="21"/>
                      <w:szCs w:val="21"/>
                      <w:lang w:val="en-US" w:eastAsia="zh-CN"/>
                    </w:rPr>
                  </w:pPr>
                  <w:r>
                    <w:rPr>
                      <w:rFonts w:hint="eastAsia"/>
                      <w:color w:val="auto"/>
                      <w:kern w:val="0"/>
                      <w:sz w:val="21"/>
                      <w:szCs w:val="21"/>
                      <w:lang w:val="en-US" w:eastAsia="zh-CN"/>
                    </w:rPr>
                    <w:t>生活垃圾收集后交由环卫部门清运</w:t>
                  </w:r>
                </w:p>
              </w:tc>
              <w:tc>
                <w:tcPr>
                  <w:tcW w:w="966" w:type="dxa"/>
                  <w:noWrap w:val="0"/>
                  <w:vAlign w:val="center"/>
                </w:tcPr>
                <w:p w14:paraId="68B5F8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0.5</w:t>
                  </w:r>
                </w:p>
              </w:tc>
              <w:tc>
                <w:tcPr>
                  <w:tcW w:w="1045" w:type="dxa"/>
                  <w:noWrap w:val="0"/>
                  <w:vAlign w:val="center"/>
                </w:tcPr>
                <w:p w14:paraId="095DB9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0.5</w:t>
                  </w:r>
                </w:p>
              </w:tc>
              <w:tc>
                <w:tcPr>
                  <w:tcW w:w="1044" w:type="dxa"/>
                  <w:noWrap w:val="0"/>
                  <w:vAlign w:val="center"/>
                </w:tcPr>
                <w:p w14:paraId="6A4DA4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新建</w:t>
                  </w:r>
                </w:p>
              </w:tc>
            </w:tr>
            <w:tr w14:paraId="024D6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113EC9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858" w:type="dxa"/>
                  <w:noWrap w:val="0"/>
                  <w:vAlign w:val="center"/>
                </w:tcPr>
                <w:p w14:paraId="1261F6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废气</w:t>
                  </w:r>
                </w:p>
              </w:tc>
              <w:tc>
                <w:tcPr>
                  <w:tcW w:w="4198" w:type="dxa"/>
                  <w:noWrap w:val="0"/>
                  <w:vAlign w:val="center"/>
                </w:tcPr>
                <w:p w14:paraId="6A79E6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color w:val="auto"/>
                      <w:kern w:val="0"/>
                      <w:sz w:val="21"/>
                      <w:szCs w:val="21"/>
                      <w:lang w:val="en-US" w:eastAsia="zh-CN"/>
                    </w:rPr>
                  </w:pPr>
                  <w:r>
                    <w:rPr>
                      <w:rFonts w:hint="eastAsia"/>
                      <w:color w:val="auto"/>
                      <w:kern w:val="0"/>
                      <w:sz w:val="21"/>
                      <w:szCs w:val="21"/>
                      <w:lang w:val="en-US" w:eastAsia="zh-CN"/>
                    </w:rPr>
                    <w:t>洒水降尘、运输车辆封闭、加强管理</w:t>
                  </w:r>
                </w:p>
              </w:tc>
              <w:tc>
                <w:tcPr>
                  <w:tcW w:w="966" w:type="dxa"/>
                  <w:noWrap w:val="0"/>
                  <w:vAlign w:val="center"/>
                </w:tcPr>
                <w:p w14:paraId="4C8064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1</w:t>
                  </w:r>
                </w:p>
              </w:tc>
              <w:tc>
                <w:tcPr>
                  <w:tcW w:w="1045" w:type="dxa"/>
                  <w:noWrap w:val="0"/>
                  <w:vAlign w:val="center"/>
                </w:tcPr>
                <w:p w14:paraId="11BF19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1</w:t>
                  </w:r>
                </w:p>
              </w:tc>
              <w:tc>
                <w:tcPr>
                  <w:tcW w:w="1044" w:type="dxa"/>
                  <w:noWrap w:val="0"/>
                  <w:vAlign w:val="center"/>
                </w:tcPr>
                <w:p w14:paraId="19CCC0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新建</w:t>
                  </w:r>
                </w:p>
              </w:tc>
            </w:tr>
            <w:tr w14:paraId="706F3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56594F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858" w:type="dxa"/>
                  <w:noWrap w:val="0"/>
                  <w:vAlign w:val="center"/>
                </w:tcPr>
                <w:p w14:paraId="2F6018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噪声</w:t>
                  </w:r>
                </w:p>
              </w:tc>
              <w:tc>
                <w:tcPr>
                  <w:tcW w:w="4198" w:type="dxa"/>
                  <w:noWrap w:val="0"/>
                  <w:vAlign w:val="center"/>
                </w:tcPr>
                <w:p w14:paraId="55E371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color w:val="auto"/>
                      <w:kern w:val="0"/>
                      <w:sz w:val="21"/>
                      <w:szCs w:val="21"/>
                      <w:lang w:val="en-US" w:eastAsia="zh-CN"/>
                    </w:rPr>
                  </w:pPr>
                  <w:r>
                    <w:rPr>
                      <w:rFonts w:hint="eastAsia"/>
                      <w:color w:val="auto"/>
                      <w:kern w:val="0"/>
                      <w:sz w:val="21"/>
                      <w:szCs w:val="21"/>
                      <w:lang w:val="en-US" w:eastAsia="zh-CN"/>
                    </w:rPr>
                    <w:t>合理安排施工供气，使用低噪声设备</w:t>
                  </w:r>
                </w:p>
              </w:tc>
              <w:tc>
                <w:tcPr>
                  <w:tcW w:w="966" w:type="dxa"/>
                  <w:noWrap w:val="0"/>
                  <w:vAlign w:val="center"/>
                </w:tcPr>
                <w:p w14:paraId="37EED4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4</w:t>
                  </w:r>
                </w:p>
              </w:tc>
              <w:tc>
                <w:tcPr>
                  <w:tcW w:w="1045" w:type="dxa"/>
                  <w:noWrap w:val="0"/>
                  <w:vAlign w:val="center"/>
                </w:tcPr>
                <w:p w14:paraId="530F43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4</w:t>
                  </w:r>
                </w:p>
              </w:tc>
              <w:tc>
                <w:tcPr>
                  <w:tcW w:w="1044" w:type="dxa"/>
                  <w:noWrap w:val="0"/>
                  <w:vAlign w:val="center"/>
                </w:tcPr>
                <w:p w14:paraId="486DF9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新建</w:t>
                  </w:r>
                </w:p>
              </w:tc>
            </w:tr>
            <w:tr w14:paraId="01E32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559E9E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p>
              </w:tc>
              <w:tc>
                <w:tcPr>
                  <w:tcW w:w="858" w:type="dxa"/>
                  <w:noWrap w:val="0"/>
                  <w:vAlign w:val="center"/>
                </w:tcPr>
                <w:p w14:paraId="070E8F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施工场地</w:t>
                  </w:r>
                </w:p>
              </w:tc>
              <w:tc>
                <w:tcPr>
                  <w:tcW w:w="4198" w:type="dxa"/>
                  <w:noWrap w:val="0"/>
                  <w:vAlign w:val="center"/>
                </w:tcPr>
                <w:p w14:paraId="13C6FD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color w:val="auto"/>
                      <w:kern w:val="0"/>
                      <w:sz w:val="21"/>
                      <w:szCs w:val="21"/>
                      <w:lang w:val="en-US" w:eastAsia="zh-CN"/>
                    </w:rPr>
                  </w:pPr>
                  <w:r>
                    <w:rPr>
                      <w:rFonts w:hint="eastAsia"/>
                      <w:color w:val="auto"/>
                      <w:kern w:val="0"/>
                      <w:sz w:val="21"/>
                      <w:szCs w:val="21"/>
                      <w:lang w:val="en-US" w:eastAsia="zh-CN"/>
                    </w:rPr>
                    <w:t>加强管理，合理作业</w:t>
                  </w:r>
                </w:p>
              </w:tc>
              <w:tc>
                <w:tcPr>
                  <w:tcW w:w="966" w:type="dxa"/>
                  <w:noWrap w:val="0"/>
                  <w:vAlign w:val="center"/>
                </w:tcPr>
                <w:p w14:paraId="4F8B1C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w:t>
                  </w:r>
                </w:p>
              </w:tc>
              <w:tc>
                <w:tcPr>
                  <w:tcW w:w="1045" w:type="dxa"/>
                  <w:noWrap w:val="0"/>
                  <w:vAlign w:val="center"/>
                </w:tcPr>
                <w:p w14:paraId="433BF2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w:t>
                  </w:r>
                </w:p>
              </w:tc>
              <w:tc>
                <w:tcPr>
                  <w:tcW w:w="1044" w:type="dxa"/>
                  <w:noWrap w:val="0"/>
                  <w:vAlign w:val="center"/>
                </w:tcPr>
                <w:p w14:paraId="6EBF4B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val="en-US" w:eastAsia="zh-CN"/>
                    </w:rPr>
                    <w:t>/</w:t>
                  </w:r>
                </w:p>
              </w:tc>
            </w:tr>
            <w:tr w14:paraId="74C1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restart"/>
                  <w:noWrap w:val="0"/>
                  <w:vAlign w:val="center"/>
                </w:tcPr>
                <w:p w14:paraId="003997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eastAsia="zh-CN"/>
                    </w:rPr>
                  </w:pPr>
                  <w:r>
                    <w:rPr>
                      <w:rFonts w:hint="eastAsia"/>
                      <w:color w:val="auto"/>
                      <w:kern w:val="0"/>
                      <w:sz w:val="21"/>
                      <w:szCs w:val="21"/>
                      <w:lang w:eastAsia="zh-CN"/>
                    </w:rPr>
                    <w:t>营运期</w:t>
                  </w:r>
                </w:p>
              </w:tc>
              <w:tc>
                <w:tcPr>
                  <w:tcW w:w="858" w:type="dxa"/>
                  <w:vMerge w:val="restart"/>
                  <w:noWrap w:val="0"/>
                  <w:vAlign w:val="center"/>
                </w:tcPr>
                <w:p w14:paraId="13B58D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eastAsia="zh-CN"/>
                    </w:rPr>
                  </w:pPr>
                  <w:r>
                    <w:rPr>
                      <w:rFonts w:hint="eastAsia"/>
                      <w:color w:val="auto"/>
                      <w:kern w:val="0"/>
                      <w:sz w:val="21"/>
                      <w:szCs w:val="21"/>
                      <w:lang w:eastAsia="zh-CN"/>
                    </w:rPr>
                    <w:t>废气</w:t>
                  </w:r>
                </w:p>
              </w:tc>
              <w:tc>
                <w:tcPr>
                  <w:tcW w:w="4198" w:type="dxa"/>
                  <w:noWrap w:val="0"/>
                  <w:vAlign w:val="center"/>
                </w:tcPr>
                <w:p w14:paraId="29C6A78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eastAsia="宋体"/>
                      <w:color w:val="auto"/>
                      <w:kern w:val="0"/>
                      <w:sz w:val="21"/>
                      <w:szCs w:val="21"/>
                      <w:lang w:val="en-US" w:eastAsia="zh-CN"/>
                    </w:rPr>
                  </w:pPr>
                  <w:r>
                    <w:rPr>
                      <w:rFonts w:hint="eastAsia"/>
                      <w:color w:val="auto"/>
                      <w:kern w:val="0"/>
                      <w:sz w:val="21"/>
                      <w:szCs w:val="21"/>
                      <w:lang w:val="en-US" w:eastAsia="zh-CN"/>
                    </w:rPr>
                    <w:t>1#生产车间油烟异味经水喷淋+油烟净化器处理后经15m排气筒排放</w:t>
                  </w:r>
                </w:p>
              </w:tc>
              <w:tc>
                <w:tcPr>
                  <w:tcW w:w="966" w:type="dxa"/>
                  <w:noWrap w:val="0"/>
                  <w:vAlign w:val="center"/>
                </w:tcPr>
                <w:p w14:paraId="7FB454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5</w:t>
                  </w:r>
                </w:p>
              </w:tc>
              <w:tc>
                <w:tcPr>
                  <w:tcW w:w="1045" w:type="dxa"/>
                  <w:noWrap w:val="0"/>
                  <w:vAlign w:val="center"/>
                </w:tcPr>
                <w:p w14:paraId="0B298E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5</w:t>
                  </w:r>
                </w:p>
              </w:tc>
              <w:tc>
                <w:tcPr>
                  <w:tcW w:w="1044" w:type="dxa"/>
                  <w:noWrap w:val="0"/>
                  <w:vAlign w:val="center"/>
                </w:tcPr>
                <w:p w14:paraId="2B1491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eastAsia="zh-CN"/>
                    </w:rPr>
                  </w:pPr>
                  <w:r>
                    <w:rPr>
                      <w:rFonts w:hint="eastAsia"/>
                      <w:color w:val="auto"/>
                      <w:kern w:val="0"/>
                      <w:sz w:val="21"/>
                      <w:szCs w:val="21"/>
                      <w:lang w:val="en-US" w:eastAsia="zh-CN"/>
                    </w:rPr>
                    <w:t>利旧/</w:t>
                  </w:r>
                  <w:r>
                    <w:rPr>
                      <w:rFonts w:hint="eastAsia"/>
                      <w:color w:val="auto"/>
                      <w:kern w:val="0"/>
                      <w:sz w:val="21"/>
                      <w:szCs w:val="21"/>
                      <w:lang w:eastAsia="zh-CN"/>
                    </w:rPr>
                    <w:t>新建</w:t>
                  </w:r>
                </w:p>
              </w:tc>
            </w:tr>
            <w:tr w14:paraId="3D77B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354173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vMerge w:val="continue"/>
                  <w:tcBorders/>
                  <w:noWrap w:val="0"/>
                  <w:vAlign w:val="center"/>
                </w:tcPr>
                <w:p w14:paraId="2133A5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4198" w:type="dxa"/>
                  <w:noWrap w:val="0"/>
                  <w:vAlign w:val="center"/>
                </w:tcPr>
                <w:p w14:paraId="6FFC33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ascii="Times New Roman" w:hAnsi="Times New Roman" w:eastAsia="宋体" w:cs="Times New Roman"/>
                      <w:color w:val="auto"/>
                      <w:kern w:val="0"/>
                      <w:sz w:val="21"/>
                      <w:szCs w:val="21"/>
                      <w:lang w:val="en-US" w:eastAsia="zh-CN"/>
                    </w:rPr>
                  </w:pPr>
                  <w:r>
                    <w:rPr>
                      <w:rFonts w:hint="eastAsia"/>
                      <w:color w:val="auto"/>
                      <w:kern w:val="0"/>
                      <w:sz w:val="21"/>
                      <w:szCs w:val="21"/>
                      <w:lang w:val="en-US" w:eastAsia="zh-CN"/>
                    </w:rPr>
                    <w:t>2#生产车间油烟异味经水喷淋+油烟净化器处理后经15m排气筒排放</w:t>
                  </w:r>
                </w:p>
              </w:tc>
              <w:tc>
                <w:tcPr>
                  <w:tcW w:w="966" w:type="dxa"/>
                  <w:noWrap w:val="0"/>
                  <w:vAlign w:val="center"/>
                </w:tcPr>
                <w:p w14:paraId="3D7061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20</w:t>
                  </w:r>
                </w:p>
              </w:tc>
              <w:tc>
                <w:tcPr>
                  <w:tcW w:w="1045" w:type="dxa"/>
                  <w:noWrap w:val="0"/>
                  <w:vAlign w:val="center"/>
                </w:tcPr>
                <w:p w14:paraId="5B1DEA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20</w:t>
                  </w:r>
                </w:p>
              </w:tc>
              <w:tc>
                <w:tcPr>
                  <w:tcW w:w="1044" w:type="dxa"/>
                  <w:noWrap w:val="0"/>
                  <w:vAlign w:val="center"/>
                </w:tcPr>
                <w:p w14:paraId="34070C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新建</w:t>
                  </w:r>
                </w:p>
              </w:tc>
            </w:tr>
            <w:tr w14:paraId="53047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2B8EAC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vMerge w:val="continue"/>
                  <w:tcBorders/>
                  <w:noWrap w:val="0"/>
                  <w:vAlign w:val="center"/>
                </w:tcPr>
                <w:p w14:paraId="36BE5E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4198" w:type="dxa"/>
                  <w:noWrap w:val="0"/>
                  <w:vAlign w:val="center"/>
                </w:tcPr>
                <w:p w14:paraId="2AFFBA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2#研发实验室油烟经油烟净化器处理后引至屋顶排放</w:t>
                  </w:r>
                </w:p>
              </w:tc>
              <w:tc>
                <w:tcPr>
                  <w:tcW w:w="966" w:type="dxa"/>
                  <w:noWrap w:val="0"/>
                  <w:vAlign w:val="center"/>
                </w:tcPr>
                <w:p w14:paraId="1952D7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w:t>
                  </w:r>
                </w:p>
              </w:tc>
              <w:tc>
                <w:tcPr>
                  <w:tcW w:w="1045" w:type="dxa"/>
                  <w:noWrap w:val="0"/>
                  <w:vAlign w:val="center"/>
                </w:tcPr>
                <w:p w14:paraId="66E63C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2</w:t>
                  </w:r>
                </w:p>
              </w:tc>
              <w:tc>
                <w:tcPr>
                  <w:tcW w:w="1044" w:type="dxa"/>
                  <w:noWrap w:val="0"/>
                  <w:vAlign w:val="center"/>
                </w:tcPr>
                <w:p w14:paraId="2A6F5E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新建</w:t>
                  </w:r>
                </w:p>
              </w:tc>
            </w:tr>
            <w:tr w14:paraId="79882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456BA1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vMerge w:val="continue"/>
                  <w:tcBorders/>
                  <w:noWrap w:val="0"/>
                  <w:vAlign w:val="center"/>
                </w:tcPr>
                <w:p w14:paraId="787376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4198" w:type="dxa"/>
                  <w:noWrap w:val="0"/>
                  <w:vAlign w:val="center"/>
                </w:tcPr>
                <w:p w14:paraId="57F098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食堂油烟经油烟净化处理设备处理后，从厨房排气管道引至屋顶排放</w:t>
                  </w:r>
                </w:p>
              </w:tc>
              <w:tc>
                <w:tcPr>
                  <w:tcW w:w="966" w:type="dxa"/>
                  <w:noWrap w:val="0"/>
                  <w:vAlign w:val="center"/>
                </w:tcPr>
                <w:p w14:paraId="075233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2</w:t>
                  </w:r>
                </w:p>
              </w:tc>
              <w:tc>
                <w:tcPr>
                  <w:tcW w:w="1045" w:type="dxa"/>
                  <w:noWrap w:val="0"/>
                  <w:vAlign w:val="center"/>
                </w:tcPr>
                <w:p w14:paraId="19E973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0</w:t>
                  </w:r>
                </w:p>
              </w:tc>
              <w:tc>
                <w:tcPr>
                  <w:tcW w:w="1044" w:type="dxa"/>
                  <w:noWrap w:val="0"/>
                  <w:vAlign w:val="center"/>
                </w:tcPr>
                <w:p w14:paraId="1F8555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利旧</w:t>
                  </w:r>
                </w:p>
              </w:tc>
            </w:tr>
            <w:tr w14:paraId="4CF23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477B8BB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vMerge w:val="continue"/>
                  <w:tcBorders/>
                  <w:noWrap w:val="0"/>
                  <w:vAlign w:val="center"/>
                </w:tcPr>
                <w:p w14:paraId="0824FD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4198" w:type="dxa"/>
                  <w:noWrap w:val="0"/>
                  <w:vAlign w:val="center"/>
                </w:tcPr>
                <w:p w14:paraId="7D8D39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鸡精生产线粉尘采用集气罩+旋风除尘器+布袋除尘器处理后经排气筒排放。</w:t>
                  </w:r>
                </w:p>
              </w:tc>
              <w:tc>
                <w:tcPr>
                  <w:tcW w:w="966" w:type="dxa"/>
                  <w:noWrap w:val="0"/>
                  <w:vAlign w:val="center"/>
                </w:tcPr>
                <w:p w14:paraId="127ED1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10</w:t>
                  </w:r>
                </w:p>
              </w:tc>
              <w:tc>
                <w:tcPr>
                  <w:tcW w:w="1045" w:type="dxa"/>
                  <w:noWrap w:val="0"/>
                  <w:vAlign w:val="center"/>
                </w:tcPr>
                <w:p w14:paraId="750ED7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0</w:t>
                  </w:r>
                </w:p>
              </w:tc>
              <w:tc>
                <w:tcPr>
                  <w:tcW w:w="1044" w:type="dxa"/>
                  <w:noWrap w:val="0"/>
                  <w:vAlign w:val="center"/>
                </w:tcPr>
                <w:p w14:paraId="4392D5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eastAsia="zh-CN"/>
                    </w:rPr>
                  </w:pPr>
                  <w:r>
                    <w:rPr>
                      <w:rFonts w:hint="eastAsia"/>
                      <w:color w:val="auto"/>
                      <w:kern w:val="0"/>
                      <w:sz w:val="21"/>
                      <w:szCs w:val="21"/>
                      <w:lang w:eastAsia="zh-CN"/>
                    </w:rPr>
                    <w:t>未建</w:t>
                  </w:r>
                </w:p>
              </w:tc>
            </w:tr>
            <w:tr w14:paraId="7BE7F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54" w:type="dxa"/>
                  <w:vMerge w:val="continue"/>
                  <w:noWrap w:val="0"/>
                  <w:vAlign w:val="center"/>
                </w:tcPr>
                <w:p w14:paraId="295600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noWrap w:val="0"/>
                  <w:vAlign w:val="center"/>
                </w:tcPr>
                <w:p w14:paraId="09FDE9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eastAsia="zh-CN"/>
                    </w:rPr>
                  </w:pPr>
                  <w:r>
                    <w:rPr>
                      <w:rFonts w:hint="eastAsia"/>
                      <w:color w:val="auto"/>
                      <w:kern w:val="0"/>
                      <w:sz w:val="21"/>
                      <w:szCs w:val="21"/>
                      <w:lang w:eastAsia="zh-CN"/>
                    </w:rPr>
                    <w:t>废水</w:t>
                  </w:r>
                </w:p>
              </w:tc>
              <w:tc>
                <w:tcPr>
                  <w:tcW w:w="4198" w:type="dxa"/>
                  <w:noWrap w:val="0"/>
                  <w:vAlign w:val="center"/>
                </w:tcPr>
                <w:p w14:paraId="5FC3E3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eastAsia="宋体"/>
                      <w:color w:val="auto"/>
                      <w:sz w:val="21"/>
                      <w:szCs w:val="21"/>
                      <w:lang w:val="en-US" w:eastAsia="zh-CN"/>
                    </w:rPr>
                  </w:pPr>
                  <w:r>
                    <w:rPr>
                      <w:rFonts w:hint="eastAsia"/>
                      <w:color w:val="auto"/>
                      <w:sz w:val="21"/>
                      <w:szCs w:val="21"/>
                      <w:lang w:val="en-US" w:eastAsia="zh-CN"/>
                    </w:rPr>
                    <w:t>厂区新建一座30m</w:t>
                  </w:r>
                  <w:r>
                    <w:rPr>
                      <w:rFonts w:hint="eastAsia"/>
                      <w:color w:val="auto"/>
                      <w:sz w:val="21"/>
                      <w:szCs w:val="21"/>
                      <w:vertAlign w:val="superscript"/>
                      <w:lang w:val="en-US" w:eastAsia="zh-CN"/>
                    </w:rPr>
                    <w:t>3</w:t>
                  </w:r>
                  <w:r>
                    <w:rPr>
                      <w:rFonts w:hint="eastAsia"/>
                      <w:color w:val="auto"/>
                      <w:sz w:val="21"/>
                      <w:szCs w:val="21"/>
                      <w:lang w:val="en-US" w:eastAsia="zh-CN"/>
                    </w:rPr>
                    <w:t>/d的污水处理站，处理工艺为活性污泥法。</w:t>
                  </w:r>
                </w:p>
              </w:tc>
              <w:tc>
                <w:tcPr>
                  <w:tcW w:w="966" w:type="dxa"/>
                  <w:noWrap w:val="0"/>
                  <w:vAlign w:val="center"/>
                </w:tcPr>
                <w:p w14:paraId="4C51C1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20</w:t>
                  </w:r>
                </w:p>
              </w:tc>
              <w:tc>
                <w:tcPr>
                  <w:tcW w:w="1045" w:type="dxa"/>
                  <w:noWrap w:val="0"/>
                  <w:vAlign w:val="center"/>
                </w:tcPr>
                <w:p w14:paraId="4F58E4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20</w:t>
                  </w:r>
                </w:p>
              </w:tc>
              <w:tc>
                <w:tcPr>
                  <w:tcW w:w="1044" w:type="dxa"/>
                  <w:noWrap w:val="0"/>
                  <w:vAlign w:val="center"/>
                </w:tcPr>
                <w:p w14:paraId="6C5B34E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lang w:val="en-US"/>
                    </w:rPr>
                  </w:pPr>
                  <w:r>
                    <w:rPr>
                      <w:rFonts w:hint="eastAsia"/>
                      <w:color w:val="auto"/>
                      <w:sz w:val="21"/>
                      <w:szCs w:val="21"/>
                      <w:lang w:eastAsia="zh-CN"/>
                    </w:rPr>
                    <w:t>新建</w:t>
                  </w:r>
                </w:p>
              </w:tc>
            </w:tr>
            <w:tr w14:paraId="1098A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4" w:type="dxa"/>
                  <w:vMerge w:val="continue"/>
                  <w:noWrap w:val="0"/>
                  <w:vAlign w:val="center"/>
                </w:tcPr>
                <w:p w14:paraId="4F6A46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vMerge w:val="restart"/>
                  <w:noWrap w:val="0"/>
                  <w:vAlign w:val="center"/>
                </w:tcPr>
                <w:p w14:paraId="1C39BE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r>
                    <w:rPr>
                      <w:rFonts w:hint="default"/>
                      <w:color w:val="auto"/>
                      <w:kern w:val="0"/>
                      <w:sz w:val="21"/>
                      <w:szCs w:val="21"/>
                    </w:rPr>
                    <w:t>固废</w:t>
                  </w:r>
                </w:p>
              </w:tc>
              <w:tc>
                <w:tcPr>
                  <w:tcW w:w="4198" w:type="dxa"/>
                  <w:noWrap w:val="0"/>
                  <w:vAlign w:val="center"/>
                </w:tcPr>
                <w:p w14:paraId="3448E5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eastAsia="宋体"/>
                      <w:color w:val="auto"/>
                      <w:sz w:val="21"/>
                      <w:szCs w:val="21"/>
                      <w:lang w:val="en-US" w:eastAsia="zh-CN"/>
                    </w:rPr>
                  </w:pPr>
                  <w:r>
                    <w:rPr>
                      <w:rFonts w:hint="eastAsia"/>
                      <w:color w:val="auto"/>
                      <w:sz w:val="21"/>
                      <w:szCs w:val="21"/>
                      <w:lang w:val="en-US" w:eastAsia="zh-CN"/>
                    </w:rPr>
                    <w:t>在厂区西北侧新建一间料渣堆放间、一间废纸皮储存间、一间垃圾房用于厂区料渣、废包装材料以及垃圾的储存。</w:t>
                  </w:r>
                </w:p>
              </w:tc>
              <w:tc>
                <w:tcPr>
                  <w:tcW w:w="966" w:type="dxa"/>
                  <w:noWrap w:val="0"/>
                  <w:vAlign w:val="center"/>
                </w:tcPr>
                <w:p w14:paraId="06CAE7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10</w:t>
                  </w:r>
                </w:p>
              </w:tc>
              <w:tc>
                <w:tcPr>
                  <w:tcW w:w="1045" w:type="dxa"/>
                  <w:noWrap w:val="0"/>
                  <w:vAlign w:val="center"/>
                </w:tcPr>
                <w:p w14:paraId="65870C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10</w:t>
                  </w:r>
                </w:p>
              </w:tc>
              <w:tc>
                <w:tcPr>
                  <w:tcW w:w="1044" w:type="dxa"/>
                  <w:noWrap w:val="0"/>
                  <w:vAlign w:val="center"/>
                </w:tcPr>
                <w:p w14:paraId="33F234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新建</w:t>
                  </w:r>
                </w:p>
              </w:tc>
            </w:tr>
            <w:tr w14:paraId="4A7C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854" w:type="dxa"/>
                  <w:vMerge w:val="continue"/>
                  <w:noWrap w:val="0"/>
                  <w:vAlign w:val="center"/>
                </w:tcPr>
                <w:p w14:paraId="2C3BFD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vMerge w:val="continue"/>
                  <w:noWrap w:val="0"/>
                  <w:vAlign w:val="center"/>
                </w:tcPr>
                <w:p w14:paraId="20CFCD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4198" w:type="dxa"/>
                  <w:noWrap w:val="0"/>
                  <w:vAlign w:val="center"/>
                </w:tcPr>
                <w:p w14:paraId="163544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eastAsia="宋体"/>
                      <w:color w:val="auto"/>
                      <w:sz w:val="21"/>
                      <w:szCs w:val="21"/>
                      <w:lang w:eastAsia="zh-CN"/>
                    </w:rPr>
                  </w:pPr>
                  <w:r>
                    <w:rPr>
                      <w:rFonts w:hint="eastAsia"/>
                      <w:color w:val="auto"/>
                      <w:sz w:val="21"/>
                      <w:szCs w:val="21"/>
                      <w:lang w:eastAsia="zh-CN"/>
                    </w:rPr>
                    <w:t>厂区西北侧有一间危废暂存间用于储存危险废物。</w:t>
                  </w:r>
                </w:p>
              </w:tc>
              <w:tc>
                <w:tcPr>
                  <w:tcW w:w="966" w:type="dxa"/>
                  <w:noWrap w:val="0"/>
                  <w:vAlign w:val="center"/>
                </w:tcPr>
                <w:p w14:paraId="1CE39D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w:t>
                  </w:r>
                </w:p>
              </w:tc>
              <w:tc>
                <w:tcPr>
                  <w:tcW w:w="1045" w:type="dxa"/>
                  <w:noWrap w:val="0"/>
                  <w:vAlign w:val="center"/>
                </w:tcPr>
                <w:p w14:paraId="5DE1C5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3</w:t>
                  </w:r>
                </w:p>
              </w:tc>
              <w:tc>
                <w:tcPr>
                  <w:tcW w:w="1044" w:type="dxa"/>
                  <w:noWrap w:val="0"/>
                  <w:vAlign w:val="center"/>
                </w:tcPr>
                <w:p w14:paraId="17E29D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rPr>
                  </w:pPr>
                  <w:r>
                    <w:rPr>
                      <w:rFonts w:hint="eastAsia"/>
                      <w:color w:val="auto"/>
                      <w:kern w:val="0"/>
                      <w:sz w:val="21"/>
                      <w:szCs w:val="21"/>
                      <w:lang w:val="en-US" w:eastAsia="zh-CN"/>
                    </w:rPr>
                    <w:t>新建</w:t>
                  </w:r>
                </w:p>
              </w:tc>
            </w:tr>
            <w:tr w14:paraId="157F3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54" w:type="dxa"/>
                  <w:vMerge w:val="continue"/>
                  <w:noWrap w:val="0"/>
                  <w:vAlign w:val="center"/>
                </w:tcPr>
                <w:p w14:paraId="68CE45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noWrap w:val="0"/>
                  <w:vAlign w:val="center"/>
                </w:tcPr>
                <w:p w14:paraId="4D34E8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r>
                    <w:rPr>
                      <w:rFonts w:hint="default"/>
                      <w:color w:val="auto"/>
                      <w:kern w:val="0"/>
                      <w:sz w:val="21"/>
                      <w:szCs w:val="21"/>
                    </w:rPr>
                    <w:t>噪声</w:t>
                  </w:r>
                </w:p>
              </w:tc>
              <w:tc>
                <w:tcPr>
                  <w:tcW w:w="4198" w:type="dxa"/>
                  <w:noWrap w:val="0"/>
                  <w:vAlign w:val="center"/>
                </w:tcPr>
                <w:p w14:paraId="3BA45B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color w:val="auto"/>
                      <w:kern w:val="0"/>
                      <w:sz w:val="21"/>
                      <w:szCs w:val="21"/>
                    </w:rPr>
                  </w:pPr>
                  <w:r>
                    <w:rPr>
                      <w:rFonts w:hint="default"/>
                      <w:color w:val="auto"/>
                      <w:kern w:val="0"/>
                      <w:sz w:val="21"/>
                      <w:szCs w:val="21"/>
                    </w:rPr>
                    <w:t>选用低噪声设备、加装减震垫、墙体隔声</w:t>
                  </w:r>
                </w:p>
              </w:tc>
              <w:tc>
                <w:tcPr>
                  <w:tcW w:w="966" w:type="dxa"/>
                  <w:noWrap w:val="0"/>
                  <w:vAlign w:val="center"/>
                </w:tcPr>
                <w:p w14:paraId="0A5951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w:t>
                  </w:r>
                </w:p>
              </w:tc>
              <w:tc>
                <w:tcPr>
                  <w:tcW w:w="1045" w:type="dxa"/>
                  <w:noWrap w:val="0"/>
                  <w:vAlign w:val="center"/>
                </w:tcPr>
                <w:p w14:paraId="0A358C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2</w:t>
                  </w:r>
                </w:p>
              </w:tc>
              <w:tc>
                <w:tcPr>
                  <w:tcW w:w="1044" w:type="dxa"/>
                  <w:noWrap w:val="0"/>
                  <w:vAlign w:val="center"/>
                </w:tcPr>
                <w:p w14:paraId="705468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依托</w:t>
                  </w:r>
                </w:p>
              </w:tc>
            </w:tr>
            <w:tr w14:paraId="00F21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54" w:type="dxa"/>
                  <w:vMerge w:val="continue"/>
                  <w:noWrap w:val="0"/>
                  <w:vAlign w:val="center"/>
                </w:tcPr>
                <w:p w14:paraId="758281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p>
              </w:tc>
              <w:tc>
                <w:tcPr>
                  <w:tcW w:w="858" w:type="dxa"/>
                  <w:noWrap w:val="0"/>
                  <w:vAlign w:val="center"/>
                </w:tcPr>
                <w:p w14:paraId="276965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val="en-US" w:eastAsia="zh-CN"/>
                    </w:rPr>
                  </w:pPr>
                  <w:r>
                    <w:rPr>
                      <w:rFonts w:hint="eastAsia" w:eastAsia="宋体"/>
                      <w:color w:val="auto"/>
                      <w:kern w:val="0"/>
                      <w:sz w:val="21"/>
                      <w:szCs w:val="21"/>
                      <w:lang w:val="en-US" w:eastAsia="zh-CN"/>
                    </w:rPr>
                    <w:t>地下水</w:t>
                  </w:r>
                </w:p>
              </w:tc>
              <w:tc>
                <w:tcPr>
                  <w:tcW w:w="4198" w:type="dxa"/>
                  <w:noWrap w:val="0"/>
                  <w:vAlign w:val="center"/>
                </w:tcPr>
                <w:p w14:paraId="4A5D92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eastAsia="宋体"/>
                      <w:color w:val="auto"/>
                      <w:kern w:val="0"/>
                      <w:sz w:val="21"/>
                      <w:szCs w:val="21"/>
                      <w:lang w:val="en-US" w:eastAsia="zh-CN"/>
                    </w:rPr>
                  </w:pPr>
                  <w:r>
                    <w:rPr>
                      <w:rFonts w:hint="eastAsia"/>
                      <w:color w:val="auto"/>
                      <w:kern w:val="0"/>
                      <w:sz w:val="21"/>
                      <w:szCs w:val="21"/>
                      <w:lang w:val="en-US" w:eastAsia="zh-CN"/>
                    </w:rPr>
                    <w:t>对油罐区、危废暂存间、污水处理站进行重点防渗</w:t>
                  </w:r>
                </w:p>
              </w:tc>
              <w:tc>
                <w:tcPr>
                  <w:tcW w:w="966" w:type="dxa"/>
                  <w:noWrap w:val="0"/>
                  <w:vAlign w:val="center"/>
                </w:tcPr>
                <w:p w14:paraId="41099F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lang w:val="en-US" w:eastAsia="zh-CN"/>
                    </w:rPr>
                  </w:pPr>
                  <w:r>
                    <w:rPr>
                      <w:rFonts w:hint="eastAsia"/>
                      <w:color w:val="auto"/>
                      <w:kern w:val="0"/>
                      <w:sz w:val="21"/>
                      <w:szCs w:val="21"/>
                      <w:lang w:val="en-US" w:eastAsia="zh-CN"/>
                    </w:rPr>
                    <w:t>/</w:t>
                  </w:r>
                </w:p>
              </w:tc>
              <w:tc>
                <w:tcPr>
                  <w:tcW w:w="1045" w:type="dxa"/>
                  <w:noWrap w:val="0"/>
                  <w:vAlign w:val="center"/>
                </w:tcPr>
                <w:p w14:paraId="22C6354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0"/>
                      <w:sz w:val="21"/>
                      <w:szCs w:val="21"/>
                      <w:lang w:val="en-US" w:eastAsia="zh-CN"/>
                    </w:rPr>
                  </w:pPr>
                  <w:r>
                    <w:rPr>
                      <w:rFonts w:hint="eastAsia"/>
                      <w:color w:val="auto"/>
                      <w:kern w:val="0"/>
                      <w:sz w:val="21"/>
                      <w:szCs w:val="21"/>
                      <w:lang w:val="en-US" w:eastAsia="zh-CN"/>
                    </w:rPr>
                    <w:t>2</w:t>
                  </w:r>
                </w:p>
              </w:tc>
              <w:tc>
                <w:tcPr>
                  <w:tcW w:w="1044" w:type="dxa"/>
                  <w:noWrap w:val="0"/>
                  <w:vAlign w:val="center"/>
                </w:tcPr>
                <w:p w14:paraId="52DEF1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val="en-US" w:eastAsia="zh-CN"/>
                    </w:rPr>
                  </w:pPr>
                  <w:r>
                    <w:rPr>
                      <w:rFonts w:hint="eastAsia"/>
                      <w:color w:val="auto"/>
                      <w:kern w:val="0"/>
                      <w:sz w:val="21"/>
                      <w:szCs w:val="21"/>
                      <w:lang w:val="en-US" w:eastAsia="zh-CN"/>
                    </w:rPr>
                    <w:t>新建</w:t>
                  </w:r>
                </w:p>
              </w:tc>
            </w:tr>
            <w:tr w14:paraId="78AEC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5910" w:type="dxa"/>
                  <w:gridSpan w:val="3"/>
                  <w:noWrap w:val="0"/>
                  <w:vAlign w:val="center"/>
                </w:tcPr>
                <w:p w14:paraId="2566DA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kern w:val="0"/>
                      <w:sz w:val="21"/>
                      <w:szCs w:val="21"/>
                    </w:rPr>
                  </w:pPr>
                  <w:r>
                    <w:rPr>
                      <w:rFonts w:hint="eastAsia"/>
                      <w:color w:val="auto"/>
                      <w:kern w:val="0"/>
                      <w:sz w:val="21"/>
                      <w:szCs w:val="21"/>
                    </w:rPr>
                    <w:t>合计</w:t>
                  </w:r>
                </w:p>
              </w:tc>
              <w:tc>
                <w:tcPr>
                  <w:tcW w:w="966" w:type="dxa"/>
                  <w:noWrap w:val="0"/>
                  <w:vAlign w:val="center"/>
                </w:tcPr>
                <w:p w14:paraId="3320EC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75.5</w:t>
                  </w:r>
                </w:p>
              </w:tc>
              <w:tc>
                <w:tcPr>
                  <w:tcW w:w="1045" w:type="dxa"/>
                  <w:noWrap w:val="0"/>
                  <w:vAlign w:val="center"/>
                </w:tcPr>
                <w:p w14:paraId="2154BF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kern w:val="0"/>
                      <w:sz w:val="21"/>
                      <w:szCs w:val="21"/>
                      <w:lang w:val="en-US" w:eastAsia="zh-CN"/>
                    </w:rPr>
                  </w:pPr>
                  <w:r>
                    <w:rPr>
                      <w:rFonts w:hint="eastAsia"/>
                      <w:color w:val="auto"/>
                      <w:kern w:val="0"/>
                      <w:sz w:val="21"/>
                      <w:szCs w:val="21"/>
                      <w:lang w:val="en-US" w:eastAsia="zh-CN"/>
                    </w:rPr>
                    <w:t>70.5</w:t>
                  </w:r>
                </w:p>
              </w:tc>
              <w:tc>
                <w:tcPr>
                  <w:tcW w:w="1044" w:type="dxa"/>
                  <w:noWrap w:val="0"/>
                  <w:vAlign w:val="center"/>
                </w:tcPr>
                <w:p w14:paraId="1E73AD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0"/>
                      <w:sz w:val="21"/>
                      <w:szCs w:val="21"/>
                      <w:lang w:val="en-US" w:eastAsia="zh-CN"/>
                    </w:rPr>
                  </w:pPr>
                  <w:r>
                    <w:rPr>
                      <w:rFonts w:hint="eastAsia"/>
                      <w:color w:val="auto"/>
                      <w:kern w:val="0"/>
                      <w:sz w:val="21"/>
                      <w:szCs w:val="21"/>
                      <w:lang w:val="en-US" w:eastAsia="zh-CN"/>
                    </w:rPr>
                    <w:t>/</w:t>
                  </w:r>
                </w:p>
              </w:tc>
            </w:tr>
          </w:tbl>
          <w:p w14:paraId="22870174">
            <w:pPr>
              <w:pStyle w:val="2"/>
              <w:rPr>
                <w:color w:val="auto"/>
              </w:rPr>
            </w:pPr>
          </w:p>
        </w:tc>
      </w:tr>
    </w:tbl>
    <w:p w14:paraId="2C021282">
      <w:pPr>
        <w:rPr>
          <w:color w:val="auto"/>
        </w:rPr>
      </w:pPr>
    </w:p>
    <w:p w14:paraId="445E0F36">
      <w:pPr>
        <w:ind w:firstLine="480"/>
        <w:rPr>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03637BB3">
      <w:pPr>
        <w:pStyle w:val="3"/>
        <w:rPr>
          <w:color w:val="auto"/>
        </w:rPr>
      </w:pPr>
      <w:bookmarkStart w:id="11" w:name="_Toc9130"/>
      <w:bookmarkStart w:id="12" w:name="_Toc519594903"/>
      <w:bookmarkStart w:id="13" w:name="_Toc519515359"/>
      <w:r>
        <w:rPr>
          <w:rFonts w:hint="eastAsia"/>
          <w:color w:val="auto"/>
        </w:rPr>
        <w:t>表四</w:t>
      </w:r>
      <w:r>
        <w:rPr>
          <w:color w:val="auto"/>
        </w:rPr>
        <w:t xml:space="preserve">  </w:t>
      </w:r>
      <w:r>
        <w:rPr>
          <w:rFonts w:hint="eastAsia"/>
          <w:color w:val="auto"/>
        </w:rPr>
        <w:t>建设项目环境影响报告表主要结论及审批部门审批决定</w:t>
      </w:r>
      <w:bookmarkEnd w:id="11"/>
      <w:bookmarkEnd w:id="12"/>
      <w:bookmarkEnd w:id="13"/>
    </w:p>
    <w:tbl>
      <w:tblPr>
        <w:tblStyle w:val="27"/>
        <w:tblW w:w="9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4"/>
      </w:tblGrid>
      <w:tr w14:paraId="38638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4" w:type="dxa"/>
            <w:vAlign w:val="top"/>
          </w:tcPr>
          <w:p w14:paraId="297824E0">
            <w:pPr>
              <w:pStyle w:val="4"/>
              <w:keepNext w:val="0"/>
              <w:keepLines w:val="0"/>
              <w:suppressLineNumbers w:val="0"/>
              <w:spacing w:before="0" w:beforeLines="0" w:beforeAutospacing="0" w:after="0" w:afterLines="0" w:afterAutospacing="0"/>
              <w:ind w:left="0" w:right="0"/>
              <w:rPr>
                <w:rFonts w:hint="default" w:ascii="Times New Roman" w:hAnsi="Times New Roman" w:eastAsia="宋体"/>
                <w:color w:val="auto"/>
                <w:sz w:val="28"/>
                <w:szCs w:val="28"/>
              </w:rPr>
            </w:pPr>
            <w:r>
              <w:rPr>
                <w:rFonts w:hint="eastAsia" w:ascii="Times New Roman" w:hAnsi="Times New Roman" w:eastAsia="宋体"/>
                <w:color w:val="auto"/>
                <w:sz w:val="28"/>
                <w:szCs w:val="28"/>
              </w:rPr>
              <w:t>一、建设项目环评报告表的主要结论与建议</w:t>
            </w:r>
          </w:p>
          <w:p w14:paraId="6A6F3A97">
            <w:pPr>
              <w:pStyle w:val="5"/>
              <w:keepNext w:val="0"/>
              <w:keepLines w:val="0"/>
              <w:suppressLineNumbers w:val="0"/>
              <w:spacing w:before="0" w:beforeLines="0" w:beforeAutospacing="0" w:after="0" w:afterLines="0" w:afterAutospacing="0" w:line="276" w:lineRule="auto"/>
              <w:ind w:left="0" w:right="0"/>
              <w:rPr>
                <w:rFonts w:hint="default" w:ascii="Times New Roman" w:hAnsi="Times New Roman" w:eastAsia="宋体"/>
                <w:color w:val="auto"/>
                <w:sz w:val="24"/>
                <w:szCs w:val="24"/>
              </w:rPr>
            </w:pPr>
            <w:r>
              <w:rPr>
                <w:rFonts w:hint="default" w:ascii="Times New Roman" w:hAnsi="Times New Roman" w:eastAsia="宋体"/>
                <w:color w:val="auto"/>
                <w:sz w:val="24"/>
                <w:szCs w:val="24"/>
              </w:rPr>
              <w:t>1</w:t>
            </w:r>
            <w:r>
              <w:rPr>
                <w:rFonts w:hint="eastAsia" w:ascii="Times New Roman" w:hAnsi="Times New Roman" w:eastAsia="宋体"/>
                <w:color w:val="auto"/>
                <w:sz w:val="24"/>
                <w:szCs w:val="24"/>
              </w:rPr>
              <w:t>、项目所在地环境质量现状</w:t>
            </w:r>
          </w:p>
          <w:p w14:paraId="3EA3967D">
            <w:pPr>
              <w:keepNext w:val="0"/>
              <w:keepLines w:val="0"/>
              <w:widowControl/>
              <w:suppressLineNumbers w:val="0"/>
              <w:spacing w:before="0" w:beforeLines="0" w:beforeAutospacing="0" w:after="0" w:afterLines="0" w:afterAutospacing="0"/>
              <w:ind w:left="0" w:right="0" w:firstLine="480"/>
              <w:rPr>
                <w:rFonts w:hint="default" w:ascii="Times New Roman" w:hAnsi="Times New Roman" w:eastAsia="宋体"/>
                <w:color w:val="auto"/>
                <w:sz w:val="24"/>
                <w:szCs w:val="24"/>
              </w:rPr>
            </w:pPr>
            <w:r>
              <w:rPr>
                <w:rFonts w:hint="eastAsia" w:ascii="Times New Roman" w:hAnsi="Times New Roman" w:eastAsia="宋体"/>
                <w:color w:val="auto"/>
                <w:sz w:val="24"/>
                <w:szCs w:val="24"/>
              </w:rPr>
              <w:t>（</w:t>
            </w:r>
            <w:r>
              <w:rPr>
                <w:rFonts w:hint="default" w:ascii="Times New Roman" w:hAnsi="Times New Roman" w:eastAsia="宋体"/>
                <w:color w:val="auto"/>
                <w:sz w:val="24"/>
                <w:szCs w:val="24"/>
              </w:rPr>
              <w:t>1</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环境空气</w:t>
            </w:r>
            <w:r>
              <w:rPr>
                <w:rFonts w:hint="eastAsia" w:ascii="Times New Roman" w:hAnsi="Times New Roman" w:eastAsia="宋体"/>
                <w:color w:val="auto"/>
                <w:sz w:val="24"/>
                <w:szCs w:val="24"/>
              </w:rPr>
              <w:t>质量</w:t>
            </w:r>
          </w:p>
          <w:p w14:paraId="1F9DDD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rPr>
              <w:t>根据《环境影响评价技术导则 大气环境》(HJ2.2-2018)</w:t>
            </w:r>
            <w:r>
              <w:rPr>
                <w:rFonts w:hint="eastAsia"/>
                <w:color w:val="auto"/>
                <w:sz w:val="24"/>
                <w:szCs w:val="24"/>
                <w:lang w:eastAsia="zh-CN"/>
              </w:rPr>
              <w:t>：</w:t>
            </w:r>
            <w:r>
              <w:rPr>
                <w:rFonts w:hint="eastAsia" w:ascii="Times New Roman" w:hAnsi="Times New Roman" w:eastAsia="宋体"/>
                <w:color w:val="auto"/>
                <w:sz w:val="24"/>
                <w:szCs w:val="24"/>
              </w:rPr>
              <w:t>“项目所在区域达标判定，优</w:t>
            </w:r>
            <w:r>
              <w:rPr>
                <w:rFonts w:hint="eastAsia"/>
                <w:color w:val="auto"/>
                <w:sz w:val="24"/>
                <w:szCs w:val="24"/>
                <w:lang w:eastAsia="zh-CN"/>
              </w:rPr>
              <w:t>先</w:t>
            </w:r>
            <w:r>
              <w:rPr>
                <w:rFonts w:hint="eastAsia" w:ascii="Times New Roman" w:hAnsi="Times New Roman" w:eastAsia="宋体"/>
                <w:color w:val="auto"/>
                <w:sz w:val="24"/>
                <w:szCs w:val="24"/>
              </w:rPr>
              <w:t>选用国家或地方生态环境主管部门公开发布的评价基准年环境质量公告或环境质量公告</w:t>
            </w:r>
            <w:r>
              <w:rPr>
                <w:rFonts w:hint="eastAsia"/>
                <w:color w:val="auto"/>
                <w:sz w:val="24"/>
                <w:szCs w:val="24"/>
                <w:lang w:eastAsia="zh-CN"/>
              </w:rPr>
              <w:t>中的数据或结论”</w:t>
            </w:r>
            <w:r>
              <w:rPr>
                <w:rFonts w:hint="eastAsia" w:ascii="Times New Roman" w:hAnsi="Times New Roman" w:eastAsia="宋体"/>
                <w:color w:val="auto"/>
                <w:sz w:val="24"/>
                <w:szCs w:val="24"/>
              </w:rPr>
              <w:t>，</w:t>
            </w:r>
            <w:r>
              <w:rPr>
                <w:rFonts w:hint="eastAsia"/>
                <w:color w:val="auto"/>
                <w:sz w:val="24"/>
                <w:szCs w:val="24"/>
                <w:lang w:eastAsia="zh-CN"/>
              </w:rPr>
              <w:t>本次评价基本污染物</w:t>
            </w:r>
            <w:r>
              <w:rPr>
                <w:rFonts w:hint="eastAsia"/>
                <w:color w:val="auto"/>
                <w:sz w:val="24"/>
                <w:szCs w:val="24"/>
                <w:lang w:val="en-US" w:eastAsia="zh-CN"/>
              </w:rPr>
              <w:t>SO</w:t>
            </w:r>
            <w:r>
              <w:rPr>
                <w:rFonts w:hint="eastAsia"/>
                <w:color w:val="auto"/>
                <w:sz w:val="24"/>
                <w:szCs w:val="24"/>
                <w:vertAlign w:val="subscript"/>
                <w:lang w:val="en-US" w:eastAsia="zh-CN"/>
              </w:rPr>
              <w:t>2</w:t>
            </w:r>
            <w:r>
              <w:rPr>
                <w:rFonts w:hint="eastAsia"/>
                <w:color w:val="auto"/>
                <w:sz w:val="24"/>
                <w:szCs w:val="24"/>
                <w:lang w:val="en-US" w:eastAsia="zh-CN"/>
              </w:rPr>
              <w:t>、NOx、PM</w:t>
            </w:r>
            <w:r>
              <w:rPr>
                <w:rFonts w:hint="eastAsia"/>
                <w:color w:val="auto"/>
                <w:sz w:val="24"/>
                <w:szCs w:val="24"/>
                <w:vertAlign w:val="subscript"/>
                <w:lang w:val="en-US" w:eastAsia="zh-CN"/>
              </w:rPr>
              <w:t>10</w:t>
            </w:r>
            <w:r>
              <w:rPr>
                <w:rFonts w:hint="eastAsia"/>
                <w:color w:val="auto"/>
                <w:sz w:val="24"/>
                <w:szCs w:val="24"/>
                <w:lang w:val="en-US" w:eastAsia="zh-CN"/>
              </w:rPr>
              <w:t>、PM</w:t>
            </w:r>
            <w:r>
              <w:rPr>
                <w:rFonts w:hint="eastAsia"/>
                <w:color w:val="auto"/>
                <w:sz w:val="24"/>
                <w:szCs w:val="24"/>
                <w:vertAlign w:val="subscript"/>
                <w:lang w:val="en-US" w:eastAsia="zh-CN"/>
              </w:rPr>
              <w:t>2.5</w:t>
            </w:r>
            <w:r>
              <w:rPr>
                <w:rFonts w:hint="eastAsia"/>
                <w:color w:val="auto"/>
                <w:sz w:val="24"/>
                <w:szCs w:val="24"/>
                <w:lang w:val="en-US" w:eastAsia="zh-CN"/>
              </w:rPr>
              <w:t>、CO、O</w:t>
            </w:r>
            <w:r>
              <w:rPr>
                <w:rFonts w:hint="eastAsia"/>
                <w:color w:val="auto"/>
                <w:sz w:val="24"/>
                <w:szCs w:val="24"/>
                <w:vertAlign w:val="subscript"/>
                <w:lang w:val="en-US" w:eastAsia="zh-CN"/>
              </w:rPr>
              <w:t>3</w:t>
            </w:r>
            <w:r>
              <w:rPr>
                <w:rFonts w:hint="eastAsia"/>
                <w:color w:val="auto"/>
                <w:sz w:val="24"/>
                <w:szCs w:val="24"/>
                <w:lang w:val="en-US" w:eastAsia="zh-CN"/>
              </w:rPr>
              <w:t>，根据《眉山市2017年的环境质量公报》，环境空气基本污染物单因子评价结论：</w:t>
            </w:r>
          </w:p>
          <w:p w14:paraId="3AB574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4"/>
              </w:rPr>
            </w:pPr>
            <w:r>
              <w:rPr>
                <w:rFonts w:hint="eastAsia"/>
                <w:color w:val="auto"/>
                <w:sz w:val="24"/>
                <w:szCs w:val="24"/>
                <w:lang w:eastAsia="zh-CN"/>
              </w:rPr>
              <w:t>（</w:t>
            </w:r>
            <w:r>
              <w:rPr>
                <w:rFonts w:hint="eastAsia"/>
                <w:color w:val="auto"/>
                <w:sz w:val="24"/>
                <w:szCs w:val="24"/>
                <w:lang w:val="en-US" w:eastAsia="zh-CN"/>
              </w:rPr>
              <w:t>1</w:t>
            </w:r>
            <w:r>
              <w:rPr>
                <w:rFonts w:hint="eastAsia"/>
                <w:color w:val="auto"/>
                <w:sz w:val="24"/>
                <w:szCs w:val="24"/>
                <w:lang w:eastAsia="zh-CN"/>
              </w:rPr>
              <w:t>）</w:t>
            </w:r>
            <w:r>
              <w:rPr>
                <w:rFonts w:hint="eastAsia" w:ascii="Times New Roman" w:hAnsi="Times New Roman" w:eastAsia="宋体"/>
                <w:color w:val="auto"/>
                <w:sz w:val="24"/>
                <w:szCs w:val="24"/>
              </w:rPr>
              <w:t>二氧化硫</w:t>
            </w:r>
            <w:r>
              <w:rPr>
                <w:rFonts w:hint="eastAsia"/>
                <w:color w:val="auto"/>
                <w:sz w:val="24"/>
                <w:szCs w:val="24"/>
                <w:lang w:eastAsia="zh-CN"/>
              </w:rPr>
              <w:t>：</w:t>
            </w:r>
            <w:r>
              <w:rPr>
                <w:rFonts w:hint="eastAsia" w:ascii="Times New Roman" w:hAnsi="Times New Roman" w:eastAsia="宋体"/>
                <w:color w:val="auto"/>
                <w:sz w:val="24"/>
                <w:szCs w:val="24"/>
              </w:rPr>
              <w:t>2017年，眉山市二氧化硫年均值13.0微克每立方米，日均值浓度范</w:t>
            </w:r>
            <w:r>
              <w:rPr>
                <w:rFonts w:hint="eastAsia"/>
                <w:color w:val="auto"/>
                <w:sz w:val="24"/>
                <w:szCs w:val="24"/>
                <w:lang w:eastAsia="zh-CN"/>
              </w:rPr>
              <w:t>围</w:t>
            </w:r>
            <w:r>
              <w:rPr>
                <w:rFonts w:hint="eastAsia"/>
                <w:color w:val="auto"/>
                <w:sz w:val="24"/>
                <w:szCs w:val="24"/>
                <w:lang w:val="en-US" w:eastAsia="zh-CN"/>
              </w:rPr>
              <w:t>2~43微克每立方米</w:t>
            </w:r>
            <w:r>
              <w:rPr>
                <w:rFonts w:hint="eastAsia" w:ascii="Times New Roman" w:hAnsi="Times New Roman" w:eastAsia="宋体"/>
                <w:color w:val="auto"/>
                <w:sz w:val="24"/>
                <w:szCs w:val="24"/>
              </w:rPr>
              <w:t>，达到《环境空气质量标准》(GB3095-2012)二级标准限值。</w:t>
            </w:r>
          </w:p>
          <w:p w14:paraId="653EC6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olor w:val="auto"/>
                <w:sz w:val="24"/>
                <w:szCs w:val="24"/>
                <w:lang w:val="en-US" w:eastAsia="zh-CN"/>
              </w:rPr>
            </w:pPr>
            <w:r>
              <w:rPr>
                <w:rFonts w:hint="eastAsia"/>
                <w:color w:val="auto"/>
                <w:sz w:val="24"/>
                <w:szCs w:val="24"/>
                <w:lang w:eastAsia="zh-CN"/>
              </w:rPr>
              <w:t>（</w:t>
            </w:r>
            <w:r>
              <w:rPr>
                <w:rFonts w:hint="eastAsia"/>
                <w:color w:val="auto"/>
                <w:sz w:val="24"/>
                <w:szCs w:val="24"/>
                <w:lang w:val="en-US" w:eastAsia="zh-CN"/>
              </w:rPr>
              <w:t>2</w:t>
            </w:r>
            <w:r>
              <w:rPr>
                <w:rFonts w:hint="eastAsia"/>
                <w:color w:val="auto"/>
                <w:sz w:val="24"/>
                <w:szCs w:val="24"/>
                <w:lang w:eastAsia="zh-CN"/>
              </w:rPr>
              <w:t>）</w:t>
            </w:r>
            <w:r>
              <w:rPr>
                <w:rFonts w:hint="eastAsia" w:ascii="Times New Roman" w:hAnsi="Times New Roman" w:eastAsia="宋体"/>
                <w:color w:val="auto"/>
                <w:sz w:val="24"/>
                <w:szCs w:val="24"/>
              </w:rPr>
              <w:t>二氧化氮</w:t>
            </w:r>
            <w:r>
              <w:rPr>
                <w:rFonts w:hint="eastAsia"/>
                <w:color w:val="auto"/>
                <w:sz w:val="24"/>
                <w:szCs w:val="24"/>
                <w:lang w:eastAsia="zh-CN"/>
              </w:rPr>
              <w:t>：</w:t>
            </w:r>
            <w:r>
              <w:rPr>
                <w:rFonts w:hint="eastAsia" w:ascii="Times New Roman" w:hAnsi="Times New Roman" w:eastAsia="宋体"/>
                <w:color w:val="auto"/>
                <w:sz w:val="24"/>
                <w:szCs w:val="24"/>
              </w:rPr>
              <w:t>2017年，眉山市二氧化氨年均值42.2微克每立方米，日均值浓度范15~87微克每立方米。二氧化氮年均值超过《环境空气质量标准》(GB3095-2012)二级标准限</w:t>
            </w:r>
            <w:r>
              <w:rPr>
                <w:rFonts w:hint="eastAsia"/>
                <w:color w:val="auto"/>
                <w:sz w:val="24"/>
                <w:szCs w:val="24"/>
                <w:lang w:eastAsia="zh-CN"/>
              </w:rPr>
              <w:t>，超标</w:t>
            </w:r>
            <w:r>
              <w:rPr>
                <w:rFonts w:hint="eastAsia"/>
                <w:color w:val="auto"/>
                <w:sz w:val="24"/>
                <w:szCs w:val="24"/>
                <w:lang w:val="en-US" w:eastAsia="zh-CN"/>
              </w:rPr>
              <w:t>5.5%。</w:t>
            </w:r>
          </w:p>
          <w:p w14:paraId="1A36CD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4"/>
              </w:rPr>
            </w:pPr>
            <w:r>
              <w:rPr>
                <w:rFonts w:hint="eastAsia"/>
                <w:color w:val="auto"/>
                <w:sz w:val="24"/>
                <w:szCs w:val="24"/>
                <w:lang w:eastAsia="zh-CN"/>
              </w:rPr>
              <w:t>（</w:t>
            </w:r>
            <w:r>
              <w:rPr>
                <w:rFonts w:hint="eastAsia"/>
                <w:color w:val="auto"/>
                <w:sz w:val="24"/>
                <w:szCs w:val="24"/>
                <w:lang w:val="en-US" w:eastAsia="zh-CN"/>
              </w:rPr>
              <w:t>3</w:t>
            </w:r>
            <w:r>
              <w:rPr>
                <w:rFonts w:hint="eastAsia"/>
                <w:color w:val="auto"/>
                <w:sz w:val="24"/>
                <w:szCs w:val="24"/>
                <w:lang w:eastAsia="zh-CN"/>
              </w:rPr>
              <w:t>）</w:t>
            </w:r>
            <w:r>
              <w:rPr>
                <w:rFonts w:hint="eastAsia" w:ascii="Times New Roman" w:hAnsi="Times New Roman" w:eastAsia="宋体"/>
                <w:color w:val="auto"/>
                <w:sz w:val="24"/>
                <w:szCs w:val="24"/>
              </w:rPr>
              <w:t>可吸入颗粒物</w:t>
            </w:r>
            <w:r>
              <w:rPr>
                <w:rFonts w:hint="eastAsia"/>
                <w:color w:val="auto"/>
                <w:sz w:val="24"/>
                <w:szCs w:val="24"/>
                <w:lang w:eastAsia="zh-CN"/>
              </w:rPr>
              <w:t>（</w:t>
            </w:r>
            <w:r>
              <w:rPr>
                <w:rFonts w:hint="eastAsia" w:ascii="Times New Roman" w:hAnsi="Times New Roman" w:eastAsia="宋体"/>
                <w:color w:val="auto"/>
                <w:sz w:val="24"/>
                <w:szCs w:val="24"/>
              </w:rPr>
              <w:t>PM</w:t>
            </w:r>
            <w:r>
              <w:rPr>
                <w:rFonts w:hint="eastAsia"/>
                <w:color w:val="auto"/>
                <w:sz w:val="24"/>
                <w:szCs w:val="24"/>
                <w:vertAlign w:val="subscript"/>
                <w:lang w:val="en-US" w:eastAsia="zh-CN"/>
              </w:rPr>
              <w:t>10</w:t>
            </w:r>
            <w:r>
              <w:rPr>
                <w:rFonts w:hint="eastAsia"/>
                <w:color w:val="auto"/>
                <w:sz w:val="24"/>
                <w:szCs w:val="24"/>
                <w:lang w:val="en-US" w:eastAsia="zh-CN"/>
              </w:rPr>
              <w:t>）：</w:t>
            </w:r>
            <w:r>
              <w:rPr>
                <w:rFonts w:hint="eastAsia" w:ascii="Times New Roman" w:hAnsi="Times New Roman" w:eastAsia="宋体"/>
                <w:color w:val="auto"/>
                <w:sz w:val="24"/>
                <w:szCs w:val="24"/>
              </w:rPr>
              <w:t>2017年，眉山市可吸入颗粒物年均值78.7微克每</w:t>
            </w:r>
            <w:r>
              <w:rPr>
                <w:rFonts w:hint="eastAsia"/>
                <w:color w:val="auto"/>
                <w:sz w:val="24"/>
                <w:szCs w:val="24"/>
                <w:lang w:eastAsia="zh-CN"/>
              </w:rPr>
              <w:t>立方米</w:t>
            </w:r>
            <w:r>
              <w:rPr>
                <w:rFonts w:hint="eastAsia" w:ascii="Times New Roman" w:hAnsi="Times New Roman" w:eastAsia="宋体"/>
                <w:color w:val="auto"/>
                <w:sz w:val="24"/>
                <w:szCs w:val="24"/>
              </w:rPr>
              <w:t>，日均值浓度范围16~369微克每立方米。吸入颗粒物年均值超过《环境空气质量标准(GB3095-2012)二级标准限值，超标12.4%。</w:t>
            </w:r>
          </w:p>
          <w:p w14:paraId="07F9BD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4"/>
              </w:rPr>
            </w:pPr>
            <w:r>
              <w:rPr>
                <w:rFonts w:hint="eastAsia"/>
                <w:color w:val="auto"/>
                <w:sz w:val="24"/>
                <w:szCs w:val="24"/>
                <w:lang w:eastAsia="zh-CN"/>
              </w:rPr>
              <w:t>（</w:t>
            </w:r>
            <w:r>
              <w:rPr>
                <w:rFonts w:hint="eastAsia"/>
                <w:color w:val="auto"/>
                <w:sz w:val="24"/>
                <w:szCs w:val="24"/>
                <w:lang w:val="en-US" w:eastAsia="zh-CN"/>
              </w:rPr>
              <w:t>4</w:t>
            </w:r>
            <w:r>
              <w:rPr>
                <w:rFonts w:hint="eastAsia"/>
                <w:color w:val="auto"/>
                <w:sz w:val="24"/>
                <w:szCs w:val="24"/>
                <w:lang w:eastAsia="zh-CN"/>
              </w:rPr>
              <w:t>）</w:t>
            </w:r>
            <w:r>
              <w:rPr>
                <w:rFonts w:hint="eastAsia" w:ascii="Times New Roman" w:hAnsi="Times New Roman" w:eastAsia="宋体"/>
                <w:color w:val="auto"/>
                <w:sz w:val="24"/>
                <w:szCs w:val="24"/>
              </w:rPr>
              <w:t>细颗粒物</w:t>
            </w:r>
            <w:r>
              <w:rPr>
                <w:rFonts w:hint="eastAsia"/>
                <w:color w:val="auto"/>
                <w:sz w:val="24"/>
                <w:szCs w:val="24"/>
                <w:lang w:eastAsia="zh-CN"/>
              </w:rPr>
              <w:t>（</w:t>
            </w:r>
            <w:r>
              <w:rPr>
                <w:rFonts w:hint="eastAsia"/>
                <w:color w:val="auto"/>
                <w:sz w:val="24"/>
                <w:szCs w:val="24"/>
                <w:lang w:val="en-US" w:eastAsia="zh-CN"/>
              </w:rPr>
              <w:t>PM</w:t>
            </w:r>
            <w:r>
              <w:rPr>
                <w:rFonts w:hint="eastAsia"/>
                <w:color w:val="auto"/>
                <w:sz w:val="24"/>
                <w:szCs w:val="24"/>
                <w:vertAlign w:val="subscript"/>
                <w:lang w:val="en-US" w:eastAsia="zh-CN"/>
              </w:rPr>
              <w:t>2.5</w:t>
            </w:r>
            <w:r>
              <w:rPr>
                <w:rFonts w:hint="eastAsia"/>
                <w:color w:val="auto"/>
                <w:sz w:val="24"/>
                <w:szCs w:val="24"/>
                <w:lang w:eastAsia="zh-CN"/>
              </w:rPr>
              <w:t>）：</w:t>
            </w:r>
            <w:r>
              <w:rPr>
                <w:rFonts w:hint="eastAsia" w:ascii="Times New Roman" w:hAnsi="Times New Roman" w:eastAsia="宋体"/>
                <w:color w:val="auto"/>
                <w:sz w:val="24"/>
                <w:szCs w:val="24"/>
              </w:rPr>
              <w:t>2017年，眉山市细颗粒物年均值48.9微克每立方米，日均值浓度范围 9~269 微克每立方米。细颗粒物年均值超过《环境空气质量标准》(GB 3095-2012)级标准限值，超标 39.7%。</w:t>
            </w:r>
          </w:p>
          <w:p w14:paraId="1D9A28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4"/>
                <w:lang w:eastAsia="zh-CN"/>
              </w:rPr>
            </w:pPr>
            <w:r>
              <w:rPr>
                <w:rFonts w:hint="eastAsia"/>
                <w:color w:val="auto"/>
                <w:sz w:val="24"/>
                <w:szCs w:val="24"/>
                <w:lang w:eastAsia="zh-CN"/>
              </w:rPr>
              <w:t>（</w:t>
            </w:r>
            <w:r>
              <w:rPr>
                <w:rFonts w:hint="eastAsia"/>
                <w:color w:val="auto"/>
                <w:sz w:val="24"/>
                <w:szCs w:val="24"/>
                <w:lang w:val="en-US" w:eastAsia="zh-CN"/>
              </w:rPr>
              <w:t>5</w:t>
            </w:r>
            <w:r>
              <w:rPr>
                <w:rFonts w:hint="eastAsia"/>
                <w:color w:val="auto"/>
                <w:sz w:val="24"/>
                <w:szCs w:val="24"/>
                <w:lang w:eastAsia="zh-CN"/>
              </w:rPr>
              <w:t>）</w:t>
            </w:r>
            <w:r>
              <w:rPr>
                <w:rFonts w:hint="eastAsia" w:ascii="Times New Roman" w:hAnsi="Times New Roman" w:eastAsia="宋体"/>
                <w:color w:val="auto"/>
                <w:sz w:val="24"/>
                <w:szCs w:val="24"/>
              </w:rPr>
              <w:t>臭氧</w:t>
            </w:r>
            <w:r>
              <w:rPr>
                <w:rFonts w:hint="eastAsia"/>
                <w:color w:val="auto"/>
                <w:sz w:val="24"/>
                <w:szCs w:val="24"/>
                <w:lang w:eastAsia="zh-CN"/>
              </w:rPr>
              <w:t>：</w:t>
            </w:r>
            <w:r>
              <w:rPr>
                <w:rFonts w:hint="eastAsia" w:ascii="Times New Roman" w:hAnsi="Times New Roman" w:eastAsia="宋体"/>
                <w:color w:val="auto"/>
                <w:sz w:val="24"/>
                <w:szCs w:val="24"/>
              </w:rPr>
              <w:t>2017年，眉山市臭氧年均值161.2微克每立方米，日均值浓度范围4~231微克每立方米。臭氧年均值超过《环境空气质量标准》(GB3095-2012)二级标准限值，超标0.8%</w:t>
            </w:r>
            <w:r>
              <w:rPr>
                <w:rFonts w:hint="eastAsia"/>
                <w:color w:val="auto"/>
                <w:sz w:val="24"/>
                <w:szCs w:val="24"/>
                <w:lang w:eastAsia="zh-CN"/>
              </w:rPr>
              <w:t>。</w:t>
            </w:r>
          </w:p>
          <w:p w14:paraId="09E691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4"/>
              </w:rPr>
            </w:pPr>
            <w:r>
              <w:rPr>
                <w:rFonts w:hint="eastAsia"/>
                <w:color w:val="auto"/>
                <w:sz w:val="24"/>
                <w:szCs w:val="24"/>
                <w:lang w:eastAsia="zh-CN"/>
              </w:rPr>
              <w:t>（</w:t>
            </w:r>
            <w:r>
              <w:rPr>
                <w:rFonts w:hint="eastAsia"/>
                <w:color w:val="auto"/>
                <w:sz w:val="24"/>
                <w:szCs w:val="24"/>
                <w:lang w:val="en-US" w:eastAsia="zh-CN"/>
              </w:rPr>
              <w:t>6</w:t>
            </w:r>
            <w:r>
              <w:rPr>
                <w:rFonts w:hint="eastAsia"/>
                <w:color w:val="auto"/>
                <w:sz w:val="24"/>
                <w:szCs w:val="24"/>
                <w:lang w:eastAsia="zh-CN"/>
              </w:rPr>
              <w:t>）</w:t>
            </w:r>
            <w:r>
              <w:rPr>
                <w:rFonts w:hint="eastAsia" w:ascii="Times New Roman" w:hAnsi="Times New Roman" w:eastAsia="宋体"/>
                <w:color w:val="auto"/>
                <w:sz w:val="24"/>
                <w:szCs w:val="24"/>
              </w:rPr>
              <w:t>一氧化碳</w:t>
            </w:r>
            <w:r>
              <w:rPr>
                <w:rFonts w:hint="eastAsia"/>
                <w:color w:val="auto"/>
                <w:sz w:val="24"/>
                <w:szCs w:val="24"/>
                <w:lang w:eastAsia="zh-CN"/>
              </w:rPr>
              <w:t>：</w:t>
            </w:r>
            <w:r>
              <w:rPr>
                <w:rFonts w:hint="eastAsia" w:ascii="Times New Roman" w:hAnsi="Times New Roman" w:eastAsia="宋体"/>
                <w:color w:val="auto"/>
                <w:sz w:val="24"/>
                <w:szCs w:val="24"/>
              </w:rPr>
              <w:t>2017年，眉山市一氧化碳年均值1.1毫克每立方米，日均值浓度范围0.2~1.6毫克每立方米，达到《环境空气质量标准》(GB3095-2012)二级标准限值。</w:t>
            </w:r>
          </w:p>
          <w:p w14:paraId="6105F4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环境空气质量结论</w:t>
            </w:r>
            <w:r>
              <w:rPr>
                <w:rFonts w:hint="eastAsia"/>
                <w:color w:val="auto"/>
                <w:sz w:val="24"/>
                <w:szCs w:val="24"/>
                <w:lang w:eastAsia="zh-CN"/>
              </w:rPr>
              <w:t>：</w:t>
            </w:r>
            <w:r>
              <w:rPr>
                <w:rFonts w:hint="eastAsia" w:ascii="Times New Roman" w:hAnsi="Times New Roman" w:eastAsia="宋体"/>
                <w:color w:val="auto"/>
                <w:sz w:val="24"/>
                <w:szCs w:val="24"/>
              </w:rPr>
              <w:t>2017年眉山市空气质量状况为</w:t>
            </w:r>
            <w:r>
              <w:rPr>
                <w:rFonts w:hint="eastAsia"/>
                <w:color w:val="auto"/>
                <w:sz w:val="24"/>
                <w:szCs w:val="24"/>
                <w:lang w:eastAsia="zh-CN"/>
              </w:rPr>
              <w:t>：</w:t>
            </w:r>
            <w:r>
              <w:rPr>
                <w:rFonts w:hint="eastAsia" w:ascii="Times New Roman" w:hAnsi="Times New Roman" w:eastAsia="宋体"/>
                <w:color w:val="auto"/>
                <w:sz w:val="24"/>
                <w:szCs w:val="24"/>
              </w:rPr>
              <w:t>优41天、良228天、轻度污染6</w:t>
            </w:r>
            <w:r>
              <w:rPr>
                <w:rFonts w:hint="eastAsia"/>
                <w:color w:val="auto"/>
                <w:sz w:val="24"/>
                <w:szCs w:val="24"/>
                <w:lang w:val="en-US" w:eastAsia="zh-CN"/>
              </w:rPr>
              <w:t>3</w:t>
            </w:r>
            <w:r>
              <w:rPr>
                <w:rFonts w:hint="eastAsia" w:ascii="Times New Roman" w:hAnsi="Times New Roman" w:eastAsia="宋体"/>
                <w:color w:val="auto"/>
                <w:sz w:val="24"/>
                <w:szCs w:val="24"/>
              </w:rPr>
              <w:t>天、中度污染 19天、重度污染10天、严重污染1天。优良率74.3%，与2016年相比提高4.5个百分点。眉山市的6项基本污染物除S</w:t>
            </w:r>
            <w:r>
              <w:rPr>
                <w:rFonts w:hint="eastAsia"/>
                <w:color w:val="auto"/>
                <w:sz w:val="24"/>
                <w:szCs w:val="24"/>
                <w:lang w:val="en-US" w:eastAsia="zh-CN"/>
              </w:rPr>
              <w:t>O</w:t>
            </w:r>
            <w:r>
              <w:rPr>
                <w:rFonts w:hint="eastAsia"/>
                <w:color w:val="auto"/>
                <w:sz w:val="24"/>
                <w:szCs w:val="24"/>
                <w:vertAlign w:val="subscript"/>
                <w:lang w:val="en-US" w:eastAsia="zh-CN"/>
              </w:rPr>
              <w:t>2</w:t>
            </w:r>
            <w:r>
              <w:rPr>
                <w:rFonts w:hint="eastAsia" w:ascii="Times New Roman" w:hAnsi="Times New Roman" w:eastAsia="宋体"/>
                <w:color w:val="auto"/>
                <w:sz w:val="24"/>
                <w:szCs w:val="24"/>
              </w:rPr>
              <w:t>，、</w:t>
            </w:r>
            <w:r>
              <w:rPr>
                <w:rFonts w:hint="eastAsia"/>
                <w:color w:val="auto"/>
                <w:sz w:val="24"/>
                <w:szCs w:val="24"/>
                <w:lang w:val="en-US" w:eastAsia="zh-CN"/>
              </w:rPr>
              <w:t>CO</w:t>
            </w:r>
            <w:r>
              <w:rPr>
                <w:rFonts w:hint="eastAsia" w:ascii="Times New Roman" w:hAnsi="Times New Roman" w:eastAsia="宋体"/>
                <w:color w:val="auto"/>
                <w:sz w:val="24"/>
                <w:szCs w:val="24"/>
              </w:rPr>
              <w:t xml:space="preserve"> 能达到《环境空气质量标准》(GB3095-2012中二级标准外，其余4项指标均出现超标情况，根据《环境影响评价技术导则大气环境》(日2.2-2018)，眉山市为环境空气质量不达标区</w:t>
            </w:r>
            <w:r>
              <w:rPr>
                <w:rFonts w:hint="eastAsia"/>
                <w:color w:val="auto"/>
                <w:sz w:val="24"/>
                <w:szCs w:val="24"/>
                <w:lang w:eastAsia="zh-CN"/>
              </w:rPr>
              <w:t>。</w:t>
            </w:r>
          </w:p>
          <w:p w14:paraId="7574BB0B">
            <w:pPr>
              <w:keepNext w:val="0"/>
              <w:keepLines w:val="0"/>
              <w:widowControl/>
              <w:suppressLineNumbers w:val="0"/>
              <w:spacing w:before="0" w:beforeLines="0" w:beforeAutospacing="0" w:after="0" w:afterLines="0" w:afterAutospacing="0"/>
              <w:ind w:left="0" w:right="0" w:firstLine="48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rPr>
              <w:t>（</w:t>
            </w:r>
            <w:r>
              <w:rPr>
                <w:rFonts w:hint="default" w:ascii="Times New Roman" w:hAnsi="Times New Roman" w:eastAsia="宋体"/>
                <w:color w:val="auto"/>
                <w:sz w:val="24"/>
                <w:szCs w:val="24"/>
              </w:rPr>
              <w:t>2</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地表水环境质量</w:t>
            </w:r>
          </w:p>
          <w:p w14:paraId="29E1F6D9">
            <w:pPr>
              <w:keepNext w:val="0"/>
              <w:keepLines w:val="0"/>
              <w:widowControl/>
              <w:suppressLineNumbers w:val="0"/>
              <w:spacing w:before="0" w:beforeLines="0" w:beforeAutospacing="0" w:after="0" w:afterLines="0" w:afterAutospacing="0"/>
              <w:ind w:left="0" w:right="0" w:firstLine="480"/>
              <w:jc w:val="left"/>
              <w:rPr>
                <w:rFonts w:hint="default" w:eastAsia="宋体"/>
                <w:color w:val="auto"/>
                <w:kern w:val="0"/>
                <w:sz w:val="24"/>
                <w:lang w:val="en-US" w:eastAsia="zh-CN"/>
              </w:rPr>
            </w:pPr>
            <w:r>
              <w:rPr>
                <w:rFonts w:hint="eastAsia"/>
                <w:color w:val="auto"/>
                <w:kern w:val="0"/>
                <w:sz w:val="24"/>
                <w:lang w:val="en-US" w:eastAsia="zh-CN"/>
              </w:rPr>
              <w:t>根据《环境影响评价技术导则 地下水环境》（HJ2.3-2018）可知，本项目地下水环境影响评价等级为三级B，应优先采用国务院生态环境保护主管部门统一发布的水环境状况信息，本项目引用《眉山市2017年环境质量公报》中的水质监测数据。</w:t>
            </w:r>
          </w:p>
          <w:p w14:paraId="549D0445">
            <w:pPr>
              <w:keepNext w:val="0"/>
              <w:keepLines w:val="0"/>
              <w:widowControl/>
              <w:suppressLineNumbers w:val="0"/>
              <w:spacing w:before="0" w:beforeLines="0" w:beforeAutospacing="0" w:after="0" w:afterLines="0" w:afterAutospacing="0"/>
              <w:ind w:left="0" w:right="0" w:firstLine="480"/>
              <w:jc w:val="center"/>
              <w:rPr>
                <w:rFonts w:hint="default" w:eastAsia="宋体"/>
                <w:b/>
                <w:bCs/>
                <w:color w:val="auto"/>
                <w:kern w:val="0"/>
                <w:sz w:val="21"/>
                <w:szCs w:val="20"/>
                <w:lang w:val="en-US" w:eastAsia="zh-CN"/>
              </w:rPr>
            </w:pPr>
            <w:r>
              <w:rPr>
                <w:rFonts w:hint="eastAsia"/>
                <w:b/>
                <w:bCs/>
                <w:color w:val="auto"/>
                <w:kern w:val="0"/>
                <w:sz w:val="21"/>
                <w:szCs w:val="20"/>
                <w:lang w:eastAsia="zh-CN"/>
              </w:rPr>
              <w:t>表</w:t>
            </w:r>
            <w:r>
              <w:rPr>
                <w:rFonts w:hint="eastAsia"/>
                <w:b/>
                <w:bCs/>
                <w:color w:val="auto"/>
                <w:kern w:val="0"/>
                <w:sz w:val="21"/>
                <w:szCs w:val="20"/>
                <w:lang w:val="en-US" w:eastAsia="zh-CN"/>
              </w:rPr>
              <w:t>4-1  2017年眉山市地表水监测断面水质评价结果</w:t>
            </w:r>
          </w:p>
          <w:tbl>
            <w:tblPr>
              <w:tblStyle w:val="2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900"/>
              <w:gridCol w:w="1527"/>
              <w:gridCol w:w="954"/>
              <w:gridCol w:w="1201"/>
              <w:gridCol w:w="1527"/>
              <w:gridCol w:w="2051"/>
            </w:tblGrid>
            <w:tr w14:paraId="139CF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Align w:val="center"/>
                </w:tcPr>
                <w:p w14:paraId="72CE87A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水系</w:t>
                  </w:r>
                </w:p>
              </w:tc>
              <w:tc>
                <w:tcPr>
                  <w:tcW w:w="900" w:type="dxa"/>
                  <w:vAlign w:val="center"/>
                </w:tcPr>
                <w:p w14:paraId="259859E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河流</w:t>
                  </w:r>
                </w:p>
              </w:tc>
              <w:tc>
                <w:tcPr>
                  <w:tcW w:w="1527" w:type="dxa"/>
                  <w:vAlign w:val="center"/>
                </w:tcPr>
                <w:p w14:paraId="18F378C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断面名称</w:t>
                  </w:r>
                </w:p>
              </w:tc>
              <w:tc>
                <w:tcPr>
                  <w:tcW w:w="954" w:type="dxa"/>
                  <w:vAlign w:val="center"/>
                </w:tcPr>
                <w:p w14:paraId="0A6B1FE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规定类别</w:t>
                  </w:r>
                </w:p>
              </w:tc>
              <w:tc>
                <w:tcPr>
                  <w:tcW w:w="1201" w:type="dxa"/>
                  <w:vAlign w:val="center"/>
                </w:tcPr>
                <w:p w14:paraId="3F15A35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实测类别</w:t>
                  </w:r>
                </w:p>
              </w:tc>
              <w:tc>
                <w:tcPr>
                  <w:tcW w:w="1527" w:type="dxa"/>
                  <w:vAlign w:val="center"/>
                </w:tcPr>
                <w:p w14:paraId="42E0DE8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水质状况</w:t>
                  </w:r>
                </w:p>
              </w:tc>
              <w:tc>
                <w:tcPr>
                  <w:tcW w:w="2051" w:type="dxa"/>
                  <w:vAlign w:val="center"/>
                </w:tcPr>
                <w:p w14:paraId="2A4E012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eastAsia="zh-CN"/>
                    </w:rPr>
                    <w:t>主要污染物指标</w:t>
                  </w:r>
                  <w:r>
                    <w:rPr>
                      <w:rFonts w:hint="eastAsia" w:ascii="Times New Roman" w:hAnsi="Times New Roman" w:eastAsia="宋体"/>
                      <w:color w:val="auto"/>
                      <w:kern w:val="0"/>
                      <w:sz w:val="21"/>
                      <w:szCs w:val="21"/>
                      <w:vertAlign w:val="baseline"/>
                      <w:lang w:val="en-US" w:eastAsia="zh-CN"/>
                    </w:rPr>
                    <w:t>/超标倍数</w:t>
                  </w:r>
                </w:p>
              </w:tc>
            </w:tr>
            <w:tr w14:paraId="422E9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restart"/>
                  <w:vAlign w:val="center"/>
                </w:tcPr>
                <w:p w14:paraId="543A7567">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岷江水系</w:t>
                  </w:r>
                </w:p>
              </w:tc>
              <w:tc>
                <w:tcPr>
                  <w:tcW w:w="900" w:type="dxa"/>
                  <w:vAlign w:val="center"/>
                </w:tcPr>
                <w:p w14:paraId="1F72093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南河</w:t>
                  </w:r>
                </w:p>
              </w:tc>
              <w:tc>
                <w:tcPr>
                  <w:tcW w:w="1527" w:type="dxa"/>
                  <w:vAlign w:val="center"/>
                </w:tcPr>
                <w:p w14:paraId="00308A0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董坝子</w:t>
                  </w:r>
                </w:p>
              </w:tc>
              <w:tc>
                <w:tcPr>
                  <w:tcW w:w="954" w:type="dxa"/>
                  <w:vAlign w:val="center"/>
                </w:tcPr>
                <w:p w14:paraId="53BC5FE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default" w:ascii="Times New Roman" w:hAnsi="Times New Roman" w:eastAsia="宋体" w:cs="Times New Roman"/>
                      <w:color w:val="auto"/>
                      <w:kern w:val="0"/>
                      <w:sz w:val="21"/>
                      <w:szCs w:val="21"/>
                      <w:vertAlign w:val="baseline"/>
                    </w:rPr>
                    <w:t>Ⅲ</w:t>
                  </w:r>
                </w:p>
              </w:tc>
              <w:tc>
                <w:tcPr>
                  <w:tcW w:w="1201" w:type="dxa"/>
                  <w:vAlign w:val="center"/>
                </w:tcPr>
                <w:p w14:paraId="399F9CB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527" w:type="dxa"/>
                  <w:vAlign w:val="center"/>
                </w:tcPr>
                <w:p w14:paraId="0EFB2E6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良好</w:t>
                  </w:r>
                </w:p>
              </w:tc>
              <w:tc>
                <w:tcPr>
                  <w:tcW w:w="2051" w:type="dxa"/>
                  <w:vAlign w:val="center"/>
                </w:tcPr>
                <w:p w14:paraId="756CC31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val="en-US" w:eastAsia="zh-CN"/>
                    </w:rPr>
                    <w:t>/</w:t>
                  </w:r>
                </w:p>
              </w:tc>
            </w:tr>
            <w:tr w14:paraId="294A2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2AF8BA6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1AFA384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府河</w:t>
                  </w:r>
                </w:p>
              </w:tc>
              <w:tc>
                <w:tcPr>
                  <w:tcW w:w="1527" w:type="dxa"/>
                  <w:vAlign w:val="center"/>
                </w:tcPr>
                <w:p w14:paraId="52444A27">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黄龙溪</w:t>
                  </w:r>
                </w:p>
              </w:tc>
              <w:tc>
                <w:tcPr>
                  <w:tcW w:w="954" w:type="dxa"/>
                  <w:vAlign w:val="center"/>
                </w:tcPr>
                <w:p w14:paraId="1D89F96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0455BEE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Ⅴ</w:t>
                  </w:r>
                </w:p>
              </w:tc>
              <w:tc>
                <w:tcPr>
                  <w:tcW w:w="1527" w:type="dxa"/>
                  <w:vAlign w:val="center"/>
                </w:tcPr>
                <w:p w14:paraId="7996F7B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中度污染</w:t>
                  </w:r>
                </w:p>
              </w:tc>
              <w:tc>
                <w:tcPr>
                  <w:tcW w:w="2051" w:type="dxa"/>
                  <w:vAlign w:val="center"/>
                </w:tcPr>
                <w:p w14:paraId="2ACEE7A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/0.59</w:t>
                  </w:r>
                </w:p>
              </w:tc>
            </w:tr>
            <w:tr w14:paraId="7D2F9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515884D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6A6C5EC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干流</w:t>
                  </w:r>
                </w:p>
              </w:tc>
              <w:tc>
                <w:tcPr>
                  <w:tcW w:w="1527" w:type="dxa"/>
                  <w:vAlign w:val="center"/>
                </w:tcPr>
                <w:p w14:paraId="5ADD273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彭山岷江大桥</w:t>
                  </w:r>
                </w:p>
              </w:tc>
              <w:tc>
                <w:tcPr>
                  <w:tcW w:w="954" w:type="dxa"/>
                  <w:vAlign w:val="center"/>
                </w:tcPr>
                <w:p w14:paraId="6B97087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0CDD22A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Ⅳ</w:t>
                  </w:r>
                </w:p>
              </w:tc>
              <w:tc>
                <w:tcPr>
                  <w:tcW w:w="1527" w:type="dxa"/>
                  <w:vAlign w:val="center"/>
                </w:tcPr>
                <w:p w14:paraId="41DFD1C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轻度污染</w:t>
                  </w:r>
                </w:p>
              </w:tc>
              <w:tc>
                <w:tcPr>
                  <w:tcW w:w="2051" w:type="dxa"/>
                  <w:vAlign w:val="center"/>
                </w:tcPr>
                <w:p w14:paraId="3C2E541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/0.08</w:t>
                  </w:r>
                </w:p>
              </w:tc>
            </w:tr>
            <w:tr w14:paraId="690DE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54E82A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5938E09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干流</w:t>
                  </w:r>
                </w:p>
              </w:tc>
              <w:tc>
                <w:tcPr>
                  <w:tcW w:w="1527" w:type="dxa"/>
                  <w:vAlign w:val="center"/>
                </w:tcPr>
                <w:p w14:paraId="3FC08FC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岷江彭东交界</w:t>
                  </w:r>
                </w:p>
              </w:tc>
              <w:tc>
                <w:tcPr>
                  <w:tcW w:w="954" w:type="dxa"/>
                  <w:vAlign w:val="center"/>
                </w:tcPr>
                <w:p w14:paraId="6BF43A7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702C4B0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Ⅳ</w:t>
                  </w:r>
                </w:p>
              </w:tc>
              <w:tc>
                <w:tcPr>
                  <w:tcW w:w="1527" w:type="dxa"/>
                  <w:vAlign w:val="center"/>
                </w:tcPr>
                <w:p w14:paraId="267BD75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轻度污染</w:t>
                  </w:r>
                </w:p>
              </w:tc>
              <w:tc>
                <w:tcPr>
                  <w:tcW w:w="2051" w:type="dxa"/>
                  <w:vAlign w:val="center"/>
                </w:tcPr>
                <w:p w14:paraId="337C2C3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/0.24</w:t>
                  </w:r>
                </w:p>
              </w:tc>
            </w:tr>
            <w:tr w14:paraId="33385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trPr>
              <w:tc>
                <w:tcPr>
                  <w:tcW w:w="768" w:type="dxa"/>
                  <w:vMerge w:val="continue"/>
                  <w:vAlign w:val="center"/>
                </w:tcPr>
                <w:p w14:paraId="692D3A1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22FE627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干流</w:t>
                  </w:r>
                </w:p>
              </w:tc>
              <w:tc>
                <w:tcPr>
                  <w:tcW w:w="1527" w:type="dxa"/>
                  <w:vAlign w:val="center"/>
                </w:tcPr>
                <w:p w14:paraId="6D25B37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眉山白糖厂</w:t>
                  </w:r>
                </w:p>
              </w:tc>
              <w:tc>
                <w:tcPr>
                  <w:tcW w:w="954" w:type="dxa"/>
                  <w:vAlign w:val="center"/>
                </w:tcPr>
                <w:p w14:paraId="6D168AE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61A9AE4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527" w:type="dxa"/>
                  <w:vAlign w:val="center"/>
                </w:tcPr>
                <w:p w14:paraId="309D8B9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良好</w:t>
                  </w:r>
                </w:p>
              </w:tc>
              <w:tc>
                <w:tcPr>
                  <w:tcW w:w="2051" w:type="dxa"/>
                  <w:vAlign w:val="center"/>
                </w:tcPr>
                <w:p w14:paraId="2351354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val="en-US" w:eastAsia="zh-CN"/>
                    </w:rPr>
                    <w:t>/</w:t>
                  </w:r>
                </w:p>
              </w:tc>
            </w:tr>
            <w:tr w14:paraId="13DFB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6EEF14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3D14E20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干流</w:t>
                  </w:r>
                </w:p>
              </w:tc>
              <w:tc>
                <w:tcPr>
                  <w:tcW w:w="1527" w:type="dxa"/>
                  <w:vAlign w:val="center"/>
                </w:tcPr>
                <w:p w14:paraId="7E075F3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岷江冬青交界</w:t>
                  </w:r>
                </w:p>
              </w:tc>
              <w:tc>
                <w:tcPr>
                  <w:tcW w:w="954" w:type="dxa"/>
                  <w:vAlign w:val="center"/>
                </w:tcPr>
                <w:p w14:paraId="29E5930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6B3B857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Ⅳ</w:t>
                  </w:r>
                </w:p>
              </w:tc>
              <w:tc>
                <w:tcPr>
                  <w:tcW w:w="1527" w:type="dxa"/>
                  <w:vAlign w:val="center"/>
                </w:tcPr>
                <w:p w14:paraId="6DAA803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轻度污染</w:t>
                  </w:r>
                </w:p>
              </w:tc>
              <w:tc>
                <w:tcPr>
                  <w:tcW w:w="2051" w:type="dxa"/>
                  <w:vAlign w:val="center"/>
                </w:tcPr>
                <w:p w14:paraId="4F7CCA5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/0.26</w:t>
                  </w:r>
                </w:p>
              </w:tc>
            </w:tr>
            <w:tr w14:paraId="7CEB5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350EC1E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20E1740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干流</w:t>
                  </w:r>
                </w:p>
              </w:tc>
              <w:tc>
                <w:tcPr>
                  <w:tcW w:w="1527" w:type="dxa"/>
                  <w:vAlign w:val="center"/>
                </w:tcPr>
                <w:p w14:paraId="62EA561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青神罗波渡</w:t>
                  </w:r>
                </w:p>
              </w:tc>
              <w:tc>
                <w:tcPr>
                  <w:tcW w:w="954" w:type="dxa"/>
                  <w:vAlign w:val="center"/>
                </w:tcPr>
                <w:p w14:paraId="02F8215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625D66B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Ⅳ</w:t>
                  </w:r>
                </w:p>
              </w:tc>
              <w:tc>
                <w:tcPr>
                  <w:tcW w:w="1527" w:type="dxa"/>
                  <w:vAlign w:val="center"/>
                </w:tcPr>
                <w:p w14:paraId="7264583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轻度污染</w:t>
                  </w:r>
                </w:p>
              </w:tc>
              <w:tc>
                <w:tcPr>
                  <w:tcW w:w="2051" w:type="dxa"/>
                  <w:vAlign w:val="center"/>
                </w:tcPr>
                <w:p w14:paraId="2A59EF6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/0.06</w:t>
                  </w:r>
                </w:p>
              </w:tc>
            </w:tr>
            <w:tr w14:paraId="4B64B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50C566E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41AD4DE8">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金牛河</w:t>
                  </w:r>
                </w:p>
              </w:tc>
              <w:tc>
                <w:tcPr>
                  <w:tcW w:w="1527" w:type="dxa"/>
                  <w:vAlign w:val="center"/>
                </w:tcPr>
                <w:p w14:paraId="75C4381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金牛河口</w:t>
                  </w:r>
                </w:p>
              </w:tc>
              <w:tc>
                <w:tcPr>
                  <w:tcW w:w="954" w:type="dxa"/>
                  <w:vAlign w:val="center"/>
                </w:tcPr>
                <w:p w14:paraId="365C738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2E1077E8">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687374B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64AF842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/1.89</w:t>
                  </w:r>
                </w:p>
              </w:tc>
            </w:tr>
            <w:tr w14:paraId="47B43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5C0E5E3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40F7EC3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思蒙河</w:t>
                  </w:r>
                </w:p>
              </w:tc>
              <w:tc>
                <w:tcPr>
                  <w:tcW w:w="1527" w:type="dxa"/>
                  <w:vAlign w:val="center"/>
                </w:tcPr>
                <w:p w14:paraId="0C17310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思蒙河丹东交界</w:t>
                  </w:r>
                </w:p>
              </w:tc>
              <w:tc>
                <w:tcPr>
                  <w:tcW w:w="954" w:type="dxa"/>
                  <w:vAlign w:val="center"/>
                </w:tcPr>
                <w:p w14:paraId="4CCF5F2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482E0FC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203F83B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3803B23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/1.78</w:t>
                  </w:r>
                </w:p>
              </w:tc>
            </w:tr>
            <w:tr w14:paraId="1E78C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61DFA6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0DE5DC4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思蒙河</w:t>
                  </w:r>
                </w:p>
              </w:tc>
              <w:tc>
                <w:tcPr>
                  <w:tcW w:w="1527" w:type="dxa"/>
                  <w:vAlign w:val="center"/>
                </w:tcPr>
                <w:p w14:paraId="1B73E32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思蒙河东青交界</w:t>
                  </w:r>
                </w:p>
              </w:tc>
              <w:tc>
                <w:tcPr>
                  <w:tcW w:w="954" w:type="dxa"/>
                  <w:vAlign w:val="center"/>
                </w:tcPr>
                <w:p w14:paraId="3793AC3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5153437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4EC9EC1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5E65E46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/1.98、化学需氧量/0.05</w:t>
                  </w:r>
                </w:p>
              </w:tc>
            </w:tr>
            <w:tr w14:paraId="1A820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5CBD418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621BB90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思蒙河</w:t>
                  </w:r>
                </w:p>
              </w:tc>
              <w:tc>
                <w:tcPr>
                  <w:tcW w:w="1527" w:type="dxa"/>
                  <w:vAlign w:val="center"/>
                </w:tcPr>
                <w:p w14:paraId="43F7194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思蒙河口</w:t>
                  </w:r>
                </w:p>
              </w:tc>
              <w:tc>
                <w:tcPr>
                  <w:tcW w:w="954" w:type="dxa"/>
                  <w:vAlign w:val="center"/>
                </w:tcPr>
                <w:p w14:paraId="7712F96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1238D5D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4B97F64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7A0D7B9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/1.67、溶解氧/</w:t>
                  </w:r>
                  <w:r>
                    <w:rPr>
                      <w:rFonts w:hint="eastAsia" w:ascii="Times New Roman" w:hAnsi="Times New Roman" w:eastAsia="宋体" w:cs="宋体"/>
                      <w:color w:val="auto"/>
                      <w:kern w:val="0"/>
                      <w:sz w:val="21"/>
                      <w:szCs w:val="21"/>
                      <w:vertAlign w:val="baseline"/>
                      <w:lang w:val="en-US" w:eastAsia="zh-CN"/>
                    </w:rPr>
                    <w:t>Ⅳ类</w:t>
                  </w:r>
                </w:p>
              </w:tc>
            </w:tr>
            <w:tr w14:paraId="1A815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3C1439D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49CBA2A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体泉河</w:t>
                  </w:r>
                </w:p>
              </w:tc>
              <w:tc>
                <w:tcPr>
                  <w:tcW w:w="1527" w:type="dxa"/>
                  <w:vAlign w:val="center"/>
                </w:tcPr>
                <w:p w14:paraId="73BC12A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仲辉大桥</w:t>
                  </w:r>
                </w:p>
              </w:tc>
              <w:tc>
                <w:tcPr>
                  <w:tcW w:w="954" w:type="dxa"/>
                  <w:vAlign w:val="center"/>
                </w:tcPr>
                <w:p w14:paraId="562F121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5A0669F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5ABB677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0F14D2C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eastAsia="zh-CN"/>
                    </w:rPr>
                    <w:t>氨氮</w:t>
                  </w:r>
                  <w:r>
                    <w:rPr>
                      <w:rFonts w:hint="eastAsia" w:ascii="Times New Roman" w:hAnsi="Times New Roman" w:eastAsia="宋体"/>
                      <w:color w:val="auto"/>
                      <w:kern w:val="0"/>
                      <w:sz w:val="21"/>
                      <w:szCs w:val="21"/>
                      <w:vertAlign w:val="baseline"/>
                      <w:lang w:val="en-US" w:eastAsia="zh-CN"/>
                    </w:rPr>
                    <w:t>/1.91、</w:t>
                  </w: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/0.64、高锰酸盐指数/0.07</w:t>
                  </w:r>
                </w:p>
              </w:tc>
            </w:tr>
            <w:tr w14:paraId="0A318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59EE3F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6252022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体泉河</w:t>
                  </w:r>
                </w:p>
              </w:tc>
              <w:tc>
                <w:tcPr>
                  <w:tcW w:w="1527" w:type="dxa"/>
                  <w:vAlign w:val="center"/>
                </w:tcPr>
                <w:p w14:paraId="5B99CDB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体泉河口</w:t>
                  </w:r>
                </w:p>
              </w:tc>
              <w:tc>
                <w:tcPr>
                  <w:tcW w:w="954" w:type="dxa"/>
                  <w:vAlign w:val="center"/>
                </w:tcPr>
                <w:p w14:paraId="3A51062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3D22E24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27FD8D8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0515BBE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eastAsia="zh-CN"/>
                    </w:rPr>
                    <w:t>氨氮</w:t>
                  </w:r>
                  <w:r>
                    <w:rPr>
                      <w:rFonts w:hint="eastAsia" w:ascii="Times New Roman" w:hAnsi="Times New Roman" w:eastAsia="宋体"/>
                      <w:color w:val="auto"/>
                      <w:kern w:val="0"/>
                      <w:sz w:val="21"/>
                      <w:szCs w:val="21"/>
                      <w:vertAlign w:val="baseline"/>
                      <w:lang w:val="en-US" w:eastAsia="zh-CN"/>
                    </w:rPr>
                    <w:t>/3.21、</w:t>
                  </w: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/1.45、五日生化需氧量/0.38</w:t>
                  </w:r>
                </w:p>
              </w:tc>
            </w:tr>
            <w:tr w14:paraId="57612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4357BAC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1BFFC75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毛河</w:t>
                  </w:r>
                </w:p>
              </w:tc>
              <w:tc>
                <w:tcPr>
                  <w:tcW w:w="1527" w:type="dxa"/>
                  <w:vAlign w:val="center"/>
                </w:tcPr>
                <w:p w14:paraId="4507A9D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柳江桥</w:t>
                  </w:r>
                </w:p>
              </w:tc>
              <w:tc>
                <w:tcPr>
                  <w:tcW w:w="954" w:type="dxa"/>
                  <w:vAlign w:val="center"/>
                </w:tcPr>
                <w:p w14:paraId="7B89055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352899F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42FBCD9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49BAB59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/1.02</w:t>
                  </w:r>
                </w:p>
              </w:tc>
            </w:tr>
            <w:tr w14:paraId="2E939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800F75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69E04B8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东风渠</w:t>
                  </w:r>
                </w:p>
              </w:tc>
              <w:tc>
                <w:tcPr>
                  <w:tcW w:w="1527" w:type="dxa"/>
                  <w:vAlign w:val="center"/>
                </w:tcPr>
                <w:p w14:paraId="0C961A2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东风桥</w:t>
                  </w:r>
                </w:p>
              </w:tc>
              <w:tc>
                <w:tcPr>
                  <w:tcW w:w="954" w:type="dxa"/>
                  <w:vAlign w:val="center"/>
                </w:tcPr>
                <w:p w14:paraId="4538642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449EFA3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Ⅱ</w:t>
                  </w:r>
                </w:p>
              </w:tc>
              <w:tc>
                <w:tcPr>
                  <w:tcW w:w="1527" w:type="dxa"/>
                  <w:vAlign w:val="center"/>
                </w:tcPr>
                <w:p w14:paraId="7B1094D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清洁</w:t>
                  </w:r>
                </w:p>
              </w:tc>
              <w:tc>
                <w:tcPr>
                  <w:tcW w:w="2051" w:type="dxa"/>
                  <w:vAlign w:val="center"/>
                </w:tcPr>
                <w:p w14:paraId="1FFE2F7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val="en-US" w:eastAsia="zh-CN"/>
                    </w:rPr>
                    <w:t>/</w:t>
                  </w:r>
                </w:p>
              </w:tc>
            </w:tr>
            <w:tr w14:paraId="4A34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3CC8C1B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0A8F527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通济堰</w:t>
                  </w:r>
                </w:p>
              </w:tc>
              <w:tc>
                <w:tcPr>
                  <w:tcW w:w="1527" w:type="dxa"/>
                  <w:vAlign w:val="center"/>
                </w:tcPr>
                <w:p w14:paraId="041F240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val="en-US" w:eastAsia="zh-CN"/>
                    </w:rPr>
                    <w:t>通济堰东干渠彭东交界</w:t>
                  </w:r>
                </w:p>
              </w:tc>
              <w:tc>
                <w:tcPr>
                  <w:tcW w:w="954" w:type="dxa"/>
                  <w:vAlign w:val="center"/>
                </w:tcPr>
                <w:p w14:paraId="5F09CF5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66ECA03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Ⅴ</w:t>
                  </w:r>
                </w:p>
              </w:tc>
              <w:tc>
                <w:tcPr>
                  <w:tcW w:w="1527" w:type="dxa"/>
                  <w:vAlign w:val="center"/>
                </w:tcPr>
                <w:p w14:paraId="4CEF4B2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中度污染</w:t>
                  </w:r>
                </w:p>
              </w:tc>
              <w:tc>
                <w:tcPr>
                  <w:tcW w:w="2051" w:type="dxa"/>
                  <w:vAlign w:val="center"/>
                </w:tcPr>
                <w:p w14:paraId="353E05F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0.93</w:t>
                  </w:r>
                </w:p>
              </w:tc>
            </w:tr>
            <w:tr w14:paraId="691CF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620157C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414693F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通惠河</w:t>
                  </w:r>
                </w:p>
              </w:tc>
              <w:tc>
                <w:tcPr>
                  <w:tcW w:w="1527" w:type="dxa"/>
                  <w:vAlign w:val="center"/>
                </w:tcPr>
                <w:p w14:paraId="37A8FD6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通惠河出城入体泉河处</w:t>
                  </w:r>
                </w:p>
              </w:tc>
              <w:tc>
                <w:tcPr>
                  <w:tcW w:w="954" w:type="dxa"/>
                  <w:vAlign w:val="center"/>
                </w:tcPr>
                <w:p w14:paraId="5017DD5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2C9894C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48BC8E7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739BDAC8">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氨氮</w:t>
                  </w:r>
                  <w:r>
                    <w:rPr>
                      <w:rFonts w:hint="eastAsia" w:ascii="Times New Roman" w:hAnsi="Times New Roman" w:eastAsia="宋体"/>
                      <w:color w:val="auto"/>
                      <w:kern w:val="0"/>
                      <w:sz w:val="21"/>
                      <w:szCs w:val="21"/>
                      <w:vertAlign w:val="baseline"/>
                      <w:lang w:val="en-US" w:eastAsia="zh-CN"/>
                    </w:rPr>
                    <w:t>/0.95、</w:t>
                  </w: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/1.97、化学需氧量/0.05</w:t>
                  </w:r>
                </w:p>
              </w:tc>
            </w:tr>
            <w:tr w14:paraId="54D13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8CB9C5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7B5339B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越溪河</w:t>
                  </w:r>
                </w:p>
              </w:tc>
              <w:tc>
                <w:tcPr>
                  <w:tcW w:w="1527" w:type="dxa"/>
                  <w:vAlign w:val="center"/>
                </w:tcPr>
                <w:p w14:paraId="6D34A12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雨佳乡黄龙桥</w:t>
                  </w:r>
                </w:p>
              </w:tc>
              <w:tc>
                <w:tcPr>
                  <w:tcW w:w="954" w:type="dxa"/>
                  <w:vAlign w:val="center"/>
                </w:tcPr>
                <w:p w14:paraId="68FAFE4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4DF574A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Ⅳ</w:t>
                  </w:r>
                </w:p>
              </w:tc>
              <w:tc>
                <w:tcPr>
                  <w:tcW w:w="1527" w:type="dxa"/>
                  <w:vAlign w:val="center"/>
                </w:tcPr>
                <w:p w14:paraId="18F7292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轻度污染</w:t>
                  </w:r>
                </w:p>
              </w:tc>
              <w:tc>
                <w:tcPr>
                  <w:tcW w:w="2051" w:type="dxa"/>
                  <w:vAlign w:val="center"/>
                </w:tcPr>
                <w:p w14:paraId="401B488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val="en-US" w:eastAsia="zh-CN"/>
                    </w:rPr>
                    <w:t>高锰酸盐指数/0.42、</w:t>
                  </w: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/0.40、化学需氧量/0.05</w:t>
                  </w:r>
                </w:p>
              </w:tc>
            </w:tr>
            <w:tr w14:paraId="733FC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8A5679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062C92E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东坡湖</w:t>
                  </w:r>
                </w:p>
              </w:tc>
              <w:tc>
                <w:tcPr>
                  <w:tcW w:w="1527" w:type="dxa"/>
                  <w:vAlign w:val="center"/>
                </w:tcPr>
                <w:p w14:paraId="70FDDEBE">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东坡湖进口</w:t>
                  </w:r>
                </w:p>
              </w:tc>
              <w:tc>
                <w:tcPr>
                  <w:tcW w:w="954" w:type="dxa"/>
                  <w:vAlign w:val="center"/>
                </w:tcPr>
                <w:p w14:paraId="63258E5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2ACE2F2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Ⅳ</w:t>
                  </w:r>
                </w:p>
              </w:tc>
              <w:tc>
                <w:tcPr>
                  <w:tcW w:w="1527" w:type="dxa"/>
                  <w:vAlign w:val="center"/>
                </w:tcPr>
                <w:p w14:paraId="35F0A37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轻度污染</w:t>
                  </w:r>
                </w:p>
              </w:tc>
              <w:tc>
                <w:tcPr>
                  <w:tcW w:w="2051" w:type="dxa"/>
                  <w:vAlign w:val="center"/>
                </w:tcPr>
                <w:p w14:paraId="293D29A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/0.02</w:t>
                  </w:r>
                </w:p>
              </w:tc>
            </w:tr>
            <w:tr w14:paraId="0C91B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7B2C029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4DF84CF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东坡湖</w:t>
                  </w:r>
                </w:p>
              </w:tc>
              <w:tc>
                <w:tcPr>
                  <w:tcW w:w="1527" w:type="dxa"/>
                  <w:vAlign w:val="center"/>
                </w:tcPr>
                <w:p w14:paraId="758B72A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东坡湖中心</w:t>
                  </w:r>
                </w:p>
              </w:tc>
              <w:tc>
                <w:tcPr>
                  <w:tcW w:w="954" w:type="dxa"/>
                  <w:vAlign w:val="center"/>
                </w:tcPr>
                <w:p w14:paraId="159A393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61FDF0C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527" w:type="dxa"/>
                  <w:vAlign w:val="center"/>
                </w:tcPr>
                <w:p w14:paraId="2EC654A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良好</w:t>
                  </w:r>
                </w:p>
              </w:tc>
              <w:tc>
                <w:tcPr>
                  <w:tcW w:w="2051" w:type="dxa"/>
                  <w:vAlign w:val="center"/>
                </w:tcPr>
                <w:p w14:paraId="04715B78">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val="en-US" w:eastAsia="zh-CN"/>
                    </w:rPr>
                    <w:t>/</w:t>
                  </w:r>
                </w:p>
              </w:tc>
            </w:tr>
            <w:tr w14:paraId="6C2D5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Merge w:val="continue"/>
                  <w:vAlign w:val="center"/>
                </w:tcPr>
                <w:p w14:paraId="529DBF5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p>
              </w:tc>
              <w:tc>
                <w:tcPr>
                  <w:tcW w:w="900" w:type="dxa"/>
                  <w:vAlign w:val="center"/>
                </w:tcPr>
                <w:p w14:paraId="71F995E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东坡湖</w:t>
                  </w:r>
                </w:p>
              </w:tc>
              <w:tc>
                <w:tcPr>
                  <w:tcW w:w="1527" w:type="dxa"/>
                  <w:vAlign w:val="center"/>
                </w:tcPr>
                <w:p w14:paraId="3284D63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东坡湖出口</w:t>
                  </w:r>
                </w:p>
              </w:tc>
              <w:tc>
                <w:tcPr>
                  <w:tcW w:w="954" w:type="dxa"/>
                  <w:vAlign w:val="center"/>
                </w:tcPr>
                <w:p w14:paraId="610A70F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3C66DBA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527" w:type="dxa"/>
                  <w:vAlign w:val="center"/>
                </w:tcPr>
                <w:p w14:paraId="3D16DD2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olor w:val="auto"/>
                      <w:kern w:val="0"/>
                      <w:sz w:val="21"/>
                      <w:szCs w:val="21"/>
                      <w:vertAlign w:val="baseline"/>
                      <w:lang w:eastAsia="zh-CN"/>
                    </w:rPr>
                    <w:t>良好</w:t>
                  </w:r>
                </w:p>
              </w:tc>
              <w:tc>
                <w:tcPr>
                  <w:tcW w:w="2051" w:type="dxa"/>
                  <w:vAlign w:val="center"/>
                </w:tcPr>
                <w:p w14:paraId="0B3DE0F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val="en-US" w:eastAsia="zh-CN"/>
                    </w:rPr>
                  </w:pPr>
                  <w:r>
                    <w:rPr>
                      <w:rFonts w:hint="eastAsia" w:ascii="Times New Roman" w:hAnsi="Times New Roman" w:eastAsia="宋体"/>
                      <w:color w:val="auto"/>
                      <w:kern w:val="0"/>
                      <w:sz w:val="21"/>
                      <w:szCs w:val="21"/>
                      <w:vertAlign w:val="baseline"/>
                      <w:lang w:val="en-US" w:eastAsia="zh-CN"/>
                    </w:rPr>
                    <w:t>/</w:t>
                  </w:r>
                </w:p>
              </w:tc>
            </w:tr>
            <w:tr w14:paraId="7C9E3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dxa"/>
                  <w:vAlign w:val="center"/>
                </w:tcPr>
                <w:p w14:paraId="30B0DD4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沱江水系</w:t>
                  </w:r>
                </w:p>
              </w:tc>
              <w:tc>
                <w:tcPr>
                  <w:tcW w:w="900" w:type="dxa"/>
                  <w:vAlign w:val="center"/>
                </w:tcPr>
                <w:p w14:paraId="4637B8F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球溪河</w:t>
                  </w:r>
                </w:p>
              </w:tc>
              <w:tc>
                <w:tcPr>
                  <w:tcW w:w="1527" w:type="dxa"/>
                  <w:vAlign w:val="center"/>
                </w:tcPr>
                <w:p w14:paraId="05BEDDF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北斗</w:t>
                  </w:r>
                </w:p>
              </w:tc>
              <w:tc>
                <w:tcPr>
                  <w:tcW w:w="954" w:type="dxa"/>
                  <w:vAlign w:val="center"/>
                </w:tcPr>
                <w:p w14:paraId="5E304E8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rPr>
                    <w:t>Ⅲ</w:t>
                  </w:r>
                </w:p>
              </w:tc>
              <w:tc>
                <w:tcPr>
                  <w:tcW w:w="1201" w:type="dxa"/>
                  <w:vAlign w:val="center"/>
                </w:tcPr>
                <w:p w14:paraId="38223B1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rPr>
                  </w:pPr>
                  <w:r>
                    <w:rPr>
                      <w:rFonts w:hint="eastAsia" w:ascii="Times New Roman" w:hAnsi="Times New Roman" w:eastAsia="宋体" w:cs="宋体"/>
                      <w:color w:val="auto"/>
                      <w:kern w:val="0"/>
                      <w:sz w:val="21"/>
                      <w:szCs w:val="21"/>
                      <w:vertAlign w:val="baseline"/>
                      <w:lang w:eastAsia="zh-CN"/>
                    </w:rPr>
                    <w:t>劣</w:t>
                  </w:r>
                  <w:r>
                    <w:rPr>
                      <w:rFonts w:hint="eastAsia" w:ascii="Times New Roman" w:hAnsi="Times New Roman" w:eastAsia="宋体" w:cs="宋体"/>
                      <w:color w:val="auto"/>
                      <w:kern w:val="0"/>
                      <w:sz w:val="21"/>
                      <w:szCs w:val="21"/>
                      <w:vertAlign w:val="baseline"/>
                    </w:rPr>
                    <w:t>Ⅴ</w:t>
                  </w:r>
                </w:p>
              </w:tc>
              <w:tc>
                <w:tcPr>
                  <w:tcW w:w="1527" w:type="dxa"/>
                  <w:vAlign w:val="center"/>
                </w:tcPr>
                <w:p w14:paraId="47C47D8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eastAsia" w:ascii="Times New Roman" w:hAnsi="Times New Roman" w:eastAsia="宋体"/>
                      <w:color w:val="auto"/>
                      <w:kern w:val="0"/>
                      <w:sz w:val="21"/>
                      <w:szCs w:val="21"/>
                      <w:vertAlign w:val="baseline"/>
                      <w:lang w:eastAsia="zh-CN"/>
                    </w:rPr>
                  </w:pPr>
                  <w:r>
                    <w:rPr>
                      <w:rFonts w:hint="eastAsia" w:ascii="Times New Roman" w:hAnsi="Times New Roman" w:eastAsia="宋体"/>
                      <w:color w:val="auto"/>
                      <w:kern w:val="0"/>
                      <w:sz w:val="21"/>
                      <w:szCs w:val="21"/>
                      <w:vertAlign w:val="baseline"/>
                      <w:lang w:eastAsia="zh-CN"/>
                    </w:rPr>
                    <w:t>重度污染</w:t>
                  </w:r>
                </w:p>
              </w:tc>
              <w:tc>
                <w:tcPr>
                  <w:tcW w:w="2051" w:type="dxa"/>
                  <w:vAlign w:val="center"/>
                </w:tcPr>
                <w:p w14:paraId="3CF05F57">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olor w:val="auto"/>
                      <w:kern w:val="0"/>
                      <w:sz w:val="21"/>
                      <w:szCs w:val="21"/>
                      <w:vertAlign w:val="baseline"/>
                      <w:lang w:val="en-US"/>
                    </w:rPr>
                  </w:pPr>
                  <w:r>
                    <w:rPr>
                      <w:rFonts w:hint="eastAsia" w:ascii="Times New Roman" w:hAnsi="Times New Roman" w:eastAsia="宋体"/>
                      <w:color w:val="auto"/>
                      <w:kern w:val="0"/>
                      <w:sz w:val="21"/>
                      <w:szCs w:val="21"/>
                      <w:vertAlign w:val="baseline"/>
                      <w:lang w:eastAsia="zh-CN"/>
                    </w:rPr>
                    <w:t>总磷</w:t>
                  </w:r>
                  <w:r>
                    <w:rPr>
                      <w:rFonts w:hint="eastAsia" w:ascii="Times New Roman" w:hAnsi="Times New Roman" w:eastAsia="宋体"/>
                      <w:color w:val="auto"/>
                      <w:kern w:val="0"/>
                      <w:sz w:val="21"/>
                      <w:szCs w:val="21"/>
                      <w:vertAlign w:val="baseline"/>
                      <w:lang w:val="en-US" w:eastAsia="zh-CN"/>
                    </w:rPr>
                    <w:t>/1.42</w:t>
                  </w:r>
                </w:p>
              </w:tc>
            </w:tr>
          </w:tbl>
          <w:p w14:paraId="6D28D924">
            <w:pPr>
              <w:keepNext w:val="0"/>
              <w:keepLines w:val="0"/>
              <w:widowControl/>
              <w:suppressLineNumbers w:val="0"/>
              <w:spacing w:before="0" w:beforeLines="0" w:beforeAutospacing="0" w:after="0" w:afterLines="0" w:afterAutospacing="0"/>
              <w:ind w:left="0" w:right="0" w:firstLine="480"/>
              <w:jc w:val="left"/>
              <w:rPr>
                <w:rFonts w:hint="eastAsia"/>
                <w:color w:val="auto"/>
                <w:kern w:val="0"/>
                <w:sz w:val="24"/>
              </w:rPr>
            </w:pPr>
            <w:r>
              <w:rPr>
                <w:rFonts w:hint="eastAsia"/>
                <w:color w:val="auto"/>
                <w:kern w:val="0"/>
                <w:sz w:val="24"/>
              </w:rPr>
              <w:t>本项目地表水属于岷江水系</w:t>
            </w:r>
            <w:r>
              <w:rPr>
                <w:rFonts w:hint="eastAsia"/>
                <w:color w:val="auto"/>
                <w:kern w:val="0"/>
                <w:sz w:val="24"/>
                <w:lang w:eastAsia="zh-CN"/>
              </w:rPr>
              <w:t>（</w:t>
            </w:r>
            <w:r>
              <w:rPr>
                <w:rFonts w:hint="eastAsia"/>
                <w:color w:val="auto"/>
                <w:kern w:val="0"/>
                <w:sz w:val="24"/>
              </w:rPr>
              <w:t>眉山段</w:t>
            </w:r>
            <w:r>
              <w:rPr>
                <w:rFonts w:hint="eastAsia"/>
                <w:color w:val="auto"/>
                <w:kern w:val="0"/>
                <w:sz w:val="24"/>
                <w:lang w:eastAsia="zh-CN"/>
              </w:rPr>
              <w:t>）：</w:t>
            </w:r>
          </w:p>
          <w:p w14:paraId="03A28E0B">
            <w:pPr>
              <w:keepNext w:val="0"/>
              <w:keepLines w:val="0"/>
              <w:widowControl/>
              <w:suppressLineNumbers w:val="0"/>
              <w:spacing w:before="0" w:beforeLines="0" w:beforeAutospacing="0" w:after="0" w:afterLines="0" w:afterAutospacing="0"/>
              <w:ind w:left="0" w:right="0" w:firstLine="480"/>
              <w:jc w:val="left"/>
              <w:rPr>
                <w:rFonts w:hint="eastAsia" w:eastAsia="宋体"/>
                <w:color w:val="auto"/>
                <w:kern w:val="0"/>
                <w:sz w:val="24"/>
                <w:lang w:eastAsia="zh-CN"/>
              </w:rPr>
            </w:pPr>
            <w:r>
              <w:rPr>
                <w:rFonts w:hint="eastAsia"/>
                <w:color w:val="auto"/>
                <w:kern w:val="0"/>
                <w:sz w:val="24"/>
              </w:rPr>
              <w:t>2017年，全市总体水质为重度污染，主要污染指标为总磷。与去年相比，水质有所好转主要污染河段集中在岷江干流、体泉河、思蒙河、金牛河、毛河、通惠河、球溪河等。岷江干流(眉山段)为轻度污染，主要污染指标为总磷，与去年相比，水质有所好转。江(眉山段)支流为重度污染，主要污染指标为总磷、氨氮等，与去年相比，水质有所好转。沱江支流球溪河为重度污染，主要污染指标为总磷，与去年相比，水质变差</w:t>
            </w:r>
            <w:r>
              <w:rPr>
                <w:rFonts w:hint="eastAsia"/>
                <w:color w:val="auto"/>
                <w:kern w:val="0"/>
                <w:sz w:val="24"/>
                <w:lang w:eastAsia="zh-CN"/>
              </w:rPr>
              <w:t>。</w:t>
            </w:r>
          </w:p>
          <w:p w14:paraId="5001E684">
            <w:pPr>
              <w:keepNext w:val="0"/>
              <w:keepLines w:val="0"/>
              <w:widowControl/>
              <w:suppressLineNumbers w:val="0"/>
              <w:spacing w:before="0" w:beforeLines="0" w:beforeAutospacing="0" w:after="0" w:afterLines="0" w:afterAutospacing="0"/>
              <w:ind w:left="0" w:right="0" w:firstLine="48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rPr>
              <w:t>（</w:t>
            </w:r>
            <w:r>
              <w:rPr>
                <w:rFonts w:hint="default" w:ascii="Times New Roman" w:hAnsi="Times New Roman" w:eastAsia="宋体"/>
                <w:color w:val="auto"/>
                <w:sz w:val="24"/>
                <w:szCs w:val="24"/>
              </w:rPr>
              <w:t>3</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声学环境质量</w:t>
            </w:r>
          </w:p>
          <w:p w14:paraId="1B4B7007">
            <w:pPr>
              <w:keepNext w:val="0"/>
              <w:keepLines w:val="0"/>
              <w:widowControl/>
              <w:suppressLineNumbers w:val="0"/>
              <w:spacing w:before="0" w:beforeLines="0" w:beforeAutospacing="0" w:after="0" w:afterLines="0" w:afterAutospacing="0" w:line="360" w:lineRule="auto"/>
              <w:ind w:left="0" w:right="0" w:firstLine="600" w:firstLineChars="250"/>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lang w:val="zh-CN"/>
              </w:rPr>
              <w:t>四川合规检测技术有限公司于</w:t>
            </w:r>
            <w:r>
              <w:rPr>
                <w:rFonts w:hint="eastAsia" w:ascii="Times New Roman" w:hAnsi="Times New Roman"/>
                <w:color w:val="auto"/>
                <w:sz w:val="24"/>
                <w:szCs w:val="24"/>
                <w:lang w:val="en-US" w:eastAsia="zh-CN"/>
              </w:rPr>
              <w:t>2019年1月14日-15日对金顶维食品有限公司投资建设的“餐佐料生产线扩建项目”的声环境质量现状进行了本底监测：</w:t>
            </w:r>
          </w:p>
          <w:p w14:paraId="55B4917B">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Times New Roman" w:hAnsi="Times New Roman"/>
                <w:color w:val="auto"/>
                <w:sz w:val="24"/>
                <w:szCs w:val="24"/>
                <w:lang w:val="en-US" w:eastAsia="zh-CN"/>
              </w:rPr>
            </w:pPr>
            <w:r>
              <w:rPr>
                <w:rFonts w:hint="eastAsia" w:ascii="Times New Roman" w:hAnsi="Times New Roman"/>
                <w:color w:val="auto"/>
                <w:sz w:val="24"/>
                <w:szCs w:val="24"/>
                <w:lang w:val="zh-CN" w:eastAsia="zh-CN"/>
              </w:rPr>
              <w:t>监测项目：连续等效</w:t>
            </w:r>
            <w:r>
              <w:rPr>
                <w:rFonts w:hint="eastAsia" w:ascii="Times New Roman" w:hAnsi="Times New Roman"/>
                <w:color w:val="auto"/>
                <w:sz w:val="24"/>
                <w:szCs w:val="24"/>
                <w:lang w:val="en-US" w:eastAsia="zh-CN"/>
              </w:rPr>
              <w:t>A声级。</w:t>
            </w:r>
          </w:p>
          <w:p w14:paraId="611576DC">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Times New Roman" w:hAnsi="Times New Roman"/>
                <w:color w:val="auto"/>
                <w:sz w:val="24"/>
                <w:szCs w:val="24"/>
                <w:lang w:val="en-US" w:eastAsia="zh-CN"/>
              </w:rPr>
            </w:pPr>
            <w:r>
              <w:rPr>
                <w:rFonts w:hint="eastAsia" w:ascii="Times New Roman" w:hAnsi="Times New Roman"/>
                <w:color w:val="auto"/>
                <w:sz w:val="24"/>
                <w:szCs w:val="24"/>
                <w:lang w:val="en-US" w:eastAsia="zh-CN"/>
              </w:rPr>
              <w:t>监测时间和频率：2019年1月14日~1月15日连续2天，每天昼夜各1次。</w:t>
            </w:r>
          </w:p>
          <w:p w14:paraId="172C1612">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Times New Roman" w:hAnsi="Times New Roman"/>
                <w:color w:val="auto"/>
                <w:sz w:val="24"/>
                <w:szCs w:val="24"/>
                <w:lang w:val="en-US" w:eastAsia="zh-CN"/>
              </w:rPr>
            </w:pPr>
            <w:r>
              <w:rPr>
                <w:rFonts w:hint="eastAsia" w:ascii="Times New Roman" w:hAnsi="Times New Roman"/>
                <w:color w:val="auto"/>
                <w:sz w:val="24"/>
                <w:szCs w:val="24"/>
                <w:lang w:val="en-US" w:eastAsia="zh-CN"/>
              </w:rPr>
              <w:t>监测分析方法：按GB3096-2008《声环境质量标准》要求进行。</w:t>
            </w:r>
          </w:p>
          <w:p w14:paraId="406A3619">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Times New Roman" w:hAnsi="Times New Roman"/>
                <w:color w:val="auto"/>
                <w:sz w:val="24"/>
                <w:szCs w:val="24"/>
                <w:lang w:val="en-US" w:eastAsia="zh-CN"/>
              </w:rPr>
            </w:pPr>
            <w:r>
              <w:rPr>
                <w:rFonts w:hint="eastAsia" w:ascii="Times New Roman" w:hAnsi="Times New Roman"/>
                <w:color w:val="auto"/>
                <w:sz w:val="24"/>
                <w:szCs w:val="24"/>
                <w:lang w:val="en-US" w:eastAsia="zh-CN"/>
              </w:rPr>
              <w:t>监测布点：拟建厂址厂界处1m。</w:t>
            </w:r>
          </w:p>
          <w:p w14:paraId="3442FB66">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ascii="Times New Roman" w:hAnsi="Times New Roman"/>
                <w:color w:val="auto"/>
                <w:sz w:val="24"/>
                <w:szCs w:val="24"/>
                <w:lang w:val="en-US" w:eastAsia="zh-CN"/>
              </w:rPr>
            </w:pPr>
            <w:r>
              <w:rPr>
                <w:rFonts w:hint="eastAsia" w:ascii="Times New Roman" w:hAnsi="Times New Roman"/>
                <w:color w:val="auto"/>
                <w:sz w:val="24"/>
                <w:szCs w:val="24"/>
                <w:lang w:val="en-US" w:eastAsia="zh-CN"/>
              </w:rPr>
              <w:t>监测结果如下表所示：</w:t>
            </w:r>
          </w:p>
          <w:p w14:paraId="3ABB5969">
            <w:pPr>
              <w:pStyle w:val="17"/>
              <w:keepNext w:val="0"/>
              <w:keepLines w:val="0"/>
              <w:pageBreakBefore w:val="0"/>
              <w:suppressLineNumbers w:val="0"/>
              <w:kinsoku/>
              <w:wordWrap/>
              <w:overflowPunct/>
              <w:topLinePunct w:val="0"/>
              <w:autoSpaceDE/>
              <w:autoSpaceDN/>
              <w:bidi w:val="0"/>
              <w:spacing w:before="0" w:beforeAutospacing="0" w:afterAutospacing="0" w:line="360" w:lineRule="auto"/>
              <w:ind w:left="0" w:leftChars="0" w:right="0" w:firstLine="422" w:firstLineChars="200"/>
              <w:jc w:val="center"/>
              <w:textAlignment w:val="auto"/>
              <w:rPr>
                <w:rFonts w:hint="default"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表4-2  噪声现状监测结果表 单位dB（A）</w:t>
            </w:r>
          </w:p>
          <w:tbl>
            <w:tblPr>
              <w:tblStyle w:val="2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1488"/>
              <w:gridCol w:w="1488"/>
              <w:gridCol w:w="1488"/>
              <w:gridCol w:w="1488"/>
              <w:gridCol w:w="1488"/>
            </w:tblGrid>
            <w:tr w14:paraId="198A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976"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14:paraId="35766B9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firstLine="0" w:firstLineChars="0"/>
                    <w:textAlignment w:val="auto"/>
                    <mc:AlternateContent>
                      <mc:Choice Requires="wpsCustomData">
                        <wpsCustomData:diagonalParaType/>
                      </mc:Choice>
                    </mc:AlternateContent>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zh-CN"/>
                    </w:rPr>
                    <w:t>监测点</w:t>
                  </w:r>
                </w:p>
                <w:p w14:paraId="2922E8F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zh-CN"/>
                    </w:rPr>
                    <w:t>项目</w:t>
                  </w:r>
                </w:p>
              </w:tc>
              <w:tc>
                <w:tcPr>
                  <w:tcW w:w="2976" w:type="dxa"/>
                  <w:gridSpan w:val="2"/>
                </w:tcPr>
                <w:p w14:paraId="65061FE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1月14日</w:t>
                  </w:r>
                </w:p>
              </w:tc>
              <w:tc>
                <w:tcPr>
                  <w:tcW w:w="2976" w:type="dxa"/>
                  <w:gridSpan w:val="2"/>
                </w:tcPr>
                <w:p w14:paraId="00734D4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en-US" w:eastAsia="zh-CN"/>
                    </w:rPr>
                    <w:t>1月15日</w:t>
                  </w:r>
                </w:p>
              </w:tc>
            </w:tr>
            <w:tr w14:paraId="483B3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6" w:type="dxa"/>
                  <w:gridSpan w:val="2"/>
                  <w:vMerge w:val="continue"/>
                </w:tcPr>
                <w:p w14:paraId="6527A51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p>
              </w:tc>
              <w:tc>
                <w:tcPr>
                  <w:tcW w:w="1488" w:type="dxa"/>
                </w:tcPr>
                <w:p w14:paraId="78967E6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zh-CN"/>
                    </w:rPr>
                    <w:t>昼间</w:t>
                  </w:r>
                </w:p>
              </w:tc>
              <w:tc>
                <w:tcPr>
                  <w:tcW w:w="1488" w:type="dxa"/>
                </w:tcPr>
                <w:p w14:paraId="3CA2F10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zh-CN"/>
                    </w:rPr>
                    <w:t>夜间</w:t>
                  </w:r>
                </w:p>
              </w:tc>
              <w:tc>
                <w:tcPr>
                  <w:tcW w:w="1488" w:type="dxa"/>
                  <w:vAlign w:val="top"/>
                </w:tcPr>
                <w:p w14:paraId="038D1AC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420" w:firstLineChars="20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zh-CN"/>
                    </w:rPr>
                    <w:t>昼间</w:t>
                  </w:r>
                </w:p>
              </w:tc>
              <w:tc>
                <w:tcPr>
                  <w:tcW w:w="1488" w:type="dxa"/>
                  <w:vAlign w:val="top"/>
                </w:tcPr>
                <w:p w14:paraId="160B3303">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420" w:firstLineChars="20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zh-CN"/>
                    </w:rPr>
                    <w:t>夜间</w:t>
                  </w:r>
                </w:p>
              </w:tc>
            </w:tr>
            <w:tr w14:paraId="57A98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vMerge w:val="restart"/>
                </w:tcPr>
                <w:p w14:paraId="77D42A0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zh-CN"/>
                    </w:rPr>
                    <w:t>厂界外四周</w:t>
                  </w:r>
                  <w:r>
                    <w:rPr>
                      <w:rFonts w:hint="eastAsia" w:ascii="Times New Roman" w:hAnsi="Times New Roman"/>
                      <w:color w:val="auto"/>
                      <w:sz w:val="21"/>
                      <w:szCs w:val="21"/>
                      <w:vertAlign w:val="baseline"/>
                      <w:lang w:val="en-US" w:eastAsia="zh-CN"/>
                    </w:rPr>
                    <w:t>1m</w:t>
                  </w:r>
                </w:p>
              </w:tc>
              <w:tc>
                <w:tcPr>
                  <w:tcW w:w="1488" w:type="dxa"/>
                </w:tcPr>
                <w:p w14:paraId="328FB8D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1#</w:t>
                  </w:r>
                </w:p>
              </w:tc>
              <w:tc>
                <w:tcPr>
                  <w:tcW w:w="1488" w:type="dxa"/>
                </w:tcPr>
                <w:p w14:paraId="5B06B31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45.2</w:t>
                  </w:r>
                </w:p>
              </w:tc>
              <w:tc>
                <w:tcPr>
                  <w:tcW w:w="1488" w:type="dxa"/>
                </w:tcPr>
                <w:p w14:paraId="7C48969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44.4</w:t>
                  </w:r>
                </w:p>
              </w:tc>
              <w:tc>
                <w:tcPr>
                  <w:tcW w:w="1488" w:type="dxa"/>
                </w:tcPr>
                <w:p w14:paraId="23858CB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48.1</w:t>
                  </w:r>
                </w:p>
              </w:tc>
              <w:tc>
                <w:tcPr>
                  <w:tcW w:w="1488" w:type="dxa"/>
                </w:tcPr>
                <w:p w14:paraId="793CEDC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36.0</w:t>
                  </w:r>
                </w:p>
              </w:tc>
            </w:tr>
            <w:tr w14:paraId="3A627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vMerge w:val="continue"/>
                </w:tcPr>
                <w:p w14:paraId="4EB50FB9">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p>
              </w:tc>
              <w:tc>
                <w:tcPr>
                  <w:tcW w:w="1488" w:type="dxa"/>
                  <w:vAlign w:val="top"/>
                </w:tcPr>
                <w:p w14:paraId="5DC17DA1">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420" w:firstLineChars="20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en-US" w:eastAsia="zh-CN"/>
                    </w:rPr>
                    <w:t>2#</w:t>
                  </w:r>
                </w:p>
              </w:tc>
              <w:tc>
                <w:tcPr>
                  <w:tcW w:w="1488" w:type="dxa"/>
                </w:tcPr>
                <w:p w14:paraId="0074703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44.6</w:t>
                  </w:r>
                </w:p>
              </w:tc>
              <w:tc>
                <w:tcPr>
                  <w:tcW w:w="1488" w:type="dxa"/>
                </w:tcPr>
                <w:p w14:paraId="4883C1F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40.6</w:t>
                  </w:r>
                </w:p>
              </w:tc>
              <w:tc>
                <w:tcPr>
                  <w:tcW w:w="1488" w:type="dxa"/>
                </w:tcPr>
                <w:p w14:paraId="398689D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49.7</w:t>
                  </w:r>
                </w:p>
              </w:tc>
              <w:tc>
                <w:tcPr>
                  <w:tcW w:w="1488" w:type="dxa"/>
                </w:tcPr>
                <w:p w14:paraId="6E17B317">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42.4</w:t>
                  </w:r>
                </w:p>
              </w:tc>
            </w:tr>
            <w:tr w14:paraId="6784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vMerge w:val="continue"/>
                </w:tcPr>
                <w:p w14:paraId="2BBCA5D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p>
              </w:tc>
              <w:tc>
                <w:tcPr>
                  <w:tcW w:w="1488" w:type="dxa"/>
                  <w:vAlign w:val="top"/>
                </w:tcPr>
                <w:p w14:paraId="7B29618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420" w:firstLineChars="20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en-US" w:eastAsia="zh-CN"/>
                    </w:rPr>
                    <w:t>3#</w:t>
                  </w:r>
                </w:p>
              </w:tc>
              <w:tc>
                <w:tcPr>
                  <w:tcW w:w="1488" w:type="dxa"/>
                </w:tcPr>
                <w:p w14:paraId="11E6B8B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53.3</w:t>
                  </w:r>
                </w:p>
              </w:tc>
              <w:tc>
                <w:tcPr>
                  <w:tcW w:w="1488" w:type="dxa"/>
                </w:tcPr>
                <w:p w14:paraId="70F3017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42.0</w:t>
                  </w:r>
                </w:p>
              </w:tc>
              <w:tc>
                <w:tcPr>
                  <w:tcW w:w="1488" w:type="dxa"/>
                </w:tcPr>
                <w:p w14:paraId="0537258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43.9</w:t>
                  </w:r>
                </w:p>
              </w:tc>
              <w:tc>
                <w:tcPr>
                  <w:tcW w:w="1488" w:type="dxa"/>
                </w:tcPr>
                <w:p w14:paraId="0536E39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45.8</w:t>
                  </w:r>
                </w:p>
              </w:tc>
            </w:tr>
            <w:tr w14:paraId="18934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vMerge w:val="continue"/>
                </w:tcPr>
                <w:p w14:paraId="2F660EFB">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p>
              </w:tc>
              <w:tc>
                <w:tcPr>
                  <w:tcW w:w="1488" w:type="dxa"/>
                  <w:vAlign w:val="top"/>
                </w:tcPr>
                <w:p w14:paraId="4C923B1F">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rightChars="0" w:firstLine="420" w:firstLineChars="20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en-US" w:eastAsia="zh-CN"/>
                    </w:rPr>
                    <w:t>4#</w:t>
                  </w:r>
                </w:p>
              </w:tc>
              <w:tc>
                <w:tcPr>
                  <w:tcW w:w="1488" w:type="dxa"/>
                </w:tcPr>
                <w:p w14:paraId="6E442A4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50.1</w:t>
                  </w:r>
                </w:p>
              </w:tc>
              <w:tc>
                <w:tcPr>
                  <w:tcW w:w="1488" w:type="dxa"/>
                </w:tcPr>
                <w:p w14:paraId="7C7BB93A">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43.7</w:t>
                  </w:r>
                </w:p>
              </w:tc>
              <w:tc>
                <w:tcPr>
                  <w:tcW w:w="1488" w:type="dxa"/>
                </w:tcPr>
                <w:p w14:paraId="55571E94">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50.2</w:t>
                  </w:r>
                </w:p>
              </w:tc>
              <w:tc>
                <w:tcPr>
                  <w:tcW w:w="1488" w:type="dxa"/>
                </w:tcPr>
                <w:p w14:paraId="40FFCBA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43.8</w:t>
                  </w:r>
                </w:p>
              </w:tc>
            </w:tr>
            <w:tr w14:paraId="1813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6" w:type="dxa"/>
                  <w:gridSpan w:val="2"/>
                </w:tcPr>
                <w:p w14:paraId="33716DE2">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eastAsia" w:ascii="Times New Roman" w:hAnsi="Times New Roman" w:eastAsia="宋体"/>
                      <w:color w:val="auto"/>
                      <w:sz w:val="21"/>
                      <w:szCs w:val="21"/>
                      <w:vertAlign w:val="baseline"/>
                      <w:lang w:val="zh-CN"/>
                    </w:rPr>
                  </w:pPr>
                  <w:r>
                    <w:rPr>
                      <w:rFonts w:hint="eastAsia" w:ascii="Times New Roman" w:hAnsi="Times New Roman"/>
                      <w:color w:val="auto"/>
                      <w:sz w:val="21"/>
                      <w:szCs w:val="21"/>
                      <w:vertAlign w:val="baseline"/>
                      <w:lang w:val="zh-CN"/>
                    </w:rPr>
                    <w:t>标准值</w:t>
                  </w:r>
                </w:p>
              </w:tc>
              <w:tc>
                <w:tcPr>
                  <w:tcW w:w="1488" w:type="dxa"/>
                </w:tcPr>
                <w:p w14:paraId="2781C1E7">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65</w:t>
                  </w:r>
                </w:p>
              </w:tc>
              <w:tc>
                <w:tcPr>
                  <w:tcW w:w="1488" w:type="dxa"/>
                </w:tcPr>
                <w:p w14:paraId="7F6E8746">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55</w:t>
                  </w:r>
                </w:p>
              </w:tc>
              <w:tc>
                <w:tcPr>
                  <w:tcW w:w="1488" w:type="dxa"/>
                </w:tcPr>
                <w:p w14:paraId="7F13A7AD">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65</w:t>
                  </w:r>
                </w:p>
              </w:tc>
              <w:tc>
                <w:tcPr>
                  <w:tcW w:w="1488" w:type="dxa"/>
                </w:tcPr>
                <w:p w14:paraId="5AF761DC">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textAlignment w:val="auto"/>
                    <w:rPr>
                      <w:rFonts w:hint="default" w:ascii="Times New Roman" w:hAnsi="Times New Roman" w:eastAsia="宋体"/>
                      <w:color w:val="auto"/>
                      <w:sz w:val="21"/>
                      <w:szCs w:val="21"/>
                      <w:vertAlign w:val="baseline"/>
                      <w:lang w:val="en-US" w:eastAsia="zh-CN"/>
                    </w:rPr>
                  </w:pPr>
                  <w:r>
                    <w:rPr>
                      <w:rFonts w:hint="eastAsia" w:ascii="Times New Roman" w:hAnsi="Times New Roman"/>
                      <w:color w:val="auto"/>
                      <w:sz w:val="21"/>
                      <w:szCs w:val="21"/>
                      <w:vertAlign w:val="baseline"/>
                      <w:lang w:val="en-US" w:eastAsia="zh-CN"/>
                    </w:rPr>
                    <w:t>55</w:t>
                  </w:r>
                </w:p>
              </w:tc>
            </w:tr>
          </w:tbl>
          <w:p w14:paraId="432E2170">
            <w:pPr>
              <w:keepNext w:val="0"/>
              <w:keepLines w:val="0"/>
              <w:widowControl/>
              <w:suppressLineNumbers w:val="0"/>
              <w:spacing w:before="0" w:beforeLines="0" w:beforeAutospacing="0" w:after="0" w:afterLines="0" w:afterAutospacing="0" w:line="360" w:lineRule="auto"/>
              <w:ind w:left="0" w:right="0" w:firstLine="600" w:firstLineChars="250"/>
              <w:rPr>
                <w:rFonts w:hint="eastAsia" w:ascii="Times New Roman" w:hAnsi="Times New Roman" w:eastAsia="宋体"/>
                <w:color w:val="auto"/>
                <w:sz w:val="24"/>
                <w:szCs w:val="24"/>
                <w:lang w:val="zh-CN"/>
              </w:rPr>
            </w:pPr>
            <w:r>
              <w:rPr>
                <w:rFonts w:hint="eastAsia" w:ascii="Times New Roman" w:hAnsi="Times New Roman"/>
                <w:color w:val="auto"/>
                <w:sz w:val="24"/>
                <w:szCs w:val="24"/>
                <w:lang w:val="zh-CN"/>
              </w:rPr>
              <w:t>由监测数据可知，拟建区域昼夜噪声等效声级值</w:t>
            </w:r>
            <w:r>
              <w:rPr>
                <w:rFonts w:hint="eastAsia"/>
                <w:color w:val="auto"/>
                <w:sz w:val="24"/>
                <w:szCs w:val="24"/>
                <w:lang w:val="zh-CN"/>
              </w:rPr>
              <w:t>符</w:t>
            </w:r>
            <w:r>
              <w:rPr>
                <w:rFonts w:hint="eastAsia" w:ascii="Times New Roman" w:hAnsi="Times New Roman"/>
                <w:color w:val="auto"/>
                <w:sz w:val="24"/>
                <w:szCs w:val="24"/>
                <w:lang w:val="zh-CN"/>
              </w:rPr>
              <w:t>合</w:t>
            </w:r>
            <w:r>
              <w:rPr>
                <w:rFonts w:hint="eastAsia" w:ascii="Times New Roman" w:hAnsi="Times New Roman"/>
                <w:color w:val="auto"/>
                <w:sz w:val="24"/>
                <w:szCs w:val="24"/>
                <w:lang w:val="en-US" w:eastAsia="zh-CN"/>
              </w:rPr>
              <w:t>GB3096-2008（声环境质量标准）3类标准限值，所在地声环境质量较好。</w:t>
            </w:r>
          </w:p>
          <w:p w14:paraId="12E0721F">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48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w:t>
            </w:r>
            <w:r>
              <w:rPr>
                <w:rFonts w:hint="eastAsia"/>
                <w:color w:val="auto"/>
                <w:sz w:val="24"/>
                <w:szCs w:val="24"/>
                <w:lang w:val="en-US" w:eastAsia="zh-CN"/>
              </w:rPr>
              <w:t>4</w:t>
            </w:r>
            <w:r>
              <w:rPr>
                <w:rFonts w:hint="eastAsia" w:ascii="Times New Roman" w:hAnsi="Times New Roman" w:eastAsia="宋体"/>
                <w:color w:val="auto"/>
                <w:sz w:val="24"/>
                <w:szCs w:val="24"/>
              </w:rPr>
              <w:t>）</w:t>
            </w:r>
            <w:r>
              <w:rPr>
                <w:rFonts w:hint="eastAsia"/>
                <w:color w:val="auto"/>
                <w:sz w:val="24"/>
                <w:szCs w:val="24"/>
                <w:lang w:eastAsia="zh-CN"/>
              </w:rPr>
              <w:t>生态环境质量现状</w:t>
            </w:r>
          </w:p>
          <w:p w14:paraId="35BADF0B">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kern w:val="0"/>
                <w:sz w:val="24"/>
                <w:szCs w:val="24"/>
                <w:lang w:val="zh-CN" w:eastAsia="zh-CN" w:bidi="ar-SA"/>
              </w:rPr>
            </w:pPr>
            <w:r>
              <w:rPr>
                <w:rFonts w:hint="default" w:ascii="Times New Roman" w:hAnsi="Times New Roman" w:eastAsia="宋体" w:cs="Times New Roman"/>
                <w:color w:val="auto"/>
                <w:kern w:val="0"/>
                <w:sz w:val="24"/>
                <w:szCs w:val="24"/>
                <w:lang w:val="zh-CN" w:eastAsia="zh-CN" w:bidi="ar-SA"/>
              </w:rPr>
              <w:t>拟建项目区域无生态敏感保护目标，不涉及自然保护区、世界文化和自然遗产地、无风景名胜区、森林公园、地质公园、重要湿地、原始天然林、珍稀濒危野生动植物天然集中分布区等环境敏感区域，区域生态环境质量良好。综上所述，拟建项目所在区域环境空气质量较好</w:t>
            </w:r>
            <w:r>
              <w:rPr>
                <w:rFonts w:hint="eastAsia" w:ascii="Times New Roman" w:hAnsi="Times New Roman" w:cs="Times New Roman"/>
                <w:color w:val="auto"/>
                <w:kern w:val="0"/>
                <w:sz w:val="24"/>
                <w:szCs w:val="24"/>
                <w:lang w:val="zh-CN" w:eastAsia="zh-CN" w:bidi="ar-SA"/>
              </w:rPr>
              <w:t>；</w:t>
            </w:r>
            <w:r>
              <w:rPr>
                <w:rFonts w:hint="default" w:ascii="Times New Roman" w:hAnsi="Times New Roman" w:eastAsia="宋体" w:cs="Times New Roman"/>
                <w:color w:val="auto"/>
                <w:kern w:val="0"/>
                <w:sz w:val="24"/>
                <w:szCs w:val="24"/>
                <w:lang w:val="zh-CN" w:eastAsia="zh-CN" w:bidi="ar-SA"/>
              </w:rPr>
              <w:t>区域内主要河流岷江水质达标;区域声环境现状良好，有较大环境容量。</w:t>
            </w:r>
          </w:p>
          <w:p w14:paraId="5A345AB6">
            <w:pPr>
              <w:pStyle w:val="5"/>
              <w:keepNext w:val="0"/>
              <w:keepLines w:val="0"/>
              <w:suppressLineNumbers w:val="0"/>
              <w:spacing w:before="0" w:beforeLines="0" w:beforeAutospacing="0" w:after="0" w:afterLines="0" w:afterAutospacing="0" w:line="276" w:lineRule="auto"/>
              <w:ind w:left="0" w:right="0"/>
              <w:rPr>
                <w:rFonts w:hint="default" w:ascii="Times New Roman" w:hAnsi="Times New Roman" w:eastAsia="宋体"/>
                <w:color w:val="auto"/>
                <w:sz w:val="24"/>
                <w:szCs w:val="24"/>
              </w:rPr>
            </w:pPr>
            <w:r>
              <w:rPr>
                <w:rFonts w:hint="default" w:ascii="Times New Roman" w:hAnsi="Times New Roman" w:eastAsia="宋体"/>
                <w:color w:val="auto"/>
                <w:sz w:val="24"/>
                <w:szCs w:val="24"/>
              </w:rPr>
              <w:t>2</w:t>
            </w:r>
            <w:r>
              <w:rPr>
                <w:rFonts w:hint="eastAsia" w:ascii="Times New Roman" w:hAnsi="Times New Roman" w:eastAsia="宋体"/>
                <w:color w:val="auto"/>
                <w:sz w:val="24"/>
                <w:szCs w:val="24"/>
              </w:rPr>
              <w:t>、环境影响评价结论</w:t>
            </w:r>
          </w:p>
          <w:p w14:paraId="42539381">
            <w:pPr>
              <w:keepNext w:val="0"/>
              <w:keepLines w:val="0"/>
              <w:widowControl/>
              <w:suppressLineNumbers w:val="0"/>
              <w:spacing w:before="0" w:beforeLines="0" w:beforeAutospacing="0" w:after="0" w:afterLines="0" w:afterAutospacing="0"/>
              <w:ind w:left="0" w:right="0" w:firstLine="480"/>
              <w:rPr>
                <w:rFonts w:hint="eastAsia" w:ascii="Times New Roman" w:hAnsi="Times New Roman" w:eastAsia="宋体"/>
                <w:color w:val="auto"/>
                <w:sz w:val="24"/>
                <w:szCs w:val="22"/>
                <w:lang w:eastAsia="zh-CN"/>
              </w:rPr>
            </w:pPr>
            <w:r>
              <w:rPr>
                <w:rFonts w:hint="eastAsia" w:ascii="Times New Roman" w:hAnsi="Times New Roman" w:eastAsia="宋体"/>
                <w:color w:val="auto"/>
                <w:sz w:val="24"/>
                <w:szCs w:val="22"/>
              </w:rPr>
              <w:t>（</w:t>
            </w:r>
            <w:r>
              <w:rPr>
                <w:rFonts w:hint="default" w:ascii="Times New Roman" w:hAnsi="Times New Roman" w:eastAsia="宋体"/>
                <w:color w:val="auto"/>
                <w:sz w:val="24"/>
                <w:szCs w:val="22"/>
              </w:rPr>
              <w:t>1</w:t>
            </w:r>
            <w:r>
              <w:rPr>
                <w:rFonts w:hint="eastAsia" w:ascii="Times New Roman" w:hAnsi="Times New Roman" w:eastAsia="宋体"/>
                <w:color w:val="auto"/>
                <w:sz w:val="24"/>
                <w:szCs w:val="22"/>
              </w:rPr>
              <w:t>）</w:t>
            </w:r>
            <w:r>
              <w:rPr>
                <w:rFonts w:hint="eastAsia" w:ascii="Times New Roman" w:hAnsi="Times New Roman" w:eastAsia="宋体"/>
                <w:color w:val="auto"/>
                <w:sz w:val="24"/>
                <w:szCs w:val="22"/>
                <w:lang w:val="en-US" w:eastAsia="zh-CN"/>
              </w:rPr>
              <w:t>废水</w:t>
            </w:r>
          </w:p>
          <w:p w14:paraId="1738523B">
            <w:pPr>
              <w:keepNext w:val="0"/>
              <w:keepLines w:val="0"/>
              <w:widowControl/>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olor w:val="auto"/>
                <w:sz w:val="24"/>
                <w:szCs w:val="24"/>
              </w:rPr>
            </w:pPr>
            <w:r>
              <w:rPr>
                <w:rFonts w:hint="eastAsia" w:cs="Times New Roman"/>
                <w:color w:val="auto"/>
                <w:lang w:val="en-US" w:eastAsia="zh-CN"/>
              </w:rPr>
              <w:t>本项目废水主要是项目地面、设备清洗废水以及生活污水，废水产生量约为8.42m</w:t>
            </w:r>
            <w:r>
              <w:rPr>
                <w:rFonts w:hint="eastAsia" w:cs="Times New Roman"/>
                <w:color w:val="auto"/>
                <w:vertAlign w:val="superscript"/>
                <w:lang w:val="en-US" w:eastAsia="zh-CN"/>
              </w:rPr>
              <w:t>3</w:t>
            </w:r>
            <w:r>
              <w:rPr>
                <w:rFonts w:hint="eastAsia" w:cs="Times New Roman"/>
                <w:color w:val="auto"/>
                <w:lang w:val="en-US" w:eastAsia="zh-CN"/>
              </w:rPr>
              <w:t>/d，扩建后全厂日排水总量为14.94m</w:t>
            </w:r>
            <w:r>
              <w:rPr>
                <w:rFonts w:hint="eastAsia" w:cs="Times New Roman"/>
                <w:color w:val="auto"/>
                <w:vertAlign w:val="superscript"/>
                <w:lang w:val="en-US" w:eastAsia="zh-CN"/>
              </w:rPr>
              <w:t>3</w:t>
            </w:r>
            <w:r>
              <w:rPr>
                <w:rFonts w:hint="eastAsia" w:cs="Times New Roman"/>
                <w:color w:val="auto"/>
                <w:lang w:val="en-US" w:eastAsia="zh-CN"/>
              </w:rPr>
              <w:t>/d，废水中各污染物浓度较低，经厂区内污水处理站处理后能够达到《污水综合排放标准》(GB8978-1996)三级标准要求排入园区污水管网，经园区污水处理厂处理达标后，排入岷江。</w:t>
            </w:r>
          </w:p>
          <w:p w14:paraId="5D29E68B">
            <w:pPr>
              <w:keepNext w:val="0"/>
              <w:keepLines w:val="0"/>
              <w:widowControl/>
              <w:suppressLineNumbers w:val="0"/>
              <w:spacing w:before="0" w:beforeLines="0" w:beforeAutospacing="0" w:after="0" w:afterLines="0" w:afterAutospacing="0"/>
              <w:ind w:left="0" w:right="0" w:firstLine="480"/>
              <w:rPr>
                <w:rFonts w:hint="eastAsia" w:ascii="Times New Roman" w:hAnsi="Times New Roman" w:eastAsia="宋体"/>
                <w:color w:val="auto"/>
                <w:kern w:val="2"/>
                <w:sz w:val="24"/>
                <w:szCs w:val="22"/>
                <w:lang w:eastAsia="zh-CN"/>
              </w:rPr>
            </w:pPr>
            <w:r>
              <w:rPr>
                <w:rFonts w:hint="eastAsia" w:ascii="Times New Roman" w:hAnsi="Times New Roman" w:eastAsia="宋体"/>
                <w:color w:val="auto"/>
                <w:kern w:val="2"/>
                <w:sz w:val="24"/>
                <w:szCs w:val="22"/>
              </w:rPr>
              <w:t>（</w:t>
            </w:r>
            <w:r>
              <w:rPr>
                <w:rFonts w:hint="default" w:ascii="Times New Roman" w:hAnsi="Times New Roman" w:eastAsia="宋体"/>
                <w:color w:val="auto"/>
                <w:kern w:val="2"/>
                <w:sz w:val="24"/>
                <w:szCs w:val="22"/>
              </w:rPr>
              <w:t>2</w:t>
            </w:r>
            <w:r>
              <w:rPr>
                <w:rFonts w:hint="eastAsia" w:ascii="Times New Roman" w:hAnsi="Times New Roman" w:eastAsia="宋体"/>
                <w:color w:val="auto"/>
                <w:kern w:val="2"/>
                <w:sz w:val="24"/>
                <w:szCs w:val="22"/>
              </w:rPr>
              <w:t>）</w:t>
            </w:r>
            <w:r>
              <w:rPr>
                <w:rFonts w:hint="eastAsia" w:ascii="Times New Roman" w:hAnsi="Times New Roman" w:eastAsia="宋体"/>
                <w:color w:val="auto"/>
                <w:kern w:val="2"/>
                <w:sz w:val="24"/>
                <w:szCs w:val="22"/>
                <w:lang w:val="en-US" w:eastAsia="zh-CN"/>
              </w:rPr>
              <w:t>废气</w:t>
            </w:r>
          </w:p>
          <w:p w14:paraId="729610BF">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leftChars="0" w:right="0" w:firstLine="480" w:firstLineChars="200"/>
              <w:textAlignment w:val="auto"/>
              <w:rPr>
                <w:rFonts w:hint="eastAsia" w:ascii="Times New Roman" w:hAnsi="Times New Roman" w:eastAsia="宋体"/>
                <w:color w:val="auto"/>
                <w:sz w:val="24"/>
                <w:szCs w:val="24"/>
              </w:rPr>
            </w:pPr>
            <w:r>
              <w:rPr>
                <w:rFonts w:hint="eastAsia"/>
                <w:color w:val="auto"/>
                <w:kern w:val="0"/>
                <w:sz w:val="24"/>
                <w:lang w:eastAsia="zh-CN"/>
              </w:rPr>
              <w:t>本项目运营期产生的大气污染物主要是餐佐料生产中产生的油烟、异味；鸡精生产线产生的粉尘、异味；食堂油烟以及天然气燃烧废气。天然气属于清洁能源，其燃烧排放的废气在加强通风后对环境的影响较小。餐佐料炒制油烟、异味经油烟净化器+碱喷淋处理后经15m排气筒排放，对环境影响较小。鸡精生产线产生的粉尘、异味经旋风+布袋除尘器+碱喷淋处理后经15m高排气筒排放，对环境影响较小。污水处理站异味通过加强周围绿化，食堂油烟经油烟净化器处理后屋顶排放。综上，本项目产生的废气对环境的影响较小。</w:t>
            </w:r>
          </w:p>
          <w:p w14:paraId="38DE2E21">
            <w:pPr>
              <w:keepNext w:val="0"/>
              <w:keepLines w:val="0"/>
              <w:widowControl/>
              <w:suppressLineNumbers w:val="0"/>
              <w:spacing w:before="0" w:beforeLines="0" w:beforeAutospacing="0" w:after="0" w:afterLines="0" w:afterAutospacing="0"/>
              <w:ind w:left="0" w:right="0" w:firstLine="480"/>
              <w:rPr>
                <w:rFonts w:hint="eastAsia" w:ascii="Times New Roman" w:hAnsi="Times New Roman" w:eastAsia="宋体"/>
                <w:color w:val="auto"/>
                <w:kern w:val="2"/>
                <w:sz w:val="24"/>
                <w:szCs w:val="22"/>
                <w:lang w:eastAsia="zh-CN"/>
              </w:rPr>
            </w:pPr>
            <w:r>
              <w:rPr>
                <w:rFonts w:hint="eastAsia" w:ascii="Times New Roman" w:hAnsi="Times New Roman" w:eastAsia="宋体"/>
                <w:color w:val="auto"/>
                <w:kern w:val="2"/>
                <w:sz w:val="24"/>
                <w:szCs w:val="22"/>
              </w:rPr>
              <w:t>（3）</w:t>
            </w:r>
            <w:r>
              <w:rPr>
                <w:rFonts w:hint="eastAsia" w:ascii="Times New Roman" w:hAnsi="Times New Roman" w:eastAsia="宋体"/>
                <w:color w:val="auto"/>
                <w:kern w:val="2"/>
                <w:sz w:val="24"/>
                <w:szCs w:val="22"/>
                <w:lang w:val="en-US" w:eastAsia="zh-CN"/>
              </w:rPr>
              <w:t>噪声</w:t>
            </w:r>
          </w:p>
          <w:p w14:paraId="7CE9A1CE">
            <w:pPr>
              <w:keepNext w:val="0"/>
              <w:keepLines w:val="0"/>
              <w:widowControl/>
              <w:suppressLineNumbers w:val="0"/>
              <w:spacing w:before="0" w:beforeLines="0" w:beforeAutospacing="0" w:after="0" w:afterLines="0" w:afterAutospacing="0"/>
              <w:ind w:left="0" w:right="0" w:firstLine="480"/>
              <w:rPr>
                <w:rFonts w:hint="eastAsia" w:ascii="宋体" w:hAnsi="宋体" w:cs="宋体"/>
                <w:color w:val="auto"/>
                <w:sz w:val="24"/>
                <w:szCs w:val="22"/>
              </w:rPr>
            </w:pPr>
            <w:r>
              <w:rPr>
                <w:rFonts w:hint="eastAsia" w:ascii="Times New Roman" w:hAnsi="Times New Roman" w:eastAsia="宋体" w:cs="宋体"/>
                <w:color w:val="auto"/>
                <w:sz w:val="24"/>
                <w:szCs w:val="22"/>
                <w:lang w:val="en-US" w:eastAsia="zh-CN"/>
              </w:rPr>
              <w:t>在厂房经过隔声、合理布局等措施处理后，项目地四周厂界昼间噪声值均能达到《工业企业厂界环境噪声排放标准》（GB12348-2008）中规定的3类区域标准。因此，项目运营期产生的噪声不会对周围声环境造成影响。</w:t>
            </w:r>
          </w:p>
          <w:p w14:paraId="1EECD4DD">
            <w:pPr>
              <w:keepNext w:val="0"/>
              <w:keepLines w:val="0"/>
              <w:widowControl/>
              <w:suppressLineNumbers w:val="0"/>
              <w:spacing w:before="0" w:beforeLines="0" w:beforeAutospacing="0" w:after="0" w:afterLines="0" w:afterAutospacing="0"/>
              <w:ind w:left="0" w:right="0" w:firstLine="480"/>
              <w:rPr>
                <w:rFonts w:hint="default" w:eastAsia="宋体"/>
                <w:color w:val="auto"/>
                <w:kern w:val="2"/>
                <w:sz w:val="24"/>
                <w:szCs w:val="22"/>
                <w:lang w:val="en-US" w:eastAsia="zh-CN"/>
              </w:rPr>
            </w:pPr>
            <w:r>
              <w:rPr>
                <w:rFonts w:hint="eastAsia"/>
                <w:color w:val="auto"/>
                <w:kern w:val="2"/>
                <w:sz w:val="24"/>
                <w:szCs w:val="22"/>
              </w:rPr>
              <w:t>（4）</w:t>
            </w:r>
            <w:r>
              <w:rPr>
                <w:rFonts w:hint="eastAsia"/>
                <w:color w:val="auto"/>
                <w:kern w:val="2"/>
                <w:sz w:val="24"/>
                <w:szCs w:val="22"/>
                <w:lang w:val="en-US" w:eastAsia="zh-CN"/>
              </w:rPr>
              <w:t>固体废物</w:t>
            </w:r>
          </w:p>
          <w:p w14:paraId="5A86E5FF">
            <w:pPr>
              <w:keepNext w:val="0"/>
              <w:keepLines w:val="0"/>
              <w:widowControl/>
              <w:suppressLineNumbers w:val="0"/>
              <w:tabs>
                <w:tab w:val="left" w:pos="6670"/>
              </w:tabs>
              <w:spacing w:before="0" w:beforeLines="0" w:beforeAutospacing="0" w:after="0" w:afterLines="0" w:afterAutospacing="0"/>
              <w:ind w:left="0" w:right="0" w:firstLine="48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本项目产生的固体废物主要有</w:t>
            </w:r>
            <w:r>
              <w:rPr>
                <w:rFonts w:hint="eastAsia" w:cs="Times New Roman"/>
                <w:color w:val="auto"/>
                <w:lang w:val="en-US" w:eastAsia="zh-CN"/>
              </w:rPr>
              <w:t>：</w:t>
            </w:r>
            <w:r>
              <w:rPr>
                <w:rFonts w:hint="default" w:ascii="Times New Roman" w:hAnsi="Times New Roman" w:eastAsia="宋体" w:cs="Times New Roman"/>
                <w:color w:val="auto"/>
                <w:lang w:val="en-US" w:eastAsia="zh-CN"/>
              </w:rPr>
              <w:t>废菜及杂质、废包装袋、污泥、料渣、收集的粉尘、油脂以及生活垃圾。废菜及杂质、污泥和生活垃圾经收集后由园区环卫部门清运处置</w:t>
            </w:r>
            <w:r>
              <w:rPr>
                <w:rFonts w:hint="eastAsia" w:cs="Times New Roman"/>
                <w:color w:val="auto"/>
                <w:lang w:val="en-US" w:eastAsia="zh-CN"/>
              </w:rPr>
              <w:t>；</w:t>
            </w:r>
            <w:r>
              <w:rPr>
                <w:rFonts w:hint="default" w:ascii="Times New Roman" w:hAnsi="Times New Roman" w:eastAsia="宋体" w:cs="Times New Roman"/>
                <w:color w:val="auto"/>
                <w:lang w:val="en-US" w:eastAsia="zh-CN"/>
              </w:rPr>
              <w:t>废包装袋具有回收利用价值，送当地废品回收利用部门回收利用，不外排。收集的粉尘外售饲料厂，料渣及油脂交给取得经营许可的餐厨垃圾处理单位处置。</w:t>
            </w:r>
          </w:p>
          <w:p w14:paraId="2D9E7763">
            <w:pPr>
              <w:pStyle w:val="5"/>
              <w:keepNext w:val="0"/>
              <w:keepLines w:val="0"/>
              <w:suppressLineNumbers w:val="0"/>
              <w:spacing w:before="0" w:beforeLines="0" w:beforeAutospacing="0" w:after="0" w:afterLines="0" w:afterAutospacing="0" w:line="276" w:lineRule="auto"/>
              <w:ind w:left="0" w:right="0"/>
              <w:rPr>
                <w:rFonts w:hint="default"/>
                <w:color w:val="auto"/>
                <w:sz w:val="24"/>
                <w:szCs w:val="24"/>
              </w:rPr>
            </w:pPr>
            <w:r>
              <w:rPr>
                <w:rFonts w:hint="default"/>
                <w:color w:val="auto"/>
                <w:sz w:val="24"/>
                <w:szCs w:val="24"/>
              </w:rPr>
              <w:t>3</w:t>
            </w:r>
            <w:r>
              <w:rPr>
                <w:rFonts w:hint="eastAsia"/>
                <w:color w:val="auto"/>
                <w:sz w:val="24"/>
                <w:szCs w:val="24"/>
              </w:rPr>
              <w:t>、结论</w:t>
            </w:r>
          </w:p>
          <w:p w14:paraId="6AF31ABC">
            <w:pPr>
              <w:pStyle w:val="68"/>
              <w:keepNext w:val="0"/>
              <w:keepLines w:val="0"/>
              <w:widowControl/>
              <w:suppressLineNumbers w:val="0"/>
              <w:spacing w:before="0" w:beforeLines="0" w:beforeAutospacing="0" w:after="0" w:afterLines="0" w:afterAutospacing="0"/>
              <w:ind w:left="0" w:right="0" w:firstLine="480"/>
              <w:rPr>
                <w:rFonts w:hint="default" w:ascii="Times New Roman" w:hAnsi="Times New Roman" w:eastAsia="宋体" w:cs="Times New Roman"/>
                <w:color w:val="auto"/>
                <w:sz w:val="24"/>
                <w:szCs w:val="22"/>
                <w:lang w:val="en-US" w:eastAsia="zh-CN" w:bidi="ar-SA"/>
              </w:rPr>
            </w:pPr>
            <w:r>
              <w:rPr>
                <w:rFonts w:hint="eastAsia" w:cs="Times New Roman"/>
                <w:b w:val="0"/>
                <w:color w:val="auto"/>
                <w:sz w:val="24"/>
                <w:szCs w:val="22"/>
              </w:rPr>
              <w:t>本项目符合国家产业政策、选址合理，符合规划要求；周围无重大的环境制约因素。本项目贯彻了“清洁生产、总量控制和达标排放”控制污染方针，采取的“三废”及噪声污染治理措施经济合理技术可行。工程实施对地表水、大气、声学等环境不会产生明显不利影响。建设单位严格落实本次环评提出的环保对策，严格执行“三同时”制度，在确保本项目产生的污染物达标排放并满足总量控制要</w:t>
            </w:r>
            <w:r>
              <w:rPr>
                <w:rFonts w:hint="eastAsia" w:cs="Times New Roman"/>
                <w:b w:val="0"/>
                <w:color w:val="auto"/>
                <w:sz w:val="24"/>
                <w:szCs w:val="22"/>
                <w:lang w:eastAsia="zh-CN"/>
              </w:rPr>
              <w:t>求的</w:t>
            </w:r>
            <w:r>
              <w:rPr>
                <w:rFonts w:hint="eastAsia" w:cs="Times New Roman"/>
                <w:b w:val="0"/>
                <w:color w:val="auto"/>
                <w:sz w:val="24"/>
                <w:szCs w:val="22"/>
              </w:rPr>
              <w:t>前提下，本项目在选址范围内实施建设从环保角度分析是可行的。</w:t>
            </w:r>
          </w:p>
        </w:tc>
      </w:tr>
      <w:tr w14:paraId="21E0E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4" w:type="dxa"/>
          </w:tcPr>
          <w:p w14:paraId="4DE5A96D">
            <w:pPr>
              <w:keepNext w:val="0"/>
              <w:keepLines w:val="0"/>
              <w:widowControl/>
              <w:suppressLineNumbers w:val="0"/>
              <w:spacing w:before="62" w:beforeLines="20" w:beforeAutospacing="0" w:after="62" w:afterLines="20" w:afterAutospacing="0" w:line="276" w:lineRule="auto"/>
              <w:ind w:left="0" w:right="0" w:firstLine="1" w:firstLineChars="0"/>
              <w:jc w:val="left"/>
              <w:rPr>
                <w:rFonts w:hint="default" w:ascii="宋体"/>
                <w:b/>
                <w:color w:val="auto"/>
                <w:sz w:val="28"/>
                <w:szCs w:val="28"/>
              </w:rPr>
            </w:pPr>
            <w:bookmarkStart w:id="14" w:name="_Toc519515360"/>
            <w:r>
              <w:rPr>
                <w:rFonts w:hint="eastAsia" w:ascii="宋体" w:hAnsi="宋体"/>
                <w:b/>
                <w:color w:val="auto"/>
                <w:sz w:val="28"/>
                <w:szCs w:val="28"/>
              </w:rPr>
              <w:t>二、审批部门审批决定</w:t>
            </w:r>
          </w:p>
          <w:p w14:paraId="64D02AD3">
            <w:pPr>
              <w:pStyle w:val="33"/>
              <w:keepNext w:val="0"/>
              <w:keepLines w:val="0"/>
              <w:suppressLineNumbers w:val="0"/>
              <w:spacing w:before="0" w:beforeLines="0" w:beforeAutospacing="0" w:after="0" w:afterLines="0" w:afterAutospacing="0" w:line="360" w:lineRule="auto"/>
              <w:ind w:left="0" w:right="0" w:firstLine="482" w:firstLineChars="200"/>
              <w:jc w:val="both"/>
              <w:rPr>
                <w:rFonts w:hint="eastAsia" w:ascii="Times New Roman" w:hAnsi="Times New Roman" w:eastAsia="Times New Roman" w:cs="Times New Roman"/>
                <w:b/>
                <w:color w:val="auto"/>
                <w:sz w:val="24"/>
                <w:szCs w:val="24"/>
              </w:rPr>
            </w:pPr>
            <w:r>
              <w:rPr>
                <w:rFonts w:hint="eastAsia" w:ascii="Times New Roman" w:hAnsi="Times New Roman" w:cs="Times New Roman"/>
                <w:b/>
                <w:color w:val="auto"/>
                <w:sz w:val="24"/>
                <w:szCs w:val="24"/>
              </w:rPr>
              <w:t>环境影响评价批复</w:t>
            </w:r>
          </w:p>
          <w:p w14:paraId="2FA52E85">
            <w:pPr>
              <w:pStyle w:val="33"/>
              <w:keepNext w:val="0"/>
              <w:keepLines w:val="0"/>
              <w:suppressLineNumbers w:val="0"/>
              <w:spacing w:before="0" w:beforeLines="0" w:beforeAutospacing="0" w:after="0" w:afterLines="0" w:afterAutospacing="0" w:line="360" w:lineRule="auto"/>
              <w:ind w:left="0" w:right="0" w:firstLine="480" w:firstLineChars="200"/>
              <w:jc w:val="both"/>
              <w:rPr>
                <w:rFonts w:hint="eastAsia" w:ascii="Times New Roman" w:hAnsi="Times New Roman" w:eastAsia="Times New Roman" w:cs="Times New Roman"/>
                <w:color w:val="auto"/>
                <w:sz w:val="24"/>
                <w:szCs w:val="24"/>
              </w:rPr>
            </w:pPr>
            <w:r>
              <w:rPr>
                <w:rFonts w:hint="eastAsia" w:ascii="Times New Roman" w:hAnsi="Times New Roman" w:cs="Times New Roman"/>
                <w:color w:val="auto"/>
                <w:sz w:val="24"/>
                <w:szCs w:val="24"/>
              </w:rPr>
              <w:t>眉</w:t>
            </w:r>
            <w:r>
              <w:rPr>
                <w:rFonts w:hint="eastAsia" w:ascii="Times New Roman" w:hAnsi="Times New Roman" w:cs="Times New Roman"/>
                <w:color w:val="auto"/>
                <w:sz w:val="24"/>
                <w:szCs w:val="24"/>
                <w:lang w:eastAsia="zh-CN"/>
              </w:rPr>
              <w:t>市</w:t>
            </w:r>
            <w:r>
              <w:rPr>
                <w:rFonts w:hint="eastAsia" w:ascii="Times New Roman" w:hAnsi="Times New Roman" w:cs="Times New Roman"/>
                <w:color w:val="auto"/>
                <w:sz w:val="24"/>
                <w:szCs w:val="24"/>
              </w:rPr>
              <w:t>环建</w:t>
            </w:r>
            <w:r>
              <w:rPr>
                <w:rFonts w:hint="eastAsia" w:ascii="Times New Roman" w:hAnsi="Times New Roman" w:cs="Times New Roman"/>
                <w:color w:val="auto"/>
                <w:sz w:val="24"/>
                <w:szCs w:val="24"/>
                <w:lang w:eastAsia="zh-CN"/>
              </w:rPr>
              <w:t>函【</w:t>
            </w:r>
            <w:r>
              <w:rPr>
                <w:rFonts w:hint="eastAsia" w:ascii="Times New Roman" w:hAnsi="Times New Roman" w:cs="Times New Roman"/>
                <w:color w:val="auto"/>
                <w:sz w:val="24"/>
                <w:szCs w:val="24"/>
                <w:lang w:val="en-US" w:eastAsia="zh-CN"/>
              </w:rPr>
              <w:t>2019</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36</w:t>
            </w:r>
            <w:r>
              <w:rPr>
                <w:rFonts w:hint="eastAsia" w:ascii="Times New Roman" w:hAnsi="Times New Roman" w:cs="Times New Roman"/>
                <w:color w:val="auto"/>
                <w:sz w:val="24"/>
                <w:szCs w:val="24"/>
              </w:rPr>
              <w:t>号文摘要如下：</w:t>
            </w:r>
          </w:p>
          <w:p w14:paraId="215DFB03">
            <w:pPr>
              <w:pStyle w:val="33"/>
              <w:keepNext w:val="0"/>
              <w:keepLines w:val="0"/>
              <w:suppressLineNumbers w:val="0"/>
              <w:spacing w:before="0" w:beforeLines="0" w:beforeAutospacing="0" w:after="0" w:afterLines="0" w:afterAutospacing="0" w:line="360" w:lineRule="auto"/>
              <w:ind w:left="0" w:right="0" w:firstLine="480" w:firstLineChars="200"/>
              <w:jc w:val="both"/>
              <w:rPr>
                <w:rFonts w:hint="eastAsia" w:ascii="Times New Roman" w:hAnsi="Times New Roman" w:eastAsia="Times New Roman" w:cs="Times New Roman"/>
                <w:color w:val="auto"/>
                <w:sz w:val="24"/>
                <w:szCs w:val="24"/>
              </w:rPr>
            </w:pPr>
            <w:r>
              <w:rPr>
                <w:rFonts w:hint="eastAsia" w:ascii="Times New Roman" w:hAnsi="Times New Roman" w:cs="Times New Roman"/>
                <w:color w:val="auto"/>
                <w:sz w:val="24"/>
                <w:szCs w:val="24"/>
                <w:lang w:val="en-US" w:eastAsia="zh-CN"/>
              </w:rPr>
              <w:t>四川金顶维食品有限公司：</w:t>
            </w:r>
          </w:p>
          <w:p w14:paraId="0F9F7810">
            <w:pPr>
              <w:keepNext w:val="0"/>
              <w:keepLines w:val="0"/>
              <w:widowControl/>
              <w:suppressLineNumbers w:val="0"/>
              <w:spacing w:before="0" w:beforeLines="0" w:beforeAutospacing="0" w:after="0" w:afterLines="0" w:afterAutospacing="0"/>
              <w:ind w:left="0" w:right="0" w:firstLine="480" w:firstLineChars="200"/>
              <w:rPr>
                <w:rFonts w:hint="eastAsia" w:ascii="Times New Roman" w:hAnsi="Times New Roman" w:eastAsia="宋体"/>
                <w:color w:val="auto"/>
                <w:sz w:val="24"/>
                <w:szCs w:val="24"/>
                <w:lang w:eastAsia="zh-CN"/>
              </w:rPr>
            </w:pPr>
            <w:r>
              <w:rPr>
                <w:rFonts w:hint="eastAsia"/>
                <w:color w:val="auto"/>
                <w:sz w:val="24"/>
                <w:szCs w:val="24"/>
                <w:lang w:eastAsia="zh-CN"/>
              </w:rPr>
              <w:t>你公司报送的《餐佐料生产线扩建项目环境影响报告表》(以下简称“报告表”)收悉。经研究，批复如下：</w:t>
            </w:r>
          </w:p>
          <w:p w14:paraId="655C3E4D">
            <w:pPr>
              <w:keepNext w:val="0"/>
              <w:keepLines w:val="0"/>
              <w:widowControl/>
              <w:suppressLineNumbers w:val="0"/>
              <w:spacing w:before="0" w:beforeLines="0" w:beforeAutospacing="0" w:after="0" w:afterLines="0" w:afterAutospacing="0"/>
              <w:ind w:left="0" w:right="0" w:firstLine="482" w:firstLineChars="200"/>
              <w:rPr>
                <w:rFonts w:hint="eastAsia" w:ascii="Times New Roman" w:hAnsi="Times New Roman"/>
                <w:b/>
                <w:bCs w:val="0"/>
                <w:color w:val="auto"/>
                <w:sz w:val="24"/>
                <w:szCs w:val="24"/>
              </w:rPr>
            </w:pPr>
            <w:r>
              <w:rPr>
                <w:rFonts w:hint="eastAsia" w:ascii="Times New Roman" w:hAnsi="Times New Roman"/>
                <w:b/>
                <w:bCs w:val="0"/>
                <w:color w:val="auto"/>
                <w:sz w:val="24"/>
                <w:szCs w:val="24"/>
              </w:rPr>
              <w:t>一、项目建设内容和总体要求</w:t>
            </w:r>
          </w:p>
          <w:p w14:paraId="36D57EF0">
            <w:pPr>
              <w:keepNext w:val="0"/>
              <w:keepLines w:val="0"/>
              <w:widowControl/>
              <w:suppressLineNumbers w:val="0"/>
              <w:spacing w:before="0" w:beforeLines="0" w:beforeAutospacing="0" w:after="0" w:afterLines="0" w:afterAutospacing="0"/>
              <w:ind w:left="0" w:right="0" w:firstLine="480" w:firstLineChars="200"/>
              <w:rPr>
                <w:rFonts w:hint="eastAsia" w:ascii="Times New Roman" w:hAnsi="Times New Roman"/>
                <w:b w:val="0"/>
                <w:bCs/>
                <w:color w:val="auto"/>
                <w:sz w:val="24"/>
                <w:szCs w:val="24"/>
              </w:rPr>
            </w:pPr>
            <w:r>
              <w:rPr>
                <w:rFonts w:hint="eastAsia" w:ascii="Times New Roman" w:hAnsi="Times New Roman"/>
                <w:b w:val="0"/>
                <w:bCs/>
                <w:color w:val="auto"/>
                <w:sz w:val="24"/>
                <w:szCs w:val="24"/>
              </w:rPr>
              <w:t>该项目位于四川省眉山市东坡区泡菜产业园区，项目经眉山市东坡区经济和信息化局备案同意</w:t>
            </w:r>
            <w:r>
              <w:rPr>
                <w:rFonts w:hint="eastAsia"/>
                <w:b w:val="0"/>
                <w:bCs/>
                <w:color w:val="auto"/>
                <w:sz w:val="24"/>
                <w:szCs w:val="24"/>
                <w:lang w:eastAsia="zh-CN"/>
              </w:rPr>
              <w:t>（</w:t>
            </w:r>
            <w:r>
              <w:rPr>
                <w:rFonts w:hint="eastAsia" w:ascii="Times New Roman" w:hAnsi="Times New Roman"/>
                <w:b w:val="0"/>
                <w:bCs/>
                <w:color w:val="auto"/>
                <w:sz w:val="24"/>
                <w:szCs w:val="24"/>
              </w:rPr>
              <w:t>川投资备[2019-511402-14-03-327511]JX0B-0012号</w:t>
            </w:r>
            <w:r>
              <w:rPr>
                <w:rFonts w:hint="eastAsia"/>
                <w:b w:val="0"/>
                <w:bCs/>
                <w:color w:val="auto"/>
                <w:sz w:val="24"/>
                <w:szCs w:val="24"/>
                <w:lang w:eastAsia="zh-CN"/>
              </w:rPr>
              <w:t>）</w:t>
            </w:r>
            <w:r>
              <w:rPr>
                <w:rFonts w:hint="eastAsia" w:ascii="Times New Roman" w:hAnsi="Times New Roman"/>
                <w:b w:val="0"/>
                <w:bCs/>
                <w:color w:val="auto"/>
                <w:sz w:val="24"/>
                <w:szCs w:val="24"/>
              </w:rPr>
              <w:t>，主要建设内容为:新建 2#厂房等基础设施 8000平方米，建设2000吨餐佐料生产线一条原一期环评中批复上鸡精生产线由 1#厂房调整于 2#厂房，原辅料、产量、生产工艺等均不变。该项目严格按照报告表中所列建设项目的性质、规模、工艺、地点和拟采取的环境保护措施建设</w:t>
            </w:r>
            <w:r>
              <w:rPr>
                <w:rFonts w:hint="eastAsia"/>
                <w:b w:val="0"/>
                <w:bCs/>
                <w:color w:val="auto"/>
                <w:sz w:val="24"/>
                <w:szCs w:val="24"/>
                <w:lang w:eastAsia="zh-CN"/>
              </w:rPr>
              <w:t>和运行，对环境的不利影响能够得到缓解和控制。你公司应全面落实报告表提出的</w:t>
            </w:r>
            <w:r>
              <w:rPr>
                <w:rFonts w:hint="eastAsia" w:ascii="Times New Roman" w:hAnsi="Times New Roman"/>
                <w:b w:val="0"/>
                <w:bCs/>
                <w:color w:val="auto"/>
                <w:sz w:val="24"/>
                <w:szCs w:val="24"/>
              </w:rPr>
              <w:t>各项环境保护对策措施和本批复要求</w:t>
            </w:r>
          </w:p>
          <w:p w14:paraId="4B88F747">
            <w:pPr>
              <w:keepNext w:val="0"/>
              <w:keepLines w:val="0"/>
              <w:widowControl/>
              <w:suppressLineNumbers w:val="0"/>
              <w:spacing w:before="0" w:beforeLines="0" w:beforeAutospacing="0" w:after="0" w:afterLines="0" w:afterAutospacing="0"/>
              <w:ind w:left="0" w:right="0" w:firstLine="482" w:firstLineChars="200"/>
              <w:rPr>
                <w:rFonts w:hint="eastAsia" w:ascii="Times New Roman" w:hAnsi="Times New Roman"/>
                <w:b/>
                <w:bCs w:val="0"/>
                <w:color w:val="auto"/>
                <w:sz w:val="24"/>
                <w:szCs w:val="24"/>
              </w:rPr>
            </w:pPr>
            <w:r>
              <w:rPr>
                <w:rFonts w:hint="eastAsia" w:ascii="Times New Roman" w:hAnsi="Times New Roman"/>
                <w:b/>
                <w:bCs w:val="0"/>
                <w:color w:val="auto"/>
                <w:sz w:val="24"/>
                <w:szCs w:val="24"/>
              </w:rPr>
              <w:t>二、项目建设应重点做好以下工作</w:t>
            </w:r>
          </w:p>
          <w:p w14:paraId="3DD68838">
            <w:pPr>
              <w:keepNext w:val="0"/>
              <w:keepLines w:val="0"/>
              <w:widowControl/>
              <w:suppressLineNumbers w:val="0"/>
              <w:spacing w:before="0" w:beforeLines="0" w:beforeAutospacing="0" w:after="0" w:afterLines="0" w:afterAutospacing="0"/>
              <w:ind w:left="0" w:right="0" w:firstLine="480" w:firstLineChars="200"/>
              <w:rPr>
                <w:rFonts w:hint="eastAsia"/>
                <w:b w:val="0"/>
                <w:bCs/>
                <w:color w:val="auto"/>
                <w:sz w:val="24"/>
                <w:szCs w:val="24"/>
                <w:lang w:eastAsia="zh-CN"/>
              </w:rPr>
            </w:pPr>
            <w:r>
              <w:rPr>
                <w:rFonts w:hint="eastAsia"/>
                <w:b w:val="0"/>
                <w:bCs/>
                <w:color w:val="auto"/>
                <w:sz w:val="24"/>
                <w:szCs w:val="24"/>
                <w:lang w:eastAsia="zh-CN"/>
              </w:rPr>
              <w:t>（一）严格按照报告表要求落实各项环保设施的建设，加强环保设施的日常管理和维护，确保环保设施正常运转及各类污染物稳定达标排放，杜绝事故排放。</w:t>
            </w:r>
          </w:p>
          <w:p w14:paraId="08F766C7">
            <w:pPr>
              <w:keepNext w:val="0"/>
              <w:keepLines w:val="0"/>
              <w:widowControl/>
              <w:suppressLineNumbers w:val="0"/>
              <w:spacing w:before="0" w:beforeLines="0" w:beforeAutospacing="0" w:after="0" w:afterLines="0" w:afterAutospacing="0"/>
              <w:ind w:left="0" w:right="0" w:firstLine="480" w:firstLineChars="200"/>
              <w:rPr>
                <w:rFonts w:hint="default"/>
                <w:b w:val="0"/>
                <w:bCs/>
                <w:color w:val="auto"/>
                <w:sz w:val="24"/>
                <w:szCs w:val="24"/>
                <w:lang w:val="en-US" w:eastAsia="zh-CN"/>
              </w:rPr>
            </w:pPr>
            <w:r>
              <w:rPr>
                <w:rFonts w:hint="eastAsia"/>
                <w:b w:val="0"/>
                <w:bCs/>
                <w:color w:val="auto"/>
                <w:sz w:val="24"/>
                <w:szCs w:val="24"/>
                <w:lang w:eastAsia="zh-CN"/>
              </w:rPr>
              <w:t>（二）落实并优化报告表提出的废气治理措施，确保大气污染物达标排放。餐佐料生产线油烟和异味经集气罩收集通过“油烟净化器+碱喷淋”处理后，由15 米高排气筒排放;鸡精生产线产生的粉尘及异味经集气罩收集后通过“旋风除尘器+布袋除尘器+碱喷淋”装置处理后，由15米高排气筒排放;食堂油烟经油烟净化器处理后通过烟道引至屋顶排放。</w:t>
            </w:r>
          </w:p>
          <w:p w14:paraId="32296229">
            <w:pPr>
              <w:keepNext w:val="0"/>
              <w:keepLines w:val="0"/>
              <w:widowControl/>
              <w:suppressLineNumbers w:val="0"/>
              <w:spacing w:before="0" w:beforeLines="0" w:beforeAutospacing="0" w:after="0" w:afterLines="0" w:afterAutospacing="0"/>
              <w:ind w:left="0" w:right="0" w:firstLine="480" w:firstLineChars="200"/>
              <w:rPr>
                <w:rFonts w:hint="eastAsia" w:eastAsia="宋体"/>
                <w:b w:val="0"/>
                <w:bCs/>
                <w:color w:val="auto"/>
                <w:sz w:val="24"/>
                <w:szCs w:val="24"/>
                <w:lang w:val="en-US" w:eastAsia="zh-CN"/>
              </w:rPr>
            </w:pPr>
            <w:r>
              <w:rPr>
                <w:rFonts w:hint="eastAsia"/>
                <w:b w:val="0"/>
                <w:bCs/>
                <w:color w:val="auto"/>
                <w:sz w:val="24"/>
                <w:szCs w:val="24"/>
                <w:lang w:eastAsia="zh-CN"/>
              </w:rPr>
              <w:t>按报告表要求，全厂以1#厂房边界向外划定100米、2#厂房边界向外划定50米形成包络线，以控制和减轻无组织排放废气对周围环境的影响，目前该范围内无环境敏感点，卫生防护距离内今后不宜引入居民区、学校、医院等环境敏感点及对大气环境要求较高的项目。</w:t>
            </w:r>
          </w:p>
          <w:p w14:paraId="11447485">
            <w:pPr>
              <w:keepNext w:val="0"/>
              <w:keepLines w:val="0"/>
              <w:widowControl/>
              <w:suppressLineNumbers w:val="0"/>
              <w:spacing w:before="0" w:beforeLines="0" w:beforeAutospacing="0" w:after="0" w:afterLines="0" w:afterAutospacing="0"/>
              <w:ind w:left="0" w:right="0" w:firstLine="480" w:firstLineChars="200"/>
              <w:rPr>
                <w:rFonts w:hint="eastAsia"/>
                <w:b w:val="0"/>
                <w:bCs/>
                <w:color w:val="auto"/>
                <w:sz w:val="24"/>
                <w:szCs w:val="24"/>
                <w:lang w:eastAsia="zh-CN"/>
              </w:rPr>
            </w:pPr>
            <w:r>
              <w:rPr>
                <w:rFonts w:hint="eastAsia"/>
                <w:b w:val="0"/>
                <w:bCs/>
                <w:color w:val="auto"/>
                <w:sz w:val="24"/>
                <w:szCs w:val="24"/>
                <w:lang w:eastAsia="zh-CN"/>
              </w:rPr>
              <w:t>（三）落实并优化报告表提出的废水处理措施，确保地表水环境安全。对厂区污水处理站进行升级改造，生产废水和经化粪池处理后的生活污水经污水处理站处理达到《污水综合排放标准》(GB18978-1996)中三级标准，通过污水管网，排入园区污水处理厂处理后达标排放。</w:t>
            </w:r>
          </w:p>
          <w:p w14:paraId="2D2BA2B8">
            <w:pPr>
              <w:keepNext w:val="0"/>
              <w:keepLines w:val="0"/>
              <w:widowControl/>
              <w:suppressLineNumbers w:val="0"/>
              <w:spacing w:before="0" w:beforeLines="0" w:beforeAutospacing="0" w:after="0" w:afterLines="0" w:afterAutospacing="0"/>
              <w:ind w:left="0" w:right="0" w:firstLine="480" w:firstLineChars="200"/>
              <w:rPr>
                <w:rFonts w:hint="eastAsia"/>
                <w:b w:val="0"/>
                <w:bCs/>
                <w:color w:val="auto"/>
                <w:sz w:val="24"/>
                <w:szCs w:val="24"/>
                <w:lang w:eastAsia="zh-CN"/>
              </w:rPr>
            </w:pPr>
            <w:r>
              <w:rPr>
                <w:rFonts w:hint="eastAsia"/>
                <w:b w:val="0"/>
                <w:bCs/>
                <w:color w:val="auto"/>
                <w:sz w:val="24"/>
                <w:szCs w:val="24"/>
                <w:lang w:eastAsia="zh-CN"/>
              </w:rPr>
              <w:t>（四）严格按照报告表要求，落实并优化固体废物污染防治措施，按照“减量化、资源化、无害化”的原则，对固体废物进行分类收集和处置，危险废物交由危废处置资质单位处理，避免造成二次污染，确保环境安全。</w:t>
            </w:r>
          </w:p>
          <w:p w14:paraId="2E4DC974">
            <w:pPr>
              <w:keepNext w:val="0"/>
              <w:keepLines w:val="0"/>
              <w:widowControl/>
              <w:suppressLineNumbers w:val="0"/>
              <w:spacing w:before="0" w:beforeLines="0" w:beforeAutospacing="0" w:after="0" w:afterLines="0" w:afterAutospacing="0"/>
              <w:ind w:left="0" w:right="0" w:firstLine="480" w:firstLineChars="200"/>
              <w:rPr>
                <w:rFonts w:hint="eastAsia"/>
                <w:b w:val="0"/>
                <w:bCs/>
                <w:color w:val="auto"/>
                <w:sz w:val="24"/>
                <w:szCs w:val="24"/>
                <w:lang w:eastAsia="zh-CN"/>
              </w:rPr>
            </w:pPr>
            <w:r>
              <w:rPr>
                <w:rFonts w:hint="eastAsia"/>
                <w:b w:val="0"/>
                <w:bCs/>
                <w:color w:val="auto"/>
                <w:sz w:val="24"/>
                <w:szCs w:val="24"/>
                <w:lang w:eastAsia="zh-CN"/>
              </w:rPr>
              <w:t>（五）按报告表要求，选用低噪设备，采取厂房隔声、设备减振等可靠的防噪措施，确保厂界噪声达标排放。</w:t>
            </w:r>
          </w:p>
          <w:p w14:paraId="58F0B54A">
            <w:pPr>
              <w:keepNext w:val="0"/>
              <w:keepLines w:val="0"/>
              <w:widowControl/>
              <w:suppressLineNumbers w:val="0"/>
              <w:spacing w:before="0" w:beforeLines="0" w:beforeAutospacing="0" w:after="0" w:afterLines="0" w:afterAutospacing="0"/>
              <w:ind w:left="0" w:right="0" w:firstLine="480" w:firstLineChars="200"/>
              <w:rPr>
                <w:rFonts w:hint="eastAsia"/>
                <w:b w:val="0"/>
                <w:bCs/>
                <w:color w:val="auto"/>
                <w:sz w:val="24"/>
                <w:szCs w:val="24"/>
                <w:lang w:eastAsia="zh-CN"/>
              </w:rPr>
            </w:pPr>
            <w:r>
              <w:rPr>
                <w:rFonts w:hint="eastAsia"/>
                <w:b w:val="0"/>
                <w:bCs/>
                <w:color w:val="auto"/>
                <w:sz w:val="24"/>
                <w:szCs w:val="24"/>
                <w:lang w:eastAsia="zh-CN"/>
              </w:rPr>
              <w:t>（六）严格落实各类环境风险防范措施，按环评要求成立机构，健全组织，确定岗位分工，确保不发生环境污染事故。</w:t>
            </w:r>
          </w:p>
          <w:p w14:paraId="4673AFE0">
            <w:pPr>
              <w:keepNext w:val="0"/>
              <w:keepLines w:val="0"/>
              <w:widowControl/>
              <w:suppressLineNumbers w:val="0"/>
              <w:spacing w:before="0" w:beforeLines="0" w:beforeAutospacing="0" w:after="0" w:afterLines="0" w:afterAutospacing="0"/>
              <w:ind w:left="0" w:right="0" w:firstLine="482" w:firstLineChars="200"/>
              <w:rPr>
                <w:rFonts w:hint="eastAsia" w:ascii="Times New Roman" w:hAnsi="Times New Roman"/>
                <w:b/>
                <w:bCs w:val="0"/>
                <w:color w:val="auto"/>
                <w:sz w:val="24"/>
                <w:szCs w:val="24"/>
              </w:rPr>
            </w:pPr>
            <w:r>
              <w:rPr>
                <w:rFonts w:hint="eastAsia" w:ascii="Times New Roman" w:hAnsi="Times New Roman"/>
                <w:b/>
                <w:bCs w:val="0"/>
                <w:color w:val="auto"/>
                <w:sz w:val="24"/>
                <w:szCs w:val="24"/>
              </w:rPr>
              <w:t>三、其他有关要求</w:t>
            </w:r>
          </w:p>
          <w:p w14:paraId="1EE85467">
            <w:pPr>
              <w:keepNext w:val="0"/>
              <w:keepLines w:val="0"/>
              <w:widowControl/>
              <w:suppressLineNumbers w:val="0"/>
              <w:spacing w:before="0" w:beforeLines="0" w:beforeAutospacing="0" w:after="0" w:afterLines="0" w:afterAutospacing="0"/>
              <w:ind w:left="0" w:right="0" w:firstLine="480" w:firstLineChars="200"/>
              <w:rPr>
                <w:rFonts w:hint="eastAsia"/>
                <w:b w:val="0"/>
                <w:bCs/>
                <w:color w:val="auto"/>
                <w:sz w:val="24"/>
                <w:szCs w:val="24"/>
                <w:lang w:eastAsia="zh-CN"/>
              </w:rPr>
            </w:pPr>
            <w:r>
              <w:rPr>
                <w:rFonts w:hint="eastAsia"/>
                <w:b w:val="0"/>
                <w:bCs/>
                <w:color w:val="auto"/>
                <w:sz w:val="24"/>
                <w:szCs w:val="24"/>
                <w:lang w:eastAsia="zh-CN"/>
              </w:rPr>
              <w:t>（一）</w:t>
            </w:r>
            <w:r>
              <w:rPr>
                <w:rFonts w:hint="eastAsia" w:ascii="Times New Roman" w:hAnsi="Times New Roman"/>
                <w:b w:val="0"/>
                <w:bCs/>
                <w:color w:val="auto"/>
                <w:sz w:val="24"/>
                <w:szCs w:val="24"/>
              </w:rPr>
              <w:t>项目开工建设前，应依法完备行政许可相关手续</w:t>
            </w:r>
            <w:r>
              <w:rPr>
                <w:rFonts w:hint="eastAsia"/>
                <w:b w:val="0"/>
                <w:bCs/>
                <w:color w:val="auto"/>
                <w:sz w:val="24"/>
                <w:szCs w:val="24"/>
                <w:lang w:eastAsia="zh-CN"/>
              </w:rPr>
              <w:t>。</w:t>
            </w:r>
          </w:p>
          <w:p w14:paraId="2FFB78DA">
            <w:pPr>
              <w:keepNext w:val="0"/>
              <w:keepLines w:val="0"/>
              <w:widowControl/>
              <w:suppressLineNumbers w:val="0"/>
              <w:spacing w:before="0" w:beforeLines="0" w:beforeAutospacing="0" w:after="0" w:afterLines="0" w:afterAutospacing="0"/>
              <w:ind w:left="0" w:right="0" w:firstLine="480" w:firstLineChars="200"/>
              <w:rPr>
                <w:rFonts w:hint="eastAsia" w:ascii="Times New Roman" w:hAnsi="Times New Roman" w:eastAsia="宋体"/>
                <w:b w:val="0"/>
                <w:bCs/>
                <w:color w:val="auto"/>
                <w:sz w:val="24"/>
                <w:szCs w:val="24"/>
                <w:lang w:eastAsia="zh-CN"/>
              </w:rPr>
            </w:pPr>
            <w:r>
              <w:rPr>
                <w:rFonts w:hint="eastAsia"/>
                <w:b w:val="0"/>
                <w:bCs/>
                <w:color w:val="auto"/>
                <w:sz w:val="24"/>
                <w:szCs w:val="24"/>
                <w:lang w:eastAsia="zh-CN"/>
              </w:rPr>
              <w:t>（二）</w:t>
            </w:r>
            <w:r>
              <w:rPr>
                <w:rFonts w:hint="eastAsia" w:ascii="Times New Roman" w:hAnsi="Times New Roman"/>
                <w:b w:val="0"/>
                <w:bCs/>
                <w:color w:val="auto"/>
                <w:sz w:val="24"/>
                <w:szCs w:val="24"/>
              </w:rPr>
              <w:t>项目建设必须严格执行配套建设的环境保护设施与主体工程同时设计、同时施工、同时投产使用的环境保护“三同时制度</w:t>
            </w:r>
            <w:r>
              <w:rPr>
                <w:rFonts w:hint="eastAsia"/>
                <w:b w:val="0"/>
                <w:bCs/>
                <w:color w:val="auto"/>
                <w:sz w:val="24"/>
                <w:szCs w:val="24"/>
                <w:lang w:eastAsia="zh-CN"/>
              </w:rPr>
              <w:t>。</w:t>
            </w:r>
          </w:p>
          <w:p w14:paraId="691A6039">
            <w:pPr>
              <w:keepNext w:val="0"/>
              <w:keepLines w:val="0"/>
              <w:widowControl/>
              <w:suppressLineNumbers w:val="0"/>
              <w:spacing w:before="0" w:beforeLines="0" w:beforeAutospacing="0" w:after="0" w:afterLines="0" w:afterAutospacing="0"/>
              <w:ind w:left="0" w:right="0" w:firstLine="480" w:firstLineChars="200"/>
              <w:rPr>
                <w:rFonts w:hint="eastAsia"/>
                <w:b w:val="0"/>
                <w:bCs/>
                <w:color w:val="auto"/>
                <w:sz w:val="24"/>
                <w:szCs w:val="24"/>
                <w:lang w:eastAsia="zh-CN"/>
              </w:rPr>
            </w:pPr>
            <w:r>
              <w:rPr>
                <w:rFonts w:hint="eastAsia"/>
                <w:b w:val="0"/>
                <w:bCs/>
                <w:color w:val="auto"/>
                <w:sz w:val="24"/>
                <w:szCs w:val="24"/>
                <w:lang w:eastAsia="zh-CN"/>
              </w:rPr>
              <w:t>（三）</w:t>
            </w:r>
            <w:r>
              <w:rPr>
                <w:rFonts w:hint="eastAsia" w:ascii="Times New Roman" w:hAnsi="Times New Roman"/>
                <w:b w:val="0"/>
                <w:bCs/>
                <w:color w:val="auto"/>
                <w:sz w:val="24"/>
                <w:szCs w:val="24"/>
              </w:rPr>
              <w:t>项目环境影响评价文件经批准后，如工程的性质、规模、工艺、地点或者防治污染、防止生态破坏的措施发生重大变动的，建设单位应当重新报批环境影响评价文件，否则不得实施建设。建设项目的环境影响评价文件自批准之日起超过五年，方决定该项目开工建设的</w:t>
            </w:r>
            <w:r>
              <w:rPr>
                <w:rFonts w:hint="eastAsia"/>
                <w:b w:val="0"/>
                <w:bCs/>
                <w:color w:val="auto"/>
                <w:sz w:val="24"/>
                <w:szCs w:val="24"/>
                <w:lang w:eastAsia="zh-CN"/>
              </w:rPr>
              <w:t>，</w:t>
            </w:r>
            <w:r>
              <w:rPr>
                <w:rFonts w:hint="eastAsia" w:ascii="Times New Roman" w:hAnsi="Times New Roman"/>
                <w:b w:val="0"/>
                <w:bCs/>
                <w:color w:val="auto"/>
                <w:sz w:val="24"/>
                <w:szCs w:val="24"/>
              </w:rPr>
              <w:t>环境影响评价文件应当报我局重新审核</w:t>
            </w:r>
            <w:r>
              <w:rPr>
                <w:rFonts w:hint="eastAsia"/>
                <w:b w:val="0"/>
                <w:bCs/>
                <w:color w:val="auto"/>
                <w:sz w:val="24"/>
                <w:szCs w:val="24"/>
                <w:lang w:eastAsia="zh-CN"/>
              </w:rPr>
              <w:t>。</w:t>
            </w:r>
          </w:p>
          <w:p w14:paraId="18DD794E">
            <w:pPr>
              <w:keepNext w:val="0"/>
              <w:keepLines w:val="0"/>
              <w:widowControl/>
              <w:numPr>
                <w:ilvl w:val="0"/>
                <w:numId w:val="0"/>
              </w:numPr>
              <w:suppressLineNumbers w:val="0"/>
              <w:spacing w:before="0" w:beforeLines="0" w:beforeAutospacing="0" w:after="0" w:afterLines="0" w:afterAutospacing="0"/>
              <w:ind w:left="0" w:right="0" w:firstLine="480" w:firstLineChars="200"/>
              <w:rPr>
                <w:rFonts w:hint="eastAsia" w:ascii="Times New Roman" w:hAnsi="Times New Roman"/>
                <w:color w:val="auto"/>
                <w:sz w:val="24"/>
                <w:szCs w:val="24"/>
              </w:rPr>
            </w:pPr>
            <w:r>
              <w:rPr>
                <w:rFonts w:hint="eastAsia"/>
                <w:b w:val="0"/>
                <w:bCs/>
                <w:color w:val="auto"/>
                <w:sz w:val="24"/>
                <w:szCs w:val="24"/>
                <w:lang w:eastAsia="zh-CN"/>
              </w:rPr>
              <w:t>（四）项目竣工后，依法在规定时间内进行项目竣工环境保护验收和信息公开，并登录全国建设项目竣工环境保护验收信息平台填报相关信息。经验收合格后，项目方可正式投入生产，否则将依法予以处罚。</w:t>
            </w:r>
          </w:p>
          <w:p w14:paraId="44501E5B">
            <w:pPr>
              <w:keepNext w:val="0"/>
              <w:keepLines w:val="0"/>
              <w:widowControl/>
              <w:suppressLineNumbers w:val="0"/>
              <w:spacing w:before="0" w:beforeAutospacing="0" w:after="0" w:afterAutospacing="0"/>
              <w:ind w:left="0" w:right="0" w:firstLine="480"/>
              <w:rPr>
                <w:rFonts w:hint="default"/>
                <w:color w:val="auto"/>
                <w:szCs w:val="24"/>
              </w:rPr>
            </w:pPr>
          </w:p>
          <w:p w14:paraId="176A6482">
            <w:pPr>
              <w:keepNext w:val="0"/>
              <w:keepLines w:val="0"/>
              <w:widowControl/>
              <w:suppressLineNumbers w:val="0"/>
              <w:spacing w:before="0" w:beforeAutospacing="0" w:after="0" w:afterAutospacing="0"/>
              <w:ind w:left="0" w:leftChars="0" w:right="0" w:firstLine="0" w:firstLineChars="0"/>
              <w:rPr>
                <w:rFonts w:hint="default"/>
                <w:color w:val="auto"/>
                <w:szCs w:val="24"/>
              </w:rPr>
            </w:pPr>
          </w:p>
        </w:tc>
      </w:tr>
    </w:tbl>
    <w:p w14:paraId="3D46C306">
      <w:pPr>
        <w:ind w:firstLine="480"/>
        <w:rPr>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bookmarkEnd w:id="14"/>
    <w:p w14:paraId="747068DA">
      <w:pPr>
        <w:pStyle w:val="3"/>
        <w:rPr>
          <w:color w:val="auto"/>
        </w:rPr>
      </w:pPr>
      <w:bookmarkStart w:id="15" w:name="_Toc9626"/>
      <w:bookmarkStart w:id="16" w:name="_Toc519594904"/>
      <w:bookmarkStart w:id="17" w:name="_Toc519594906"/>
      <w:bookmarkStart w:id="18" w:name="_Toc519594907"/>
      <w:bookmarkStart w:id="19" w:name="_Toc519515362"/>
      <w:r>
        <w:rPr>
          <w:rFonts w:hint="eastAsia"/>
          <w:color w:val="auto"/>
        </w:rPr>
        <w:t>表五</w:t>
      </w:r>
      <w:r>
        <w:rPr>
          <w:color w:val="auto"/>
        </w:rPr>
        <w:t xml:space="preserve">  </w:t>
      </w:r>
      <w:r>
        <w:rPr>
          <w:rFonts w:hint="eastAsia"/>
          <w:color w:val="auto"/>
        </w:rPr>
        <w:t>验收监测质量保证及质量控制</w:t>
      </w:r>
      <w:bookmarkEnd w:id="15"/>
      <w:bookmarkEnd w:id="16"/>
    </w:p>
    <w:tbl>
      <w:tblPr>
        <w:tblStyle w:val="27"/>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4"/>
      </w:tblGrid>
      <w:tr w14:paraId="32498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1" w:hRule="atLeast"/>
          <w:jc w:val="center"/>
        </w:trPr>
        <w:tc>
          <w:tcPr>
            <w:tcW w:w="8924" w:type="dxa"/>
          </w:tcPr>
          <w:p w14:paraId="669FBAE8">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、质量控制和质量保证</w:t>
            </w:r>
          </w:p>
          <w:p w14:paraId="4088E0F0">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rPr>
              <w:t>（</w:t>
            </w:r>
            <w:r>
              <w:rPr>
                <w:rFonts w:hint="default"/>
                <w:color w:val="auto"/>
                <w:kern w:val="2"/>
                <w:szCs w:val="24"/>
              </w:rPr>
              <w:t>1</w:t>
            </w:r>
            <w:r>
              <w:rPr>
                <w:rFonts w:hint="eastAsia"/>
                <w:color w:val="auto"/>
                <w:kern w:val="2"/>
                <w:szCs w:val="24"/>
              </w:rPr>
              <w:t>）监测质量保证和质量控制</w:t>
            </w:r>
            <w:r>
              <w:rPr>
                <w:rFonts w:hint="eastAsia"/>
                <w:color w:val="auto"/>
                <w:kern w:val="2"/>
                <w:szCs w:val="24"/>
                <w:lang w:eastAsia="zh-CN"/>
              </w:rPr>
              <w:t>按照</w:t>
            </w:r>
            <w:r>
              <w:rPr>
                <w:rFonts w:hint="eastAsia"/>
                <w:color w:val="auto"/>
                <w:kern w:val="2"/>
                <w:szCs w:val="24"/>
              </w:rPr>
              <w:t>《环境监测技术规范》和《环境空气监测质量保证手册》的要求，进行全过程质量控制。</w:t>
            </w:r>
          </w:p>
          <w:p w14:paraId="1E39EA87">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2</w:t>
            </w:r>
            <w:r>
              <w:rPr>
                <w:rFonts w:hint="eastAsia"/>
                <w:color w:val="auto"/>
                <w:kern w:val="2"/>
                <w:szCs w:val="24"/>
              </w:rPr>
              <w:t>）现场采样和测试均严格按《验收监测方案》进行，并对监测期间发生的各种异常情况</w:t>
            </w:r>
            <w:r>
              <w:rPr>
                <w:rFonts w:hint="eastAsia"/>
                <w:color w:val="auto"/>
                <w:kern w:val="2"/>
                <w:szCs w:val="24"/>
                <w:lang w:eastAsia="zh-CN"/>
              </w:rPr>
              <w:t>进行了详细的</w:t>
            </w:r>
            <w:r>
              <w:rPr>
                <w:rFonts w:hint="eastAsia"/>
                <w:color w:val="auto"/>
                <w:kern w:val="2"/>
                <w:szCs w:val="24"/>
              </w:rPr>
              <w:t>记录，对未能按《验收监测方案》进行现场采样和测试的原因也作了详细说明。</w:t>
            </w:r>
          </w:p>
          <w:p w14:paraId="44E7A52B">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3</w:t>
            </w:r>
            <w:r>
              <w:rPr>
                <w:rFonts w:hint="eastAsia"/>
                <w:color w:val="auto"/>
                <w:kern w:val="2"/>
                <w:szCs w:val="24"/>
              </w:rPr>
              <w:t>）验收监测中使用的布点、采样、分析测试方法，优先选择目前适用的国家和行业标准分析方法、监测技术规范，其次是生态环境部推荐的统一分析方法或试行分析方法以及有关规定，符合采样要求。</w:t>
            </w:r>
          </w:p>
          <w:p w14:paraId="4EC46D9B">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4</w:t>
            </w:r>
            <w:r>
              <w:rPr>
                <w:rFonts w:hint="eastAsia"/>
                <w:color w:val="auto"/>
                <w:kern w:val="2"/>
                <w:szCs w:val="24"/>
              </w:rPr>
              <w:t>）验收监测采样和分析人员，均获得环境监测资质合格证，持证上岗。</w:t>
            </w:r>
          </w:p>
          <w:p w14:paraId="7101EA52">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5</w:t>
            </w:r>
            <w:r>
              <w:rPr>
                <w:rFonts w:hint="eastAsia"/>
                <w:color w:val="auto"/>
                <w:kern w:val="2"/>
                <w:szCs w:val="24"/>
              </w:rPr>
              <w:t>）气体监测分析过程中的质量保证和质量控制：采样器在进场前对气体分析、采样器流量计等均进行校核。</w:t>
            </w:r>
          </w:p>
          <w:p w14:paraId="7E20D575">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6</w:t>
            </w:r>
            <w:r>
              <w:rPr>
                <w:rFonts w:hint="eastAsia"/>
                <w:color w:val="auto"/>
                <w:kern w:val="2"/>
                <w:szCs w:val="24"/>
              </w:rPr>
              <w:t>）尽量避免被测排放物中共存污染物对分析的交叉干扰。</w:t>
            </w:r>
          </w:p>
          <w:p w14:paraId="54753730">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7</w:t>
            </w:r>
            <w:r>
              <w:rPr>
                <w:rFonts w:hint="eastAsia"/>
                <w:color w:val="auto"/>
                <w:kern w:val="2"/>
                <w:szCs w:val="24"/>
              </w:rPr>
              <w:t>）被测排放物的浓度在仪器量程的有效范围（即</w:t>
            </w:r>
            <w:r>
              <w:rPr>
                <w:rFonts w:hint="default"/>
                <w:color w:val="auto"/>
                <w:kern w:val="2"/>
                <w:szCs w:val="24"/>
              </w:rPr>
              <w:t>30%</w:t>
            </w:r>
            <w:r>
              <w:rPr>
                <w:rFonts w:hint="eastAsia"/>
                <w:color w:val="auto"/>
                <w:kern w:val="2"/>
                <w:szCs w:val="24"/>
              </w:rPr>
              <w:t>～</w:t>
            </w:r>
            <w:r>
              <w:rPr>
                <w:rFonts w:hint="default"/>
                <w:color w:val="auto"/>
                <w:kern w:val="2"/>
                <w:szCs w:val="24"/>
              </w:rPr>
              <w:t>70%</w:t>
            </w:r>
            <w:r>
              <w:rPr>
                <w:rFonts w:hint="eastAsia"/>
                <w:color w:val="auto"/>
                <w:kern w:val="2"/>
                <w:szCs w:val="24"/>
              </w:rPr>
              <w:t>之间）。</w:t>
            </w:r>
          </w:p>
          <w:p w14:paraId="14ED203F">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8</w:t>
            </w:r>
            <w:r>
              <w:rPr>
                <w:rFonts w:hint="eastAsia"/>
                <w:color w:val="auto"/>
                <w:kern w:val="2"/>
                <w:szCs w:val="24"/>
              </w:rPr>
              <w:t>）噪声监测分析过程中的质量保证和质量控制：分析时使用的声级计经计量部门检定、并在有效期间内，测定前后对噪声仪进行了校正，测定前后声级</w:t>
            </w:r>
            <w:r>
              <w:rPr>
                <w:rFonts w:hint="default"/>
                <w:color w:val="auto"/>
                <w:kern w:val="2"/>
                <w:szCs w:val="24"/>
              </w:rPr>
              <w:t>≤0.5dB(A)</w:t>
            </w:r>
            <w:r>
              <w:rPr>
                <w:rFonts w:hint="eastAsia"/>
                <w:color w:val="auto"/>
                <w:kern w:val="2"/>
                <w:szCs w:val="24"/>
              </w:rPr>
              <w:t>。</w:t>
            </w:r>
          </w:p>
          <w:p w14:paraId="4CF5C1C3">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w:t>
            </w:r>
            <w:r>
              <w:rPr>
                <w:rFonts w:hint="default"/>
                <w:color w:val="auto"/>
                <w:kern w:val="2"/>
                <w:szCs w:val="24"/>
              </w:rPr>
              <w:t>9</w:t>
            </w:r>
            <w:r>
              <w:rPr>
                <w:rFonts w:hint="eastAsia"/>
                <w:color w:val="auto"/>
                <w:kern w:val="2"/>
                <w:szCs w:val="24"/>
              </w:rPr>
              <w:t>）采样记录及分析结果：验收监测的采样记录及分析测试结果，均按国家标准和监测技术规范有关要求进行数据处理和填报，并按有关规定和要求进行了三级审核。</w:t>
            </w:r>
          </w:p>
          <w:p w14:paraId="0C89D2EB">
            <w:pPr>
              <w:pStyle w:val="4"/>
              <w:keepNext w:val="0"/>
              <w:keepLines w:val="0"/>
              <w:suppressLineNumbers w:val="0"/>
              <w:spacing w:before="0" w:beforeAutospacing="0" w:after="0" w:afterAutospacing="0"/>
              <w:ind w:left="0" w:right="0"/>
              <w:rPr>
                <w:rFonts w:hint="default"/>
                <w:color w:val="auto"/>
                <w:sz w:val="24"/>
                <w:szCs w:val="24"/>
              </w:rPr>
            </w:pPr>
            <w:bookmarkStart w:id="20" w:name="_Toc519150490"/>
            <w:r>
              <w:rPr>
                <w:rFonts w:hint="default"/>
                <w:color w:val="auto"/>
                <w:sz w:val="24"/>
                <w:szCs w:val="24"/>
              </w:rPr>
              <w:t>2</w:t>
            </w:r>
            <w:r>
              <w:rPr>
                <w:rFonts w:hint="eastAsia"/>
                <w:color w:val="auto"/>
                <w:sz w:val="24"/>
                <w:szCs w:val="24"/>
              </w:rPr>
              <w:t>、</w:t>
            </w:r>
            <w:r>
              <w:rPr>
                <w:rFonts w:hint="eastAsia"/>
                <w:color w:val="auto"/>
                <w:sz w:val="24"/>
                <w:szCs w:val="24"/>
                <w:lang w:val="en-US" w:eastAsia="zh-CN"/>
              </w:rPr>
              <w:t>监测</w:t>
            </w:r>
            <w:r>
              <w:rPr>
                <w:rFonts w:hint="eastAsia"/>
                <w:color w:val="auto"/>
                <w:sz w:val="24"/>
                <w:szCs w:val="24"/>
              </w:rPr>
              <w:t>方法及仪器</w:t>
            </w:r>
            <w:bookmarkEnd w:id="20"/>
          </w:p>
          <w:p w14:paraId="5655115C">
            <w:pPr>
              <w:keepNext w:val="0"/>
              <w:keepLines w:val="0"/>
              <w:widowControl/>
              <w:suppressLineNumbers w:val="0"/>
              <w:spacing w:before="0" w:beforeLines="0" w:beforeAutospacing="0" w:after="0" w:afterLines="0" w:afterAutospacing="0" w:line="400" w:lineRule="exact"/>
              <w:ind w:left="0" w:right="0" w:firstLine="424" w:firstLineChars="177"/>
              <w:jc w:val="left"/>
              <w:rPr>
                <w:rFonts w:hint="eastAsia" w:ascii="Times New Roman" w:hAnsi="Times New Roman"/>
                <w:color w:val="auto"/>
                <w:sz w:val="24"/>
                <w:szCs w:val="24"/>
              </w:rPr>
            </w:pPr>
            <w:r>
              <w:rPr>
                <w:rFonts w:hint="eastAsia"/>
                <w:color w:val="auto"/>
                <w:sz w:val="24"/>
                <w:szCs w:val="24"/>
                <w:lang w:val="en-US" w:eastAsia="zh-CN"/>
              </w:rPr>
              <w:t>检测方法</w:t>
            </w:r>
            <w:r>
              <w:rPr>
                <w:rFonts w:hint="eastAsia" w:ascii="Times New Roman" w:hAnsi="Times New Roman"/>
                <w:color w:val="auto"/>
                <w:sz w:val="24"/>
                <w:szCs w:val="24"/>
              </w:rPr>
              <w:t>及仪器信息见</w:t>
            </w:r>
            <w:r>
              <w:rPr>
                <w:rFonts w:hint="eastAsia"/>
                <w:color w:val="auto"/>
                <w:sz w:val="24"/>
                <w:szCs w:val="24"/>
                <w:lang w:val="en-US" w:eastAsia="zh-CN"/>
              </w:rPr>
              <w:t>下</w:t>
            </w:r>
            <w:r>
              <w:rPr>
                <w:rFonts w:hint="eastAsia" w:ascii="Times New Roman" w:hAnsi="Times New Roman"/>
                <w:color w:val="auto"/>
                <w:sz w:val="24"/>
                <w:szCs w:val="24"/>
              </w:rPr>
              <w:t>表。</w:t>
            </w:r>
          </w:p>
          <w:p w14:paraId="6966C985">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40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5</w:t>
            </w:r>
            <w:r>
              <w:rPr>
                <w:rFonts w:hint="default" w:ascii="Times New Roman" w:hAnsi="Times New Roman" w:eastAsia="宋体" w:cs="Times New Roman"/>
                <w:b/>
                <w:color w:val="auto"/>
                <w:sz w:val="21"/>
                <w:szCs w:val="21"/>
              </w:rPr>
              <w:t>-1</w:t>
            </w:r>
            <w:r>
              <w:rPr>
                <w:rFonts w:hint="eastAsia" w:ascii="Times New Roman" w:hAnsi="Times New Roman" w:eastAsia="宋体" w:cs="Times New Roman"/>
                <w:b/>
                <w:color w:val="auto"/>
                <w:sz w:val="21"/>
                <w:szCs w:val="21"/>
              </w:rPr>
              <w:t xml:space="preserve"> </w:t>
            </w:r>
            <w:r>
              <w:rPr>
                <w:rFonts w:hint="default" w:ascii="Times New Roman" w:hAnsi="Times New Roman" w:eastAsia="宋体" w:cs="Times New Roman"/>
                <w:b/>
                <w:color w:val="auto"/>
                <w:sz w:val="21"/>
                <w:szCs w:val="21"/>
              </w:rPr>
              <w:t xml:space="preserve"> </w:t>
            </w:r>
            <w:r>
              <w:rPr>
                <w:rFonts w:hint="eastAsia" w:cs="Times New Roman"/>
                <w:b/>
                <w:color w:val="auto"/>
                <w:sz w:val="21"/>
                <w:szCs w:val="21"/>
                <w:lang w:eastAsia="zh-CN"/>
              </w:rPr>
              <w:t>废水</w:t>
            </w:r>
            <w:r>
              <w:rPr>
                <w:rFonts w:hint="default" w:ascii="Times New Roman" w:hAnsi="Times New Roman" w:eastAsia="宋体" w:cs="Times New Roman"/>
                <w:b/>
                <w:color w:val="auto"/>
                <w:sz w:val="21"/>
                <w:szCs w:val="21"/>
              </w:rPr>
              <w:t>检测方法、使用仪器及检出限</w:t>
            </w:r>
            <w:r>
              <w:rPr>
                <w:rFonts w:hint="eastAsia"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rPr>
              <w:t>单位：mg/L</w:t>
            </w:r>
          </w:p>
          <w:tbl>
            <w:tblPr>
              <w:tblStyle w:val="100"/>
              <w:tblW w:w="96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11"/>
              <w:gridCol w:w="2627"/>
              <w:gridCol w:w="1658"/>
              <w:gridCol w:w="2601"/>
              <w:gridCol w:w="1161"/>
            </w:tblGrid>
            <w:tr w14:paraId="44497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567" w:hRule="atLeast"/>
                <w:jc w:val="center"/>
              </w:trPr>
              <w:tc>
                <w:tcPr>
                  <w:tcW w:w="1564" w:type="dxa"/>
                  <w:vAlign w:val="center"/>
                </w:tcPr>
                <w:p w14:paraId="02D58543">
                  <w:pPr>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项目</w:t>
                  </w:r>
                </w:p>
              </w:tc>
              <w:tc>
                <w:tcPr>
                  <w:tcW w:w="2550" w:type="dxa"/>
                  <w:vAlign w:val="center"/>
                </w:tcPr>
                <w:p w14:paraId="016BF757">
                  <w:pPr>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检测方法</w:t>
                  </w:r>
                </w:p>
              </w:tc>
              <w:tc>
                <w:tcPr>
                  <w:tcW w:w="1609" w:type="dxa"/>
                  <w:vAlign w:val="center"/>
                </w:tcPr>
                <w:p w14:paraId="521FE793">
                  <w:pPr>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方法来源</w:t>
                  </w:r>
                </w:p>
              </w:tc>
              <w:tc>
                <w:tcPr>
                  <w:tcW w:w="2525" w:type="dxa"/>
                  <w:vAlign w:val="center"/>
                </w:tcPr>
                <w:p w14:paraId="0D27A091">
                  <w:pPr>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使用仪器及编号</w:t>
                  </w:r>
                </w:p>
              </w:tc>
              <w:tc>
                <w:tcPr>
                  <w:tcW w:w="1127" w:type="dxa"/>
                  <w:vAlign w:val="center"/>
                </w:tcPr>
                <w:p w14:paraId="061A2A19">
                  <w:pPr>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pacing w:val="1"/>
                      <w:sz w:val="21"/>
                      <w:szCs w:val="21"/>
                    </w:rPr>
                  </w:pPr>
                  <w:r>
                    <w:rPr>
                      <w:rFonts w:hint="default" w:ascii="Times New Roman" w:hAnsi="Times New Roman" w:eastAsia="宋体" w:cs="Times New Roman"/>
                      <w:color w:val="auto"/>
                      <w:spacing w:val="-4"/>
                      <w:sz w:val="21"/>
                      <w:szCs w:val="21"/>
                    </w:rPr>
                    <w:t>检出限</w:t>
                  </w:r>
                  <w:r>
                    <w:rPr>
                      <w:rFonts w:hint="default" w:ascii="Times New Roman" w:hAnsi="Times New Roman" w:eastAsia="宋体" w:cs="Times New Roman"/>
                      <w:color w:val="auto"/>
                      <w:spacing w:val="1"/>
                      <w:sz w:val="21"/>
                      <w:szCs w:val="21"/>
                    </w:rPr>
                    <w:t xml:space="preserve"> </w:t>
                  </w:r>
                </w:p>
                <w:p w14:paraId="23D8DCB3">
                  <w:pPr>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(mg/L)</w:t>
                  </w:r>
                </w:p>
              </w:tc>
            </w:tr>
            <w:tr w14:paraId="7C2EE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680" w:hRule="atLeast"/>
                <w:jc w:val="center"/>
              </w:trPr>
              <w:tc>
                <w:tcPr>
                  <w:tcW w:w="1564" w:type="dxa"/>
                  <w:vAlign w:val="center"/>
                </w:tcPr>
                <w:p w14:paraId="790951BC">
                  <w:pPr>
                    <w:pStyle w:val="99"/>
                    <w:keepNext w:val="0"/>
                    <w:keepLines w:val="0"/>
                    <w:pageBreakBefore w:val="0"/>
                    <w:wordWrap/>
                    <w:overflowPunct/>
                    <w:topLinePunct w:val="0"/>
                    <w:autoSpaceDE w:val="0"/>
                    <w:autoSpaceDN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pH值</w:t>
                  </w:r>
                </w:p>
              </w:tc>
              <w:tc>
                <w:tcPr>
                  <w:tcW w:w="2550" w:type="dxa"/>
                  <w:vAlign w:val="center"/>
                </w:tcPr>
                <w:p w14:paraId="1E9B2C96">
                  <w:pPr>
                    <w:pStyle w:val="99"/>
                    <w:keepNext w:val="0"/>
                    <w:keepLines w:val="0"/>
                    <w:pageBreakBefore w:val="0"/>
                    <w:wordWrap/>
                    <w:overflowPunct/>
                    <w:topLinePunct w:val="0"/>
                    <w:autoSpaceDE w:val="0"/>
                    <w:autoSpaceDN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水质</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snapToGrid w:val="0"/>
                      <w:color w:val="auto"/>
                      <w:kern w:val="0"/>
                      <w:sz w:val="21"/>
                      <w:szCs w:val="21"/>
                      <w:lang w:val="en-US" w:eastAsia="zh-CN" w:bidi="ar-SA"/>
                    </w:rPr>
                    <w:t>pH值</w:t>
                  </w:r>
                  <w:r>
                    <w:rPr>
                      <w:rFonts w:hint="default" w:ascii="Times New Roman" w:hAnsi="Times New Roman" w:eastAsia="宋体" w:cs="Times New Roman"/>
                      <w:color w:val="auto"/>
                      <w:sz w:val="21"/>
                      <w:szCs w:val="21"/>
                      <w:lang w:val="en-US" w:eastAsia="zh-CN"/>
                    </w:rPr>
                    <w:t>的测定</w:t>
                  </w:r>
                </w:p>
                <w:p w14:paraId="46F4ADFD">
                  <w:pPr>
                    <w:pStyle w:val="99"/>
                    <w:keepNext w:val="0"/>
                    <w:keepLines w:val="0"/>
                    <w:pageBreakBefore w:val="0"/>
                    <w:wordWrap/>
                    <w:overflowPunct/>
                    <w:topLinePunct w:val="0"/>
                    <w:autoSpaceDE w:val="0"/>
                    <w:autoSpaceDN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color w:val="auto"/>
                      <w:sz w:val="21"/>
                      <w:szCs w:val="21"/>
                      <w:lang w:val="en-US" w:eastAsia="zh-CN"/>
                    </w:rPr>
                    <w:t>电极法</w:t>
                  </w:r>
                </w:p>
              </w:tc>
              <w:tc>
                <w:tcPr>
                  <w:tcW w:w="1609" w:type="dxa"/>
                  <w:vAlign w:val="center"/>
                </w:tcPr>
                <w:p w14:paraId="01C12685">
                  <w:pPr>
                    <w:pStyle w:val="99"/>
                    <w:keepNext w:val="0"/>
                    <w:keepLines w:val="0"/>
                    <w:pageBreakBefore w:val="0"/>
                    <w:wordWrap/>
                    <w:overflowPunct/>
                    <w:topLinePunct w:val="0"/>
                    <w:autoSpaceDE w:val="0"/>
                    <w:autoSpaceDN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color w:val="auto"/>
                      <w:sz w:val="21"/>
                      <w:szCs w:val="21"/>
                      <w:lang w:val="en-US" w:eastAsia="zh-CN"/>
                    </w:rPr>
                    <w:t>HJ 1147-2020</w:t>
                  </w:r>
                </w:p>
              </w:tc>
              <w:tc>
                <w:tcPr>
                  <w:tcW w:w="2525" w:type="dxa"/>
                  <w:vAlign w:val="center"/>
                </w:tcPr>
                <w:p w14:paraId="1DA864FC">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2"/>
                      <w:kern w:val="0"/>
                      <w:sz w:val="21"/>
                      <w:szCs w:val="21"/>
                      <w:lang w:val="en-US" w:eastAsia="zh-CN" w:bidi="ar-SA"/>
                    </w:rPr>
                  </w:pPr>
                  <w:r>
                    <w:rPr>
                      <w:rFonts w:hint="default" w:ascii="Times New Roman" w:hAnsi="Times New Roman" w:eastAsia="宋体" w:cs="Times New Roman"/>
                      <w:snapToGrid w:val="0"/>
                      <w:color w:val="auto"/>
                      <w:spacing w:val="-2"/>
                      <w:kern w:val="0"/>
                      <w:sz w:val="21"/>
                      <w:szCs w:val="21"/>
                      <w:lang w:val="en-US" w:eastAsia="zh-CN" w:bidi="ar-SA"/>
                    </w:rPr>
                    <w:t>多参数分析仪</w:t>
                  </w:r>
                </w:p>
                <w:p w14:paraId="5056798C">
                  <w:pPr>
                    <w:pStyle w:val="99"/>
                    <w:keepNext w:val="0"/>
                    <w:keepLines w:val="0"/>
                    <w:pageBreakBefore w:val="0"/>
                    <w:wordWrap/>
                    <w:overflowPunct/>
                    <w:topLinePunct w:val="0"/>
                    <w:autoSpaceDE w:val="0"/>
                    <w:autoSpaceDN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napToGrid w:val="0"/>
                      <w:color w:val="auto"/>
                      <w:spacing w:val="-2"/>
                      <w:kern w:val="0"/>
                      <w:sz w:val="21"/>
                      <w:szCs w:val="21"/>
                      <w:lang w:val="en-US" w:eastAsia="zh-CN" w:bidi="ar-SA"/>
                    </w:rPr>
                    <w:t>FXLZ/C</w:t>
                  </w:r>
                  <w:r>
                    <w:rPr>
                      <w:rFonts w:hint="default" w:ascii="Times New Roman" w:hAnsi="Times New Roman" w:eastAsia="宋体" w:cs="Times New Roman"/>
                      <w:snapToGrid w:val="0"/>
                      <w:color w:val="auto"/>
                      <w:spacing w:val="-2"/>
                      <w:kern w:val="0"/>
                      <w:sz w:val="21"/>
                      <w:szCs w:val="21"/>
                      <w:highlight w:val="none"/>
                      <w:lang w:val="en-US" w:eastAsia="zh-CN" w:bidi="ar-SA"/>
                    </w:rPr>
                    <w:t>Y-0062</w:t>
                  </w:r>
                </w:p>
              </w:tc>
              <w:tc>
                <w:tcPr>
                  <w:tcW w:w="1127" w:type="dxa"/>
                  <w:vAlign w:val="center"/>
                </w:tcPr>
                <w:p w14:paraId="6E1AC869">
                  <w:pPr>
                    <w:pStyle w:val="99"/>
                    <w:keepNext w:val="0"/>
                    <w:keepLines w:val="0"/>
                    <w:pageBreakBefore w:val="0"/>
                    <w:wordWrap/>
                    <w:overflowPunct/>
                    <w:topLinePunct w:val="0"/>
                    <w:autoSpaceDE w:val="0"/>
                    <w:autoSpaceDN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color w:val="auto"/>
                      <w:sz w:val="21"/>
                      <w:szCs w:val="21"/>
                      <w:lang w:eastAsia="zh-CN"/>
                    </w:rPr>
                    <w:t>无量纲</w:t>
                  </w:r>
                </w:p>
              </w:tc>
            </w:tr>
            <w:tr w14:paraId="4162D5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680" w:hRule="atLeast"/>
                <w:jc w:val="center"/>
              </w:trPr>
              <w:tc>
                <w:tcPr>
                  <w:tcW w:w="1564" w:type="dxa"/>
                  <w:vAlign w:val="center"/>
                </w:tcPr>
                <w:p w14:paraId="48C9DF78">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eastAsia="zh-CN"/>
                    </w:rPr>
                    <w:t>悬浮物</w:t>
                  </w:r>
                </w:p>
              </w:tc>
              <w:tc>
                <w:tcPr>
                  <w:tcW w:w="2550" w:type="dxa"/>
                  <w:vAlign w:val="center"/>
                </w:tcPr>
                <w:p w14:paraId="08BE0B68">
                  <w:pPr>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水质 悬浮物的测定</w:t>
                  </w:r>
                </w:p>
                <w:p w14:paraId="32D5558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vertAlign w:val="baseline"/>
                      <w:lang w:val="en-US" w:eastAsia="zh-CN"/>
                    </w:rPr>
                    <w:t>重量法</w:t>
                  </w:r>
                </w:p>
              </w:tc>
              <w:tc>
                <w:tcPr>
                  <w:tcW w:w="1609" w:type="dxa"/>
                  <w:vAlign w:val="center"/>
                </w:tcPr>
                <w:p w14:paraId="1DDBAEE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vertAlign w:val="baseline"/>
                      <w:lang w:val="en-US" w:eastAsia="zh-CN"/>
                    </w:rPr>
                    <w:t>GB 11901-89</w:t>
                  </w:r>
                </w:p>
              </w:tc>
              <w:tc>
                <w:tcPr>
                  <w:tcW w:w="2525" w:type="dxa"/>
                  <w:vAlign w:val="center"/>
                </w:tcPr>
                <w:p w14:paraId="349BF577">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电子天平</w:t>
                  </w:r>
                </w:p>
                <w:p w14:paraId="22860EFC">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FXLZ/LB-0042</w:t>
                  </w:r>
                </w:p>
              </w:tc>
              <w:tc>
                <w:tcPr>
                  <w:tcW w:w="1127" w:type="dxa"/>
                  <w:vAlign w:val="center"/>
                </w:tcPr>
                <w:p w14:paraId="581085B7">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4</w:t>
                  </w:r>
                </w:p>
              </w:tc>
            </w:tr>
            <w:tr w14:paraId="18A18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680" w:hRule="atLeast"/>
                <w:jc w:val="center"/>
              </w:trPr>
              <w:tc>
                <w:tcPr>
                  <w:tcW w:w="1564" w:type="dxa"/>
                  <w:vAlign w:val="center"/>
                </w:tcPr>
                <w:p w14:paraId="67855DFE">
                  <w:pPr>
                    <w:pStyle w:val="99"/>
                    <w:keepNext w:val="0"/>
                    <w:keepLines w:val="0"/>
                    <w:pageBreakBefore w:val="0"/>
                    <w:widowControl/>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色度</w:t>
                  </w:r>
                </w:p>
              </w:tc>
              <w:tc>
                <w:tcPr>
                  <w:tcW w:w="2550" w:type="dxa"/>
                  <w:vAlign w:val="center"/>
                </w:tcPr>
                <w:p w14:paraId="0BB8B3BF">
                  <w:pPr>
                    <w:pStyle w:val="99"/>
                    <w:keepNext w:val="0"/>
                    <w:keepLines w:val="0"/>
                    <w:pageBreakBefore w:val="0"/>
                    <w:widowControl/>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水质 色度的测定</w:t>
                  </w:r>
                </w:p>
                <w:p w14:paraId="5135CAC7">
                  <w:pPr>
                    <w:pStyle w:val="99"/>
                    <w:keepNext w:val="0"/>
                    <w:keepLines w:val="0"/>
                    <w:pageBreakBefore w:val="0"/>
                    <w:widowControl/>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稀释倍数法</w:t>
                  </w:r>
                </w:p>
              </w:tc>
              <w:tc>
                <w:tcPr>
                  <w:tcW w:w="1609" w:type="dxa"/>
                  <w:vAlign w:val="center"/>
                </w:tcPr>
                <w:p w14:paraId="7867BAE5">
                  <w:pPr>
                    <w:pStyle w:val="99"/>
                    <w:keepNext w:val="0"/>
                    <w:keepLines w:val="0"/>
                    <w:pageBreakBefore w:val="0"/>
                    <w:widowControl/>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HJ 1182-2021</w:t>
                  </w:r>
                </w:p>
              </w:tc>
              <w:tc>
                <w:tcPr>
                  <w:tcW w:w="2525" w:type="dxa"/>
                  <w:vAlign w:val="center"/>
                </w:tcPr>
                <w:p w14:paraId="1D4ECBD6">
                  <w:pPr>
                    <w:pStyle w:val="99"/>
                    <w:keepNext w:val="0"/>
                    <w:keepLines w:val="0"/>
                    <w:pageBreakBefore w:val="0"/>
                    <w:widowControl/>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w:t>
                  </w:r>
                </w:p>
              </w:tc>
              <w:tc>
                <w:tcPr>
                  <w:tcW w:w="1127" w:type="dxa"/>
                  <w:vAlign w:val="center"/>
                </w:tcPr>
                <w:p w14:paraId="475B6868">
                  <w:pPr>
                    <w:pStyle w:val="99"/>
                    <w:keepNext w:val="0"/>
                    <w:keepLines w:val="0"/>
                    <w:pageBreakBefore w:val="0"/>
                    <w:widowControl/>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2倍</w:t>
                  </w:r>
                </w:p>
              </w:tc>
            </w:tr>
            <w:tr w14:paraId="0EA408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680" w:hRule="atLeast"/>
                <w:jc w:val="center"/>
              </w:trPr>
              <w:tc>
                <w:tcPr>
                  <w:tcW w:w="1564" w:type="dxa"/>
                  <w:vAlign w:val="center"/>
                </w:tcPr>
                <w:p w14:paraId="00336F8F">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化学需氧量</w:t>
                  </w:r>
                </w:p>
              </w:tc>
              <w:tc>
                <w:tcPr>
                  <w:tcW w:w="2550" w:type="dxa"/>
                  <w:vAlign w:val="center"/>
                </w:tcPr>
                <w:p w14:paraId="66D5D14E">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水质 化学需氧量的测定</w:t>
                  </w:r>
                </w:p>
                <w:p w14:paraId="73E0CC2F">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重铬酸盐法</w:t>
                  </w:r>
                </w:p>
              </w:tc>
              <w:tc>
                <w:tcPr>
                  <w:tcW w:w="1609" w:type="dxa"/>
                  <w:vAlign w:val="center"/>
                </w:tcPr>
                <w:p w14:paraId="09AFF988">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HJ 828-2017</w:t>
                  </w:r>
                </w:p>
              </w:tc>
              <w:tc>
                <w:tcPr>
                  <w:tcW w:w="2525" w:type="dxa"/>
                  <w:vAlign w:val="center"/>
                </w:tcPr>
                <w:p w14:paraId="52436A00">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回流消解仪</w:t>
                  </w:r>
                </w:p>
                <w:p w14:paraId="5D9D1766">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FXLZ/LB-0004</w:t>
                  </w:r>
                </w:p>
              </w:tc>
              <w:tc>
                <w:tcPr>
                  <w:tcW w:w="1127" w:type="dxa"/>
                  <w:vAlign w:val="center"/>
                </w:tcPr>
                <w:p w14:paraId="5845DD21">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4</w:t>
                  </w:r>
                </w:p>
              </w:tc>
            </w:tr>
            <w:tr w14:paraId="6F0E2E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567" w:hRule="atLeast"/>
                <w:jc w:val="center"/>
              </w:trPr>
              <w:tc>
                <w:tcPr>
                  <w:tcW w:w="1564" w:type="dxa"/>
                  <w:vAlign w:val="center"/>
                </w:tcPr>
                <w:p w14:paraId="5794398E">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五日</w:t>
                  </w:r>
                </w:p>
                <w:p w14:paraId="17248B08">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生化需氧量</w:t>
                  </w:r>
                </w:p>
              </w:tc>
              <w:tc>
                <w:tcPr>
                  <w:tcW w:w="2550" w:type="dxa"/>
                  <w:vAlign w:val="center"/>
                </w:tcPr>
                <w:p w14:paraId="6113D731">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水质</w:t>
                  </w:r>
                  <w:r>
                    <w:rPr>
                      <w:rFonts w:hint="default" w:ascii="Times New Roman" w:hAnsi="Times New Roman" w:eastAsia="宋体" w:cs="Times New Roman"/>
                      <w:color w:val="auto"/>
                      <w:sz w:val="21"/>
                      <w:szCs w:val="21"/>
                      <w:lang w:val="en-US" w:eastAsia="zh-CN"/>
                    </w:rPr>
                    <w:t xml:space="preserve"> 五日生化需氧量</w:t>
                  </w:r>
                </w:p>
                <w:p w14:paraId="6F87DED4">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r>
                    <w:rPr>
                      <w:rFonts w:hint="default" w:ascii="Times New Roman" w:hAnsi="Times New Roman" w:eastAsia="宋体" w:cs="Times New Roman"/>
                      <w:color w:val="auto"/>
                      <w:sz w:val="21"/>
                      <w:szCs w:val="21"/>
                      <w:lang w:val="en-US" w:eastAsia="zh-CN"/>
                    </w:rPr>
                    <w:t>）的测定</w:t>
                  </w:r>
                </w:p>
                <w:p w14:paraId="5A3AF77D">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稀释与接种法</w:t>
                  </w:r>
                </w:p>
              </w:tc>
              <w:tc>
                <w:tcPr>
                  <w:tcW w:w="1609" w:type="dxa"/>
                  <w:vAlign w:val="center"/>
                </w:tcPr>
                <w:p w14:paraId="273D2C35">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HJ 505-2009</w:t>
                  </w:r>
                </w:p>
              </w:tc>
              <w:tc>
                <w:tcPr>
                  <w:tcW w:w="2525" w:type="dxa"/>
                  <w:vAlign w:val="center"/>
                </w:tcPr>
                <w:p w14:paraId="00BA964D">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生化培养箱</w:t>
                  </w:r>
                </w:p>
                <w:p w14:paraId="768DB428">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FXLZ/LB-0030</w:t>
                  </w:r>
                </w:p>
              </w:tc>
              <w:tc>
                <w:tcPr>
                  <w:tcW w:w="1127" w:type="dxa"/>
                  <w:vAlign w:val="center"/>
                </w:tcPr>
                <w:p w14:paraId="6863109A">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0.5</w:t>
                  </w:r>
                </w:p>
              </w:tc>
            </w:tr>
            <w:tr w14:paraId="7AF88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567" w:hRule="atLeast"/>
                <w:jc w:val="center"/>
              </w:trPr>
              <w:tc>
                <w:tcPr>
                  <w:tcW w:w="1564" w:type="dxa"/>
                  <w:vAlign w:val="center"/>
                </w:tcPr>
                <w:p w14:paraId="1EADD92C">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氨氮</w:t>
                  </w:r>
                </w:p>
              </w:tc>
              <w:tc>
                <w:tcPr>
                  <w:tcW w:w="2550" w:type="dxa"/>
                  <w:vAlign w:val="center"/>
                </w:tcPr>
                <w:p w14:paraId="195E63F1">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水质 氨氮的测定</w:t>
                  </w:r>
                </w:p>
                <w:p w14:paraId="61C30A1F">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纳氏试剂分光光度法</w:t>
                  </w:r>
                </w:p>
              </w:tc>
              <w:tc>
                <w:tcPr>
                  <w:tcW w:w="1609" w:type="dxa"/>
                  <w:vAlign w:val="center"/>
                </w:tcPr>
                <w:p w14:paraId="78EA9559">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HJ 535-2009</w:t>
                  </w:r>
                </w:p>
              </w:tc>
              <w:tc>
                <w:tcPr>
                  <w:tcW w:w="2525" w:type="dxa"/>
                  <w:vAlign w:val="center"/>
                </w:tcPr>
                <w:p w14:paraId="657B5A28">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紫外可见分光光度计</w:t>
                  </w:r>
                </w:p>
                <w:p w14:paraId="1F65F681">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FXLZ/LB-0073</w:t>
                  </w:r>
                </w:p>
              </w:tc>
              <w:tc>
                <w:tcPr>
                  <w:tcW w:w="1127" w:type="dxa"/>
                  <w:vAlign w:val="center"/>
                </w:tcPr>
                <w:p w14:paraId="314FFE61">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0.025</w:t>
                  </w:r>
                </w:p>
              </w:tc>
            </w:tr>
            <w:tr w14:paraId="0C2ADA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567" w:hRule="atLeast"/>
                <w:jc w:val="center"/>
              </w:trPr>
              <w:tc>
                <w:tcPr>
                  <w:tcW w:w="1564" w:type="dxa"/>
                  <w:vAlign w:val="center"/>
                </w:tcPr>
                <w:p w14:paraId="2568A2F0">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总磷</w:t>
                  </w:r>
                </w:p>
              </w:tc>
              <w:tc>
                <w:tcPr>
                  <w:tcW w:w="2550" w:type="dxa"/>
                  <w:vAlign w:val="center"/>
                </w:tcPr>
                <w:p w14:paraId="37CDCDDA">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水质 总磷的测定</w:t>
                  </w:r>
                </w:p>
                <w:p w14:paraId="46B247BF">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钼酸铵分光光度法</w:t>
                  </w:r>
                </w:p>
              </w:tc>
              <w:tc>
                <w:tcPr>
                  <w:tcW w:w="1609" w:type="dxa"/>
                  <w:vAlign w:val="center"/>
                </w:tcPr>
                <w:p w14:paraId="096D3B6C">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GB 11893-89</w:t>
                  </w:r>
                </w:p>
              </w:tc>
              <w:tc>
                <w:tcPr>
                  <w:tcW w:w="2525" w:type="dxa"/>
                  <w:vAlign w:val="center"/>
                </w:tcPr>
                <w:p w14:paraId="1A4F06C3">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7200型可见分光光度计</w:t>
                  </w:r>
                </w:p>
                <w:p w14:paraId="6DF281AE">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FXLZ/LB-0067</w:t>
                  </w:r>
                </w:p>
              </w:tc>
              <w:tc>
                <w:tcPr>
                  <w:tcW w:w="1127" w:type="dxa"/>
                  <w:vAlign w:val="center"/>
                </w:tcPr>
                <w:p w14:paraId="747FFE44">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0.01</w:t>
                  </w:r>
                </w:p>
              </w:tc>
            </w:tr>
            <w:tr w14:paraId="65474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567" w:hRule="atLeast"/>
                <w:jc w:val="center"/>
              </w:trPr>
              <w:tc>
                <w:tcPr>
                  <w:tcW w:w="1564" w:type="dxa"/>
                  <w:vAlign w:val="center"/>
                </w:tcPr>
                <w:p w14:paraId="0974CAE1">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总氮</w:t>
                  </w:r>
                </w:p>
              </w:tc>
              <w:tc>
                <w:tcPr>
                  <w:tcW w:w="2550" w:type="dxa"/>
                  <w:vAlign w:val="center"/>
                </w:tcPr>
                <w:p w14:paraId="2F03352B">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水质 总氮的测定 碱性过硫酸钾消解紫外分光光度法</w:t>
                  </w:r>
                </w:p>
              </w:tc>
              <w:tc>
                <w:tcPr>
                  <w:tcW w:w="1609" w:type="dxa"/>
                  <w:vAlign w:val="center"/>
                </w:tcPr>
                <w:p w14:paraId="1015E36E">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HJ 636-2012</w:t>
                  </w:r>
                </w:p>
              </w:tc>
              <w:tc>
                <w:tcPr>
                  <w:tcW w:w="2525" w:type="dxa"/>
                  <w:vAlign w:val="center"/>
                </w:tcPr>
                <w:p w14:paraId="37FFA099">
                  <w:pPr>
                    <w:pStyle w:val="99"/>
                    <w:keepNext w:val="0"/>
                    <w:keepLines w:val="0"/>
                    <w:pageBreakBefore w:val="0"/>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紫外可见分光光度计</w:t>
                  </w:r>
                </w:p>
                <w:p w14:paraId="60AFA24C">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FXLZ/LB-0073</w:t>
                  </w:r>
                </w:p>
              </w:tc>
              <w:tc>
                <w:tcPr>
                  <w:tcW w:w="1127" w:type="dxa"/>
                  <w:vAlign w:val="center"/>
                </w:tcPr>
                <w:p w14:paraId="0AA5BD91">
                  <w:pPr>
                    <w:pStyle w:val="99"/>
                    <w:keepNext w:val="0"/>
                    <w:keepLines w:val="0"/>
                    <w:pageBreakBefore w:val="0"/>
                    <w:wordWrap/>
                    <w:overflowPunct/>
                    <w:topLinePunct w:val="0"/>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0.05</w:t>
                  </w:r>
                </w:p>
              </w:tc>
            </w:tr>
            <w:tr w14:paraId="7CCF3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283" w:type="dxa"/>
                <w:trHeight w:val="679" w:hRule="atLeast"/>
                <w:jc w:val="center"/>
              </w:trPr>
              <w:tc>
                <w:tcPr>
                  <w:tcW w:w="1564" w:type="dxa"/>
                  <w:vAlign w:val="center"/>
                </w:tcPr>
                <w:p w14:paraId="76E307E7">
                  <w:pPr>
                    <w:pStyle w:val="18"/>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动植物油</w:t>
                  </w:r>
                  <w:r>
                    <w:rPr>
                      <w:rFonts w:hint="eastAsia" w:eastAsia="宋体" w:cs="Times New Roman"/>
                      <w:color w:val="auto"/>
                      <w:sz w:val="21"/>
                      <w:szCs w:val="21"/>
                      <w:highlight w:val="none"/>
                      <w:lang w:val="en-US" w:eastAsia="zh-CN"/>
                    </w:rPr>
                    <w:t>类</w:t>
                  </w:r>
                </w:p>
              </w:tc>
              <w:tc>
                <w:tcPr>
                  <w:tcW w:w="2550" w:type="dxa"/>
                  <w:vAlign w:val="center"/>
                </w:tcPr>
                <w:p w14:paraId="4C128CB8">
                  <w:pPr>
                    <w:pStyle w:val="18"/>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Style w:val="74"/>
                      <w:rFonts w:hint="default" w:ascii="Times New Roman" w:hAnsi="Times New Roman" w:eastAsia="宋体" w:cs="Times New Roman"/>
                      <w:color w:val="auto"/>
                      <w:sz w:val="21"/>
                      <w:szCs w:val="21"/>
                      <w:lang w:val="en-US" w:eastAsia="zh-CN" w:bidi="ar"/>
                    </w:rPr>
                  </w:pPr>
                  <w:r>
                    <w:rPr>
                      <w:rStyle w:val="74"/>
                      <w:rFonts w:hint="default" w:ascii="Times New Roman" w:hAnsi="Times New Roman" w:eastAsia="宋体" w:cs="Times New Roman"/>
                      <w:color w:val="auto"/>
                      <w:sz w:val="21"/>
                      <w:szCs w:val="21"/>
                      <w:lang w:val="en-US" w:eastAsia="zh-CN" w:bidi="ar"/>
                    </w:rPr>
                    <w:t>水质 石油类和动植物油类的测定 红外分光光度法</w:t>
                  </w:r>
                </w:p>
              </w:tc>
              <w:tc>
                <w:tcPr>
                  <w:tcW w:w="1609" w:type="dxa"/>
                  <w:vAlign w:val="center"/>
                </w:tcPr>
                <w:p w14:paraId="04657C88">
                  <w:pPr>
                    <w:pStyle w:val="18"/>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Style w:val="74"/>
                      <w:rFonts w:hint="default" w:ascii="Times New Roman" w:hAnsi="Times New Roman" w:eastAsia="宋体" w:cs="Times New Roman"/>
                      <w:color w:val="auto"/>
                      <w:sz w:val="21"/>
                      <w:szCs w:val="21"/>
                      <w:lang w:val="en-US" w:eastAsia="zh-CN" w:bidi="ar"/>
                    </w:rPr>
                  </w:pPr>
                  <w:r>
                    <w:rPr>
                      <w:rStyle w:val="74"/>
                      <w:rFonts w:hint="default" w:ascii="Times New Roman" w:hAnsi="Times New Roman" w:eastAsia="宋体" w:cs="Times New Roman"/>
                      <w:color w:val="auto"/>
                      <w:sz w:val="21"/>
                      <w:szCs w:val="21"/>
                      <w:lang w:val="en-US" w:eastAsia="zh-CN" w:bidi="ar"/>
                    </w:rPr>
                    <w:t>HJ 637-2018</w:t>
                  </w:r>
                </w:p>
              </w:tc>
              <w:tc>
                <w:tcPr>
                  <w:tcW w:w="2525" w:type="dxa"/>
                  <w:vAlign w:val="center"/>
                </w:tcPr>
                <w:p w14:paraId="5B810150">
                  <w:pPr>
                    <w:pStyle w:val="18"/>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Style w:val="74"/>
                      <w:rFonts w:hint="default" w:ascii="Times New Roman" w:hAnsi="Times New Roman" w:eastAsia="宋体" w:cs="Times New Roman"/>
                      <w:color w:val="auto"/>
                      <w:sz w:val="21"/>
                      <w:szCs w:val="21"/>
                      <w:lang w:val="en-US" w:eastAsia="zh-CN" w:bidi="ar"/>
                    </w:rPr>
                  </w:pPr>
                  <w:r>
                    <w:rPr>
                      <w:rStyle w:val="74"/>
                      <w:rFonts w:hint="default" w:ascii="Times New Roman" w:hAnsi="Times New Roman" w:eastAsia="宋体" w:cs="Times New Roman"/>
                      <w:color w:val="auto"/>
                      <w:sz w:val="21"/>
                      <w:szCs w:val="21"/>
                      <w:lang w:val="en-US" w:eastAsia="zh-CN" w:bidi="ar"/>
                    </w:rPr>
                    <w:t>红外分光测油仪</w:t>
                  </w:r>
                </w:p>
                <w:p w14:paraId="3E24C289">
                  <w:pPr>
                    <w:pStyle w:val="18"/>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Style w:val="74"/>
                      <w:rFonts w:hint="default" w:ascii="Times New Roman" w:hAnsi="Times New Roman" w:eastAsia="宋体" w:cs="Times New Roman"/>
                      <w:color w:val="auto"/>
                      <w:sz w:val="21"/>
                      <w:szCs w:val="21"/>
                      <w:lang w:val="en-US" w:eastAsia="zh-CN" w:bidi="ar"/>
                    </w:rPr>
                  </w:pPr>
                  <w:r>
                    <w:rPr>
                      <w:rStyle w:val="74"/>
                      <w:rFonts w:hint="default" w:ascii="Times New Roman" w:hAnsi="Times New Roman" w:eastAsia="宋体" w:cs="Times New Roman"/>
                      <w:color w:val="auto"/>
                      <w:sz w:val="21"/>
                      <w:szCs w:val="21"/>
                      <w:lang w:val="en-US" w:eastAsia="zh-CN" w:bidi="ar"/>
                    </w:rPr>
                    <w:t>FXLZ/LB-0023</w:t>
                  </w:r>
                </w:p>
              </w:tc>
              <w:tc>
                <w:tcPr>
                  <w:tcW w:w="1127" w:type="dxa"/>
                  <w:vAlign w:val="center"/>
                </w:tcPr>
                <w:p w14:paraId="74DDDB97">
                  <w:pPr>
                    <w:pStyle w:val="18"/>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Style w:val="74"/>
                      <w:rFonts w:hint="default" w:ascii="Times New Roman" w:hAnsi="Times New Roman" w:eastAsia="宋体" w:cs="Times New Roman"/>
                      <w:color w:val="auto"/>
                      <w:sz w:val="21"/>
                      <w:szCs w:val="21"/>
                      <w:lang w:val="en-US" w:eastAsia="zh-CN" w:bidi="ar"/>
                    </w:rPr>
                  </w:pPr>
                  <w:r>
                    <w:rPr>
                      <w:rStyle w:val="74"/>
                      <w:rFonts w:hint="default" w:ascii="Times New Roman" w:hAnsi="Times New Roman" w:eastAsia="宋体" w:cs="Times New Roman"/>
                      <w:color w:val="auto"/>
                      <w:sz w:val="21"/>
                      <w:szCs w:val="21"/>
                      <w:lang w:val="en-US" w:eastAsia="zh-CN" w:bidi="ar"/>
                    </w:rPr>
                    <w:t>0.06</w:t>
                  </w:r>
                </w:p>
              </w:tc>
            </w:tr>
          </w:tbl>
          <w:p w14:paraId="143B3B90">
            <w:pPr>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400" w:lineRule="exact"/>
              <w:ind w:left="0" w:right="0" w:firstLine="0" w:firstLineChars="0"/>
              <w:jc w:val="center"/>
              <w:textAlignment w:val="auto"/>
              <w:rPr>
                <w:rFonts w:hint="eastAsia" w:ascii="Times New Roman" w:hAnsi="Times New Roman" w:eastAsia="宋体" w:cs="Times New Roman"/>
                <w:b/>
                <w:color w:val="auto"/>
                <w:sz w:val="21"/>
                <w:szCs w:val="21"/>
                <w:vertAlign w:val="superscript"/>
              </w:rPr>
            </w:pPr>
            <w:r>
              <w:rPr>
                <w:rFonts w:hint="default"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5</w:t>
            </w:r>
            <w:r>
              <w:rPr>
                <w:rFonts w:hint="default" w:ascii="Times New Roman" w:hAnsi="Times New Roman" w:eastAsia="宋体" w:cs="Times New Roman"/>
                <w:b/>
                <w:color w:val="auto"/>
                <w:sz w:val="21"/>
                <w:szCs w:val="21"/>
              </w:rPr>
              <w:t>-</w:t>
            </w:r>
            <w:r>
              <w:rPr>
                <w:rFonts w:hint="eastAsia" w:cs="Times New Roman"/>
                <w:b/>
                <w:color w:val="auto"/>
                <w:sz w:val="21"/>
                <w:szCs w:val="21"/>
                <w:lang w:val="en-US" w:eastAsia="zh-CN"/>
              </w:rPr>
              <w:t>2</w:t>
            </w:r>
            <w:r>
              <w:rPr>
                <w:rFonts w:hint="eastAsia" w:ascii="Times New Roman" w:hAnsi="Times New Roman" w:eastAsia="宋体" w:cs="Times New Roman"/>
                <w:b/>
                <w:color w:val="auto"/>
                <w:sz w:val="21"/>
                <w:szCs w:val="21"/>
              </w:rPr>
              <w:t xml:space="preserve"> </w:t>
            </w:r>
            <w:r>
              <w:rPr>
                <w:rFonts w:hint="default" w:ascii="Times New Roman" w:hAnsi="Times New Roman" w:eastAsia="宋体" w:cs="Times New Roman"/>
                <w:b/>
                <w:color w:val="auto"/>
                <w:sz w:val="21"/>
                <w:szCs w:val="21"/>
              </w:rPr>
              <w:t xml:space="preserve"> 有组织废气检测方法、使用仪器及检出限</w:t>
            </w:r>
            <w:r>
              <w:rPr>
                <w:rFonts w:hint="eastAsia"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rPr>
              <w:t>单位：mg/</w:t>
            </w:r>
            <w:r>
              <w:rPr>
                <w:rFonts w:hint="eastAsia" w:ascii="Times New Roman" w:hAnsi="Times New Roman" w:eastAsia="宋体" w:cs="Times New Roman"/>
                <w:b/>
                <w:color w:val="auto"/>
                <w:sz w:val="21"/>
                <w:szCs w:val="21"/>
              </w:rPr>
              <w:t>m</w:t>
            </w:r>
            <w:r>
              <w:rPr>
                <w:rFonts w:hint="eastAsia" w:ascii="Times New Roman" w:hAnsi="Times New Roman" w:eastAsia="宋体" w:cs="Times New Roman"/>
                <w:b/>
                <w:color w:val="auto"/>
                <w:sz w:val="21"/>
                <w:szCs w:val="21"/>
                <w:vertAlign w:val="superscript"/>
              </w:rPr>
              <w:t>3</w:t>
            </w:r>
          </w:p>
          <w:tbl>
            <w:tblPr>
              <w:tblStyle w:val="100"/>
              <w:tblW w:w="94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09"/>
              <w:gridCol w:w="3322"/>
              <w:gridCol w:w="1500"/>
              <w:gridCol w:w="1906"/>
              <w:gridCol w:w="1708"/>
            </w:tblGrid>
            <w:tr w14:paraId="58B30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09" w:type="dxa"/>
                  <w:vAlign w:val="center"/>
                </w:tcPr>
                <w:p w14:paraId="7EA941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项目</w:t>
                  </w:r>
                </w:p>
              </w:tc>
              <w:tc>
                <w:tcPr>
                  <w:tcW w:w="3322" w:type="dxa"/>
                  <w:vAlign w:val="center"/>
                </w:tcPr>
                <w:p w14:paraId="699869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检测方法</w:t>
                  </w:r>
                </w:p>
              </w:tc>
              <w:tc>
                <w:tcPr>
                  <w:tcW w:w="1500" w:type="dxa"/>
                  <w:vAlign w:val="center"/>
                </w:tcPr>
                <w:p w14:paraId="2549DA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方法来源</w:t>
                  </w:r>
                </w:p>
              </w:tc>
              <w:tc>
                <w:tcPr>
                  <w:tcW w:w="1906" w:type="dxa"/>
                  <w:vAlign w:val="center"/>
                </w:tcPr>
                <w:p w14:paraId="0FA89E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使用仪器及编号</w:t>
                  </w:r>
                </w:p>
              </w:tc>
              <w:tc>
                <w:tcPr>
                  <w:tcW w:w="1708" w:type="dxa"/>
                  <w:vAlign w:val="center"/>
                </w:tcPr>
                <w:p w14:paraId="06B739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检出限</w:t>
                  </w:r>
                </w:p>
                <w:p w14:paraId="05023B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r>
                    <w:rPr>
                      <w:rFonts w:hint="default" w:ascii="Times New Roman" w:hAnsi="Times New Roman" w:eastAsia="宋体" w:cs="Times New Roman"/>
                      <w:color w:val="auto"/>
                      <w:spacing w:val="-2"/>
                      <w:sz w:val="21"/>
                      <w:szCs w:val="21"/>
                      <w:lang w:val="en-US" w:eastAsia="zh-CN"/>
                    </w:rPr>
                    <w:t>m</w:t>
                  </w:r>
                  <w:r>
                    <w:rPr>
                      <w:rFonts w:hint="default" w:ascii="Times New Roman" w:hAnsi="Times New Roman" w:eastAsia="宋体" w:cs="Times New Roman"/>
                      <w:color w:val="auto"/>
                      <w:spacing w:val="-2"/>
                      <w:sz w:val="21"/>
                      <w:szCs w:val="21"/>
                    </w:rPr>
                    <w:t>g/</w:t>
                  </w:r>
                  <w:r>
                    <w:rPr>
                      <w:rFonts w:hint="default" w:ascii="Times New Roman" w:hAnsi="Times New Roman" w:eastAsia="宋体" w:cs="Times New Roman"/>
                      <w:color w:val="auto"/>
                      <w:spacing w:val="-2"/>
                      <w:sz w:val="21"/>
                      <w:szCs w:val="21"/>
                      <w:lang w:val="en-US" w:eastAsia="zh-CN"/>
                    </w:rPr>
                    <w:t>m³</w:t>
                  </w:r>
                  <w:r>
                    <w:rPr>
                      <w:rFonts w:hint="default" w:ascii="Times New Roman" w:hAnsi="Times New Roman" w:eastAsia="宋体" w:cs="Times New Roman"/>
                      <w:color w:val="auto"/>
                      <w:spacing w:val="-2"/>
                      <w:sz w:val="21"/>
                      <w:szCs w:val="21"/>
                    </w:rPr>
                    <w:t>)</w:t>
                  </w:r>
                </w:p>
              </w:tc>
            </w:tr>
            <w:tr w14:paraId="3586C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1009" w:type="dxa"/>
                  <w:vAlign w:val="center"/>
                </w:tcPr>
                <w:p w14:paraId="4F3EADB3">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油烟</w:t>
                  </w:r>
                </w:p>
              </w:tc>
              <w:tc>
                <w:tcPr>
                  <w:tcW w:w="3322" w:type="dxa"/>
                  <w:vAlign w:val="center"/>
                </w:tcPr>
                <w:p w14:paraId="07419344">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固定污染源废气 油烟和油雾的测定</w:t>
                  </w:r>
                </w:p>
                <w:p w14:paraId="38692B01">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红外分光光度法</w:t>
                  </w:r>
                </w:p>
              </w:tc>
              <w:tc>
                <w:tcPr>
                  <w:tcW w:w="1500" w:type="dxa"/>
                  <w:vAlign w:val="center"/>
                </w:tcPr>
                <w:p w14:paraId="6A43E42F">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HJ 1077-2019</w:t>
                  </w:r>
                </w:p>
              </w:tc>
              <w:tc>
                <w:tcPr>
                  <w:tcW w:w="1906" w:type="dxa"/>
                  <w:vAlign w:val="center"/>
                </w:tcPr>
                <w:p w14:paraId="66615D7C">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红外分光测油仪FXLZ/LB-0023</w:t>
                  </w:r>
                </w:p>
              </w:tc>
              <w:tc>
                <w:tcPr>
                  <w:tcW w:w="1708" w:type="dxa"/>
                  <w:vAlign w:val="center"/>
                </w:tcPr>
                <w:p w14:paraId="758E63AB">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w:t>
                  </w:r>
                </w:p>
              </w:tc>
            </w:tr>
          </w:tbl>
          <w:p w14:paraId="162847E4">
            <w:pPr>
              <w:keepNext w:val="0"/>
              <w:keepLines w:val="0"/>
              <w:widowControl/>
              <w:suppressLineNumbers w:val="0"/>
              <w:spacing w:before="0" w:beforeLines="0" w:beforeAutospacing="0" w:after="0" w:afterLines="0" w:afterAutospacing="0" w:line="400" w:lineRule="exact"/>
              <w:ind w:left="0" w:right="0" w:firstLine="373" w:firstLineChars="177"/>
              <w:jc w:val="center"/>
              <w:rPr>
                <w:rFonts w:hint="eastAsia"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5</w:t>
            </w:r>
            <w:r>
              <w:rPr>
                <w:rFonts w:hint="default" w:ascii="Times New Roman" w:hAnsi="Times New Roman" w:eastAsia="宋体" w:cs="Times New Roman"/>
                <w:b/>
                <w:color w:val="auto"/>
                <w:sz w:val="21"/>
                <w:szCs w:val="21"/>
              </w:rPr>
              <w:t>-</w:t>
            </w:r>
            <w:r>
              <w:rPr>
                <w:rFonts w:hint="eastAsia" w:cs="Times New Roman"/>
                <w:b/>
                <w:color w:val="auto"/>
                <w:sz w:val="21"/>
                <w:szCs w:val="21"/>
                <w:lang w:val="en-US" w:eastAsia="zh-CN"/>
              </w:rPr>
              <w:t>3</w:t>
            </w:r>
            <w:r>
              <w:rPr>
                <w:rFonts w:hint="eastAsia" w:ascii="Times New Roman" w:hAnsi="Times New Roman" w:eastAsia="宋体" w:cs="Times New Roman"/>
                <w:b/>
                <w:color w:val="auto"/>
                <w:sz w:val="21"/>
                <w:szCs w:val="21"/>
              </w:rPr>
              <w:t xml:space="preserve"> </w:t>
            </w:r>
            <w:r>
              <w:rPr>
                <w:rFonts w:hint="default" w:ascii="Times New Roman" w:hAnsi="Times New Roman" w:eastAsia="宋体" w:cs="Times New Roman"/>
                <w:b/>
                <w:color w:val="auto"/>
                <w:sz w:val="21"/>
                <w:szCs w:val="21"/>
              </w:rPr>
              <w:t xml:space="preserve"> 无组织废气检测方法、使用仪器及检出限</w:t>
            </w:r>
            <w:r>
              <w:rPr>
                <w:rFonts w:hint="eastAsia" w:ascii="Times New Roman" w:hAnsi="Times New Roman" w:eastAsia="宋体" w:cs="Times New Roman"/>
                <w:b/>
                <w:color w:val="auto"/>
                <w:sz w:val="21"/>
                <w:szCs w:val="21"/>
                <w:lang w:val="en-US" w:eastAsia="zh-CN"/>
              </w:rPr>
              <w:t xml:space="preserve">  </w:t>
            </w:r>
            <w:r>
              <w:rPr>
                <w:rFonts w:hint="default" w:ascii="Times New Roman" w:hAnsi="Times New Roman" w:eastAsia="宋体" w:cs="Times New Roman"/>
                <w:b/>
                <w:color w:val="auto"/>
                <w:sz w:val="21"/>
                <w:szCs w:val="21"/>
              </w:rPr>
              <w:t>单位：mg/</w:t>
            </w:r>
            <w:r>
              <w:rPr>
                <w:rFonts w:hint="eastAsia" w:ascii="Times New Roman" w:hAnsi="Times New Roman" w:eastAsia="宋体" w:cs="Times New Roman"/>
                <w:b/>
                <w:color w:val="auto"/>
                <w:sz w:val="21"/>
                <w:szCs w:val="21"/>
              </w:rPr>
              <w:t>m</w:t>
            </w:r>
            <w:r>
              <w:rPr>
                <w:rFonts w:hint="eastAsia" w:ascii="Times New Roman" w:hAnsi="Times New Roman" w:eastAsia="宋体" w:cs="Times New Roman"/>
                <w:b/>
                <w:color w:val="auto"/>
                <w:sz w:val="21"/>
                <w:szCs w:val="21"/>
                <w:vertAlign w:val="superscript"/>
              </w:rPr>
              <w:t>3</w:t>
            </w:r>
          </w:p>
          <w:tbl>
            <w:tblPr>
              <w:tblStyle w:val="100"/>
              <w:tblW w:w="94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62"/>
              <w:gridCol w:w="3485"/>
              <w:gridCol w:w="1742"/>
              <w:gridCol w:w="1904"/>
              <w:gridCol w:w="1020"/>
            </w:tblGrid>
            <w:tr w14:paraId="3694C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262" w:type="dxa"/>
                  <w:vAlign w:val="center"/>
                </w:tcPr>
                <w:p w14:paraId="6107CFF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项目</w:t>
                  </w:r>
                </w:p>
              </w:tc>
              <w:tc>
                <w:tcPr>
                  <w:tcW w:w="3485" w:type="dxa"/>
                  <w:vAlign w:val="center"/>
                </w:tcPr>
                <w:p w14:paraId="71F11A1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检测方法</w:t>
                  </w:r>
                </w:p>
              </w:tc>
              <w:tc>
                <w:tcPr>
                  <w:tcW w:w="1742" w:type="dxa"/>
                  <w:vAlign w:val="center"/>
                </w:tcPr>
                <w:p w14:paraId="14A81DE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方法来源</w:t>
                  </w:r>
                </w:p>
              </w:tc>
              <w:tc>
                <w:tcPr>
                  <w:tcW w:w="1904" w:type="dxa"/>
                  <w:vAlign w:val="center"/>
                </w:tcPr>
                <w:p w14:paraId="47416DD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使用仪器及编号</w:t>
                  </w:r>
                </w:p>
              </w:tc>
              <w:tc>
                <w:tcPr>
                  <w:tcW w:w="1020" w:type="dxa"/>
                  <w:vAlign w:val="center"/>
                </w:tcPr>
                <w:p w14:paraId="376E0A35">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firstLineChars="0"/>
                    <w:jc w:val="center"/>
                    <w:textAlignment w:val="baseline"/>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检出限</w:t>
                  </w:r>
                </w:p>
                <w:p w14:paraId="7BC31075">
                  <w:pPr>
                    <w:keepNext w:val="0"/>
                    <w:keepLines w:val="0"/>
                    <w:pageBreakBefore w:val="0"/>
                    <w:widowControl/>
                    <w:kinsoku w:val="0"/>
                    <w:wordWrap/>
                    <w:overflowPunct/>
                    <w:topLinePunct w:val="0"/>
                    <w:autoSpaceDE w:val="0"/>
                    <w:autoSpaceDN w:val="0"/>
                    <w:bidi w:val="0"/>
                    <w:adjustRightInd w:val="0"/>
                    <w:snapToGrid w:val="0"/>
                    <w:spacing w:line="240" w:lineRule="auto"/>
                    <w:ind w:righ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r>
                    <w:rPr>
                      <w:rFonts w:hint="default" w:ascii="Times New Roman" w:hAnsi="Times New Roman" w:eastAsia="宋体" w:cs="Times New Roman"/>
                      <w:color w:val="auto"/>
                      <w:spacing w:val="-2"/>
                      <w:sz w:val="21"/>
                      <w:szCs w:val="21"/>
                      <w:lang w:val="en-US" w:eastAsia="zh-CN"/>
                    </w:rPr>
                    <w:t>m</w:t>
                  </w:r>
                  <w:r>
                    <w:rPr>
                      <w:rFonts w:hint="default" w:ascii="Times New Roman" w:hAnsi="Times New Roman" w:eastAsia="宋体" w:cs="Times New Roman"/>
                      <w:color w:val="auto"/>
                      <w:spacing w:val="-2"/>
                      <w:sz w:val="21"/>
                      <w:szCs w:val="21"/>
                    </w:rPr>
                    <w:t>g/</w:t>
                  </w:r>
                  <w:r>
                    <w:rPr>
                      <w:rFonts w:hint="default" w:ascii="Times New Roman" w:hAnsi="Times New Roman" w:eastAsia="宋体" w:cs="Times New Roman"/>
                      <w:color w:val="auto"/>
                      <w:spacing w:val="-2"/>
                      <w:sz w:val="21"/>
                      <w:szCs w:val="21"/>
                      <w:lang w:val="en-US" w:eastAsia="zh-CN"/>
                    </w:rPr>
                    <w:t>m³</w:t>
                  </w:r>
                  <w:r>
                    <w:rPr>
                      <w:rFonts w:hint="default" w:ascii="Times New Roman" w:hAnsi="Times New Roman" w:eastAsia="宋体" w:cs="Times New Roman"/>
                      <w:color w:val="auto"/>
                      <w:spacing w:val="-2"/>
                      <w:sz w:val="21"/>
                      <w:szCs w:val="21"/>
                    </w:rPr>
                    <w:t>)</w:t>
                  </w:r>
                </w:p>
              </w:tc>
            </w:tr>
            <w:tr w14:paraId="38C6A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262" w:type="dxa"/>
                  <w:vAlign w:val="center"/>
                </w:tcPr>
                <w:p w14:paraId="25D4C24A">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氨</w:t>
                  </w:r>
                </w:p>
              </w:tc>
              <w:tc>
                <w:tcPr>
                  <w:tcW w:w="3485" w:type="dxa"/>
                  <w:vAlign w:val="center"/>
                </w:tcPr>
                <w:p w14:paraId="4F6A5469">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环境空气和废气 氨的测定 </w:t>
                  </w:r>
                </w:p>
                <w:p w14:paraId="4938476D">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纳氏试剂分光光度法</w:t>
                  </w:r>
                </w:p>
              </w:tc>
              <w:tc>
                <w:tcPr>
                  <w:tcW w:w="1742" w:type="dxa"/>
                  <w:vAlign w:val="center"/>
                </w:tcPr>
                <w:p w14:paraId="082A8DBF">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HJ 533-2009</w:t>
                  </w:r>
                </w:p>
              </w:tc>
              <w:tc>
                <w:tcPr>
                  <w:tcW w:w="1904" w:type="dxa"/>
                  <w:vMerge w:val="restart"/>
                  <w:vAlign w:val="center"/>
                </w:tcPr>
                <w:p w14:paraId="0F0D8538">
                  <w:pPr>
                    <w:pStyle w:val="99"/>
                    <w:keepNext w:val="0"/>
                    <w:keepLines w:val="0"/>
                    <w:pageBreakBefore w:val="0"/>
                    <w:widowControl/>
                    <w:wordWrap/>
                    <w:overflowPunct/>
                    <w:topLinePunct w:val="0"/>
                    <w:bidi w:val="0"/>
                    <w:adjustRightInd w:val="0"/>
                    <w:snapToGrid w:val="0"/>
                    <w:spacing w:line="240" w:lineRule="auto"/>
                    <w:ind w:left="0" w:right="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紫外可见分光光度计</w:t>
                  </w:r>
                </w:p>
                <w:p w14:paraId="1020DDE1">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napToGrid w:val="0"/>
                      <w:color w:val="auto"/>
                      <w:spacing w:val="-3"/>
                      <w:kern w:val="0"/>
                      <w:sz w:val="21"/>
                      <w:szCs w:val="21"/>
                      <w:lang w:val="en-US" w:eastAsia="zh-CN" w:bidi="ar-SA"/>
                    </w:rPr>
                    <w:t>FXLZ/LB-0073</w:t>
                  </w:r>
                </w:p>
              </w:tc>
              <w:tc>
                <w:tcPr>
                  <w:tcW w:w="1020" w:type="dxa"/>
                  <w:vAlign w:val="center"/>
                </w:tcPr>
                <w:p w14:paraId="6AC46833">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0.01</w:t>
                  </w:r>
                </w:p>
              </w:tc>
            </w:tr>
            <w:tr w14:paraId="2185C3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262" w:type="dxa"/>
                  <w:vAlign w:val="center"/>
                </w:tcPr>
                <w:p w14:paraId="6E256CF9">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硫化氢</w:t>
                  </w:r>
                </w:p>
              </w:tc>
              <w:tc>
                <w:tcPr>
                  <w:tcW w:w="3485" w:type="dxa"/>
                  <w:vAlign w:val="center"/>
                </w:tcPr>
                <w:p w14:paraId="118A488B">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《空气和废气监测分析方法》</w:t>
                  </w:r>
                </w:p>
                <w:p w14:paraId="790139E6">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（第四版增补版）</w:t>
                  </w:r>
                </w:p>
                <w:p w14:paraId="0C9C552F">
                  <w:pPr>
                    <w:pStyle w:val="99"/>
                    <w:keepNext w:val="0"/>
                    <w:keepLines w:val="0"/>
                    <w:pageBreakBefore w:val="0"/>
                    <w:widowControl/>
                    <w:numPr>
                      <w:ilvl w:val="0"/>
                      <w:numId w:val="5"/>
                    </w:numPr>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空气质量监测</w:t>
                  </w:r>
                </w:p>
                <w:p w14:paraId="7F1DC259">
                  <w:pPr>
                    <w:pStyle w:val="99"/>
                    <w:keepNext w:val="0"/>
                    <w:keepLines w:val="0"/>
                    <w:pageBreakBefore w:val="0"/>
                    <w:widowControl/>
                    <w:numPr>
                      <w:ilvl w:val="0"/>
                      <w:numId w:val="0"/>
                    </w:numPr>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r>
                    <w:rPr>
                      <w:rFonts w:hint="eastAsia" w:ascii="宋体" w:hAnsi="宋体" w:eastAsia="宋体" w:cs="宋体"/>
                      <w:color w:val="auto"/>
                      <w:sz w:val="21"/>
                      <w:szCs w:val="21"/>
                      <w:highlight w:val="none"/>
                    </w:rPr>
                    <w:t>亚甲基蓝分光光度法</w:t>
                  </w:r>
                  <w:r>
                    <w:rPr>
                      <w:rFonts w:hint="eastAsia" w:ascii="Times New Roman" w:hAnsi="Times New Roman" w:eastAsia="宋体" w:cs="Times New Roman"/>
                      <w:color w:val="auto"/>
                      <w:sz w:val="21"/>
                      <w:szCs w:val="21"/>
                      <w:highlight w:val="none"/>
                      <w:lang w:val="en-US" w:eastAsia="zh-CN"/>
                    </w:rPr>
                    <w:t>）</w:t>
                  </w:r>
                </w:p>
              </w:tc>
              <w:tc>
                <w:tcPr>
                  <w:tcW w:w="1742" w:type="dxa"/>
                  <w:vAlign w:val="center"/>
                </w:tcPr>
                <w:p w14:paraId="42333B58">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国家环境保护总局</w:t>
                  </w:r>
                </w:p>
                <w:p w14:paraId="67385D04">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（2003年）</w:t>
                  </w:r>
                </w:p>
              </w:tc>
              <w:tc>
                <w:tcPr>
                  <w:tcW w:w="1904" w:type="dxa"/>
                  <w:vMerge w:val="continue"/>
                  <w:vAlign w:val="center"/>
                </w:tcPr>
                <w:p w14:paraId="444EEF96">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020" w:type="dxa"/>
                  <w:vAlign w:val="center"/>
                </w:tcPr>
                <w:p w14:paraId="3661A376">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0.001</w:t>
                  </w:r>
                </w:p>
              </w:tc>
            </w:tr>
            <w:tr w14:paraId="18070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262" w:type="dxa"/>
                  <w:vAlign w:val="center"/>
                </w:tcPr>
                <w:p w14:paraId="1AC4D2F1">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臭气浓度</w:t>
                  </w:r>
                </w:p>
              </w:tc>
              <w:tc>
                <w:tcPr>
                  <w:tcW w:w="3485" w:type="dxa"/>
                  <w:vAlign w:val="center"/>
                </w:tcPr>
                <w:p w14:paraId="089CE228">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环境空气和废气  臭气的测定 </w:t>
                  </w:r>
                </w:p>
                <w:p w14:paraId="64E5E267">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三点比较式臭袋法</w:t>
                  </w:r>
                </w:p>
              </w:tc>
              <w:tc>
                <w:tcPr>
                  <w:tcW w:w="1742" w:type="dxa"/>
                  <w:vAlign w:val="center"/>
                </w:tcPr>
                <w:p w14:paraId="67D2D05D">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HJ 1262-2022</w:t>
                  </w:r>
                </w:p>
              </w:tc>
              <w:tc>
                <w:tcPr>
                  <w:tcW w:w="1904" w:type="dxa"/>
                  <w:vAlign w:val="center"/>
                </w:tcPr>
                <w:p w14:paraId="19D01E14">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020" w:type="dxa"/>
                  <w:vAlign w:val="center"/>
                </w:tcPr>
                <w:p w14:paraId="7E5C5753">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无量纲</w:t>
                  </w:r>
                </w:p>
              </w:tc>
            </w:tr>
          </w:tbl>
          <w:p w14:paraId="48358ED2">
            <w:pPr>
              <w:keepNext w:val="0"/>
              <w:keepLines w:val="0"/>
              <w:widowControl/>
              <w:suppressLineNumbers w:val="0"/>
              <w:spacing w:before="0" w:beforeLines="0" w:beforeAutospacing="0" w:after="0" w:afterLines="0" w:afterAutospacing="0" w:line="400" w:lineRule="exact"/>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表</w:t>
            </w:r>
            <w:r>
              <w:rPr>
                <w:rFonts w:hint="eastAsia" w:ascii="Times New Roman" w:hAnsi="Times New Roman" w:eastAsia="宋体" w:cs="Times New Roman"/>
                <w:b/>
                <w:color w:val="auto"/>
                <w:sz w:val="21"/>
                <w:szCs w:val="21"/>
                <w:lang w:val="en-US" w:eastAsia="zh-CN"/>
              </w:rPr>
              <w:t>5</w:t>
            </w:r>
            <w:r>
              <w:rPr>
                <w:rFonts w:hint="default" w:ascii="Times New Roman" w:hAnsi="Times New Roman" w:eastAsia="宋体" w:cs="Times New Roman"/>
                <w:b/>
                <w:color w:val="auto"/>
                <w:sz w:val="21"/>
                <w:szCs w:val="21"/>
              </w:rPr>
              <w:t>-</w:t>
            </w:r>
            <w:r>
              <w:rPr>
                <w:rFonts w:hint="eastAsia" w:cs="Times New Roman"/>
                <w:b/>
                <w:color w:val="auto"/>
                <w:sz w:val="21"/>
                <w:szCs w:val="21"/>
                <w:lang w:val="en-US" w:eastAsia="zh-CN"/>
              </w:rPr>
              <w:t>4</w:t>
            </w:r>
            <w:r>
              <w:rPr>
                <w:rFonts w:hint="eastAsia" w:ascii="Times New Roman" w:hAnsi="Times New Roman" w:eastAsia="宋体" w:cs="Times New Roman"/>
                <w:b/>
                <w:color w:val="auto"/>
                <w:sz w:val="21"/>
                <w:szCs w:val="21"/>
              </w:rPr>
              <w:t xml:space="preserve">  </w:t>
            </w:r>
            <w:r>
              <w:rPr>
                <w:rFonts w:hint="default" w:ascii="Times New Roman" w:hAnsi="Times New Roman" w:eastAsia="宋体" w:cs="Times New Roman"/>
                <w:b/>
                <w:color w:val="auto"/>
                <w:sz w:val="21"/>
                <w:szCs w:val="21"/>
              </w:rPr>
              <w:t>噪声检测方法及使用仪器</w:t>
            </w:r>
          </w:p>
          <w:tbl>
            <w:tblPr>
              <w:tblStyle w:val="100"/>
              <w:tblW w:w="937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42"/>
              <w:gridCol w:w="2094"/>
              <w:gridCol w:w="2041"/>
              <w:gridCol w:w="2477"/>
              <w:gridCol w:w="1521"/>
            </w:tblGrid>
            <w:tr w14:paraId="0AB61E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1297" w:type="dxa"/>
                  <w:vAlign w:val="center"/>
                </w:tcPr>
                <w:p w14:paraId="23D51E4B">
                  <w:pPr>
                    <w:keepNext w:val="0"/>
                    <w:keepLines w:val="0"/>
                    <w:pageBreakBefore w:val="0"/>
                    <w:widowControl/>
                    <w:kinsoku w:val="0"/>
                    <w:wordWrap/>
                    <w:overflowPunct/>
                    <w:topLinePunct w:val="0"/>
                    <w:autoSpaceDE w:val="0"/>
                    <w:autoSpaceDN w:val="0"/>
                    <w:bidi w:val="0"/>
                    <w:adjustRightInd w:val="0"/>
                    <w:snapToGrid w:val="0"/>
                    <w:spacing w:beforeAutospacing="0" w:line="240" w:lineRule="auto"/>
                    <w:ind w:left="0" w:right="0" w:firstLine="0"/>
                    <w:jc w:val="center"/>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spacing w:val="-7"/>
                    </w:rPr>
                    <w:t>项目</w:t>
                  </w:r>
                </w:p>
              </w:tc>
              <w:tc>
                <w:tcPr>
                  <w:tcW w:w="2237" w:type="dxa"/>
                  <w:vAlign w:val="center"/>
                </w:tcPr>
                <w:p w14:paraId="0792BB3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spacing w:val="-3"/>
                    </w:rPr>
                    <w:t>检测方法</w:t>
                  </w:r>
                </w:p>
              </w:tc>
              <w:tc>
                <w:tcPr>
                  <w:tcW w:w="2152" w:type="dxa"/>
                  <w:vAlign w:val="center"/>
                </w:tcPr>
                <w:p w14:paraId="5C9F98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spacing w:val="-3"/>
                    </w:rPr>
                    <w:t>方法来源</w:t>
                  </w:r>
                </w:p>
              </w:tc>
              <w:tc>
                <w:tcPr>
                  <w:tcW w:w="2549" w:type="dxa"/>
                  <w:vAlign w:val="center"/>
                </w:tcPr>
                <w:p w14:paraId="2BF82EC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spacing w:val="-2"/>
                    </w:rPr>
                    <w:t>使用仪器及编号</w:t>
                  </w:r>
                </w:p>
              </w:tc>
              <w:tc>
                <w:tcPr>
                  <w:tcW w:w="1140" w:type="dxa"/>
                  <w:vAlign w:val="center"/>
                </w:tcPr>
                <w:p w14:paraId="061DF6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spacing w:val="-4"/>
                    </w:rPr>
                    <w:t>检出限</w:t>
                  </w:r>
                  <w:r>
                    <w:rPr>
                      <w:rFonts w:hint="default" w:ascii="Times New Roman" w:hAnsi="Times New Roman" w:eastAsia="宋体" w:cs="Times New Roman"/>
                      <w:color w:val="auto"/>
                    </w:rPr>
                    <w:t xml:space="preserve">  </w:t>
                  </w:r>
                </w:p>
                <w:p w14:paraId="02E42B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rPr>
                  </w:pPr>
                  <w:r>
                    <w:rPr>
                      <w:rFonts w:hint="default" w:ascii="Times New Roman" w:hAnsi="Times New Roman" w:eastAsia="宋体" w:cs="Times New Roman"/>
                      <w:color w:val="auto"/>
                      <w:spacing w:val="-7"/>
                    </w:rPr>
                    <w:t>（dB(A)）</w:t>
                  </w:r>
                </w:p>
              </w:tc>
            </w:tr>
            <w:tr w14:paraId="537E6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1297" w:type="dxa"/>
                  <w:vAlign w:val="center"/>
                </w:tcPr>
                <w:p w14:paraId="2DD955C7">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sz w:val="21"/>
                      <w:szCs w:val="21"/>
                      <w:highlight w:val="none"/>
                    </w:rPr>
                    <w:t>工业企业厂界环境噪声</w:t>
                  </w:r>
                </w:p>
              </w:tc>
              <w:tc>
                <w:tcPr>
                  <w:tcW w:w="2237" w:type="dxa"/>
                  <w:vAlign w:val="center"/>
                </w:tcPr>
                <w:p w14:paraId="19453507">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工业企业厂界环境噪声排放标准</w:t>
                  </w:r>
                </w:p>
              </w:tc>
              <w:tc>
                <w:tcPr>
                  <w:tcW w:w="2152" w:type="dxa"/>
                  <w:vAlign w:val="center"/>
                </w:tcPr>
                <w:p w14:paraId="664D9EF3">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lang w:eastAsia="zh-CN"/>
                    </w:rPr>
                    <w:t>GB 12348-2008</w:t>
                  </w:r>
                </w:p>
              </w:tc>
              <w:tc>
                <w:tcPr>
                  <w:tcW w:w="2549" w:type="dxa"/>
                  <w:vAlign w:val="center"/>
                </w:tcPr>
                <w:p w14:paraId="71EBE98D">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多功能声级计</w:t>
                  </w:r>
                </w:p>
                <w:p w14:paraId="54ECB029">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eastAsia="zh-CN"/>
                    </w:rPr>
                    <w:t>FXLZ/CY-</w:t>
                  </w:r>
                  <w:r>
                    <w:rPr>
                      <w:rFonts w:hint="default" w:ascii="Times New Roman" w:hAnsi="Times New Roman" w:eastAsia="宋体" w:cs="Times New Roman"/>
                      <w:color w:val="auto"/>
                      <w:highlight w:val="none"/>
                      <w:lang w:val="en-US" w:eastAsia="zh-CN"/>
                    </w:rPr>
                    <w:t>0095</w:t>
                  </w:r>
                </w:p>
                <w:p w14:paraId="6E1C6EDD">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声校准器</w:t>
                  </w:r>
                </w:p>
                <w:p w14:paraId="08F371D5">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lang w:val="en-US"/>
                    </w:rPr>
                  </w:pPr>
                  <w:r>
                    <w:rPr>
                      <w:rFonts w:hint="default" w:ascii="Times New Roman" w:hAnsi="Times New Roman" w:eastAsia="宋体" w:cs="Times New Roman"/>
                      <w:color w:val="auto"/>
                      <w:highlight w:val="none"/>
                      <w:lang w:eastAsia="zh-CN"/>
                    </w:rPr>
                    <w:t>FXLZ/CY-00</w:t>
                  </w:r>
                  <w:r>
                    <w:rPr>
                      <w:rFonts w:hint="default" w:ascii="Times New Roman" w:hAnsi="Times New Roman" w:eastAsia="宋体" w:cs="Times New Roman"/>
                      <w:color w:val="auto"/>
                      <w:highlight w:val="none"/>
                      <w:lang w:val="en-US" w:eastAsia="zh-CN"/>
                    </w:rPr>
                    <w:t>98</w:t>
                  </w:r>
                </w:p>
              </w:tc>
              <w:tc>
                <w:tcPr>
                  <w:tcW w:w="1140" w:type="dxa"/>
                  <w:vAlign w:val="center"/>
                </w:tcPr>
                <w:p w14:paraId="5280D2B9">
                  <w:pPr>
                    <w:pStyle w:val="99"/>
                    <w:keepNext w:val="0"/>
                    <w:keepLines w:val="0"/>
                    <w:pageBreakBefore w:val="0"/>
                    <w:widowControl/>
                    <w:wordWrap/>
                    <w:overflowPunct/>
                    <w:topLinePunct w:val="0"/>
                    <w:bidi w:val="0"/>
                    <w:adjustRightInd w:val="0"/>
                    <w:snapToGrid w:val="0"/>
                    <w:spacing w:line="24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w:t>
                  </w:r>
                </w:p>
              </w:tc>
            </w:tr>
          </w:tbl>
          <w:p w14:paraId="508A215C">
            <w:pPr>
              <w:pStyle w:val="2"/>
              <w:rPr>
                <w:rFonts w:hint="eastAsia" w:ascii="Times New Roman" w:hAnsi="Times New Roman" w:eastAsia="宋体" w:cs="Times New Roman"/>
                <w:b/>
                <w:color w:val="auto"/>
                <w:sz w:val="21"/>
                <w:szCs w:val="21"/>
              </w:rPr>
            </w:pPr>
          </w:p>
          <w:p w14:paraId="0B582D74">
            <w:pPr>
              <w:pStyle w:val="4"/>
              <w:keepNext w:val="0"/>
              <w:keepLines w:val="0"/>
              <w:suppressLineNumbers w:val="0"/>
              <w:spacing w:before="0" w:beforeAutospacing="0" w:after="0" w:afterAutospacing="0"/>
              <w:ind w:left="0" w:right="0"/>
              <w:rPr>
                <w:rFonts w:hint="default"/>
                <w:color w:val="auto"/>
                <w:sz w:val="24"/>
                <w:szCs w:val="24"/>
              </w:rPr>
            </w:pPr>
            <w:r>
              <w:rPr>
                <w:rFonts w:hint="eastAsia"/>
                <w:color w:val="auto"/>
                <w:sz w:val="24"/>
                <w:szCs w:val="24"/>
                <w:lang w:val="en-US" w:eastAsia="zh-CN"/>
              </w:rPr>
              <w:t>3</w:t>
            </w:r>
            <w:r>
              <w:rPr>
                <w:rFonts w:hint="eastAsia"/>
                <w:color w:val="auto"/>
                <w:sz w:val="24"/>
                <w:szCs w:val="24"/>
              </w:rPr>
              <w:t>、监测单位能力情况</w:t>
            </w:r>
          </w:p>
          <w:p w14:paraId="3B10C6B0">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lang w:eastAsia="zh-CN"/>
              </w:rPr>
              <w:t>成都风行绿洲科技</w:t>
            </w:r>
            <w:r>
              <w:rPr>
                <w:rFonts w:hint="eastAsia"/>
                <w:color w:val="auto"/>
                <w:kern w:val="2"/>
                <w:szCs w:val="24"/>
              </w:rPr>
              <w:t>有限公司</w:t>
            </w:r>
            <w:r>
              <w:rPr>
                <w:rFonts w:hint="eastAsia"/>
                <w:color w:val="auto"/>
                <w:kern w:val="2"/>
                <w:szCs w:val="24"/>
                <w:lang w:eastAsia="zh-CN"/>
              </w:rPr>
              <w:t>成立于2018年06月06日，注册地位于四川省成都经济技术开发区（龙泉驿区）车城东二路55号3楼308/309号，法定代表人为马甜。经营范围包括一般项目：生态资源监测；环境保护监测；土地整治服务；技术服务、技术开发、技术咨询、技术交流、技术转让、技术推广；环保咨询服务；土壤污染治理与修复服务；灌溉服务；农业面源和重金属污染防治技术服务；固体废物治理。</w:t>
            </w:r>
          </w:p>
        </w:tc>
      </w:tr>
    </w:tbl>
    <w:p w14:paraId="2F087458">
      <w:pPr>
        <w:ind w:firstLine="0" w:firstLineChars="0"/>
        <w:rPr>
          <w:rFonts w:eastAsia="仿宋"/>
          <w:b/>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4F626CEA">
      <w:pPr>
        <w:pStyle w:val="3"/>
        <w:rPr>
          <w:color w:val="auto"/>
        </w:rPr>
      </w:pPr>
      <w:bookmarkStart w:id="21" w:name="_Toc519515361"/>
      <w:bookmarkStart w:id="22" w:name="_Toc519594905"/>
      <w:bookmarkStart w:id="23" w:name="_Toc31574"/>
      <w:r>
        <w:rPr>
          <w:rFonts w:hint="eastAsia"/>
          <w:color w:val="auto"/>
        </w:rPr>
        <w:t>表六</w:t>
      </w:r>
      <w:r>
        <w:rPr>
          <w:color w:val="auto"/>
        </w:rPr>
        <w:t xml:space="preserve">  </w:t>
      </w:r>
      <w:r>
        <w:rPr>
          <w:rFonts w:hint="eastAsia"/>
          <w:color w:val="auto"/>
        </w:rPr>
        <w:t>验收监测内容</w:t>
      </w:r>
      <w:bookmarkEnd w:id="21"/>
      <w:bookmarkEnd w:id="22"/>
      <w:bookmarkEnd w:id="23"/>
    </w:p>
    <w:tbl>
      <w:tblPr>
        <w:tblStyle w:val="27"/>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86"/>
      </w:tblGrid>
      <w:tr w14:paraId="2ED74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4" w:type="dxa"/>
          </w:tcPr>
          <w:p w14:paraId="138FB336">
            <w:pPr>
              <w:keepNext w:val="0"/>
              <w:keepLines w:val="0"/>
              <w:widowControl w:val="0"/>
              <w:suppressLineNumbers w:val="0"/>
              <w:adjustRightInd/>
              <w:snapToGrid/>
              <w:spacing w:before="0" w:beforeAutospacing="0" w:after="0" w:afterAutospacing="0"/>
              <w:ind w:left="0" w:right="0" w:firstLine="480"/>
              <w:jc w:val="left"/>
              <w:rPr>
                <w:rFonts w:hint="default"/>
                <w:color w:val="auto"/>
                <w:kern w:val="2"/>
                <w:szCs w:val="24"/>
              </w:rPr>
            </w:pPr>
            <w:r>
              <w:rPr>
                <w:rFonts w:hint="eastAsia"/>
                <w:color w:val="auto"/>
                <w:kern w:val="2"/>
                <w:szCs w:val="24"/>
              </w:rPr>
              <w:t>根据项目实际污染物排放情况，本次验收</w:t>
            </w:r>
            <w:r>
              <w:rPr>
                <w:rFonts w:hint="eastAsia"/>
                <w:color w:val="auto"/>
                <w:kern w:val="2"/>
                <w:szCs w:val="24"/>
                <w:lang w:val="en-US" w:eastAsia="zh-CN"/>
              </w:rPr>
              <w:t>监测</w:t>
            </w:r>
            <w:r>
              <w:rPr>
                <w:rFonts w:hint="eastAsia"/>
                <w:color w:val="auto"/>
                <w:kern w:val="2"/>
                <w:szCs w:val="24"/>
              </w:rPr>
              <w:t>委托</w:t>
            </w:r>
            <w:r>
              <w:rPr>
                <w:rFonts w:hint="eastAsia"/>
                <w:color w:val="auto"/>
                <w:kern w:val="2"/>
                <w:szCs w:val="24"/>
                <w:lang w:eastAsia="zh-CN"/>
              </w:rPr>
              <w:t>成都风行绿洲科技有限公司</w:t>
            </w:r>
            <w:r>
              <w:rPr>
                <w:rFonts w:hint="eastAsia"/>
                <w:color w:val="auto"/>
                <w:kern w:val="2"/>
                <w:szCs w:val="24"/>
              </w:rPr>
              <w:t>对项目废气、厂界噪声进行了</w:t>
            </w:r>
            <w:r>
              <w:rPr>
                <w:rFonts w:hint="eastAsia"/>
                <w:color w:val="auto"/>
                <w:kern w:val="2"/>
                <w:szCs w:val="24"/>
                <w:lang w:val="en-US" w:eastAsia="zh-CN"/>
              </w:rPr>
              <w:t>检测</w:t>
            </w:r>
            <w:r>
              <w:rPr>
                <w:rFonts w:hint="eastAsia"/>
                <w:color w:val="auto"/>
                <w:kern w:val="2"/>
                <w:szCs w:val="24"/>
              </w:rPr>
              <w:t>。</w:t>
            </w:r>
          </w:p>
          <w:p w14:paraId="7A018A6C">
            <w:pPr>
              <w:keepNext w:val="0"/>
              <w:keepLines w:val="0"/>
              <w:widowControl w:val="0"/>
              <w:suppressLineNumbers w:val="0"/>
              <w:adjustRightInd/>
              <w:snapToGrid/>
              <w:spacing w:before="0" w:beforeAutospacing="0" w:after="0" w:afterAutospacing="0"/>
              <w:ind w:left="0" w:right="0" w:firstLine="480"/>
              <w:jc w:val="left"/>
              <w:rPr>
                <w:rFonts w:hint="eastAsia"/>
                <w:color w:val="auto"/>
                <w:kern w:val="2"/>
                <w:szCs w:val="24"/>
              </w:rPr>
            </w:pPr>
            <w:r>
              <w:rPr>
                <w:rFonts w:hint="eastAsia"/>
                <w:color w:val="auto"/>
                <w:kern w:val="2"/>
                <w:szCs w:val="24"/>
              </w:rPr>
              <w:t>本次</w:t>
            </w:r>
            <w:r>
              <w:rPr>
                <w:rFonts w:hint="eastAsia"/>
                <w:color w:val="auto"/>
                <w:kern w:val="2"/>
                <w:szCs w:val="24"/>
                <w:lang w:val="en-US" w:eastAsia="zh-CN"/>
              </w:rPr>
              <w:t>检测</w:t>
            </w:r>
            <w:r>
              <w:rPr>
                <w:rFonts w:hint="eastAsia"/>
                <w:color w:val="auto"/>
                <w:kern w:val="2"/>
                <w:szCs w:val="24"/>
              </w:rPr>
              <w:t>项目、</w:t>
            </w:r>
            <w:r>
              <w:rPr>
                <w:rFonts w:hint="eastAsia"/>
                <w:color w:val="auto"/>
                <w:kern w:val="2"/>
                <w:szCs w:val="24"/>
                <w:lang w:val="en-US" w:eastAsia="zh-CN"/>
              </w:rPr>
              <w:t>检测</w:t>
            </w:r>
            <w:r>
              <w:rPr>
                <w:rFonts w:hint="eastAsia"/>
                <w:color w:val="auto"/>
                <w:kern w:val="2"/>
                <w:szCs w:val="24"/>
              </w:rPr>
              <w:t>点位及</w:t>
            </w:r>
            <w:r>
              <w:rPr>
                <w:rFonts w:hint="eastAsia"/>
                <w:color w:val="auto"/>
                <w:kern w:val="2"/>
                <w:szCs w:val="24"/>
                <w:lang w:val="en-US" w:eastAsia="zh-CN"/>
              </w:rPr>
              <w:t>检测</w:t>
            </w:r>
            <w:r>
              <w:rPr>
                <w:rFonts w:hint="eastAsia"/>
                <w:color w:val="auto"/>
                <w:kern w:val="2"/>
                <w:szCs w:val="24"/>
              </w:rPr>
              <w:t>频次见表</w:t>
            </w:r>
            <w:r>
              <w:rPr>
                <w:rFonts w:hint="default"/>
                <w:color w:val="auto"/>
                <w:kern w:val="2"/>
                <w:szCs w:val="24"/>
              </w:rPr>
              <w:t>6-1</w:t>
            </w:r>
            <w:r>
              <w:rPr>
                <w:rFonts w:hint="eastAsia"/>
                <w:color w:val="auto"/>
                <w:kern w:val="2"/>
                <w:szCs w:val="24"/>
              </w:rPr>
              <w:t>，</w:t>
            </w:r>
            <w:r>
              <w:rPr>
                <w:rFonts w:hint="eastAsia"/>
                <w:color w:val="auto"/>
                <w:kern w:val="2"/>
                <w:szCs w:val="24"/>
                <w:lang w:val="en-US" w:eastAsia="zh-CN"/>
              </w:rPr>
              <w:t>检测</w:t>
            </w:r>
            <w:r>
              <w:rPr>
                <w:rFonts w:hint="eastAsia"/>
                <w:color w:val="auto"/>
                <w:kern w:val="2"/>
                <w:szCs w:val="24"/>
              </w:rPr>
              <w:t>布点图详见附图。</w:t>
            </w:r>
          </w:p>
          <w:p w14:paraId="3C065F82">
            <w:pPr>
              <w:pStyle w:val="2"/>
              <w:jc w:val="center"/>
              <w:rPr>
                <w:rFonts w:hint="eastAsia"/>
                <w:color w:val="auto"/>
                <w:kern w:val="2"/>
                <w:szCs w:val="24"/>
              </w:rPr>
            </w:pPr>
            <w:r>
              <w:rPr>
                <w:rFonts w:hint="eastAsia"/>
                <w:b/>
                <w:bCs w:val="0"/>
                <w:color w:val="auto"/>
                <w:sz w:val="21"/>
                <w:szCs w:val="21"/>
              </w:rPr>
              <w:t>表</w:t>
            </w:r>
            <w:r>
              <w:rPr>
                <w:rFonts w:hint="default" w:ascii="Times New Roman" w:hAnsi="Times New Roman" w:cs="Times New Roman"/>
                <w:b/>
                <w:bCs w:val="0"/>
                <w:color w:val="auto"/>
                <w:sz w:val="21"/>
                <w:szCs w:val="21"/>
              </w:rPr>
              <w:t xml:space="preserve">6-1 </w:t>
            </w:r>
            <w:r>
              <w:rPr>
                <w:rFonts w:hint="eastAsia"/>
                <w:b/>
                <w:bCs w:val="0"/>
                <w:color w:val="auto"/>
                <w:sz w:val="21"/>
                <w:szCs w:val="21"/>
                <w:lang w:val="en-US" w:eastAsia="zh-CN"/>
              </w:rPr>
              <w:t>检测</w:t>
            </w:r>
            <w:r>
              <w:rPr>
                <w:rFonts w:hint="eastAsia"/>
                <w:b/>
                <w:bCs w:val="0"/>
                <w:color w:val="auto"/>
                <w:sz w:val="21"/>
                <w:szCs w:val="21"/>
              </w:rPr>
              <w:t>内容及频次</w:t>
            </w:r>
          </w:p>
          <w:tbl>
            <w:tblPr>
              <w:tblStyle w:val="100"/>
              <w:tblW w:w="93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41"/>
              <w:gridCol w:w="2433"/>
              <w:gridCol w:w="1069"/>
              <w:gridCol w:w="756"/>
              <w:gridCol w:w="2400"/>
              <w:gridCol w:w="1561"/>
            </w:tblGrid>
            <w:tr w14:paraId="0C8115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Align w:val="center"/>
                </w:tcPr>
                <w:p w14:paraId="72298014">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样品类型</w:t>
                  </w:r>
                </w:p>
              </w:tc>
              <w:tc>
                <w:tcPr>
                  <w:tcW w:w="2433" w:type="dxa"/>
                  <w:vAlign w:val="center"/>
                </w:tcPr>
                <w:p w14:paraId="34595CF7">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检测点位置</w:t>
                  </w:r>
                </w:p>
              </w:tc>
              <w:tc>
                <w:tcPr>
                  <w:tcW w:w="1069" w:type="dxa"/>
                  <w:vAlign w:val="center"/>
                </w:tcPr>
                <w:p w14:paraId="5EA3CC64">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采样</w:t>
                  </w:r>
                  <w:r>
                    <w:rPr>
                      <w:rFonts w:hint="default" w:ascii="Times New Roman" w:hAnsi="Times New Roman" w:eastAsia="宋体" w:cs="Times New Roman"/>
                      <w:color w:val="auto"/>
                      <w:spacing w:val="-26"/>
                      <w:sz w:val="21"/>
                      <w:szCs w:val="21"/>
                    </w:rPr>
                    <w:t>日期</w:t>
                  </w:r>
                </w:p>
              </w:tc>
              <w:tc>
                <w:tcPr>
                  <w:tcW w:w="756" w:type="dxa"/>
                  <w:vAlign w:val="center"/>
                </w:tcPr>
                <w:p w14:paraId="2AC077F2">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rPr>
                    <w:t>采样</w:t>
                  </w:r>
                  <w:r>
                    <w:rPr>
                      <w:rFonts w:hint="default" w:ascii="Times New Roman" w:hAnsi="Times New Roman" w:eastAsia="宋体" w:cs="Times New Roman"/>
                      <w:color w:val="auto"/>
                      <w:spacing w:val="-26"/>
                      <w:sz w:val="21"/>
                      <w:szCs w:val="21"/>
                      <w:lang w:eastAsia="zh-CN"/>
                    </w:rPr>
                    <w:t>人</w:t>
                  </w:r>
                </w:p>
              </w:tc>
              <w:tc>
                <w:tcPr>
                  <w:tcW w:w="2400" w:type="dxa"/>
                  <w:vAlign w:val="center"/>
                </w:tcPr>
                <w:p w14:paraId="2E4C5954">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检测项目</w:t>
                  </w:r>
                </w:p>
              </w:tc>
              <w:tc>
                <w:tcPr>
                  <w:tcW w:w="1561" w:type="dxa"/>
                  <w:vAlign w:val="center"/>
                </w:tcPr>
                <w:p w14:paraId="4BD93370">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样品状态</w:t>
                  </w:r>
                </w:p>
              </w:tc>
            </w:tr>
            <w:tr w14:paraId="138637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restart"/>
                  <w:vAlign w:val="center"/>
                </w:tcPr>
                <w:p w14:paraId="5E186CA3">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有组织废气</w:t>
                  </w:r>
                </w:p>
              </w:tc>
              <w:tc>
                <w:tcPr>
                  <w:tcW w:w="2433" w:type="dxa"/>
                  <w:vAlign w:val="center"/>
                </w:tcPr>
                <w:p w14:paraId="4332D19F">
                  <w:pPr>
                    <w:keepNext w:val="0"/>
                    <w:keepLines w:val="0"/>
                    <w:pageBreakBefore w:val="0"/>
                    <w:widowControl/>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食堂油烟排气筒</w:t>
                  </w:r>
                </w:p>
              </w:tc>
              <w:tc>
                <w:tcPr>
                  <w:tcW w:w="1069" w:type="dxa"/>
                  <w:vMerge w:val="restart"/>
                  <w:vAlign w:val="center"/>
                </w:tcPr>
                <w:p w14:paraId="4AFD26D0">
                  <w:pPr>
                    <w:keepNext w:val="0"/>
                    <w:keepLines w:val="0"/>
                    <w:pageBreakBefore w:val="0"/>
                    <w:widowControl/>
                    <w:wordWrap/>
                    <w:overflowPunct/>
                    <w:topLinePunct w:val="0"/>
                    <w:bidi w:val="0"/>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2024.</w:t>
                  </w:r>
                </w:p>
                <w:p w14:paraId="284522A6">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07.04~05</w:t>
                  </w:r>
                </w:p>
              </w:tc>
              <w:tc>
                <w:tcPr>
                  <w:tcW w:w="756" w:type="dxa"/>
                  <w:vMerge w:val="restart"/>
                  <w:vAlign w:val="center"/>
                </w:tcPr>
                <w:p w14:paraId="2B48D850">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梁庆伟</w:t>
                  </w:r>
                </w:p>
                <w:p w14:paraId="09D39AB7">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高海强</w:t>
                  </w:r>
                </w:p>
              </w:tc>
              <w:tc>
                <w:tcPr>
                  <w:tcW w:w="2400" w:type="dxa"/>
                  <w:vMerge w:val="restart"/>
                  <w:vAlign w:val="center"/>
                </w:tcPr>
                <w:p w14:paraId="41617E24">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w:t>
                  </w:r>
                </w:p>
              </w:tc>
              <w:tc>
                <w:tcPr>
                  <w:tcW w:w="1561" w:type="dxa"/>
                  <w:vMerge w:val="restart"/>
                  <w:vAlign w:val="center"/>
                </w:tcPr>
                <w:p w14:paraId="28866D55">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滤筒</w:t>
                  </w:r>
                </w:p>
              </w:tc>
            </w:tr>
            <w:tr w14:paraId="6F9FB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0CCCE02D">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33" w:type="dxa"/>
                  <w:vAlign w:val="center"/>
                </w:tcPr>
                <w:p w14:paraId="3DC98844">
                  <w:pPr>
                    <w:keepNext w:val="0"/>
                    <w:keepLines w:val="0"/>
                    <w:pageBreakBefore w:val="0"/>
                    <w:widowControl/>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2#生产车间排气筒</w:t>
                  </w:r>
                </w:p>
              </w:tc>
              <w:tc>
                <w:tcPr>
                  <w:tcW w:w="1069" w:type="dxa"/>
                  <w:vMerge w:val="continue"/>
                  <w:vAlign w:val="center"/>
                </w:tcPr>
                <w:p w14:paraId="6951754B">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7D3D2B8A">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00" w:type="dxa"/>
                  <w:vMerge w:val="continue"/>
                  <w:vAlign w:val="center"/>
                </w:tcPr>
                <w:p w14:paraId="48FBF146">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1561" w:type="dxa"/>
                  <w:vMerge w:val="continue"/>
                  <w:vAlign w:val="center"/>
                </w:tcPr>
                <w:p w14:paraId="44FE4B48">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p>
              </w:tc>
            </w:tr>
            <w:tr w14:paraId="4CAE29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04738245">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33" w:type="dxa"/>
                  <w:vAlign w:val="center"/>
                </w:tcPr>
                <w:p w14:paraId="4BB255E7">
                  <w:pPr>
                    <w:keepNext w:val="0"/>
                    <w:keepLines w:val="0"/>
                    <w:pageBreakBefore w:val="0"/>
                    <w:widowControl/>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2#研发实验室排气筒</w:t>
                  </w:r>
                </w:p>
              </w:tc>
              <w:tc>
                <w:tcPr>
                  <w:tcW w:w="1069" w:type="dxa"/>
                  <w:vMerge w:val="continue"/>
                  <w:vAlign w:val="center"/>
                </w:tcPr>
                <w:p w14:paraId="4FB54241">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381FEE94">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00" w:type="dxa"/>
                  <w:vMerge w:val="continue"/>
                  <w:vAlign w:val="center"/>
                </w:tcPr>
                <w:p w14:paraId="54E872DC">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1561" w:type="dxa"/>
                  <w:vMerge w:val="continue"/>
                  <w:vAlign w:val="center"/>
                </w:tcPr>
                <w:p w14:paraId="2D9B2CD7">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p>
              </w:tc>
            </w:tr>
            <w:tr w14:paraId="76B7E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15C51A8B">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33" w:type="dxa"/>
                  <w:vAlign w:val="center"/>
                </w:tcPr>
                <w:p w14:paraId="59C8CB49">
                  <w:pPr>
                    <w:keepNext w:val="0"/>
                    <w:keepLines w:val="0"/>
                    <w:pageBreakBefore w:val="0"/>
                    <w:widowControl/>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rPr>
                    <w:t>1#研发实验室排气筒</w:t>
                  </w:r>
                </w:p>
              </w:tc>
              <w:tc>
                <w:tcPr>
                  <w:tcW w:w="1069" w:type="dxa"/>
                  <w:vMerge w:val="continue"/>
                  <w:vAlign w:val="center"/>
                </w:tcPr>
                <w:p w14:paraId="208A9E2F">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25E6E9C0">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00" w:type="dxa"/>
                  <w:vMerge w:val="continue"/>
                  <w:vAlign w:val="center"/>
                </w:tcPr>
                <w:p w14:paraId="64C5950E">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1561" w:type="dxa"/>
                  <w:vMerge w:val="continue"/>
                  <w:vAlign w:val="center"/>
                </w:tcPr>
                <w:p w14:paraId="3D9ED779">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p>
              </w:tc>
            </w:tr>
            <w:tr w14:paraId="28B4E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11EB2501">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33" w:type="dxa"/>
                  <w:vAlign w:val="center"/>
                </w:tcPr>
                <w:p w14:paraId="216DB411">
                  <w:pPr>
                    <w:keepNext w:val="0"/>
                    <w:keepLines w:val="0"/>
                    <w:pageBreakBefore w:val="0"/>
                    <w:widowControl/>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1#生产车间排气筒</w:t>
                  </w:r>
                </w:p>
              </w:tc>
              <w:tc>
                <w:tcPr>
                  <w:tcW w:w="1069" w:type="dxa"/>
                  <w:vAlign w:val="center"/>
                </w:tcPr>
                <w:p w14:paraId="5E65F3B1">
                  <w:pPr>
                    <w:keepNext w:val="0"/>
                    <w:keepLines w:val="0"/>
                    <w:pageBreakBefore w:val="0"/>
                    <w:widowControl/>
                    <w:wordWrap/>
                    <w:overflowPunct/>
                    <w:topLinePunct w:val="0"/>
                    <w:bidi w:val="0"/>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2024.</w:t>
                  </w:r>
                </w:p>
                <w:p w14:paraId="5DD2C3F7">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08.27~28</w:t>
                  </w:r>
                </w:p>
              </w:tc>
              <w:tc>
                <w:tcPr>
                  <w:tcW w:w="756" w:type="dxa"/>
                  <w:vMerge w:val="continue"/>
                  <w:vAlign w:val="center"/>
                </w:tcPr>
                <w:p w14:paraId="2225D33C">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2400" w:type="dxa"/>
                  <w:vMerge w:val="continue"/>
                  <w:vAlign w:val="center"/>
                </w:tcPr>
                <w:p w14:paraId="406BBCCF">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1561" w:type="dxa"/>
                  <w:vMerge w:val="continue"/>
                  <w:vAlign w:val="center"/>
                </w:tcPr>
                <w:p w14:paraId="208EA502">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p>
              </w:tc>
            </w:tr>
            <w:tr w14:paraId="2BD76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restart"/>
                  <w:vAlign w:val="center"/>
                </w:tcPr>
                <w:p w14:paraId="11C8D71E">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无组织废气</w:t>
                  </w:r>
                </w:p>
              </w:tc>
              <w:tc>
                <w:tcPr>
                  <w:tcW w:w="2433" w:type="dxa"/>
                  <w:vAlign w:val="center"/>
                </w:tcPr>
                <w:p w14:paraId="6DDF4DAB">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项目南侧厂界外2m</w:t>
                  </w:r>
                </w:p>
              </w:tc>
              <w:tc>
                <w:tcPr>
                  <w:tcW w:w="1069" w:type="dxa"/>
                  <w:vMerge w:val="restart"/>
                  <w:vAlign w:val="center"/>
                </w:tcPr>
                <w:p w14:paraId="1C813331">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2024.</w:t>
                  </w:r>
                </w:p>
                <w:p w14:paraId="03799B62">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07.04~05</w:t>
                  </w:r>
                </w:p>
              </w:tc>
              <w:tc>
                <w:tcPr>
                  <w:tcW w:w="756" w:type="dxa"/>
                  <w:vMerge w:val="restart"/>
                  <w:vAlign w:val="center"/>
                </w:tcPr>
                <w:p w14:paraId="1FB3A0B0">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杨子义</w:t>
                  </w:r>
                </w:p>
                <w:p w14:paraId="78623B27">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徐陈隆</w:t>
                  </w:r>
                </w:p>
              </w:tc>
              <w:tc>
                <w:tcPr>
                  <w:tcW w:w="2400" w:type="dxa"/>
                  <w:vMerge w:val="restart"/>
                  <w:vAlign w:val="center"/>
                </w:tcPr>
                <w:p w14:paraId="57E2CB9D">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氨、硫化氢、臭气浓度</w:t>
                  </w:r>
                </w:p>
              </w:tc>
              <w:tc>
                <w:tcPr>
                  <w:tcW w:w="1561" w:type="dxa"/>
                  <w:vMerge w:val="restart"/>
                  <w:vAlign w:val="center"/>
                </w:tcPr>
                <w:p w14:paraId="16C1A06F">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napToGrid w:val="0"/>
                      <w:color w:val="auto"/>
                      <w:kern w:val="0"/>
                      <w:sz w:val="21"/>
                      <w:szCs w:val="21"/>
                      <w:highlight w:val="none"/>
                      <w:lang w:val="en-US" w:eastAsia="zh-CN" w:bidi="ar-SA"/>
                    </w:rPr>
                    <w:t>吸收液、气袋</w:t>
                  </w:r>
                </w:p>
              </w:tc>
            </w:tr>
            <w:tr w14:paraId="39D2D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055F8567">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33" w:type="dxa"/>
                  <w:vAlign w:val="center"/>
                </w:tcPr>
                <w:p w14:paraId="216068DC">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项目东南侧厂界外2m</w:t>
                  </w:r>
                </w:p>
              </w:tc>
              <w:tc>
                <w:tcPr>
                  <w:tcW w:w="1069" w:type="dxa"/>
                  <w:vMerge w:val="continue"/>
                  <w:vAlign w:val="center"/>
                </w:tcPr>
                <w:p w14:paraId="4D3EB793">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4DB95D49">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00" w:type="dxa"/>
                  <w:vMerge w:val="continue"/>
                  <w:vAlign w:val="center"/>
                </w:tcPr>
                <w:p w14:paraId="3906FD3F">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1" w:type="dxa"/>
                  <w:vMerge w:val="continue"/>
                  <w:vAlign w:val="center"/>
                </w:tcPr>
                <w:p w14:paraId="49054048">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14:paraId="47EC9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4A0C3BA5">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33" w:type="dxa"/>
                  <w:vAlign w:val="center"/>
                </w:tcPr>
                <w:p w14:paraId="5D4E79B1">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项目东侧厂界外2m</w:t>
                  </w:r>
                </w:p>
              </w:tc>
              <w:tc>
                <w:tcPr>
                  <w:tcW w:w="1069" w:type="dxa"/>
                  <w:vMerge w:val="continue"/>
                  <w:vAlign w:val="center"/>
                </w:tcPr>
                <w:p w14:paraId="7CB75A82">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3B300C08">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00" w:type="dxa"/>
                  <w:vMerge w:val="continue"/>
                  <w:vAlign w:val="center"/>
                </w:tcPr>
                <w:p w14:paraId="5A125315">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1" w:type="dxa"/>
                  <w:vMerge w:val="continue"/>
                  <w:vAlign w:val="center"/>
                </w:tcPr>
                <w:p w14:paraId="39E33684">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14:paraId="2B14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3C558DF0">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33" w:type="dxa"/>
                  <w:vAlign w:val="center"/>
                </w:tcPr>
                <w:p w14:paraId="68B634EC">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项目厂区内厂房东南侧外2m</w:t>
                  </w:r>
                </w:p>
              </w:tc>
              <w:tc>
                <w:tcPr>
                  <w:tcW w:w="1069" w:type="dxa"/>
                  <w:vMerge w:val="continue"/>
                  <w:vAlign w:val="center"/>
                </w:tcPr>
                <w:p w14:paraId="2BB4638C">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660C9D55">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00" w:type="dxa"/>
                  <w:vMerge w:val="continue"/>
                  <w:vAlign w:val="center"/>
                </w:tcPr>
                <w:p w14:paraId="611A4ADC">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1" w:type="dxa"/>
                  <w:vMerge w:val="continue"/>
                  <w:vAlign w:val="center"/>
                </w:tcPr>
                <w:p w14:paraId="7F6F8E93">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14:paraId="0059B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59A190F9">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33" w:type="dxa"/>
                  <w:vAlign w:val="center"/>
                </w:tcPr>
                <w:p w14:paraId="51E4363A">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项目西北侧厂界处</w:t>
                  </w:r>
                </w:p>
              </w:tc>
              <w:tc>
                <w:tcPr>
                  <w:tcW w:w="1069" w:type="dxa"/>
                  <w:vMerge w:val="continue"/>
                  <w:vAlign w:val="center"/>
                </w:tcPr>
                <w:p w14:paraId="12E630A0">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0281D585">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00" w:type="dxa"/>
                  <w:vMerge w:val="continue"/>
                  <w:vAlign w:val="center"/>
                </w:tcPr>
                <w:p w14:paraId="3AD09B2A">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1" w:type="dxa"/>
                  <w:vMerge w:val="continue"/>
                  <w:vAlign w:val="center"/>
                </w:tcPr>
                <w:p w14:paraId="6C4CEA4B">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14:paraId="339ED3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Align w:val="center"/>
                </w:tcPr>
                <w:p w14:paraId="23B465CC">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w:t>
                  </w:r>
                </w:p>
              </w:tc>
              <w:tc>
                <w:tcPr>
                  <w:tcW w:w="2433" w:type="dxa"/>
                  <w:vAlign w:val="center"/>
                </w:tcPr>
                <w:p w14:paraId="06FAC8B0">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废水总排口</w:t>
                  </w:r>
                </w:p>
              </w:tc>
              <w:tc>
                <w:tcPr>
                  <w:tcW w:w="1069" w:type="dxa"/>
                  <w:vMerge w:val="continue"/>
                  <w:vAlign w:val="center"/>
                </w:tcPr>
                <w:p w14:paraId="26D9FC84">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p>
              </w:tc>
              <w:tc>
                <w:tcPr>
                  <w:tcW w:w="756" w:type="dxa"/>
                  <w:vMerge w:val="continue"/>
                  <w:vAlign w:val="center"/>
                </w:tcPr>
                <w:p w14:paraId="4BC1E474">
                  <w:pPr>
                    <w:pStyle w:val="99"/>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eastAsia="zh-CN"/>
                    </w:rPr>
                  </w:pPr>
                </w:p>
              </w:tc>
              <w:tc>
                <w:tcPr>
                  <w:tcW w:w="2400" w:type="dxa"/>
                  <w:vAlign w:val="center"/>
                </w:tcPr>
                <w:p w14:paraId="12024205">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pH</w:t>
                  </w:r>
                  <w:r>
                    <w:rPr>
                      <w:rFonts w:hint="default" w:ascii="Times New Roman" w:hAnsi="Times New Roman" w:eastAsia="宋体" w:cs="Times New Roman"/>
                      <w:color w:val="auto"/>
                      <w:sz w:val="21"/>
                      <w:szCs w:val="21"/>
                      <w:lang w:val="en-US" w:eastAsia="zh-CN"/>
                    </w:rPr>
                    <w:t>值</w:t>
                  </w:r>
                  <w:r>
                    <w:rPr>
                      <w:rFonts w:hint="default" w:ascii="Times New Roman" w:hAnsi="Times New Roman" w:eastAsia="宋体" w:cs="Times New Roman"/>
                      <w:color w:val="auto"/>
                      <w:sz w:val="21"/>
                      <w:szCs w:val="21"/>
                      <w:lang w:eastAsia="zh-CN"/>
                    </w:rPr>
                    <w:t>、色度、</w:t>
                  </w:r>
                  <w:r>
                    <w:rPr>
                      <w:rFonts w:hint="default" w:ascii="Times New Roman" w:hAnsi="Times New Roman" w:eastAsia="宋体" w:cs="Times New Roman"/>
                      <w:color w:val="auto"/>
                      <w:sz w:val="21"/>
                      <w:szCs w:val="21"/>
                      <w:lang w:val="en-US" w:eastAsia="zh-CN"/>
                    </w:rPr>
                    <w:t>悬浮物</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五日生化需氧量</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化学需氧量</w:t>
                  </w:r>
                  <w:r>
                    <w:rPr>
                      <w:rFonts w:hint="default" w:ascii="Times New Roman" w:hAnsi="Times New Roman" w:eastAsia="宋体" w:cs="Times New Roman"/>
                      <w:color w:val="auto"/>
                      <w:sz w:val="21"/>
                      <w:szCs w:val="21"/>
                      <w:lang w:eastAsia="zh-CN"/>
                    </w:rPr>
                    <w:t>、氨氮、总磷、总氮、动植物油</w:t>
                  </w:r>
                  <w:r>
                    <w:rPr>
                      <w:rFonts w:hint="eastAsia" w:ascii="Times New Roman" w:hAnsi="Times New Roman" w:eastAsia="宋体" w:cs="Times New Roman"/>
                      <w:color w:val="auto"/>
                      <w:sz w:val="21"/>
                      <w:szCs w:val="21"/>
                      <w:lang w:val="en-US" w:eastAsia="zh-CN"/>
                    </w:rPr>
                    <w:t>类</w:t>
                  </w:r>
                </w:p>
              </w:tc>
              <w:tc>
                <w:tcPr>
                  <w:tcW w:w="1561" w:type="dxa"/>
                  <w:vAlign w:val="center"/>
                </w:tcPr>
                <w:p w14:paraId="2AFC8536">
                  <w:pPr>
                    <w:keepNext w:val="0"/>
                    <w:keepLines w:val="0"/>
                    <w:pageBreakBefore w:val="0"/>
                    <w:widowControl/>
                    <w:wordWrap/>
                    <w:overflowPunct/>
                    <w:topLinePunct w:val="0"/>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透明、黄色、无味、无浮油</w:t>
                  </w:r>
                </w:p>
              </w:tc>
            </w:tr>
            <w:tr w14:paraId="69917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restart"/>
                  <w:vAlign w:val="center"/>
                </w:tcPr>
                <w:p w14:paraId="07C4A6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噪声</w:t>
                  </w:r>
                </w:p>
              </w:tc>
              <w:tc>
                <w:tcPr>
                  <w:tcW w:w="2433" w:type="dxa"/>
                  <w:vAlign w:val="center"/>
                </w:tcPr>
                <w:p w14:paraId="4959A47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项目东南侧厂界外1m处</w:t>
                  </w:r>
                </w:p>
              </w:tc>
              <w:tc>
                <w:tcPr>
                  <w:tcW w:w="1069" w:type="dxa"/>
                  <w:vMerge w:val="continue"/>
                  <w:vAlign w:val="center"/>
                </w:tcPr>
                <w:p w14:paraId="4ABE7ECE">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756" w:type="dxa"/>
                  <w:vMerge w:val="continue"/>
                  <w:vAlign w:val="center"/>
                </w:tcPr>
                <w:p w14:paraId="5EF3528A">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2400" w:type="dxa"/>
                  <w:vMerge w:val="restart"/>
                  <w:vAlign w:val="center"/>
                </w:tcPr>
                <w:p w14:paraId="54349E78">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工业企业厂界环境噪声</w:t>
                  </w:r>
                </w:p>
              </w:tc>
              <w:tc>
                <w:tcPr>
                  <w:tcW w:w="1561" w:type="dxa"/>
                  <w:vAlign w:val="center"/>
                </w:tcPr>
                <w:p w14:paraId="712A767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w:t>
                  </w:r>
                </w:p>
              </w:tc>
            </w:tr>
            <w:tr w14:paraId="5E63B0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6956E6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2433" w:type="dxa"/>
                  <w:vAlign w:val="center"/>
                </w:tcPr>
                <w:p w14:paraId="7EBCE78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项目西南侧厂界外1m处，高于围墙0.5m</w:t>
                  </w:r>
                </w:p>
              </w:tc>
              <w:tc>
                <w:tcPr>
                  <w:tcW w:w="1069" w:type="dxa"/>
                  <w:vMerge w:val="continue"/>
                  <w:vAlign w:val="center"/>
                </w:tcPr>
                <w:p w14:paraId="5B0768AE">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756" w:type="dxa"/>
                  <w:vMerge w:val="continue"/>
                  <w:vAlign w:val="center"/>
                </w:tcPr>
                <w:p w14:paraId="0D09472C">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2400" w:type="dxa"/>
                  <w:vMerge w:val="continue"/>
                  <w:vAlign w:val="center"/>
                </w:tcPr>
                <w:p w14:paraId="5DA8F6C4">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1561" w:type="dxa"/>
                  <w:vAlign w:val="center"/>
                </w:tcPr>
                <w:p w14:paraId="6127D59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w:t>
                  </w:r>
                </w:p>
              </w:tc>
            </w:tr>
            <w:tr w14:paraId="2B16B6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3C087E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2433" w:type="dxa"/>
                  <w:vAlign w:val="center"/>
                </w:tcPr>
                <w:p w14:paraId="44EBD78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项目西北侧厂界外1m处，高于围墙0.5m</w:t>
                  </w:r>
                </w:p>
              </w:tc>
              <w:tc>
                <w:tcPr>
                  <w:tcW w:w="1069" w:type="dxa"/>
                  <w:vMerge w:val="continue"/>
                  <w:vAlign w:val="center"/>
                </w:tcPr>
                <w:p w14:paraId="2B685F42">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756" w:type="dxa"/>
                  <w:vMerge w:val="continue"/>
                  <w:vAlign w:val="center"/>
                </w:tcPr>
                <w:p w14:paraId="6A57EE24">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2400" w:type="dxa"/>
                  <w:vMerge w:val="continue"/>
                  <w:vAlign w:val="center"/>
                </w:tcPr>
                <w:p w14:paraId="069640E0">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1561" w:type="dxa"/>
                  <w:vAlign w:val="center"/>
                </w:tcPr>
                <w:p w14:paraId="2CD39C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w:t>
                  </w:r>
                </w:p>
              </w:tc>
            </w:tr>
            <w:tr w14:paraId="0528D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141" w:type="dxa"/>
                  <w:vMerge w:val="continue"/>
                  <w:vAlign w:val="center"/>
                </w:tcPr>
                <w:p w14:paraId="3CB762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2433" w:type="dxa"/>
                  <w:vAlign w:val="center"/>
                </w:tcPr>
                <w:p w14:paraId="65C6722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项目东北侧厂界外1m处，高于围墙0.5m</w:t>
                  </w:r>
                </w:p>
              </w:tc>
              <w:tc>
                <w:tcPr>
                  <w:tcW w:w="1069" w:type="dxa"/>
                  <w:vMerge w:val="continue"/>
                  <w:vAlign w:val="center"/>
                </w:tcPr>
                <w:p w14:paraId="57932A7F">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756" w:type="dxa"/>
                  <w:vMerge w:val="continue"/>
                  <w:vAlign w:val="center"/>
                </w:tcPr>
                <w:p w14:paraId="42F1E21B">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2400" w:type="dxa"/>
                  <w:vMerge w:val="continue"/>
                  <w:vAlign w:val="center"/>
                </w:tcPr>
                <w:p w14:paraId="0C6FE5E9">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1561" w:type="dxa"/>
                  <w:vAlign w:val="center"/>
                </w:tcPr>
                <w:p w14:paraId="15544A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w:t>
                  </w:r>
                </w:p>
              </w:tc>
            </w:tr>
          </w:tbl>
          <w:p w14:paraId="02FA762D">
            <w:pPr>
              <w:keepNext w:val="0"/>
              <w:keepLines w:val="0"/>
              <w:widowControl/>
              <w:suppressLineNumbers w:val="0"/>
              <w:spacing w:before="0" w:beforeAutospacing="0" w:after="0" w:afterAutospacing="0"/>
              <w:ind w:left="0" w:right="0" w:firstLine="480"/>
              <w:rPr>
                <w:rFonts w:hint="default"/>
                <w:color w:val="auto"/>
              </w:rPr>
            </w:pPr>
          </w:p>
        </w:tc>
      </w:tr>
    </w:tbl>
    <w:p w14:paraId="3132C9D1">
      <w:pPr>
        <w:ind w:firstLine="0" w:firstLineChars="0"/>
        <w:rPr>
          <w:rFonts w:eastAsia="仿宋"/>
          <w:b/>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945A185">
      <w:pPr>
        <w:pStyle w:val="3"/>
        <w:rPr>
          <w:color w:val="auto"/>
        </w:rPr>
      </w:pPr>
      <w:bookmarkStart w:id="24" w:name="_Toc22060"/>
      <w:r>
        <w:rPr>
          <w:rFonts w:hint="eastAsia"/>
          <w:color w:val="auto"/>
        </w:rPr>
        <w:t>表七</w:t>
      </w:r>
      <w:r>
        <w:rPr>
          <w:color w:val="auto"/>
        </w:rPr>
        <w:t xml:space="preserve">  </w:t>
      </w:r>
      <w:r>
        <w:rPr>
          <w:rFonts w:hint="eastAsia"/>
          <w:color w:val="auto"/>
        </w:rPr>
        <w:t>验收监测结果</w:t>
      </w:r>
      <w:bookmarkEnd w:id="17"/>
      <w:bookmarkEnd w:id="24"/>
    </w:p>
    <w:tbl>
      <w:tblPr>
        <w:tblStyle w:val="27"/>
        <w:tblW w:w="912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9"/>
      </w:tblGrid>
      <w:tr w14:paraId="368D9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9" w:type="dxa"/>
          </w:tcPr>
          <w:p w14:paraId="4F8ABB0A">
            <w:pPr>
              <w:pStyle w:val="12"/>
              <w:keepNext w:val="0"/>
              <w:keepLines w:val="0"/>
              <w:pageBreakBefore w:val="0"/>
              <w:widowControl/>
              <w:kinsoku/>
              <w:wordWrap/>
              <w:overflowPunct/>
              <w:topLinePunct w:val="0"/>
              <w:autoSpaceDE/>
              <w:autoSpaceDN/>
              <w:bidi w:val="0"/>
              <w:adjustRightInd w:val="0"/>
              <w:snapToGrid w:val="0"/>
              <w:spacing w:after="0" w:line="360" w:lineRule="auto"/>
              <w:ind w:left="0" w:right="0" w:firstLine="486"/>
              <w:jc w:val="both"/>
              <w:textAlignment w:val="auto"/>
              <w:rPr>
                <w:rFonts w:hint="default" w:ascii="Times New Roman" w:hAnsi="Times New Roman" w:eastAsia="宋体" w:cs="Times New Roman"/>
                <w:color w:val="auto"/>
                <w:kern w:val="2"/>
                <w:sz w:val="24"/>
                <w:szCs w:val="22"/>
                <w:lang w:val="en-US" w:eastAsia="zh-CN" w:bidi="ar-SA"/>
              </w:rPr>
            </w:pPr>
            <w:r>
              <w:rPr>
                <w:rFonts w:hint="default" w:ascii="Times New Roman" w:hAnsi="Times New Roman" w:eastAsia="宋体" w:cs="Times New Roman"/>
                <w:color w:val="auto"/>
                <w:kern w:val="2"/>
                <w:sz w:val="24"/>
                <w:szCs w:val="22"/>
                <w:lang w:val="en-US" w:eastAsia="zh-CN" w:bidi="ar-SA"/>
              </w:rPr>
              <w:t>受四川金顶维食品有限公司委托，于2024年07月04日~05日</w:t>
            </w:r>
            <w:r>
              <w:rPr>
                <w:rFonts w:hint="eastAsia" w:ascii="Times New Roman" w:hAnsi="Times New Roman" w:eastAsia="宋体" w:cs="Times New Roman"/>
                <w:color w:val="auto"/>
                <w:kern w:val="2"/>
                <w:sz w:val="24"/>
                <w:szCs w:val="22"/>
                <w:lang w:val="en-US" w:eastAsia="zh-CN" w:bidi="ar-SA"/>
              </w:rPr>
              <w:t>、08</w:t>
            </w:r>
            <w:r>
              <w:rPr>
                <w:rFonts w:hint="default" w:ascii="Times New Roman" w:hAnsi="Times New Roman" w:eastAsia="宋体" w:cs="Times New Roman"/>
                <w:color w:val="auto"/>
                <w:kern w:val="2"/>
                <w:sz w:val="24"/>
                <w:szCs w:val="22"/>
                <w:lang w:val="en-US" w:eastAsia="zh-CN" w:bidi="ar-SA"/>
              </w:rPr>
              <w:t>月</w:t>
            </w:r>
            <w:r>
              <w:rPr>
                <w:rFonts w:hint="eastAsia" w:ascii="Times New Roman" w:hAnsi="Times New Roman" w:eastAsia="宋体" w:cs="Times New Roman"/>
                <w:color w:val="auto"/>
                <w:kern w:val="2"/>
                <w:sz w:val="24"/>
                <w:szCs w:val="22"/>
                <w:lang w:val="en-US" w:eastAsia="zh-CN" w:bidi="ar-SA"/>
              </w:rPr>
              <w:t>27日~28日</w:t>
            </w:r>
            <w:r>
              <w:rPr>
                <w:rFonts w:hint="default" w:ascii="Times New Roman" w:hAnsi="Times New Roman" w:eastAsia="宋体" w:cs="Times New Roman"/>
                <w:color w:val="auto"/>
                <w:kern w:val="2"/>
                <w:sz w:val="24"/>
                <w:szCs w:val="22"/>
                <w:lang w:val="en-US" w:eastAsia="zh-CN" w:bidi="ar-SA"/>
              </w:rPr>
              <w:t>至眉山泡菜园区对“四川金顶维食品有限公司餐佐料生产线扩建项目”的有组织废气、无组织废气、废水进行了现场采样，并于2024年07月05日~</w:t>
            </w:r>
            <w:r>
              <w:rPr>
                <w:rFonts w:hint="eastAsia" w:ascii="Times New Roman" w:hAnsi="Times New Roman" w:eastAsia="宋体" w:cs="Times New Roman"/>
                <w:color w:val="auto"/>
                <w:kern w:val="2"/>
                <w:sz w:val="24"/>
                <w:szCs w:val="22"/>
                <w:lang w:val="en-US" w:eastAsia="zh-CN" w:bidi="ar-SA"/>
              </w:rPr>
              <w:t>10日、08月29</w:t>
            </w:r>
            <w:r>
              <w:rPr>
                <w:rFonts w:hint="default" w:ascii="Times New Roman" w:hAnsi="Times New Roman" w:eastAsia="宋体" w:cs="Times New Roman"/>
                <w:color w:val="auto"/>
                <w:kern w:val="2"/>
                <w:sz w:val="24"/>
                <w:szCs w:val="22"/>
                <w:lang w:val="en-US" w:eastAsia="zh-CN" w:bidi="ar-SA"/>
              </w:rPr>
              <w:t>日对其进行了分析。于2024年07月04日~05日对该项目的厂界噪声进行了现场检测</w:t>
            </w:r>
            <w:r>
              <w:rPr>
                <w:rFonts w:hint="eastAsia" w:ascii="Times New Roman" w:hAnsi="Times New Roman" w:eastAsia="宋体" w:cs="Times New Roman"/>
                <w:color w:val="auto"/>
                <w:kern w:val="2"/>
                <w:sz w:val="24"/>
                <w:szCs w:val="22"/>
                <w:lang w:val="en-US" w:eastAsia="zh-CN" w:bidi="ar-SA"/>
              </w:rPr>
              <w:t>，检测结果如下</w:t>
            </w:r>
            <w:r>
              <w:rPr>
                <w:rFonts w:hint="default" w:ascii="Times New Roman" w:hAnsi="Times New Roman" w:eastAsia="宋体" w:cs="Times New Roman"/>
                <w:color w:val="auto"/>
                <w:kern w:val="2"/>
                <w:sz w:val="24"/>
                <w:szCs w:val="22"/>
                <w:lang w:val="en-US" w:eastAsia="zh-CN" w:bidi="ar-SA"/>
              </w:rPr>
              <w:t>。</w:t>
            </w:r>
          </w:p>
          <w:p w14:paraId="57F21883">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、废气</w:t>
            </w:r>
          </w:p>
          <w:p w14:paraId="0804A493">
            <w:pPr>
              <w:keepNext w:val="0"/>
              <w:keepLines w:val="0"/>
              <w:widowControl/>
              <w:suppressLineNumbers w:val="0"/>
              <w:spacing w:before="0" w:beforeAutospacing="0" w:after="0" w:afterAutospacing="0"/>
              <w:ind w:left="0" w:right="0" w:firstLine="480"/>
              <w:rPr>
                <w:rFonts w:hint="default"/>
                <w:color w:val="auto"/>
              </w:rPr>
            </w:pPr>
            <w:r>
              <w:rPr>
                <w:rFonts w:hint="eastAsia"/>
                <w:color w:val="auto"/>
              </w:rPr>
              <w:t>（</w:t>
            </w:r>
            <w:r>
              <w:rPr>
                <w:rFonts w:hint="default"/>
                <w:color w:val="auto"/>
              </w:rPr>
              <w:t>1</w:t>
            </w:r>
            <w:r>
              <w:rPr>
                <w:rFonts w:hint="eastAsia"/>
                <w:color w:val="auto"/>
              </w:rPr>
              <w:t>）</w:t>
            </w:r>
            <w:r>
              <w:rPr>
                <w:rFonts w:hint="eastAsia"/>
                <w:color w:val="auto"/>
                <w:lang w:val="en-US" w:eastAsia="zh-CN"/>
              </w:rPr>
              <w:t>有</w:t>
            </w:r>
            <w:r>
              <w:rPr>
                <w:rFonts w:hint="eastAsia"/>
                <w:color w:val="auto"/>
              </w:rPr>
              <w:t>组织废气</w:t>
            </w:r>
          </w:p>
          <w:p w14:paraId="5E19AD4D">
            <w:pPr>
              <w:keepNext w:val="0"/>
              <w:keepLines w:val="0"/>
              <w:widowControl w:val="0"/>
              <w:suppressLineNumbers w:val="0"/>
              <w:adjustRightInd/>
              <w:snapToGrid/>
              <w:spacing w:before="0" w:beforeAutospacing="0" w:after="0" w:afterAutospacing="0"/>
              <w:ind w:left="0" w:right="0" w:firstLine="480"/>
              <w:rPr>
                <w:rFonts w:hint="default"/>
                <w:color w:val="auto"/>
                <w:kern w:val="2"/>
                <w:szCs w:val="24"/>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color w:val="auto"/>
                <w:kern w:val="2"/>
              </w:rPr>
              <w:t>本项目竣工环境保护设施验收</w:t>
            </w:r>
            <w:r>
              <w:rPr>
                <w:rFonts w:hint="eastAsia"/>
                <w:color w:val="auto"/>
                <w:kern w:val="2"/>
                <w:lang w:val="en-US" w:eastAsia="zh-CN"/>
              </w:rPr>
              <w:t>监测</w:t>
            </w:r>
            <w:r>
              <w:rPr>
                <w:rFonts w:hint="eastAsia"/>
                <w:color w:val="auto"/>
                <w:kern w:val="2"/>
              </w:rPr>
              <w:t>期间，</w:t>
            </w:r>
            <w:r>
              <w:rPr>
                <w:rFonts w:hint="eastAsia"/>
                <w:color w:val="auto"/>
                <w:kern w:val="2"/>
                <w:lang w:val="en-US" w:eastAsia="zh-CN"/>
              </w:rPr>
              <w:t>有</w:t>
            </w:r>
            <w:r>
              <w:rPr>
                <w:rFonts w:hint="eastAsia"/>
                <w:color w:val="auto"/>
                <w:kern w:val="2"/>
              </w:rPr>
              <w:t>组织废气</w:t>
            </w:r>
            <w:r>
              <w:rPr>
                <w:rFonts w:hint="eastAsia"/>
                <w:color w:val="auto"/>
                <w:kern w:val="2"/>
                <w:lang w:val="en-US" w:eastAsia="zh-CN"/>
              </w:rPr>
              <w:t>检测</w:t>
            </w:r>
            <w:r>
              <w:rPr>
                <w:rFonts w:hint="eastAsia"/>
                <w:color w:val="auto"/>
                <w:kern w:val="2"/>
              </w:rPr>
              <w:t>结果</w:t>
            </w:r>
            <w:r>
              <w:rPr>
                <w:rFonts w:hint="eastAsia"/>
                <w:color w:val="auto"/>
                <w:kern w:val="2"/>
                <w:lang w:val="en-US" w:eastAsia="zh-CN"/>
              </w:rPr>
              <w:t>见</w:t>
            </w:r>
            <w:r>
              <w:rPr>
                <w:rFonts w:hint="eastAsia"/>
                <w:color w:val="auto"/>
                <w:kern w:val="2"/>
              </w:rPr>
              <w:t>表</w:t>
            </w:r>
            <w:r>
              <w:rPr>
                <w:rFonts w:hint="default"/>
                <w:color w:val="auto"/>
                <w:kern w:val="2"/>
              </w:rPr>
              <w:t>7-</w:t>
            </w:r>
            <w:r>
              <w:rPr>
                <w:rFonts w:hint="eastAsia"/>
                <w:color w:val="auto"/>
                <w:kern w:val="2"/>
                <w:lang w:val="en-US" w:eastAsia="zh-CN"/>
              </w:rPr>
              <w:t>1</w:t>
            </w:r>
            <w:r>
              <w:rPr>
                <w:rFonts w:hint="eastAsia"/>
                <w:color w:val="auto"/>
                <w:kern w:val="2"/>
              </w:rPr>
              <w:t>：</w:t>
            </w:r>
          </w:p>
          <w:p w14:paraId="61C4E97A">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color w:val="auto"/>
                <w:sz w:val="21"/>
                <w:szCs w:val="21"/>
                <w:lang w:val="en-US" w:eastAsia="zh-CN"/>
              </w:rPr>
            </w:pPr>
            <w:r>
              <w:rPr>
                <w:rFonts w:hint="eastAsia"/>
                <w:b/>
                <w:bCs/>
                <w:color w:val="auto"/>
                <w:sz w:val="21"/>
                <w:szCs w:val="21"/>
              </w:rPr>
              <w:t>表</w:t>
            </w:r>
            <w:r>
              <w:rPr>
                <w:rFonts w:hint="default"/>
                <w:b/>
                <w:bCs/>
                <w:color w:val="auto"/>
                <w:sz w:val="21"/>
                <w:szCs w:val="21"/>
              </w:rPr>
              <w:t>7-</w:t>
            </w:r>
            <w:r>
              <w:rPr>
                <w:rFonts w:hint="eastAsia"/>
                <w:b/>
                <w:bCs/>
                <w:color w:val="auto"/>
                <w:sz w:val="21"/>
                <w:szCs w:val="21"/>
                <w:lang w:val="en-US" w:eastAsia="zh-CN"/>
              </w:rPr>
              <w:t>1</w:t>
            </w:r>
            <w:r>
              <w:rPr>
                <w:rFonts w:hint="default"/>
                <w:b/>
                <w:bCs/>
                <w:color w:val="auto"/>
                <w:sz w:val="21"/>
                <w:szCs w:val="21"/>
              </w:rPr>
              <w:t xml:space="preserve"> </w:t>
            </w:r>
            <w:r>
              <w:rPr>
                <w:rFonts w:hint="eastAsia"/>
                <w:b/>
                <w:bCs/>
                <w:color w:val="auto"/>
                <w:sz w:val="21"/>
                <w:szCs w:val="21"/>
                <w:lang w:val="en-US" w:eastAsia="zh-CN"/>
              </w:rPr>
              <w:t>有</w:t>
            </w:r>
            <w:r>
              <w:rPr>
                <w:rFonts w:hint="eastAsia"/>
                <w:b/>
                <w:bCs/>
                <w:color w:val="auto"/>
                <w:sz w:val="21"/>
                <w:szCs w:val="21"/>
              </w:rPr>
              <w:t>组织废气</w:t>
            </w:r>
            <w:r>
              <w:rPr>
                <w:rFonts w:hint="eastAsia"/>
                <w:b/>
                <w:bCs/>
                <w:color w:val="auto"/>
                <w:sz w:val="21"/>
                <w:szCs w:val="21"/>
                <w:lang w:val="en-US" w:eastAsia="zh-CN"/>
              </w:rPr>
              <w:t>检测</w:t>
            </w:r>
            <w:r>
              <w:rPr>
                <w:rFonts w:hint="eastAsia"/>
                <w:b/>
                <w:bCs/>
                <w:color w:val="auto"/>
                <w:sz w:val="21"/>
                <w:szCs w:val="21"/>
              </w:rPr>
              <w:t>结果</w:t>
            </w:r>
            <w:r>
              <w:rPr>
                <w:rFonts w:hint="eastAsia"/>
                <w:b/>
                <w:bCs/>
                <w:color w:val="auto"/>
                <w:sz w:val="21"/>
                <w:szCs w:val="21"/>
                <w:lang w:val="en-US" w:eastAsia="zh-CN"/>
              </w:rPr>
              <w:t>表   单位</w:t>
            </w:r>
            <w:r>
              <w:rPr>
                <w:rFonts w:hint="default" w:ascii="Times New Roman" w:hAnsi="Times New Roman" w:eastAsia="宋体" w:cs="Times New Roman"/>
                <w:b/>
                <w:bCs/>
                <w:color w:val="auto"/>
                <w:sz w:val="24"/>
                <w:szCs w:val="24"/>
              </w:rPr>
              <w:t>mg/m</w:t>
            </w:r>
            <w:r>
              <w:rPr>
                <w:rFonts w:hint="default" w:ascii="Times New Roman" w:hAnsi="Times New Roman" w:eastAsia="宋体" w:cs="Times New Roman"/>
                <w:b/>
                <w:bCs/>
                <w:color w:val="auto"/>
                <w:sz w:val="24"/>
                <w:szCs w:val="24"/>
                <w:vertAlign w:val="superscript"/>
              </w:rPr>
              <w:t>3</w:t>
            </w:r>
          </w:p>
          <w:tbl>
            <w:tblPr>
              <w:tblStyle w:val="27"/>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633"/>
              <w:gridCol w:w="581"/>
              <w:gridCol w:w="760"/>
              <w:gridCol w:w="760"/>
              <w:gridCol w:w="760"/>
              <w:gridCol w:w="760"/>
              <w:gridCol w:w="768"/>
              <w:gridCol w:w="760"/>
              <w:gridCol w:w="1553"/>
            </w:tblGrid>
            <w:tr w14:paraId="61EBB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03" w:hRule="atLeast"/>
                <w:jc w:val="center"/>
              </w:trPr>
              <w:tc>
                <w:tcPr>
                  <w:tcW w:w="1215" w:type="dxa"/>
                  <w:vMerge w:val="restart"/>
                  <w:noWrap w:val="0"/>
                  <w:vAlign w:val="center"/>
                </w:tcPr>
                <w:p w14:paraId="184BF0E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检测点</w:t>
                  </w:r>
                </w:p>
                <w:p w14:paraId="30C4549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位置</w:t>
                  </w:r>
                </w:p>
              </w:tc>
              <w:tc>
                <w:tcPr>
                  <w:tcW w:w="633" w:type="dxa"/>
                  <w:vMerge w:val="restart"/>
                  <w:noWrap w:val="0"/>
                  <w:vAlign w:val="center"/>
                </w:tcPr>
                <w:p w14:paraId="12812074">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采样</w:t>
                  </w:r>
                </w:p>
                <w:p w14:paraId="4C21F70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日期</w:t>
                  </w:r>
                </w:p>
              </w:tc>
              <w:tc>
                <w:tcPr>
                  <w:tcW w:w="581" w:type="dxa"/>
                  <w:vMerge w:val="restart"/>
                  <w:noWrap w:val="0"/>
                  <w:vAlign w:val="center"/>
                </w:tcPr>
                <w:p w14:paraId="658AA7B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检测项目</w:t>
                  </w:r>
                </w:p>
              </w:tc>
              <w:tc>
                <w:tcPr>
                  <w:tcW w:w="3808" w:type="dxa"/>
                  <w:gridSpan w:val="5"/>
                  <w:noWrap w:val="0"/>
                  <w:vAlign w:val="center"/>
                </w:tcPr>
                <w:p w14:paraId="67C72B3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测定浓度</w:t>
                  </w:r>
                </w:p>
              </w:tc>
              <w:tc>
                <w:tcPr>
                  <w:tcW w:w="760" w:type="dxa"/>
                  <w:vMerge w:val="restart"/>
                  <w:noWrap w:val="0"/>
                  <w:vAlign w:val="center"/>
                </w:tcPr>
                <w:p w14:paraId="44714B3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排放</w:t>
                  </w:r>
                </w:p>
                <w:p w14:paraId="1EC6BB0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pacing w:val="0"/>
                      <w:kern w:val="2"/>
                      <w:sz w:val="21"/>
                      <w:szCs w:val="21"/>
                      <w:lang w:val="en-US" w:eastAsia="zh-CN" w:bidi="ar-SA"/>
                    </w:rPr>
                    <w:t>浓度</w:t>
                  </w:r>
                </w:p>
              </w:tc>
              <w:tc>
                <w:tcPr>
                  <w:tcW w:w="1553" w:type="dxa"/>
                  <w:vMerge w:val="restart"/>
                  <w:noWrap w:val="0"/>
                  <w:vAlign w:val="center"/>
                </w:tcPr>
                <w:p w14:paraId="2604C4F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饮食业油烟排放标准（试行）GB18483-2001</w:t>
                  </w:r>
                </w:p>
                <w:p w14:paraId="4D37BD47">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表 2 标准限值</w:t>
                  </w:r>
                </w:p>
              </w:tc>
            </w:tr>
            <w:tr w14:paraId="090AF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22" w:hRule="atLeast"/>
                <w:jc w:val="center"/>
              </w:trPr>
              <w:tc>
                <w:tcPr>
                  <w:tcW w:w="1215" w:type="dxa"/>
                  <w:vMerge w:val="continue"/>
                  <w:noWrap w:val="0"/>
                  <w:vAlign w:val="center"/>
                </w:tcPr>
                <w:p w14:paraId="62FE638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c>
                <w:tcPr>
                  <w:tcW w:w="633" w:type="dxa"/>
                  <w:vMerge w:val="continue"/>
                  <w:noWrap w:val="0"/>
                  <w:vAlign w:val="center"/>
                </w:tcPr>
                <w:p w14:paraId="23BBF67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c>
                <w:tcPr>
                  <w:tcW w:w="581" w:type="dxa"/>
                  <w:vMerge w:val="continue"/>
                  <w:noWrap w:val="0"/>
                  <w:vAlign w:val="center"/>
                </w:tcPr>
                <w:p w14:paraId="644D5437">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c>
                <w:tcPr>
                  <w:tcW w:w="760" w:type="dxa"/>
                  <w:noWrap w:val="0"/>
                  <w:vAlign w:val="center"/>
                </w:tcPr>
                <w:p w14:paraId="720FA9C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第1次</w:t>
                  </w:r>
                </w:p>
              </w:tc>
              <w:tc>
                <w:tcPr>
                  <w:tcW w:w="760" w:type="dxa"/>
                  <w:noWrap w:val="0"/>
                  <w:vAlign w:val="center"/>
                </w:tcPr>
                <w:p w14:paraId="18C8D5F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cs="Times New Roman"/>
                      <w:color w:val="auto"/>
                    </w:rPr>
                  </w:pPr>
                  <w:r>
                    <w:rPr>
                      <w:rFonts w:hint="default" w:ascii="Times New Roman" w:hAnsi="Times New Roman" w:eastAsia="宋体" w:cs="Times New Roman"/>
                      <w:color w:val="auto"/>
                      <w:lang w:val="en-US" w:eastAsia="zh-CN"/>
                    </w:rPr>
                    <w:t>第2次</w:t>
                  </w:r>
                </w:p>
              </w:tc>
              <w:tc>
                <w:tcPr>
                  <w:tcW w:w="760" w:type="dxa"/>
                  <w:noWrap w:val="0"/>
                  <w:vAlign w:val="center"/>
                </w:tcPr>
                <w:p w14:paraId="1CD28C6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cs="Times New Roman"/>
                      <w:color w:val="auto"/>
                    </w:rPr>
                  </w:pPr>
                  <w:r>
                    <w:rPr>
                      <w:rFonts w:hint="default" w:ascii="Times New Roman" w:hAnsi="Times New Roman" w:eastAsia="宋体" w:cs="Times New Roman"/>
                      <w:color w:val="auto"/>
                      <w:lang w:val="en-US" w:eastAsia="zh-CN"/>
                    </w:rPr>
                    <w:t>第3次</w:t>
                  </w:r>
                </w:p>
              </w:tc>
              <w:tc>
                <w:tcPr>
                  <w:tcW w:w="760" w:type="dxa"/>
                  <w:noWrap w:val="0"/>
                  <w:vAlign w:val="center"/>
                </w:tcPr>
                <w:p w14:paraId="76C0ED5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cs="Times New Roman"/>
                      <w:color w:val="auto"/>
                    </w:rPr>
                  </w:pPr>
                  <w:r>
                    <w:rPr>
                      <w:rFonts w:hint="default" w:ascii="Times New Roman" w:hAnsi="Times New Roman" w:eastAsia="宋体" w:cs="Times New Roman"/>
                      <w:color w:val="auto"/>
                      <w:lang w:val="en-US" w:eastAsia="zh-CN"/>
                    </w:rPr>
                    <w:t>第4次</w:t>
                  </w:r>
                </w:p>
              </w:tc>
              <w:tc>
                <w:tcPr>
                  <w:tcW w:w="768" w:type="dxa"/>
                  <w:noWrap w:val="0"/>
                  <w:vAlign w:val="center"/>
                </w:tcPr>
                <w:p w14:paraId="280A241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cs="Times New Roman"/>
                      <w:color w:val="auto"/>
                    </w:rPr>
                  </w:pPr>
                  <w:r>
                    <w:rPr>
                      <w:rFonts w:hint="default" w:ascii="Times New Roman" w:hAnsi="Times New Roman" w:eastAsia="宋体" w:cs="Times New Roman"/>
                      <w:color w:val="auto"/>
                      <w:lang w:val="en-US" w:eastAsia="zh-CN"/>
                    </w:rPr>
                    <w:t>第5次</w:t>
                  </w:r>
                </w:p>
              </w:tc>
              <w:tc>
                <w:tcPr>
                  <w:tcW w:w="760" w:type="dxa"/>
                  <w:vMerge w:val="continue"/>
                  <w:noWrap w:val="0"/>
                  <w:vAlign w:val="center"/>
                </w:tcPr>
                <w:p w14:paraId="3BB4D98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lang w:val="en-US" w:eastAsia="zh-CN"/>
                    </w:rPr>
                  </w:pPr>
                </w:p>
              </w:tc>
              <w:tc>
                <w:tcPr>
                  <w:tcW w:w="1553" w:type="dxa"/>
                  <w:vMerge w:val="continue"/>
                  <w:noWrap w:val="0"/>
                  <w:vAlign w:val="center"/>
                </w:tcPr>
                <w:p w14:paraId="0010623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r>
            <w:tr w14:paraId="34CA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9" w:hRule="atLeast"/>
                <w:jc w:val="center"/>
              </w:trPr>
              <w:tc>
                <w:tcPr>
                  <w:tcW w:w="1215" w:type="dxa"/>
                  <w:shd w:val="clear" w:color="auto" w:fill="auto"/>
                  <w:noWrap w:val="0"/>
                  <w:vAlign w:val="center"/>
                </w:tcPr>
                <w:p w14:paraId="4BCCAE0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食堂油烟排气筒</w:t>
                  </w:r>
                </w:p>
              </w:tc>
              <w:tc>
                <w:tcPr>
                  <w:tcW w:w="633" w:type="dxa"/>
                  <w:vMerge w:val="restart"/>
                  <w:noWrap w:val="0"/>
                  <w:vAlign w:val="center"/>
                </w:tcPr>
                <w:p w14:paraId="56B596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2024.</w:t>
                  </w:r>
                </w:p>
                <w:p w14:paraId="0AFC9F6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07.04</w:t>
                  </w:r>
                </w:p>
              </w:tc>
              <w:tc>
                <w:tcPr>
                  <w:tcW w:w="581" w:type="dxa"/>
                  <w:vMerge w:val="restart"/>
                  <w:noWrap w:val="0"/>
                  <w:vAlign w:val="center"/>
                </w:tcPr>
                <w:p w14:paraId="4CE5BA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0"/>
                      <w:kern w:val="2"/>
                      <w:sz w:val="21"/>
                      <w:szCs w:val="21"/>
                      <w:lang w:val="en-US" w:eastAsia="zh-CN" w:bidi="ar-SA"/>
                    </w:rPr>
                    <w:t>油烟</w:t>
                  </w:r>
                </w:p>
              </w:tc>
              <w:tc>
                <w:tcPr>
                  <w:tcW w:w="760" w:type="dxa"/>
                  <w:noWrap w:val="0"/>
                  <w:vAlign w:val="center"/>
                </w:tcPr>
                <w:p w14:paraId="2264F3A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0.21</w:t>
                  </w:r>
                </w:p>
              </w:tc>
              <w:tc>
                <w:tcPr>
                  <w:tcW w:w="760" w:type="dxa"/>
                  <w:noWrap w:val="0"/>
                  <w:vAlign w:val="center"/>
                </w:tcPr>
                <w:p w14:paraId="5F0F634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0.36</w:t>
                  </w:r>
                </w:p>
              </w:tc>
              <w:tc>
                <w:tcPr>
                  <w:tcW w:w="760" w:type="dxa"/>
                  <w:noWrap w:val="0"/>
                  <w:vAlign w:val="center"/>
                </w:tcPr>
                <w:p w14:paraId="15AA606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0.37</w:t>
                  </w:r>
                </w:p>
              </w:tc>
              <w:tc>
                <w:tcPr>
                  <w:tcW w:w="760" w:type="dxa"/>
                  <w:noWrap w:val="0"/>
                  <w:vAlign w:val="center"/>
                </w:tcPr>
                <w:p w14:paraId="567710D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0.28</w:t>
                  </w:r>
                </w:p>
              </w:tc>
              <w:tc>
                <w:tcPr>
                  <w:tcW w:w="768" w:type="dxa"/>
                  <w:noWrap w:val="0"/>
                  <w:vAlign w:val="center"/>
                </w:tcPr>
                <w:p w14:paraId="1B0E39B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760" w:type="dxa"/>
                  <w:noWrap w:val="0"/>
                  <w:vAlign w:val="center"/>
                </w:tcPr>
                <w:p w14:paraId="28C3E06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w:t>
                  </w:r>
                </w:p>
              </w:tc>
              <w:tc>
                <w:tcPr>
                  <w:tcW w:w="1553" w:type="dxa"/>
                  <w:vMerge w:val="restart"/>
                  <w:noWrap w:val="0"/>
                  <w:vAlign w:val="center"/>
                </w:tcPr>
                <w:p w14:paraId="5AEE723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r>
            <w:tr w14:paraId="174A9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9" w:hRule="atLeast"/>
                <w:jc w:val="center"/>
              </w:trPr>
              <w:tc>
                <w:tcPr>
                  <w:tcW w:w="1215" w:type="dxa"/>
                  <w:shd w:val="clear" w:color="auto" w:fill="auto"/>
                  <w:noWrap w:val="0"/>
                  <w:vAlign w:val="center"/>
                </w:tcPr>
                <w:p w14:paraId="2A5370C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2#生产车间排气筒</w:t>
                  </w:r>
                </w:p>
              </w:tc>
              <w:tc>
                <w:tcPr>
                  <w:tcW w:w="633" w:type="dxa"/>
                  <w:vMerge w:val="continue"/>
                  <w:noWrap w:val="0"/>
                  <w:vAlign w:val="center"/>
                </w:tcPr>
                <w:p w14:paraId="5C21D7E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581" w:type="dxa"/>
                  <w:vMerge w:val="continue"/>
                  <w:noWrap w:val="0"/>
                  <w:vAlign w:val="center"/>
                </w:tcPr>
                <w:p w14:paraId="37AD936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760" w:type="dxa"/>
                  <w:noWrap w:val="0"/>
                  <w:vAlign w:val="center"/>
                </w:tcPr>
                <w:p w14:paraId="2B63A4A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60" w:type="dxa"/>
                  <w:noWrap w:val="0"/>
                  <w:vAlign w:val="center"/>
                </w:tcPr>
                <w:p w14:paraId="20D98D8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60" w:type="dxa"/>
                  <w:noWrap w:val="0"/>
                  <w:vAlign w:val="center"/>
                </w:tcPr>
                <w:p w14:paraId="3B2E6E7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60" w:type="dxa"/>
                  <w:noWrap w:val="0"/>
                  <w:vAlign w:val="center"/>
                </w:tcPr>
                <w:p w14:paraId="75A3D87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68" w:type="dxa"/>
                  <w:noWrap w:val="0"/>
                  <w:vAlign w:val="center"/>
                </w:tcPr>
                <w:p w14:paraId="083E865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760" w:type="dxa"/>
                  <w:noWrap w:val="0"/>
                  <w:vAlign w:val="center"/>
                </w:tcPr>
                <w:p w14:paraId="1806867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553" w:type="dxa"/>
                  <w:vMerge w:val="continue"/>
                  <w:noWrap w:val="0"/>
                  <w:vAlign w:val="center"/>
                </w:tcPr>
                <w:p w14:paraId="3559D73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16F18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9" w:hRule="atLeast"/>
                <w:jc w:val="center"/>
              </w:trPr>
              <w:tc>
                <w:tcPr>
                  <w:tcW w:w="1215" w:type="dxa"/>
                  <w:shd w:val="clear" w:color="auto" w:fill="auto"/>
                  <w:noWrap w:val="0"/>
                  <w:vAlign w:val="center"/>
                </w:tcPr>
                <w:p w14:paraId="377898B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2#研发实验室排气筒</w:t>
                  </w:r>
                </w:p>
              </w:tc>
              <w:tc>
                <w:tcPr>
                  <w:tcW w:w="633" w:type="dxa"/>
                  <w:vMerge w:val="continue"/>
                  <w:noWrap w:val="0"/>
                  <w:vAlign w:val="center"/>
                </w:tcPr>
                <w:p w14:paraId="520F24C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581" w:type="dxa"/>
                  <w:vMerge w:val="continue"/>
                  <w:noWrap w:val="0"/>
                  <w:vAlign w:val="center"/>
                </w:tcPr>
                <w:p w14:paraId="63AA358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60" w:type="dxa"/>
                  <w:noWrap w:val="0"/>
                  <w:vAlign w:val="center"/>
                </w:tcPr>
                <w:p w14:paraId="3667EEE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0.54</w:t>
                  </w:r>
                </w:p>
              </w:tc>
              <w:tc>
                <w:tcPr>
                  <w:tcW w:w="760" w:type="dxa"/>
                  <w:noWrap w:val="0"/>
                  <w:vAlign w:val="center"/>
                </w:tcPr>
                <w:p w14:paraId="3715BA5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0.32</w:t>
                  </w:r>
                </w:p>
              </w:tc>
              <w:tc>
                <w:tcPr>
                  <w:tcW w:w="760" w:type="dxa"/>
                  <w:noWrap w:val="0"/>
                  <w:vAlign w:val="center"/>
                </w:tcPr>
                <w:p w14:paraId="4F46C1B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0.29</w:t>
                  </w:r>
                </w:p>
              </w:tc>
              <w:tc>
                <w:tcPr>
                  <w:tcW w:w="760" w:type="dxa"/>
                  <w:noWrap w:val="0"/>
                  <w:vAlign w:val="center"/>
                </w:tcPr>
                <w:p w14:paraId="4E9C4EA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0.26</w:t>
                  </w:r>
                </w:p>
              </w:tc>
              <w:tc>
                <w:tcPr>
                  <w:tcW w:w="768" w:type="dxa"/>
                  <w:noWrap w:val="0"/>
                  <w:vAlign w:val="center"/>
                </w:tcPr>
                <w:p w14:paraId="44CCFAF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0.26</w:t>
                  </w:r>
                </w:p>
              </w:tc>
              <w:tc>
                <w:tcPr>
                  <w:tcW w:w="760" w:type="dxa"/>
                  <w:noWrap w:val="0"/>
                  <w:vAlign w:val="center"/>
                </w:tcPr>
                <w:p w14:paraId="519E70E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w:t>
                  </w:r>
                </w:p>
              </w:tc>
              <w:tc>
                <w:tcPr>
                  <w:tcW w:w="1553" w:type="dxa"/>
                  <w:vMerge w:val="continue"/>
                  <w:noWrap w:val="0"/>
                  <w:vAlign w:val="center"/>
                </w:tcPr>
                <w:p w14:paraId="54226D2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25873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9" w:hRule="atLeast"/>
                <w:jc w:val="center"/>
              </w:trPr>
              <w:tc>
                <w:tcPr>
                  <w:tcW w:w="1215" w:type="dxa"/>
                  <w:shd w:val="clear" w:color="auto" w:fill="auto"/>
                  <w:noWrap w:val="0"/>
                  <w:vAlign w:val="center"/>
                </w:tcPr>
                <w:p w14:paraId="7772AD9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z w:val="21"/>
                      <w:szCs w:val="21"/>
                    </w:rPr>
                    <w:t>1#研发实验室排气筒</w:t>
                  </w:r>
                </w:p>
              </w:tc>
              <w:tc>
                <w:tcPr>
                  <w:tcW w:w="633" w:type="dxa"/>
                  <w:vMerge w:val="continue"/>
                  <w:noWrap w:val="0"/>
                  <w:vAlign w:val="center"/>
                </w:tcPr>
                <w:p w14:paraId="187540B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581" w:type="dxa"/>
                  <w:vMerge w:val="continue"/>
                  <w:noWrap w:val="0"/>
                  <w:vAlign w:val="center"/>
                </w:tcPr>
                <w:p w14:paraId="62B865D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60" w:type="dxa"/>
                  <w:noWrap w:val="0"/>
                  <w:vAlign w:val="center"/>
                </w:tcPr>
                <w:p w14:paraId="3100493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0.58</w:t>
                  </w:r>
                </w:p>
              </w:tc>
              <w:tc>
                <w:tcPr>
                  <w:tcW w:w="760" w:type="dxa"/>
                  <w:noWrap w:val="0"/>
                  <w:vAlign w:val="center"/>
                </w:tcPr>
                <w:p w14:paraId="5A2E400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0.54</w:t>
                  </w:r>
                </w:p>
              </w:tc>
              <w:tc>
                <w:tcPr>
                  <w:tcW w:w="760" w:type="dxa"/>
                  <w:noWrap w:val="0"/>
                  <w:vAlign w:val="center"/>
                </w:tcPr>
                <w:p w14:paraId="5CD64FA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0.50</w:t>
                  </w:r>
                </w:p>
              </w:tc>
              <w:tc>
                <w:tcPr>
                  <w:tcW w:w="760" w:type="dxa"/>
                  <w:noWrap w:val="0"/>
                  <w:vAlign w:val="center"/>
                </w:tcPr>
                <w:p w14:paraId="26C7F2C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0.48</w:t>
                  </w:r>
                </w:p>
              </w:tc>
              <w:tc>
                <w:tcPr>
                  <w:tcW w:w="768" w:type="dxa"/>
                  <w:noWrap w:val="0"/>
                  <w:vAlign w:val="center"/>
                </w:tcPr>
                <w:p w14:paraId="25CCB00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0.52</w:t>
                  </w:r>
                </w:p>
              </w:tc>
              <w:tc>
                <w:tcPr>
                  <w:tcW w:w="760" w:type="dxa"/>
                  <w:noWrap w:val="0"/>
                  <w:vAlign w:val="center"/>
                </w:tcPr>
                <w:p w14:paraId="53EAE48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w:t>
                  </w:r>
                </w:p>
              </w:tc>
              <w:tc>
                <w:tcPr>
                  <w:tcW w:w="1553" w:type="dxa"/>
                  <w:vMerge w:val="continue"/>
                  <w:noWrap w:val="0"/>
                  <w:vAlign w:val="center"/>
                </w:tcPr>
                <w:p w14:paraId="7A52BD3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135EF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8" w:hRule="atLeast"/>
                <w:jc w:val="center"/>
              </w:trPr>
              <w:tc>
                <w:tcPr>
                  <w:tcW w:w="1215" w:type="dxa"/>
                  <w:shd w:val="clear" w:color="auto" w:fill="auto"/>
                  <w:noWrap w:val="0"/>
                  <w:vAlign w:val="center"/>
                </w:tcPr>
                <w:p w14:paraId="3A03066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食堂油烟排气筒</w:t>
                  </w:r>
                </w:p>
              </w:tc>
              <w:tc>
                <w:tcPr>
                  <w:tcW w:w="633" w:type="dxa"/>
                  <w:vMerge w:val="restart"/>
                  <w:noWrap w:val="0"/>
                  <w:vAlign w:val="center"/>
                </w:tcPr>
                <w:p w14:paraId="5F6D94D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2024.07.05</w:t>
                  </w:r>
                </w:p>
              </w:tc>
              <w:tc>
                <w:tcPr>
                  <w:tcW w:w="581" w:type="dxa"/>
                  <w:vMerge w:val="restart"/>
                  <w:shd w:val="clear" w:color="auto" w:fill="auto"/>
                  <w:noWrap w:val="0"/>
                  <w:vAlign w:val="center"/>
                </w:tcPr>
                <w:p w14:paraId="36A6405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油烟</w:t>
                  </w:r>
                </w:p>
              </w:tc>
              <w:tc>
                <w:tcPr>
                  <w:tcW w:w="760" w:type="dxa"/>
                  <w:shd w:val="clear" w:color="auto" w:fill="auto"/>
                  <w:noWrap w:val="0"/>
                  <w:vAlign w:val="center"/>
                </w:tcPr>
                <w:p w14:paraId="592CF4B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760" w:type="dxa"/>
                  <w:shd w:val="clear" w:color="auto" w:fill="auto"/>
                  <w:noWrap w:val="0"/>
                  <w:vAlign w:val="center"/>
                </w:tcPr>
                <w:p w14:paraId="1FD5BE2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1.66</w:t>
                  </w:r>
                </w:p>
              </w:tc>
              <w:tc>
                <w:tcPr>
                  <w:tcW w:w="760" w:type="dxa"/>
                  <w:shd w:val="clear" w:color="auto" w:fill="auto"/>
                  <w:noWrap w:val="0"/>
                  <w:vAlign w:val="center"/>
                </w:tcPr>
                <w:p w14:paraId="46DB5F8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1.76</w:t>
                  </w:r>
                </w:p>
              </w:tc>
              <w:tc>
                <w:tcPr>
                  <w:tcW w:w="760" w:type="dxa"/>
                  <w:shd w:val="clear" w:color="auto" w:fill="auto"/>
                  <w:noWrap w:val="0"/>
                  <w:vAlign w:val="center"/>
                </w:tcPr>
                <w:p w14:paraId="09C3DAA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1.55</w:t>
                  </w:r>
                </w:p>
              </w:tc>
              <w:tc>
                <w:tcPr>
                  <w:tcW w:w="768" w:type="dxa"/>
                  <w:shd w:val="clear" w:color="auto" w:fill="auto"/>
                  <w:noWrap w:val="0"/>
                  <w:vAlign w:val="center"/>
                </w:tcPr>
                <w:p w14:paraId="521453D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1.78</w:t>
                  </w:r>
                </w:p>
              </w:tc>
              <w:tc>
                <w:tcPr>
                  <w:tcW w:w="760" w:type="dxa"/>
                  <w:noWrap w:val="0"/>
                  <w:vAlign w:val="center"/>
                </w:tcPr>
                <w:p w14:paraId="4B223AE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1553" w:type="dxa"/>
                  <w:vMerge w:val="restart"/>
                  <w:noWrap w:val="0"/>
                  <w:vAlign w:val="center"/>
                </w:tcPr>
                <w:p w14:paraId="01361F2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r>
            <w:tr w14:paraId="301AE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8" w:hRule="atLeast"/>
                <w:jc w:val="center"/>
              </w:trPr>
              <w:tc>
                <w:tcPr>
                  <w:tcW w:w="1215" w:type="dxa"/>
                  <w:shd w:val="clear" w:color="auto" w:fill="auto"/>
                  <w:noWrap w:val="0"/>
                  <w:vAlign w:val="center"/>
                </w:tcPr>
                <w:p w14:paraId="6A9CF38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2#生产车间排气筒</w:t>
                  </w:r>
                </w:p>
              </w:tc>
              <w:tc>
                <w:tcPr>
                  <w:tcW w:w="633" w:type="dxa"/>
                  <w:vMerge w:val="continue"/>
                  <w:noWrap w:val="0"/>
                  <w:vAlign w:val="center"/>
                </w:tcPr>
                <w:p w14:paraId="440D67E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581" w:type="dxa"/>
                  <w:vMerge w:val="continue"/>
                  <w:noWrap w:val="0"/>
                  <w:vAlign w:val="center"/>
                </w:tcPr>
                <w:p w14:paraId="693BF12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760" w:type="dxa"/>
                  <w:shd w:val="clear" w:color="auto" w:fill="auto"/>
                  <w:noWrap w:val="0"/>
                  <w:vAlign w:val="center"/>
                </w:tcPr>
                <w:p w14:paraId="7D4407F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0.45</w:t>
                  </w:r>
                </w:p>
              </w:tc>
              <w:tc>
                <w:tcPr>
                  <w:tcW w:w="760" w:type="dxa"/>
                  <w:shd w:val="clear" w:color="auto" w:fill="auto"/>
                  <w:noWrap w:val="0"/>
                  <w:vAlign w:val="center"/>
                </w:tcPr>
                <w:p w14:paraId="6AD7D39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0.41</w:t>
                  </w:r>
                </w:p>
              </w:tc>
              <w:tc>
                <w:tcPr>
                  <w:tcW w:w="760" w:type="dxa"/>
                  <w:shd w:val="clear" w:color="auto" w:fill="auto"/>
                  <w:noWrap w:val="0"/>
                  <w:vAlign w:val="center"/>
                </w:tcPr>
                <w:p w14:paraId="720FD37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0.40</w:t>
                  </w:r>
                </w:p>
              </w:tc>
              <w:tc>
                <w:tcPr>
                  <w:tcW w:w="760" w:type="dxa"/>
                  <w:shd w:val="clear" w:color="auto" w:fill="auto"/>
                  <w:noWrap w:val="0"/>
                  <w:vAlign w:val="center"/>
                </w:tcPr>
                <w:p w14:paraId="23F8CBE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0.47</w:t>
                  </w:r>
                </w:p>
              </w:tc>
              <w:tc>
                <w:tcPr>
                  <w:tcW w:w="768" w:type="dxa"/>
                  <w:shd w:val="clear" w:color="auto" w:fill="auto"/>
                  <w:noWrap w:val="0"/>
                  <w:vAlign w:val="center"/>
                </w:tcPr>
                <w:p w14:paraId="592C21B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0.41</w:t>
                  </w:r>
                </w:p>
              </w:tc>
              <w:tc>
                <w:tcPr>
                  <w:tcW w:w="760" w:type="dxa"/>
                  <w:noWrap w:val="0"/>
                  <w:vAlign w:val="center"/>
                </w:tcPr>
                <w:p w14:paraId="3793893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w:t>
                  </w:r>
                </w:p>
              </w:tc>
              <w:tc>
                <w:tcPr>
                  <w:tcW w:w="1553" w:type="dxa"/>
                  <w:vMerge w:val="continue"/>
                  <w:noWrap w:val="0"/>
                  <w:vAlign w:val="center"/>
                </w:tcPr>
                <w:p w14:paraId="7BFC1C4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5513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8" w:hRule="atLeast"/>
                <w:jc w:val="center"/>
              </w:trPr>
              <w:tc>
                <w:tcPr>
                  <w:tcW w:w="1215" w:type="dxa"/>
                  <w:shd w:val="clear" w:color="auto" w:fill="auto"/>
                  <w:noWrap w:val="0"/>
                  <w:vAlign w:val="center"/>
                </w:tcPr>
                <w:p w14:paraId="7807A31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2#研发实验室排气筒</w:t>
                  </w:r>
                </w:p>
              </w:tc>
              <w:tc>
                <w:tcPr>
                  <w:tcW w:w="633" w:type="dxa"/>
                  <w:vMerge w:val="continue"/>
                  <w:noWrap w:val="0"/>
                  <w:vAlign w:val="center"/>
                </w:tcPr>
                <w:p w14:paraId="4D8F35F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581" w:type="dxa"/>
                  <w:vMerge w:val="continue"/>
                  <w:noWrap w:val="0"/>
                  <w:vAlign w:val="center"/>
                </w:tcPr>
                <w:p w14:paraId="4B35902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760" w:type="dxa"/>
                  <w:shd w:val="clear" w:color="auto" w:fill="auto"/>
                  <w:noWrap w:val="0"/>
                  <w:vAlign w:val="center"/>
                </w:tcPr>
                <w:p w14:paraId="5D2FAAA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0.16</w:t>
                  </w:r>
                </w:p>
              </w:tc>
              <w:tc>
                <w:tcPr>
                  <w:tcW w:w="760" w:type="dxa"/>
                  <w:shd w:val="clear" w:color="auto" w:fill="auto"/>
                  <w:noWrap w:val="0"/>
                  <w:vAlign w:val="center"/>
                </w:tcPr>
                <w:p w14:paraId="31D397B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0.18</w:t>
                  </w:r>
                </w:p>
              </w:tc>
              <w:tc>
                <w:tcPr>
                  <w:tcW w:w="760" w:type="dxa"/>
                  <w:shd w:val="clear" w:color="auto" w:fill="auto"/>
                  <w:noWrap w:val="0"/>
                  <w:vAlign w:val="center"/>
                </w:tcPr>
                <w:p w14:paraId="309496F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0.18</w:t>
                  </w:r>
                </w:p>
              </w:tc>
              <w:tc>
                <w:tcPr>
                  <w:tcW w:w="760" w:type="dxa"/>
                  <w:shd w:val="clear" w:color="auto" w:fill="auto"/>
                  <w:noWrap w:val="0"/>
                  <w:vAlign w:val="center"/>
                </w:tcPr>
                <w:p w14:paraId="3C00C30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0.20</w:t>
                  </w:r>
                </w:p>
              </w:tc>
              <w:tc>
                <w:tcPr>
                  <w:tcW w:w="768" w:type="dxa"/>
                  <w:shd w:val="clear" w:color="auto" w:fill="auto"/>
                  <w:noWrap w:val="0"/>
                  <w:vAlign w:val="center"/>
                </w:tcPr>
                <w:p w14:paraId="3F373F3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0.19</w:t>
                  </w:r>
                </w:p>
              </w:tc>
              <w:tc>
                <w:tcPr>
                  <w:tcW w:w="760" w:type="dxa"/>
                  <w:noWrap w:val="0"/>
                  <w:vAlign w:val="center"/>
                </w:tcPr>
                <w:p w14:paraId="579C069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553" w:type="dxa"/>
                  <w:vMerge w:val="continue"/>
                  <w:noWrap w:val="0"/>
                  <w:vAlign w:val="center"/>
                </w:tcPr>
                <w:p w14:paraId="15D230A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75D08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8" w:hRule="atLeast"/>
                <w:jc w:val="center"/>
              </w:trPr>
              <w:tc>
                <w:tcPr>
                  <w:tcW w:w="1215" w:type="dxa"/>
                  <w:noWrap w:val="0"/>
                  <w:vAlign w:val="center"/>
                </w:tcPr>
                <w:p w14:paraId="05B3B21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1#研发实验室排气筒</w:t>
                  </w:r>
                </w:p>
              </w:tc>
              <w:tc>
                <w:tcPr>
                  <w:tcW w:w="633" w:type="dxa"/>
                  <w:vMerge w:val="continue"/>
                  <w:noWrap w:val="0"/>
                  <w:vAlign w:val="center"/>
                </w:tcPr>
                <w:p w14:paraId="403E534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581" w:type="dxa"/>
                  <w:vMerge w:val="continue"/>
                  <w:noWrap w:val="0"/>
                  <w:vAlign w:val="center"/>
                </w:tcPr>
                <w:p w14:paraId="1BF59E6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60" w:type="dxa"/>
                  <w:shd w:val="clear" w:color="auto" w:fill="auto"/>
                  <w:noWrap w:val="0"/>
                  <w:vAlign w:val="center"/>
                </w:tcPr>
                <w:p w14:paraId="6DC7FEE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0.30</w:t>
                  </w:r>
                </w:p>
              </w:tc>
              <w:tc>
                <w:tcPr>
                  <w:tcW w:w="760" w:type="dxa"/>
                  <w:shd w:val="clear" w:color="auto" w:fill="auto"/>
                  <w:noWrap w:val="0"/>
                  <w:vAlign w:val="center"/>
                </w:tcPr>
                <w:p w14:paraId="6F31B59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0.41</w:t>
                  </w:r>
                </w:p>
              </w:tc>
              <w:tc>
                <w:tcPr>
                  <w:tcW w:w="760" w:type="dxa"/>
                  <w:shd w:val="clear" w:color="auto" w:fill="auto"/>
                  <w:noWrap w:val="0"/>
                  <w:vAlign w:val="center"/>
                </w:tcPr>
                <w:p w14:paraId="32C062F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0.52</w:t>
                  </w:r>
                </w:p>
              </w:tc>
              <w:tc>
                <w:tcPr>
                  <w:tcW w:w="760" w:type="dxa"/>
                  <w:shd w:val="clear" w:color="auto" w:fill="auto"/>
                  <w:noWrap w:val="0"/>
                  <w:vAlign w:val="center"/>
                </w:tcPr>
                <w:p w14:paraId="2F3CEE7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0.41</w:t>
                  </w:r>
                </w:p>
              </w:tc>
              <w:tc>
                <w:tcPr>
                  <w:tcW w:w="768" w:type="dxa"/>
                  <w:shd w:val="clear" w:color="auto" w:fill="auto"/>
                  <w:noWrap w:val="0"/>
                  <w:vAlign w:val="center"/>
                </w:tcPr>
                <w:p w14:paraId="756A706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0.55</w:t>
                  </w:r>
                </w:p>
              </w:tc>
              <w:tc>
                <w:tcPr>
                  <w:tcW w:w="760" w:type="dxa"/>
                  <w:noWrap w:val="0"/>
                  <w:vAlign w:val="center"/>
                </w:tcPr>
                <w:p w14:paraId="796082A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w:t>
                  </w:r>
                </w:p>
              </w:tc>
              <w:tc>
                <w:tcPr>
                  <w:tcW w:w="1553" w:type="dxa"/>
                  <w:vMerge w:val="continue"/>
                  <w:noWrap w:val="0"/>
                  <w:vAlign w:val="center"/>
                </w:tcPr>
                <w:p w14:paraId="05E806E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r>
            <w:tr w14:paraId="5654A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8550" w:type="dxa"/>
                  <w:gridSpan w:val="10"/>
                  <w:noWrap w:val="0"/>
                  <w:vAlign w:val="center"/>
                </w:tcPr>
                <w:p w14:paraId="3A9459C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注：“ND”表示检测结果小于方法检出限。</w:t>
                  </w:r>
                </w:p>
              </w:tc>
            </w:tr>
          </w:tbl>
          <w:p w14:paraId="6B0981D1">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default"/>
                <w:color w:val="auto"/>
                <w:sz w:val="21"/>
                <w:szCs w:val="21"/>
                <w:lang w:val="en-US" w:eastAsia="zh-CN"/>
              </w:rPr>
            </w:pPr>
            <w:r>
              <w:rPr>
                <w:rFonts w:hint="eastAsia"/>
                <w:b/>
                <w:bCs/>
                <w:color w:val="auto"/>
                <w:sz w:val="21"/>
                <w:szCs w:val="21"/>
              </w:rPr>
              <w:t>表</w:t>
            </w:r>
            <w:r>
              <w:rPr>
                <w:rFonts w:hint="default"/>
                <w:b/>
                <w:bCs/>
                <w:color w:val="auto"/>
                <w:sz w:val="21"/>
                <w:szCs w:val="21"/>
              </w:rPr>
              <w:t xml:space="preserve">7-2 </w:t>
            </w:r>
            <w:r>
              <w:rPr>
                <w:rFonts w:hint="eastAsia"/>
                <w:b/>
                <w:bCs/>
                <w:color w:val="auto"/>
                <w:sz w:val="21"/>
                <w:szCs w:val="21"/>
                <w:lang w:val="en-US" w:eastAsia="zh-CN"/>
              </w:rPr>
              <w:t>有</w:t>
            </w:r>
            <w:r>
              <w:rPr>
                <w:rFonts w:hint="eastAsia"/>
                <w:b/>
                <w:bCs/>
                <w:color w:val="auto"/>
                <w:sz w:val="21"/>
                <w:szCs w:val="21"/>
              </w:rPr>
              <w:t>组织废气</w:t>
            </w:r>
            <w:r>
              <w:rPr>
                <w:rFonts w:hint="eastAsia"/>
                <w:b/>
                <w:bCs/>
                <w:color w:val="auto"/>
                <w:sz w:val="21"/>
                <w:szCs w:val="21"/>
                <w:lang w:val="en-US" w:eastAsia="zh-CN"/>
              </w:rPr>
              <w:t>检测</w:t>
            </w:r>
            <w:r>
              <w:rPr>
                <w:rFonts w:hint="eastAsia"/>
                <w:b/>
                <w:bCs/>
                <w:color w:val="auto"/>
                <w:sz w:val="21"/>
                <w:szCs w:val="21"/>
              </w:rPr>
              <w:t>结果</w:t>
            </w:r>
            <w:r>
              <w:rPr>
                <w:rFonts w:hint="eastAsia"/>
                <w:b/>
                <w:bCs/>
                <w:color w:val="auto"/>
                <w:sz w:val="21"/>
                <w:szCs w:val="21"/>
                <w:lang w:val="en-US" w:eastAsia="zh-CN"/>
              </w:rPr>
              <w:t>表（续）   单位</w:t>
            </w:r>
            <w:r>
              <w:rPr>
                <w:rFonts w:hint="default" w:ascii="Times New Roman" w:hAnsi="Times New Roman" w:eastAsia="宋体" w:cs="Times New Roman"/>
                <w:b/>
                <w:bCs/>
                <w:color w:val="auto"/>
                <w:sz w:val="24"/>
                <w:szCs w:val="24"/>
              </w:rPr>
              <w:t>mg/m</w:t>
            </w:r>
            <w:r>
              <w:rPr>
                <w:rFonts w:hint="default" w:ascii="Times New Roman" w:hAnsi="Times New Roman" w:eastAsia="宋体" w:cs="Times New Roman"/>
                <w:b/>
                <w:bCs/>
                <w:color w:val="auto"/>
                <w:sz w:val="24"/>
                <w:szCs w:val="24"/>
                <w:vertAlign w:val="superscript"/>
              </w:rPr>
              <w:t>3</w:t>
            </w:r>
          </w:p>
          <w:tbl>
            <w:tblPr>
              <w:tblStyle w:val="27"/>
              <w:tblW w:w="8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738"/>
              <w:gridCol w:w="630"/>
              <w:gridCol w:w="781"/>
              <w:gridCol w:w="781"/>
              <w:gridCol w:w="781"/>
              <w:gridCol w:w="781"/>
              <w:gridCol w:w="784"/>
              <w:gridCol w:w="783"/>
              <w:gridCol w:w="1649"/>
            </w:tblGrid>
            <w:tr w14:paraId="44E5B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228" w:type="dxa"/>
                  <w:vMerge w:val="restart"/>
                  <w:noWrap w:val="0"/>
                  <w:vAlign w:val="center"/>
                </w:tcPr>
                <w:p w14:paraId="6D62C6D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检测点</w:t>
                  </w:r>
                </w:p>
                <w:p w14:paraId="3DC4E769">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位置</w:t>
                  </w:r>
                </w:p>
              </w:tc>
              <w:tc>
                <w:tcPr>
                  <w:tcW w:w="738" w:type="dxa"/>
                  <w:vMerge w:val="restart"/>
                  <w:noWrap w:val="0"/>
                  <w:vAlign w:val="center"/>
                </w:tcPr>
                <w:p w14:paraId="045FD39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采样</w:t>
                  </w:r>
                  <w:r>
                    <w:rPr>
                      <w:rFonts w:hint="default" w:ascii="Times New Roman" w:hAnsi="Times New Roman" w:eastAsia="宋体" w:cs="Times New Roman"/>
                      <w:color w:val="auto"/>
                      <w:sz w:val="21"/>
                      <w:szCs w:val="21"/>
                      <w:lang w:eastAsia="zh-CN"/>
                    </w:rPr>
                    <w:t>日期</w:t>
                  </w:r>
                </w:p>
              </w:tc>
              <w:tc>
                <w:tcPr>
                  <w:tcW w:w="630" w:type="dxa"/>
                  <w:vMerge w:val="restart"/>
                  <w:noWrap w:val="0"/>
                  <w:vAlign w:val="center"/>
                </w:tcPr>
                <w:p w14:paraId="208083D9">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检测项目</w:t>
                  </w:r>
                </w:p>
              </w:tc>
              <w:tc>
                <w:tcPr>
                  <w:tcW w:w="3908" w:type="dxa"/>
                  <w:gridSpan w:val="5"/>
                  <w:noWrap w:val="0"/>
                  <w:vAlign w:val="center"/>
                </w:tcPr>
                <w:p w14:paraId="0B31C5D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测定浓度</w:t>
                  </w:r>
                </w:p>
              </w:tc>
              <w:tc>
                <w:tcPr>
                  <w:tcW w:w="783" w:type="dxa"/>
                  <w:vMerge w:val="restart"/>
                  <w:noWrap w:val="0"/>
                  <w:vAlign w:val="center"/>
                </w:tcPr>
                <w:p w14:paraId="04D7BED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0"/>
                      <w:kern w:val="2"/>
                      <w:sz w:val="21"/>
                      <w:szCs w:val="21"/>
                      <w:lang w:val="en-US" w:eastAsia="zh-CN" w:bidi="ar-SA"/>
                    </w:rPr>
                    <w:t>排放浓度</w:t>
                  </w:r>
                </w:p>
              </w:tc>
              <w:tc>
                <w:tcPr>
                  <w:tcW w:w="1649" w:type="dxa"/>
                  <w:vMerge w:val="restart"/>
                  <w:noWrap w:val="0"/>
                  <w:vAlign w:val="center"/>
                </w:tcPr>
                <w:p w14:paraId="2263A78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饮食业油烟排放标准（试行）GB18483-2001</w:t>
                  </w:r>
                </w:p>
                <w:p w14:paraId="2FA5E6F9">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表 2 标准限值</w:t>
                  </w:r>
                </w:p>
              </w:tc>
            </w:tr>
            <w:tr w14:paraId="1A74A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228" w:type="dxa"/>
                  <w:vMerge w:val="continue"/>
                  <w:noWrap w:val="0"/>
                  <w:vAlign w:val="center"/>
                </w:tcPr>
                <w:p w14:paraId="1B6AB32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c>
                <w:tcPr>
                  <w:tcW w:w="738" w:type="dxa"/>
                  <w:vMerge w:val="continue"/>
                  <w:noWrap w:val="0"/>
                  <w:vAlign w:val="center"/>
                </w:tcPr>
                <w:p w14:paraId="25F3069E">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c>
                <w:tcPr>
                  <w:tcW w:w="630" w:type="dxa"/>
                  <w:vMerge w:val="continue"/>
                  <w:noWrap w:val="0"/>
                  <w:vAlign w:val="center"/>
                </w:tcPr>
                <w:p w14:paraId="50C02A8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c>
                <w:tcPr>
                  <w:tcW w:w="781" w:type="dxa"/>
                  <w:shd w:val="clear" w:color="auto" w:fill="auto"/>
                  <w:noWrap w:val="0"/>
                  <w:vAlign w:val="center"/>
                </w:tcPr>
                <w:p w14:paraId="0CF5292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lang w:val="en-US" w:eastAsia="zh-CN"/>
                    </w:rPr>
                    <w:t>第1次</w:t>
                  </w:r>
                </w:p>
              </w:tc>
              <w:tc>
                <w:tcPr>
                  <w:tcW w:w="781" w:type="dxa"/>
                  <w:shd w:val="clear" w:color="auto" w:fill="auto"/>
                  <w:noWrap w:val="0"/>
                  <w:vAlign w:val="center"/>
                </w:tcPr>
                <w:p w14:paraId="5E82150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Arial" w:cs="Times New Roman"/>
                      <w:snapToGrid w:val="0"/>
                      <w:color w:val="auto"/>
                      <w:kern w:val="0"/>
                      <w:sz w:val="21"/>
                      <w:szCs w:val="21"/>
                      <w:lang w:val="en-US" w:eastAsia="en-US" w:bidi="ar-SA"/>
                    </w:rPr>
                  </w:pPr>
                  <w:r>
                    <w:rPr>
                      <w:rFonts w:hint="default" w:ascii="Times New Roman" w:hAnsi="Times New Roman" w:eastAsia="宋体" w:cs="Times New Roman"/>
                      <w:color w:val="auto"/>
                      <w:lang w:val="en-US" w:eastAsia="zh-CN"/>
                    </w:rPr>
                    <w:t>第2次</w:t>
                  </w:r>
                </w:p>
              </w:tc>
              <w:tc>
                <w:tcPr>
                  <w:tcW w:w="781" w:type="dxa"/>
                  <w:shd w:val="clear" w:color="auto" w:fill="auto"/>
                  <w:noWrap w:val="0"/>
                  <w:vAlign w:val="center"/>
                </w:tcPr>
                <w:p w14:paraId="1644A3A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Arial" w:cs="Times New Roman"/>
                      <w:snapToGrid w:val="0"/>
                      <w:color w:val="auto"/>
                      <w:kern w:val="0"/>
                      <w:sz w:val="21"/>
                      <w:szCs w:val="21"/>
                      <w:lang w:val="en-US" w:eastAsia="en-US" w:bidi="ar-SA"/>
                    </w:rPr>
                  </w:pPr>
                  <w:r>
                    <w:rPr>
                      <w:rFonts w:hint="default" w:ascii="Times New Roman" w:hAnsi="Times New Roman" w:eastAsia="宋体" w:cs="Times New Roman"/>
                      <w:color w:val="auto"/>
                      <w:lang w:val="en-US" w:eastAsia="zh-CN"/>
                    </w:rPr>
                    <w:t>第3次</w:t>
                  </w:r>
                </w:p>
              </w:tc>
              <w:tc>
                <w:tcPr>
                  <w:tcW w:w="781" w:type="dxa"/>
                  <w:shd w:val="clear" w:color="auto" w:fill="auto"/>
                  <w:noWrap w:val="0"/>
                  <w:vAlign w:val="center"/>
                </w:tcPr>
                <w:p w14:paraId="34413CB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Arial" w:cs="Times New Roman"/>
                      <w:snapToGrid w:val="0"/>
                      <w:color w:val="auto"/>
                      <w:kern w:val="0"/>
                      <w:sz w:val="21"/>
                      <w:szCs w:val="21"/>
                      <w:lang w:val="en-US" w:eastAsia="en-US" w:bidi="ar-SA"/>
                    </w:rPr>
                  </w:pPr>
                  <w:r>
                    <w:rPr>
                      <w:rFonts w:hint="default" w:ascii="Times New Roman" w:hAnsi="Times New Roman" w:eastAsia="宋体" w:cs="Times New Roman"/>
                      <w:color w:val="auto"/>
                      <w:lang w:val="en-US" w:eastAsia="zh-CN"/>
                    </w:rPr>
                    <w:t>第4次</w:t>
                  </w:r>
                </w:p>
              </w:tc>
              <w:tc>
                <w:tcPr>
                  <w:tcW w:w="784" w:type="dxa"/>
                  <w:shd w:val="clear" w:color="auto" w:fill="auto"/>
                  <w:noWrap w:val="0"/>
                  <w:vAlign w:val="center"/>
                </w:tcPr>
                <w:p w14:paraId="3D7ACEF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Arial" w:cs="Times New Roman"/>
                      <w:snapToGrid w:val="0"/>
                      <w:color w:val="auto"/>
                      <w:kern w:val="0"/>
                      <w:sz w:val="21"/>
                      <w:szCs w:val="21"/>
                      <w:lang w:val="en-US" w:eastAsia="en-US" w:bidi="ar-SA"/>
                    </w:rPr>
                  </w:pPr>
                  <w:r>
                    <w:rPr>
                      <w:rFonts w:hint="default" w:ascii="Times New Roman" w:hAnsi="Times New Roman" w:eastAsia="宋体" w:cs="Times New Roman"/>
                      <w:color w:val="auto"/>
                      <w:lang w:val="en-US" w:eastAsia="zh-CN"/>
                    </w:rPr>
                    <w:t>第5次</w:t>
                  </w:r>
                </w:p>
              </w:tc>
              <w:tc>
                <w:tcPr>
                  <w:tcW w:w="783" w:type="dxa"/>
                  <w:vMerge w:val="continue"/>
                  <w:noWrap w:val="0"/>
                  <w:vAlign w:val="center"/>
                </w:tcPr>
                <w:p w14:paraId="5C85ABF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lang w:val="en-US" w:eastAsia="zh-CN"/>
                    </w:rPr>
                  </w:pPr>
                </w:p>
              </w:tc>
              <w:tc>
                <w:tcPr>
                  <w:tcW w:w="1649" w:type="dxa"/>
                  <w:vMerge w:val="continue"/>
                  <w:noWrap w:val="0"/>
                  <w:vAlign w:val="center"/>
                </w:tcPr>
                <w:p w14:paraId="6EF4AD6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color w:val="auto"/>
                    </w:rPr>
                  </w:pPr>
                </w:p>
              </w:tc>
            </w:tr>
            <w:tr w14:paraId="7A7CE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1228" w:type="dxa"/>
                  <w:vMerge w:val="restart"/>
                  <w:noWrap w:val="0"/>
                  <w:vAlign w:val="center"/>
                </w:tcPr>
                <w:p w14:paraId="0B30C5F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1#生产车间排气筒</w:t>
                  </w:r>
                </w:p>
              </w:tc>
              <w:tc>
                <w:tcPr>
                  <w:tcW w:w="738" w:type="dxa"/>
                  <w:noWrap w:val="0"/>
                  <w:vAlign w:val="center"/>
                </w:tcPr>
                <w:p w14:paraId="047E3CE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2024.</w:t>
                  </w:r>
                </w:p>
                <w:p w14:paraId="707A353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08.27</w:t>
                  </w:r>
                </w:p>
              </w:tc>
              <w:tc>
                <w:tcPr>
                  <w:tcW w:w="630" w:type="dxa"/>
                  <w:vMerge w:val="restart"/>
                  <w:noWrap w:val="0"/>
                  <w:vAlign w:val="center"/>
                </w:tcPr>
                <w:p w14:paraId="2936ACB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0"/>
                      <w:kern w:val="2"/>
                      <w:sz w:val="21"/>
                      <w:szCs w:val="21"/>
                      <w:lang w:val="en-US" w:eastAsia="zh-CN" w:bidi="ar-SA"/>
                    </w:rPr>
                    <w:t>油烟</w:t>
                  </w:r>
                </w:p>
              </w:tc>
              <w:tc>
                <w:tcPr>
                  <w:tcW w:w="781" w:type="dxa"/>
                  <w:noWrap w:val="0"/>
                  <w:vAlign w:val="center"/>
                </w:tcPr>
                <w:p w14:paraId="1A08DF1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0.51</w:t>
                  </w:r>
                </w:p>
              </w:tc>
              <w:tc>
                <w:tcPr>
                  <w:tcW w:w="781" w:type="dxa"/>
                  <w:noWrap w:val="0"/>
                  <w:vAlign w:val="center"/>
                </w:tcPr>
                <w:p w14:paraId="79EEFB6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0.60</w:t>
                  </w:r>
                </w:p>
              </w:tc>
              <w:tc>
                <w:tcPr>
                  <w:tcW w:w="781" w:type="dxa"/>
                  <w:noWrap w:val="0"/>
                  <w:vAlign w:val="center"/>
                </w:tcPr>
                <w:p w14:paraId="0B75934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0.51</w:t>
                  </w:r>
                </w:p>
              </w:tc>
              <w:tc>
                <w:tcPr>
                  <w:tcW w:w="781" w:type="dxa"/>
                  <w:noWrap w:val="0"/>
                  <w:vAlign w:val="center"/>
                </w:tcPr>
                <w:p w14:paraId="716BE4C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0.34</w:t>
                  </w:r>
                </w:p>
              </w:tc>
              <w:tc>
                <w:tcPr>
                  <w:tcW w:w="784" w:type="dxa"/>
                  <w:noWrap w:val="0"/>
                  <w:vAlign w:val="center"/>
                </w:tcPr>
                <w:p w14:paraId="67FB2CA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0.76</w:t>
                  </w:r>
                </w:p>
              </w:tc>
              <w:tc>
                <w:tcPr>
                  <w:tcW w:w="783" w:type="dxa"/>
                  <w:noWrap w:val="0"/>
                  <w:vAlign w:val="center"/>
                </w:tcPr>
                <w:p w14:paraId="1D844E0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w:t>
                  </w:r>
                </w:p>
              </w:tc>
              <w:tc>
                <w:tcPr>
                  <w:tcW w:w="1649" w:type="dxa"/>
                  <w:vMerge w:val="restart"/>
                  <w:noWrap w:val="0"/>
                  <w:vAlign w:val="center"/>
                </w:tcPr>
                <w:p w14:paraId="7D328A5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r>
            <w:tr w14:paraId="76BD9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1228" w:type="dxa"/>
                  <w:vMerge w:val="continue"/>
                  <w:noWrap w:val="0"/>
                  <w:vAlign w:val="center"/>
                </w:tcPr>
                <w:p w14:paraId="207039D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738" w:type="dxa"/>
                  <w:noWrap w:val="0"/>
                  <w:vAlign w:val="center"/>
                </w:tcPr>
                <w:p w14:paraId="347B85B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2024.08.28</w:t>
                  </w:r>
                </w:p>
              </w:tc>
              <w:tc>
                <w:tcPr>
                  <w:tcW w:w="630" w:type="dxa"/>
                  <w:vMerge w:val="continue"/>
                  <w:noWrap w:val="0"/>
                  <w:vAlign w:val="center"/>
                </w:tcPr>
                <w:p w14:paraId="32485BB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781" w:type="dxa"/>
                  <w:noWrap w:val="0"/>
                  <w:vAlign w:val="center"/>
                </w:tcPr>
                <w:p w14:paraId="22FA890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0.90</w:t>
                  </w:r>
                </w:p>
              </w:tc>
              <w:tc>
                <w:tcPr>
                  <w:tcW w:w="781" w:type="dxa"/>
                  <w:noWrap w:val="0"/>
                  <w:vAlign w:val="center"/>
                </w:tcPr>
                <w:p w14:paraId="42EAC7A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0.93</w:t>
                  </w:r>
                </w:p>
              </w:tc>
              <w:tc>
                <w:tcPr>
                  <w:tcW w:w="781" w:type="dxa"/>
                  <w:noWrap w:val="0"/>
                  <w:vAlign w:val="center"/>
                </w:tcPr>
                <w:p w14:paraId="05250E2E">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1.10</w:t>
                  </w:r>
                </w:p>
              </w:tc>
              <w:tc>
                <w:tcPr>
                  <w:tcW w:w="781" w:type="dxa"/>
                  <w:noWrap w:val="0"/>
                  <w:vAlign w:val="center"/>
                </w:tcPr>
                <w:p w14:paraId="76EFFAC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1.17</w:t>
                  </w:r>
                </w:p>
              </w:tc>
              <w:tc>
                <w:tcPr>
                  <w:tcW w:w="784" w:type="dxa"/>
                  <w:noWrap w:val="0"/>
                  <w:vAlign w:val="center"/>
                </w:tcPr>
                <w:p w14:paraId="3B9C1C1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1.12</w:t>
                  </w:r>
                </w:p>
              </w:tc>
              <w:tc>
                <w:tcPr>
                  <w:tcW w:w="783" w:type="dxa"/>
                  <w:noWrap w:val="0"/>
                  <w:vAlign w:val="center"/>
                </w:tcPr>
                <w:p w14:paraId="1C51A20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0.3</w:t>
                  </w:r>
                </w:p>
              </w:tc>
              <w:tc>
                <w:tcPr>
                  <w:tcW w:w="1649" w:type="dxa"/>
                  <w:vMerge w:val="continue"/>
                  <w:noWrap w:val="0"/>
                  <w:vAlign w:val="center"/>
                </w:tcPr>
                <w:p w14:paraId="5A3D1B6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bl>
          <w:p w14:paraId="44769AC9">
            <w:pPr>
              <w:pStyle w:val="61"/>
              <w:keepNext w:val="0"/>
              <w:keepLines w:val="0"/>
              <w:suppressLineNumbers w:val="0"/>
              <w:spacing w:before="0" w:beforeAutospacing="0" w:after="0" w:afterAutospacing="0"/>
              <w:ind w:left="0" w:right="0" w:firstLine="480" w:firstLineChars="200"/>
              <w:jc w:val="left"/>
              <w:rPr>
                <w:rFonts w:hint="eastAsia" w:eastAsia="宋体"/>
                <w:b w:val="0"/>
                <w:color w:val="auto"/>
                <w:szCs w:val="24"/>
                <w:lang w:eastAsia="zh-CN"/>
              </w:rPr>
            </w:pPr>
            <w:r>
              <w:rPr>
                <w:rFonts w:hint="eastAsia"/>
                <w:b w:val="0"/>
                <w:color w:val="auto"/>
                <w:sz w:val="24"/>
                <w:szCs w:val="24"/>
              </w:rPr>
              <w:t>由表</w:t>
            </w:r>
            <w:r>
              <w:rPr>
                <w:rFonts w:hint="default"/>
                <w:b w:val="0"/>
                <w:color w:val="auto"/>
                <w:sz w:val="24"/>
                <w:szCs w:val="24"/>
              </w:rPr>
              <w:t>7-</w:t>
            </w:r>
            <w:r>
              <w:rPr>
                <w:rFonts w:hint="eastAsia"/>
                <w:b w:val="0"/>
                <w:color w:val="auto"/>
                <w:sz w:val="24"/>
                <w:szCs w:val="24"/>
                <w:lang w:val="en-US" w:eastAsia="zh-CN"/>
              </w:rPr>
              <w:t>1</w:t>
            </w:r>
            <w:r>
              <w:rPr>
                <w:rFonts w:hint="eastAsia"/>
                <w:b w:val="0"/>
                <w:color w:val="auto"/>
                <w:sz w:val="24"/>
                <w:szCs w:val="24"/>
                <w:lang w:eastAsia="zh-CN"/>
              </w:rPr>
              <w:t>、</w:t>
            </w:r>
            <w:r>
              <w:rPr>
                <w:rFonts w:hint="eastAsia"/>
                <w:b w:val="0"/>
                <w:color w:val="auto"/>
                <w:sz w:val="24"/>
                <w:szCs w:val="24"/>
                <w:lang w:val="en-US" w:eastAsia="zh-CN"/>
              </w:rPr>
              <w:t>表7-2</w:t>
            </w:r>
            <w:r>
              <w:rPr>
                <w:rFonts w:hint="eastAsia"/>
                <w:b w:val="0"/>
                <w:color w:val="auto"/>
                <w:sz w:val="24"/>
                <w:szCs w:val="24"/>
              </w:rPr>
              <w:t>可知，在</w:t>
            </w:r>
            <w:r>
              <w:rPr>
                <w:rFonts w:hint="eastAsia"/>
                <w:b w:val="0"/>
                <w:color w:val="auto"/>
                <w:sz w:val="24"/>
                <w:szCs w:val="24"/>
                <w:lang w:val="en-US" w:eastAsia="zh-CN"/>
              </w:rPr>
              <w:t>检测</w:t>
            </w:r>
            <w:r>
              <w:rPr>
                <w:rFonts w:hint="eastAsia"/>
                <w:b w:val="0"/>
                <w:color w:val="auto"/>
                <w:sz w:val="24"/>
                <w:szCs w:val="24"/>
              </w:rPr>
              <w:t>期间，有组织废气</w:t>
            </w:r>
            <w:r>
              <w:rPr>
                <w:rFonts w:hint="eastAsia"/>
                <w:b w:val="0"/>
                <w:color w:val="auto"/>
                <w:sz w:val="24"/>
                <w:szCs w:val="24"/>
                <w:lang w:val="en-US" w:eastAsia="zh-CN"/>
              </w:rPr>
              <w:t>检测</w:t>
            </w:r>
            <w:r>
              <w:rPr>
                <w:rFonts w:hint="eastAsia"/>
                <w:b w:val="0"/>
                <w:color w:val="auto"/>
                <w:sz w:val="24"/>
                <w:szCs w:val="24"/>
              </w:rPr>
              <w:t>中，</w:t>
            </w:r>
            <w:r>
              <w:rPr>
                <w:rFonts w:hint="eastAsia"/>
                <w:b w:val="0"/>
                <w:color w:val="auto"/>
                <w:sz w:val="24"/>
                <w:szCs w:val="24"/>
                <w:lang w:val="en-US" w:eastAsia="zh-CN"/>
              </w:rPr>
              <w:t>油烟检测</w:t>
            </w:r>
            <w:r>
              <w:rPr>
                <w:rFonts w:hint="eastAsia"/>
                <w:b w:val="0"/>
                <w:color w:val="auto"/>
                <w:sz w:val="24"/>
                <w:szCs w:val="24"/>
              </w:rPr>
              <w:t>结果满足《饮食业油烟排放标准（试行）》（GB 18483-2001）表2中标准限值要求</w:t>
            </w:r>
            <w:r>
              <w:rPr>
                <w:rFonts w:hint="eastAsia"/>
                <w:b w:val="0"/>
                <w:color w:val="auto"/>
                <w:sz w:val="24"/>
                <w:szCs w:val="24"/>
                <w:lang w:eastAsia="zh-CN"/>
              </w:rPr>
              <w:t>。</w:t>
            </w:r>
          </w:p>
          <w:p w14:paraId="21DD9E01">
            <w:pPr>
              <w:pStyle w:val="61"/>
              <w:keepNext w:val="0"/>
              <w:keepLines w:val="0"/>
              <w:suppressLineNumbers w:val="0"/>
              <w:spacing w:before="0" w:beforeAutospacing="0" w:after="0" w:afterAutospacing="0"/>
              <w:ind w:left="0" w:right="0" w:firstLine="480" w:firstLineChars="200"/>
              <w:jc w:val="left"/>
              <w:rPr>
                <w:rFonts w:hint="default"/>
                <w:b w:val="0"/>
                <w:color w:val="auto"/>
                <w:sz w:val="24"/>
                <w:szCs w:val="24"/>
              </w:rPr>
            </w:pPr>
            <w:r>
              <w:rPr>
                <w:rFonts w:hint="eastAsia"/>
                <w:b w:val="0"/>
                <w:color w:val="auto"/>
                <w:sz w:val="24"/>
                <w:szCs w:val="24"/>
              </w:rPr>
              <w:t>（</w:t>
            </w:r>
            <w:r>
              <w:rPr>
                <w:rFonts w:hint="default"/>
                <w:b w:val="0"/>
                <w:color w:val="auto"/>
                <w:sz w:val="24"/>
                <w:szCs w:val="24"/>
              </w:rPr>
              <w:t>2</w:t>
            </w:r>
            <w:r>
              <w:rPr>
                <w:rFonts w:hint="eastAsia"/>
                <w:b w:val="0"/>
                <w:color w:val="auto"/>
                <w:sz w:val="24"/>
                <w:szCs w:val="24"/>
              </w:rPr>
              <w:t>）</w:t>
            </w:r>
            <w:r>
              <w:rPr>
                <w:rFonts w:hint="eastAsia"/>
                <w:b w:val="0"/>
                <w:color w:val="auto"/>
                <w:sz w:val="24"/>
                <w:szCs w:val="24"/>
                <w:lang w:val="en-US" w:eastAsia="zh-CN"/>
              </w:rPr>
              <w:t>无</w:t>
            </w:r>
            <w:r>
              <w:rPr>
                <w:rFonts w:hint="eastAsia"/>
                <w:b w:val="0"/>
                <w:color w:val="auto"/>
                <w:sz w:val="24"/>
                <w:szCs w:val="24"/>
              </w:rPr>
              <w:t>组织废气</w:t>
            </w:r>
          </w:p>
          <w:p w14:paraId="09798C2F">
            <w:pPr>
              <w:keepNext w:val="0"/>
              <w:keepLines w:val="0"/>
              <w:widowControl w:val="0"/>
              <w:suppressLineNumbers w:val="0"/>
              <w:adjustRightInd/>
              <w:snapToGrid/>
              <w:spacing w:before="0" w:beforeAutospacing="0" w:after="0" w:afterAutospacing="0"/>
              <w:ind w:left="0" w:right="0" w:firstLine="480"/>
              <w:rPr>
                <w:rFonts w:hint="default"/>
                <w:color w:val="auto"/>
                <w:kern w:val="2"/>
                <w:szCs w:val="24"/>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color w:val="auto"/>
                <w:kern w:val="2"/>
              </w:rPr>
              <w:t>，本项目竣工环境保护设施验收</w:t>
            </w:r>
            <w:r>
              <w:rPr>
                <w:rFonts w:hint="eastAsia"/>
                <w:color w:val="auto"/>
                <w:kern w:val="2"/>
                <w:lang w:val="en-US" w:eastAsia="zh-CN"/>
              </w:rPr>
              <w:t>监测</w:t>
            </w:r>
            <w:r>
              <w:rPr>
                <w:rFonts w:hint="eastAsia"/>
                <w:color w:val="auto"/>
                <w:kern w:val="2"/>
              </w:rPr>
              <w:t>期间，</w:t>
            </w:r>
            <w:r>
              <w:rPr>
                <w:rFonts w:hint="eastAsia"/>
                <w:color w:val="auto"/>
                <w:kern w:val="2"/>
                <w:lang w:val="en-US" w:eastAsia="zh-CN"/>
              </w:rPr>
              <w:t>无</w:t>
            </w:r>
            <w:r>
              <w:rPr>
                <w:rFonts w:hint="eastAsia"/>
                <w:color w:val="auto"/>
                <w:kern w:val="2"/>
              </w:rPr>
              <w:t>组织废气</w:t>
            </w:r>
            <w:r>
              <w:rPr>
                <w:rFonts w:hint="eastAsia"/>
                <w:color w:val="auto"/>
                <w:kern w:val="2"/>
                <w:lang w:val="en-US" w:eastAsia="zh-CN"/>
              </w:rPr>
              <w:t>检测</w:t>
            </w:r>
            <w:r>
              <w:rPr>
                <w:rFonts w:hint="eastAsia"/>
                <w:color w:val="auto"/>
                <w:kern w:val="2"/>
              </w:rPr>
              <w:t>结果</w:t>
            </w:r>
            <w:r>
              <w:rPr>
                <w:rFonts w:hint="eastAsia"/>
                <w:color w:val="auto"/>
                <w:kern w:val="2"/>
                <w:lang w:val="en-US" w:eastAsia="zh-CN"/>
              </w:rPr>
              <w:t>见</w:t>
            </w:r>
            <w:r>
              <w:rPr>
                <w:rFonts w:hint="eastAsia"/>
                <w:color w:val="auto"/>
                <w:kern w:val="2"/>
              </w:rPr>
              <w:t>表7-</w:t>
            </w:r>
            <w:r>
              <w:rPr>
                <w:rFonts w:hint="eastAsia"/>
                <w:color w:val="auto"/>
                <w:kern w:val="2"/>
                <w:lang w:val="en-US" w:eastAsia="zh-CN"/>
              </w:rPr>
              <w:t>3、7-4。</w:t>
            </w:r>
          </w:p>
          <w:p w14:paraId="738B59E4">
            <w:pPr>
              <w:pStyle w:val="61"/>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firstLine="0" w:firstLineChars="0"/>
              <w:textAlignment w:val="auto"/>
              <w:rPr>
                <w:rFonts w:hint="default" w:ascii="Times New Roman" w:hAnsi="Times New Roman" w:eastAsia="宋体"/>
                <w:color w:val="auto"/>
                <w:sz w:val="21"/>
                <w:szCs w:val="21"/>
              </w:rPr>
            </w:pPr>
            <w:r>
              <w:rPr>
                <w:rFonts w:hint="eastAsia" w:ascii="Times New Roman" w:hAnsi="Times New Roman" w:eastAsia="宋体"/>
                <w:color w:val="auto"/>
                <w:sz w:val="21"/>
                <w:szCs w:val="21"/>
              </w:rPr>
              <w:t>表</w:t>
            </w:r>
            <w:r>
              <w:rPr>
                <w:rFonts w:hint="default" w:ascii="Times New Roman" w:hAnsi="Times New Roman" w:eastAsia="宋体"/>
                <w:color w:val="auto"/>
                <w:sz w:val="21"/>
                <w:szCs w:val="21"/>
              </w:rPr>
              <w:t>7-</w:t>
            </w:r>
            <w:r>
              <w:rPr>
                <w:rFonts w:hint="eastAsia"/>
                <w:color w:val="auto"/>
                <w:sz w:val="21"/>
                <w:szCs w:val="21"/>
                <w:lang w:val="en-US" w:eastAsia="zh-CN"/>
              </w:rPr>
              <w:t>3</w:t>
            </w:r>
            <w:r>
              <w:rPr>
                <w:rFonts w:hint="default" w:ascii="Times New Roman" w:hAnsi="Times New Roman" w:eastAsia="宋体"/>
                <w:color w:val="auto"/>
                <w:sz w:val="21"/>
                <w:szCs w:val="21"/>
              </w:rPr>
              <w:t xml:space="preserve"> </w:t>
            </w:r>
            <w:r>
              <w:rPr>
                <w:rFonts w:hint="eastAsia" w:ascii="Times New Roman" w:hAnsi="Times New Roman" w:eastAsia="宋体"/>
                <w:color w:val="auto"/>
                <w:sz w:val="21"/>
                <w:szCs w:val="21"/>
                <w:lang w:val="en-US" w:eastAsia="zh-CN"/>
              </w:rPr>
              <w:t>无</w:t>
            </w:r>
            <w:r>
              <w:rPr>
                <w:rFonts w:hint="eastAsia" w:ascii="Times New Roman" w:hAnsi="Times New Roman" w:eastAsia="宋体"/>
                <w:color w:val="auto"/>
                <w:sz w:val="21"/>
                <w:szCs w:val="21"/>
              </w:rPr>
              <w:t>组织废气</w:t>
            </w:r>
            <w:r>
              <w:rPr>
                <w:rFonts w:hint="eastAsia"/>
                <w:color w:val="auto"/>
                <w:sz w:val="21"/>
                <w:szCs w:val="21"/>
                <w:lang w:val="en-US" w:eastAsia="zh-CN"/>
              </w:rPr>
              <w:t>检测</w:t>
            </w:r>
            <w:r>
              <w:rPr>
                <w:rFonts w:hint="eastAsia" w:ascii="Times New Roman" w:hAnsi="Times New Roman" w:eastAsia="宋体"/>
                <w:color w:val="auto"/>
                <w:sz w:val="21"/>
                <w:szCs w:val="21"/>
              </w:rPr>
              <w:t>结果</w:t>
            </w:r>
            <w:r>
              <w:rPr>
                <w:rFonts w:hint="eastAsia" w:ascii="Times New Roman" w:hAnsi="Times New Roman" w:eastAsia="宋体"/>
                <w:color w:val="auto"/>
                <w:sz w:val="21"/>
                <w:szCs w:val="21"/>
                <w:lang w:val="en-US" w:eastAsia="zh-CN"/>
              </w:rPr>
              <w:t>表</w:t>
            </w:r>
            <w:r>
              <w:rPr>
                <w:rFonts w:hint="eastAsia"/>
                <w:color w:val="auto"/>
                <w:sz w:val="21"/>
                <w:szCs w:val="21"/>
                <w:lang w:val="en-US" w:eastAsia="zh-CN"/>
              </w:rPr>
              <w:t xml:space="preserve">  </w:t>
            </w:r>
            <w:r>
              <w:rPr>
                <w:rFonts w:hint="eastAsia" w:ascii="Times New Roman" w:hAnsi="Times New Roman" w:eastAsia="宋体"/>
                <w:color w:val="auto"/>
                <w:sz w:val="21"/>
                <w:szCs w:val="21"/>
                <w:lang w:val="en-US" w:eastAsia="zh-CN"/>
              </w:rPr>
              <w:t>单位：mg/m</w:t>
            </w:r>
            <w:r>
              <w:rPr>
                <w:rFonts w:hint="eastAsia" w:ascii="Times New Roman" w:hAnsi="Times New Roman" w:eastAsia="宋体"/>
                <w:color w:val="auto"/>
                <w:sz w:val="21"/>
                <w:szCs w:val="21"/>
                <w:vertAlign w:val="superscript"/>
                <w:lang w:val="en-US" w:eastAsia="zh-CN"/>
              </w:rPr>
              <w:t>3</w:t>
            </w:r>
          </w:p>
          <w:tbl>
            <w:tblPr>
              <w:tblStyle w:val="27"/>
              <w:tblW w:w="87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665"/>
              <w:gridCol w:w="899"/>
              <w:gridCol w:w="951"/>
              <w:gridCol w:w="951"/>
              <w:gridCol w:w="956"/>
              <w:gridCol w:w="2078"/>
            </w:tblGrid>
            <w:tr w14:paraId="200BC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vMerge w:val="restart"/>
                  <w:noWrap w:val="0"/>
                  <w:vAlign w:val="center"/>
                </w:tcPr>
                <w:p w14:paraId="7564014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检测点</w:t>
                  </w:r>
                </w:p>
                <w:p w14:paraId="1E56D8F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位置</w:t>
                  </w:r>
                </w:p>
              </w:tc>
              <w:tc>
                <w:tcPr>
                  <w:tcW w:w="665" w:type="dxa"/>
                  <w:vMerge w:val="restart"/>
                  <w:noWrap w:val="0"/>
                  <w:vAlign w:val="center"/>
                </w:tcPr>
                <w:p w14:paraId="59768D8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采样</w:t>
                  </w:r>
                  <w:r>
                    <w:rPr>
                      <w:rFonts w:hint="default" w:ascii="Times New Roman" w:hAnsi="Times New Roman" w:eastAsia="宋体" w:cs="Times New Roman"/>
                      <w:color w:val="auto"/>
                      <w:sz w:val="21"/>
                      <w:szCs w:val="21"/>
                      <w:lang w:eastAsia="zh-CN"/>
                    </w:rPr>
                    <w:t>日期</w:t>
                  </w:r>
                </w:p>
              </w:tc>
              <w:tc>
                <w:tcPr>
                  <w:tcW w:w="899" w:type="dxa"/>
                  <w:vMerge w:val="restart"/>
                  <w:noWrap w:val="0"/>
                  <w:vAlign w:val="center"/>
                </w:tcPr>
                <w:p w14:paraId="2465827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w:t>
                  </w:r>
                </w:p>
                <w:p w14:paraId="7DC9023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2858" w:type="dxa"/>
                  <w:gridSpan w:val="3"/>
                  <w:noWrap w:val="0"/>
                  <w:vAlign w:val="center"/>
                </w:tcPr>
                <w:p w14:paraId="0AFF448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结   果</w:t>
                  </w:r>
                </w:p>
              </w:tc>
              <w:tc>
                <w:tcPr>
                  <w:tcW w:w="2078" w:type="dxa"/>
                  <w:vMerge w:val="restart"/>
                  <w:noWrap w:val="0"/>
                  <w:vAlign w:val="center"/>
                </w:tcPr>
                <w:p w14:paraId="784A209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恶臭污染物排放标准 GB14554-93</w:t>
                  </w:r>
                </w:p>
                <w:p w14:paraId="2364B4D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表1二级标准“新扩改建”标准限值</w:t>
                  </w:r>
                </w:p>
              </w:tc>
            </w:tr>
            <w:tr w14:paraId="095A4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20" w:hRule="atLeast"/>
                <w:jc w:val="center"/>
              </w:trPr>
              <w:tc>
                <w:tcPr>
                  <w:tcW w:w="2222" w:type="dxa"/>
                  <w:vMerge w:val="continue"/>
                  <w:noWrap w:val="0"/>
                  <w:vAlign w:val="center"/>
                </w:tcPr>
                <w:p w14:paraId="296B67A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665" w:type="dxa"/>
                  <w:vMerge w:val="continue"/>
                  <w:noWrap w:val="0"/>
                  <w:vAlign w:val="center"/>
                </w:tcPr>
                <w:p w14:paraId="5FCCEE6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899" w:type="dxa"/>
                  <w:vMerge w:val="continue"/>
                  <w:noWrap w:val="0"/>
                  <w:vAlign w:val="center"/>
                </w:tcPr>
                <w:p w14:paraId="526101F4">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951" w:type="dxa"/>
                  <w:noWrap w:val="0"/>
                  <w:vAlign w:val="center"/>
                </w:tcPr>
                <w:p w14:paraId="450FADD4">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第一次</w:t>
                  </w:r>
                </w:p>
              </w:tc>
              <w:tc>
                <w:tcPr>
                  <w:tcW w:w="951" w:type="dxa"/>
                  <w:noWrap w:val="0"/>
                  <w:vAlign w:val="center"/>
                </w:tcPr>
                <w:p w14:paraId="38A5466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第二次</w:t>
                  </w:r>
                </w:p>
              </w:tc>
              <w:tc>
                <w:tcPr>
                  <w:tcW w:w="956" w:type="dxa"/>
                  <w:noWrap w:val="0"/>
                  <w:vAlign w:val="center"/>
                </w:tcPr>
                <w:p w14:paraId="365ED0C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第三次</w:t>
                  </w:r>
                </w:p>
              </w:tc>
              <w:tc>
                <w:tcPr>
                  <w:tcW w:w="2078" w:type="dxa"/>
                  <w:vMerge w:val="continue"/>
                  <w:noWrap w:val="0"/>
                  <w:vAlign w:val="center"/>
                </w:tcPr>
                <w:p w14:paraId="048AF50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r>
            <w:tr w14:paraId="05F3E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noWrap w:val="0"/>
                  <w:vAlign w:val="center"/>
                </w:tcPr>
                <w:p w14:paraId="180A1A9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项目南侧厂界外2m</w:t>
                  </w:r>
                </w:p>
              </w:tc>
              <w:tc>
                <w:tcPr>
                  <w:tcW w:w="665" w:type="dxa"/>
                  <w:vMerge w:val="restart"/>
                  <w:noWrap w:val="0"/>
                  <w:vAlign w:val="center"/>
                </w:tcPr>
                <w:p w14:paraId="37F5B04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2024.07.04</w:t>
                  </w:r>
                </w:p>
              </w:tc>
              <w:tc>
                <w:tcPr>
                  <w:tcW w:w="899" w:type="dxa"/>
                  <w:vMerge w:val="restart"/>
                  <w:noWrap w:val="0"/>
                  <w:vAlign w:val="center"/>
                </w:tcPr>
                <w:p w14:paraId="4332A7D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氨</w:t>
                  </w:r>
                </w:p>
              </w:tc>
              <w:tc>
                <w:tcPr>
                  <w:tcW w:w="951" w:type="dxa"/>
                  <w:noWrap w:val="0"/>
                  <w:vAlign w:val="center"/>
                </w:tcPr>
                <w:p w14:paraId="595C707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0.09</w:t>
                  </w:r>
                </w:p>
              </w:tc>
              <w:tc>
                <w:tcPr>
                  <w:tcW w:w="951" w:type="dxa"/>
                  <w:noWrap w:val="0"/>
                  <w:vAlign w:val="center"/>
                </w:tcPr>
                <w:p w14:paraId="3175AC2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w:t>
                  </w:r>
                </w:p>
              </w:tc>
              <w:tc>
                <w:tcPr>
                  <w:tcW w:w="956" w:type="dxa"/>
                  <w:noWrap w:val="0"/>
                  <w:vAlign w:val="center"/>
                </w:tcPr>
                <w:p w14:paraId="67D4B16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0.17</w:t>
                  </w:r>
                </w:p>
              </w:tc>
              <w:tc>
                <w:tcPr>
                  <w:tcW w:w="2078" w:type="dxa"/>
                  <w:vMerge w:val="restart"/>
                  <w:noWrap w:val="0"/>
                  <w:vAlign w:val="center"/>
                </w:tcPr>
                <w:p w14:paraId="7539DB5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r>
            <w:tr w14:paraId="3582D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noWrap w:val="0"/>
                  <w:vAlign w:val="center"/>
                </w:tcPr>
                <w:p w14:paraId="153D64C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项目东南侧厂界外2m</w:t>
                  </w:r>
                </w:p>
              </w:tc>
              <w:tc>
                <w:tcPr>
                  <w:tcW w:w="665" w:type="dxa"/>
                  <w:vMerge w:val="continue"/>
                  <w:noWrap w:val="0"/>
                  <w:vAlign w:val="center"/>
                </w:tcPr>
                <w:p w14:paraId="04F217E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noWrap w:val="0"/>
                  <w:vAlign w:val="center"/>
                </w:tcPr>
                <w:p w14:paraId="01F0DA3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noWrap w:val="0"/>
                  <w:vAlign w:val="center"/>
                </w:tcPr>
                <w:p w14:paraId="67227BB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0.09</w:t>
                  </w:r>
                </w:p>
              </w:tc>
              <w:tc>
                <w:tcPr>
                  <w:tcW w:w="951" w:type="dxa"/>
                  <w:noWrap w:val="0"/>
                  <w:vAlign w:val="center"/>
                </w:tcPr>
                <w:p w14:paraId="7A2F82B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w:t>
                  </w:r>
                </w:p>
              </w:tc>
              <w:tc>
                <w:tcPr>
                  <w:tcW w:w="956" w:type="dxa"/>
                  <w:noWrap w:val="0"/>
                  <w:vAlign w:val="center"/>
                </w:tcPr>
                <w:p w14:paraId="2CE187A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0.18</w:t>
                  </w:r>
                </w:p>
              </w:tc>
              <w:tc>
                <w:tcPr>
                  <w:tcW w:w="2078" w:type="dxa"/>
                  <w:vMerge w:val="continue"/>
                  <w:noWrap w:val="0"/>
                  <w:vAlign w:val="center"/>
                </w:tcPr>
                <w:p w14:paraId="575039C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29EE4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noWrap w:val="0"/>
                  <w:vAlign w:val="center"/>
                </w:tcPr>
                <w:p w14:paraId="7521A979">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项目东侧厂界外2m</w:t>
                  </w:r>
                </w:p>
              </w:tc>
              <w:tc>
                <w:tcPr>
                  <w:tcW w:w="665" w:type="dxa"/>
                  <w:vMerge w:val="continue"/>
                  <w:noWrap w:val="0"/>
                  <w:vAlign w:val="center"/>
                </w:tcPr>
                <w:p w14:paraId="7FD455E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noWrap w:val="0"/>
                  <w:vAlign w:val="center"/>
                </w:tcPr>
                <w:p w14:paraId="630F772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noWrap w:val="0"/>
                  <w:vAlign w:val="center"/>
                </w:tcPr>
                <w:p w14:paraId="5DA5202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0.07</w:t>
                  </w:r>
                </w:p>
              </w:tc>
              <w:tc>
                <w:tcPr>
                  <w:tcW w:w="951" w:type="dxa"/>
                  <w:noWrap w:val="0"/>
                  <w:vAlign w:val="center"/>
                </w:tcPr>
                <w:p w14:paraId="7D0B55C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0.17</w:t>
                  </w:r>
                </w:p>
              </w:tc>
              <w:tc>
                <w:tcPr>
                  <w:tcW w:w="956" w:type="dxa"/>
                  <w:noWrap w:val="0"/>
                  <w:vAlign w:val="center"/>
                </w:tcPr>
                <w:p w14:paraId="164635F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0.08</w:t>
                  </w:r>
                </w:p>
              </w:tc>
              <w:tc>
                <w:tcPr>
                  <w:tcW w:w="2078" w:type="dxa"/>
                  <w:vMerge w:val="continue"/>
                  <w:noWrap w:val="0"/>
                  <w:vAlign w:val="center"/>
                </w:tcPr>
                <w:p w14:paraId="6FB1C544">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4263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9" w:hRule="atLeast"/>
                <w:jc w:val="center"/>
              </w:trPr>
              <w:tc>
                <w:tcPr>
                  <w:tcW w:w="2222" w:type="dxa"/>
                  <w:noWrap w:val="0"/>
                  <w:vAlign w:val="center"/>
                </w:tcPr>
                <w:p w14:paraId="291BE33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项目厂区内厂房东南侧外2m</w:t>
                  </w:r>
                </w:p>
              </w:tc>
              <w:tc>
                <w:tcPr>
                  <w:tcW w:w="665" w:type="dxa"/>
                  <w:vMerge w:val="continue"/>
                  <w:noWrap w:val="0"/>
                  <w:vAlign w:val="center"/>
                </w:tcPr>
                <w:p w14:paraId="73EF4E6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noWrap w:val="0"/>
                  <w:vAlign w:val="center"/>
                </w:tcPr>
                <w:p w14:paraId="44B7E41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noWrap w:val="0"/>
                  <w:vAlign w:val="center"/>
                </w:tcPr>
                <w:p w14:paraId="2A75CB2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0.11</w:t>
                  </w:r>
                </w:p>
              </w:tc>
              <w:tc>
                <w:tcPr>
                  <w:tcW w:w="951" w:type="dxa"/>
                  <w:noWrap w:val="0"/>
                  <w:vAlign w:val="center"/>
                </w:tcPr>
                <w:p w14:paraId="2BB8626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0.16</w:t>
                  </w:r>
                </w:p>
              </w:tc>
              <w:tc>
                <w:tcPr>
                  <w:tcW w:w="956" w:type="dxa"/>
                  <w:noWrap w:val="0"/>
                  <w:vAlign w:val="center"/>
                </w:tcPr>
                <w:p w14:paraId="5C587B1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0.12</w:t>
                  </w:r>
                </w:p>
              </w:tc>
              <w:tc>
                <w:tcPr>
                  <w:tcW w:w="2078" w:type="dxa"/>
                  <w:vMerge w:val="continue"/>
                  <w:noWrap w:val="0"/>
                  <w:vAlign w:val="center"/>
                </w:tcPr>
                <w:p w14:paraId="38D15E1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2E32C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noWrap w:val="0"/>
                  <w:vAlign w:val="center"/>
                </w:tcPr>
                <w:p w14:paraId="19EBB243">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项目西北侧厂界处</w:t>
                  </w:r>
                </w:p>
              </w:tc>
              <w:tc>
                <w:tcPr>
                  <w:tcW w:w="665" w:type="dxa"/>
                  <w:vMerge w:val="continue"/>
                  <w:noWrap w:val="0"/>
                  <w:vAlign w:val="center"/>
                </w:tcPr>
                <w:p w14:paraId="7881E90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noWrap w:val="0"/>
                  <w:vAlign w:val="center"/>
                </w:tcPr>
                <w:p w14:paraId="533A341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noWrap w:val="0"/>
                  <w:vAlign w:val="center"/>
                </w:tcPr>
                <w:p w14:paraId="33FD527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951" w:type="dxa"/>
                  <w:noWrap w:val="0"/>
                  <w:vAlign w:val="center"/>
                </w:tcPr>
                <w:p w14:paraId="5454CAA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0.12</w:t>
                  </w:r>
                </w:p>
              </w:tc>
              <w:tc>
                <w:tcPr>
                  <w:tcW w:w="956" w:type="dxa"/>
                  <w:noWrap w:val="0"/>
                  <w:vAlign w:val="center"/>
                </w:tcPr>
                <w:p w14:paraId="092003A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0.08</w:t>
                  </w:r>
                </w:p>
              </w:tc>
              <w:tc>
                <w:tcPr>
                  <w:tcW w:w="2078" w:type="dxa"/>
                  <w:vMerge w:val="continue"/>
                  <w:noWrap w:val="0"/>
                  <w:vAlign w:val="center"/>
                </w:tcPr>
                <w:p w14:paraId="3FBD075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12014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noWrap w:val="0"/>
                  <w:vAlign w:val="center"/>
                </w:tcPr>
                <w:p w14:paraId="33D842C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项目南侧厂界外2m</w:t>
                  </w:r>
                </w:p>
              </w:tc>
              <w:tc>
                <w:tcPr>
                  <w:tcW w:w="665" w:type="dxa"/>
                  <w:vMerge w:val="continue"/>
                  <w:noWrap w:val="0"/>
                  <w:vAlign w:val="center"/>
                </w:tcPr>
                <w:p w14:paraId="41E60CE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restart"/>
                  <w:noWrap w:val="0"/>
                  <w:vAlign w:val="center"/>
                </w:tcPr>
                <w:p w14:paraId="67A697B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硫化氢</w:t>
                  </w:r>
                </w:p>
              </w:tc>
              <w:tc>
                <w:tcPr>
                  <w:tcW w:w="951" w:type="dxa"/>
                  <w:noWrap w:val="0"/>
                  <w:vAlign w:val="center"/>
                </w:tcPr>
                <w:p w14:paraId="1B0A6D0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1" w:type="dxa"/>
                  <w:noWrap w:val="0"/>
                  <w:vAlign w:val="center"/>
                </w:tcPr>
                <w:p w14:paraId="699536F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6" w:type="dxa"/>
                  <w:noWrap w:val="0"/>
                  <w:vAlign w:val="center"/>
                </w:tcPr>
                <w:p w14:paraId="5C21E3E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2078" w:type="dxa"/>
                  <w:vMerge w:val="restart"/>
                  <w:noWrap w:val="0"/>
                  <w:vAlign w:val="center"/>
                </w:tcPr>
                <w:p w14:paraId="417160D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0.06</w:t>
                  </w:r>
                </w:p>
              </w:tc>
            </w:tr>
            <w:tr w14:paraId="43F92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noWrap w:val="0"/>
                  <w:vAlign w:val="center"/>
                </w:tcPr>
                <w:p w14:paraId="7873C1D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项目东南侧厂界外2m</w:t>
                  </w:r>
                </w:p>
              </w:tc>
              <w:tc>
                <w:tcPr>
                  <w:tcW w:w="665" w:type="dxa"/>
                  <w:vMerge w:val="continue"/>
                  <w:noWrap w:val="0"/>
                  <w:vAlign w:val="center"/>
                </w:tcPr>
                <w:p w14:paraId="3B24348A">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noWrap w:val="0"/>
                  <w:vAlign w:val="center"/>
                </w:tcPr>
                <w:p w14:paraId="424B91B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noWrap w:val="0"/>
                  <w:vAlign w:val="center"/>
                </w:tcPr>
                <w:p w14:paraId="621F2BE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1" w:type="dxa"/>
                  <w:noWrap w:val="0"/>
                  <w:vAlign w:val="center"/>
                </w:tcPr>
                <w:p w14:paraId="4D65DB5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6" w:type="dxa"/>
                  <w:noWrap w:val="0"/>
                  <w:vAlign w:val="center"/>
                </w:tcPr>
                <w:p w14:paraId="4825FCB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2078" w:type="dxa"/>
                  <w:vMerge w:val="continue"/>
                  <w:noWrap w:val="0"/>
                  <w:vAlign w:val="center"/>
                </w:tcPr>
                <w:p w14:paraId="606F3E4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2E0FA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noWrap w:val="0"/>
                  <w:vAlign w:val="center"/>
                </w:tcPr>
                <w:p w14:paraId="29AD85D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项目东侧厂界外2m</w:t>
                  </w:r>
                </w:p>
              </w:tc>
              <w:tc>
                <w:tcPr>
                  <w:tcW w:w="665" w:type="dxa"/>
                  <w:vMerge w:val="continue"/>
                  <w:noWrap w:val="0"/>
                  <w:vAlign w:val="center"/>
                </w:tcPr>
                <w:p w14:paraId="6299C75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noWrap w:val="0"/>
                  <w:vAlign w:val="center"/>
                </w:tcPr>
                <w:p w14:paraId="3360066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noWrap w:val="0"/>
                  <w:vAlign w:val="center"/>
                </w:tcPr>
                <w:p w14:paraId="13D3D75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1" w:type="dxa"/>
                  <w:noWrap w:val="0"/>
                  <w:vAlign w:val="center"/>
                </w:tcPr>
                <w:p w14:paraId="3D52A77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6" w:type="dxa"/>
                  <w:noWrap w:val="0"/>
                  <w:vAlign w:val="center"/>
                </w:tcPr>
                <w:p w14:paraId="15670A7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2078" w:type="dxa"/>
                  <w:vMerge w:val="continue"/>
                  <w:noWrap w:val="0"/>
                  <w:vAlign w:val="center"/>
                </w:tcPr>
                <w:p w14:paraId="58111B6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5BCB2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69" w:hRule="atLeast"/>
                <w:jc w:val="center"/>
              </w:trPr>
              <w:tc>
                <w:tcPr>
                  <w:tcW w:w="2222" w:type="dxa"/>
                  <w:vAlign w:val="center"/>
                </w:tcPr>
                <w:p w14:paraId="65C51B3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项目厂区内厂房东南侧外2m</w:t>
                  </w:r>
                </w:p>
              </w:tc>
              <w:tc>
                <w:tcPr>
                  <w:tcW w:w="665" w:type="dxa"/>
                  <w:vMerge w:val="continue"/>
                  <w:vAlign w:val="center"/>
                </w:tcPr>
                <w:p w14:paraId="4EA2005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vAlign w:val="center"/>
                </w:tcPr>
                <w:p w14:paraId="30FB315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vAlign w:val="center"/>
                </w:tcPr>
                <w:p w14:paraId="675D21D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1" w:type="dxa"/>
                  <w:vAlign w:val="center"/>
                </w:tcPr>
                <w:p w14:paraId="053A2C3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6" w:type="dxa"/>
                  <w:vAlign w:val="center"/>
                </w:tcPr>
                <w:p w14:paraId="7BCED7F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2078" w:type="dxa"/>
                  <w:vMerge w:val="continue"/>
                  <w:vAlign w:val="center"/>
                </w:tcPr>
                <w:p w14:paraId="6D2BA51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0B99E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vAlign w:val="center"/>
                </w:tcPr>
                <w:p w14:paraId="489CFAE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项目西北侧厂界处</w:t>
                  </w:r>
                </w:p>
              </w:tc>
              <w:tc>
                <w:tcPr>
                  <w:tcW w:w="665" w:type="dxa"/>
                  <w:vMerge w:val="continue"/>
                  <w:vAlign w:val="center"/>
                </w:tcPr>
                <w:p w14:paraId="4F28FB1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vAlign w:val="center"/>
                </w:tcPr>
                <w:p w14:paraId="1B90237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vAlign w:val="center"/>
                </w:tcPr>
                <w:p w14:paraId="23ECFBC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1" w:type="dxa"/>
                  <w:vAlign w:val="center"/>
                </w:tcPr>
                <w:p w14:paraId="4C3B33A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956" w:type="dxa"/>
                  <w:vAlign w:val="center"/>
                </w:tcPr>
                <w:p w14:paraId="4DE0156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2078" w:type="dxa"/>
                  <w:vMerge w:val="continue"/>
                  <w:vAlign w:val="center"/>
                </w:tcPr>
                <w:p w14:paraId="510B73D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472C7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vAlign w:val="center"/>
                </w:tcPr>
                <w:p w14:paraId="0A71F93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项目南侧厂界外2m</w:t>
                  </w:r>
                </w:p>
              </w:tc>
              <w:tc>
                <w:tcPr>
                  <w:tcW w:w="665" w:type="dxa"/>
                  <w:vMerge w:val="continue"/>
                  <w:vAlign w:val="center"/>
                </w:tcPr>
                <w:p w14:paraId="53A0124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restart"/>
                  <w:vAlign w:val="center"/>
                </w:tcPr>
                <w:p w14:paraId="20AD44D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spacing w:val="0"/>
                      <w:kern w:val="2"/>
                      <w:sz w:val="21"/>
                      <w:szCs w:val="21"/>
                      <w:lang w:val="en-US" w:eastAsia="zh-CN" w:bidi="ar-SA"/>
                    </w:rPr>
                  </w:pPr>
                  <w:r>
                    <w:rPr>
                      <w:rFonts w:hint="default" w:ascii="Times New Roman" w:hAnsi="Times New Roman" w:eastAsia="宋体" w:cs="Times New Roman"/>
                      <w:snapToGrid w:val="0"/>
                      <w:color w:val="auto"/>
                      <w:spacing w:val="0"/>
                      <w:kern w:val="2"/>
                      <w:sz w:val="21"/>
                      <w:szCs w:val="21"/>
                      <w:lang w:val="en-US" w:eastAsia="zh-CN" w:bidi="ar-SA"/>
                    </w:rPr>
                    <w:t>臭气</w:t>
                  </w:r>
                </w:p>
                <w:p w14:paraId="4C12D1E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snapToGrid w:val="0"/>
                      <w:color w:val="auto"/>
                      <w:spacing w:val="0"/>
                      <w:kern w:val="2"/>
                      <w:sz w:val="21"/>
                      <w:szCs w:val="21"/>
                      <w:lang w:val="en-US" w:eastAsia="zh-CN" w:bidi="ar-SA"/>
                    </w:rPr>
                    <w:t>浓度</w:t>
                  </w:r>
                </w:p>
              </w:tc>
              <w:tc>
                <w:tcPr>
                  <w:tcW w:w="951" w:type="dxa"/>
                  <w:vAlign w:val="center"/>
                </w:tcPr>
                <w:p w14:paraId="6C004D1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951" w:type="dxa"/>
                  <w:vAlign w:val="center"/>
                </w:tcPr>
                <w:p w14:paraId="42623F2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956" w:type="dxa"/>
                  <w:vAlign w:val="center"/>
                </w:tcPr>
                <w:p w14:paraId="514FCB4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2078" w:type="dxa"/>
                  <w:vMerge w:val="restart"/>
                  <w:vAlign w:val="center"/>
                </w:tcPr>
                <w:p w14:paraId="16A29A2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p w14:paraId="00C0EDC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（无量纲）</w:t>
                  </w:r>
                </w:p>
              </w:tc>
            </w:tr>
            <w:tr w14:paraId="711A8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8" w:hRule="atLeast"/>
                <w:jc w:val="center"/>
              </w:trPr>
              <w:tc>
                <w:tcPr>
                  <w:tcW w:w="2222" w:type="dxa"/>
                  <w:vAlign w:val="center"/>
                </w:tcPr>
                <w:p w14:paraId="3D3A56D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项目东南侧厂界外2m</w:t>
                  </w:r>
                </w:p>
              </w:tc>
              <w:tc>
                <w:tcPr>
                  <w:tcW w:w="665" w:type="dxa"/>
                  <w:vMerge w:val="continue"/>
                  <w:vAlign w:val="center"/>
                </w:tcPr>
                <w:p w14:paraId="4B8B9E72">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vAlign w:val="center"/>
                </w:tcPr>
                <w:p w14:paraId="356185F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vAlign w:val="center"/>
                </w:tcPr>
                <w:p w14:paraId="2B3B0AE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951" w:type="dxa"/>
                  <w:vAlign w:val="center"/>
                </w:tcPr>
                <w:p w14:paraId="5BF5B84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56" w:type="dxa"/>
                  <w:vAlign w:val="center"/>
                </w:tcPr>
                <w:p w14:paraId="175C2EB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2078" w:type="dxa"/>
                  <w:vMerge w:val="continue"/>
                  <w:vAlign w:val="center"/>
                </w:tcPr>
                <w:p w14:paraId="69409ED4">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2D757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88" w:hRule="atLeast"/>
                <w:jc w:val="center"/>
              </w:trPr>
              <w:tc>
                <w:tcPr>
                  <w:tcW w:w="2222" w:type="dxa"/>
                  <w:vAlign w:val="center"/>
                </w:tcPr>
                <w:p w14:paraId="4FD5EEC3">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项目东侧厂界外2m</w:t>
                  </w:r>
                </w:p>
              </w:tc>
              <w:tc>
                <w:tcPr>
                  <w:tcW w:w="665" w:type="dxa"/>
                  <w:vMerge w:val="continue"/>
                  <w:vAlign w:val="center"/>
                </w:tcPr>
                <w:p w14:paraId="1721216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899" w:type="dxa"/>
                  <w:vMerge w:val="continue"/>
                  <w:vAlign w:val="center"/>
                </w:tcPr>
                <w:p w14:paraId="38983CC3">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51" w:type="dxa"/>
                  <w:vAlign w:val="center"/>
                </w:tcPr>
                <w:p w14:paraId="6EB3FF3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51" w:type="dxa"/>
                  <w:vAlign w:val="center"/>
                </w:tcPr>
                <w:p w14:paraId="331FDB4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56" w:type="dxa"/>
                  <w:vAlign w:val="center"/>
                </w:tcPr>
                <w:p w14:paraId="6332553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2078" w:type="dxa"/>
                  <w:vMerge w:val="continue"/>
                  <w:vAlign w:val="center"/>
                </w:tcPr>
                <w:p w14:paraId="0B487F9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6CD31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39" w:hRule="atLeast"/>
                <w:jc w:val="center"/>
              </w:trPr>
              <w:tc>
                <w:tcPr>
                  <w:tcW w:w="2222" w:type="dxa"/>
                  <w:vAlign w:val="center"/>
                </w:tcPr>
                <w:p w14:paraId="3CCC577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项目厂区内厂房东南侧外2m</w:t>
                  </w:r>
                </w:p>
              </w:tc>
              <w:tc>
                <w:tcPr>
                  <w:tcW w:w="665" w:type="dxa"/>
                  <w:vMerge w:val="restart"/>
                  <w:shd w:val="clear" w:color="auto" w:fill="auto"/>
                  <w:vAlign w:val="center"/>
                </w:tcPr>
                <w:p w14:paraId="4205280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2024.07.04</w:t>
                  </w:r>
                </w:p>
              </w:tc>
              <w:tc>
                <w:tcPr>
                  <w:tcW w:w="899" w:type="dxa"/>
                  <w:vMerge w:val="restart"/>
                  <w:shd w:val="clear" w:color="auto" w:fill="auto"/>
                  <w:vAlign w:val="center"/>
                </w:tcPr>
                <w:p w14:paraId="2A18E8B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臭气</w:t>
                  </w:r>
                </w:p>
                <w:p w14:paraId="078395B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浓度</w:t>
                  </w:r>
                </w:p>
              </w:tc>
              <w:tc>
                <w:tcPr>
                  <w:tcW w:w="951" w:type="dxa"/>
                  <w:vAlign w:val="center"/>
                </w:tcPr>
                <w:p w14:paraId="36F6FB5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11</w:t>
                  </w:r>
                </w:p>
              </w:tc>
              <w:tc>
                <w:tcPr>
                  <w:tcW w:w="951" w:type="dxa"/>
                  <w:vAlign w:val="center"/>
                </w:tcPr>
                <w:p w14:paraId="512C9747">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10</w:t>
                  </w:r>
                </w:p>
              </w:tc>
              <w:tc>
                <w:tcPr>
                  <w:tcW w:w="956" w:type="dxa"/>
                  <w:vAlign w:val="center"/>
                </w:tcPr>
                <w:p w14:paraId="1FF68E6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12</w:t>
                  </w:r>
                </w:p>
              </w:tc>
              <w:tc>
                <w:tcPr>
                  <w:tcW w:w="2078" w:type="dxa"/>
                  <w:vMerge w:val="restart"/>
                  <w:vAlign w:val="center"/>
                </w:tcPr>
                <w:p w14:paraId="550B03F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20</w:t>
                  </w:r>
                </w:p>
                <w:p w14:paraId="02430DE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（无量纲）</w:t>
                  </w:r>
                </w:p>
              </w:tc>
            </w:tr>
            <w:tr w14:paraId="7D18B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939" w:hRule="atLeast"/>
                <w:jc w:val="center"/>
              </w:trPr>
              <w:tc>
                <w:tcPr>
                  <w:tcW w:w="2222" w:type="dxa"/>
                  <w:vAlign w:val="center"/>
                </w:tcPr>
                <w:p w14:paraId="74CC328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项目西北侧厂界处</w:t>
                  </w:r>
                </w:p>
              </w:tc>
              <w:tc>
                <w:tcPr>
                  <w:tcW w:w="665" w:type="dxa"/>
                  <w:vMerge w:val="continue"/>
                  <w:vAlign w:val="center"/>
                </w:tcPr>
                <w:p w14:paraId="7F11DBD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p>
              </w:tc>
              <w:tc>
                <w:tcPr>
                  <w:tcW w:w="899" w:type="dxa"/>
                  <w:vMerge w:val="continue"/>
                  <w:vAlign w:val="center"/>
                </w:tcPr>
                <w:p w14:paraId="3689DF6C">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p>
              </w:tc>
              <w:tc>
                <w:tcPr>
                  <w:tcW w:w="951" w:type="dxa"/>
                  <w:vAlign w:val="center"/>
                </w:tcPr>
                <w:p w14:paraId="7636D01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13</w:t>
                  </w:r>
                </w:p>
              </w:tc>
              <w:tc>
                <w:tcPr>
                  <w:tcW w:w="951" w:type="dxa"/>
                  <w:vAlign w:val="center"/>
                </w:tcPr>
                <w:p w14:paraId="51714F3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13</w:t>
                  </w:r>
                </w:p>
              </w:tc>
              <w:tc>
                <w:tcPr>
                  <w:tcW w:w="956" w:type="dxa"/>
                  <w:vAlign w:val="center"/>
                </w:tcPr>
                <w:p w14:paraId="4669BC1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12</w:t>
                  </w:r>
                </w:p>
              </w:tc>
              <w:tc>
                <w:tcPr>
                  <w:tcW w:w="2078" w:type="dxa"/>
                  <w:vMerge w:val="continue"/>
                  <w:vAlign w:val="center"/>
                </w:tcPr>
                <w:p w14:paraId="10291A24">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p>
              </w:tc>
            </w:tr>
            <w:tr w14:paraId="380F3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8722" w:type="dxa"/>
                  <w:gridSpan w:val="7"/>
                  <w:vAlign w:val="center"/>
                </w:tcPr>
                <w:p w14:paraId="32B0FDF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注：1、“ND”表示检测结果小于方法检出限；</w:t>
                  </w:r>
                </w:p>
                <w:p w14:paraId="44122331">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2、臭气浓度检测结果低于10时，检测结果表示为“＜10”。</w:t>
                  </w:r>
                </w:p>
              </w:tc>
            </w:tr>
          </w:tbl>
          <w:p w14:paraId="6F98EEF0">
            <w:pPr>
              <w:keepNext w:val="0"/>
              <w:keepLines w:val="0"/>
              <w:widowControl/>
              <w:suppressLineNumbers w:val="0"/>
              <w:spacing w:before="0" w:beforeAutospacing="0" w:after="0" w:afterAutospacing="0"/>
              <w:ind w:left="0" w:right="0" w:firstLine="480"/>
              <w:jc w:val="center"/>
              <w:rPr>
                <w:rFonts w:hint="eastAsia" w:ascii="Times New Roman" w:hAnsi="Times New Roman" w:eastAsia="宋体"/>
                <w:b/>
                <w:bCs/>
                <w:color w:val="auto"/>
                <w:sz w:val="21"/>
                <w:szCs w:val="21"/>
                <w:vertAlign w:val="superscript"/>
                <w:lang w:val="en-US" w:eastAsia="zh-CN"/>
              </w:rPr>
            </w:pPr>
            <w:r>
              <w:rPr>
                <w:rFonts w:hint="eastAsia" w:ascii="Times New Roman" w:hAnsi="Times New Roman" w:eastAsia="宋体"/>
                <w:b/>
                <w:bCs/>
                <w:color w:val="auto"/>
                <w:sz w:val="21"/>
                <w:szCs w:val="21"/>
              </w:rPr>
              <w:t>表</w:t>
            </w:r>
            <w:r>
              <w:rPr>
                <w:rFonts w:hint="default" w:ascii="Times New Roman" w:hAnsi="Times New Roman" w:eastAsia="宋体"/>
                <w:b/>
                <w:bCs/>
                <w:color w:val="auto"/>
                <w:sz w:val="21"/>
                <w:szCs w:val="21"/>
              </w:rPr>
              <w:t>7-</w:t>
            </w:r>
            <w:r>
              <w:rPr>
                <w:rFonts w:hint="eastAsia" w:ascii="Times New Roman" w:hAnsi="Times New Roman" w:eastAsia="宋体"/>
                <w:b/>
                <w:bCs/>
                <w:color w:val="auto"/>
                <w:sz w:val="21"/>
                <w:szCs w:val="21"/>
                <w:lang w:val="en-US" w:eastAsia="zh-CN"/>
              </w:rPr>
              <w:t>4</w:t>
            </w:r>
            <w:r>
              <w:rPr>
                <w:rFonts w:hint="default" w:ascii="Times New Roman" w:hAnsi="Times New Roman" w:eastAsia="宋体"/>
                <w:b/>
                <w:bCs/>
                <w:color w:val="auto"/>
                <w:sz w:val="21"/>
                <w:szCs w:val="21"/>
              </w:rPr>
              <w:t xml:space="preserve"> </w:t>
            </w:r>
            <w:r>
              <w:rPr>
                <w:rFonts w:hint="eastAsia" w:ascii="Times New Roman" w:hAnsi="Times New Roman" w:eastAsia="宋体"/>
                <w:b/>
                <w:bCs/>
                <w:color w:val="auto"/>
                <w:sz w:val="21"/>
                <w:szCs w:val="21"/>
                <w:lang w:val="en-US" w:eastAsia="zh-CN"/>
              </w:rPr>
              <w:t>无</w:t>
            </w:r>
            <w:r>
              <w:rPr>
                <w:rFonts w:hint="eastAsia" w:ascii="Times New Roman" w:hAnsi="Times New Roman" w:eastAsia="宋体"/>
                <w:b/>
                <w:bCs/>
                <w:color w:val="auto"/>
                <w:sz w:val="21"/>
                <w:szCs w:val="21"/>
              </w:rPr>
              <w:t>组织废气</w:t>
            </w:r>
            <w:r>
              <w:rPr>
                <w:rFonts w:hint="eastAsia" w:ascii="Times New Roman" w:eastAsia="宋体"/>
                <w:b/>
                <w:bCs/>
                <w:color w:val="auto"/>
                <w:sz w:val="21"/>
                <w:szCs w:val="21"/>
                <w:lang w:val="en-US" w:eastAsia="zh-CN"/>
              </w:rPr>
              <w:t>检测</w:t>
            </w:r>
            <w:r>
              <w:rPr>
                <w:rFonts w:hint="eastAsia" w:ascii="Times New Roman" w:hAnsi="Times New Roman" w:eastAsia="宋体"/>
                <w:b/>
                <w:bCs/>
                <w:color w:val="auto"/>
                <w:sz w:val="21"/>
                <w:szCs w:val="21"/>
              </w:rPr>
              <w:t>结果</w:t>
            </w:r>
            <w:r>
              <w:rPr>
                <w:rFonts w:hint="eastAsia" w:ascii="Times New Roman" w:hAnsi="Times New Roman" w:eastAsia="宋体"/>
                <w:b/>
                <w:bCs/>
                <w:color w:val="auto"/>
                <w:sz w:val="21"/>
                <w:szCs w:val="21"/>
                <w:lang w:val="en-US" w:eastAsia="zh-CN"/>
              </w:rPr>
              <w:t>表</w:t>
            </w:r>
            <w:r>
              <w:rPr>
                <w:rFonts w:hint="eastAsia" w:ascii="Times New Roman" w:eastAsia="宋体"/>
                <w:b/>
                <w:bCs/>
                <w:color w:val="auto"/>
                <w:sz w:val="21"/>
                <w:szCs w:val="21"/>
                <w:lang w:val="en-US" w:eastAsia="zh-CN"/>
              </w:rPr>
              <w:t>（</w:t>
            </w:r>
            <w:r>
              <w:rPr>
                <w:rFonts w:hint="eastAsia"/>
                <w:b/>
                <w:bCs/>
                <w:color w:val="auto"/>
                <w:sz w:val="21"/>
                <w:szCs w:val="21"/>
                <w:lang w:val="en-US" w:eastAsia="zh-CN"/>
              </w:rPr>
              <w:t>二</w:t>
            </w:r>
            <w:r>
              <w:rPr>
                <w:rFonts w:hint="eastAsia" w:ascii="Times New Roman" w:eastAsia="宋体"/>
                <w:b/>
                <w:bCs/>
                <w:color w:val="auto"/>
                <w:sz w:val="21"/>
                <w:szCs w:val="21"/>
                <w:lang w:val="en-US" w:eastAsia="zh-CN"/>
              </w:rPr>
              <w:t xml:space="preserve">）  </w:t>
            </w:r>
            <w:r>
              <w:rPr>
                <w:rFonts w:hint="eastAsia" w:ascii="Times New Roman" w:hAnsi="Times New Roman" w:eastAsia="宋体"/>
                <w:b/>
                <w:bCs/>
                <w:color w:val="auto"/>
                <w:sz w:val="21"/>
                <w:szCs w:val="21"/>
                <w:lang w:val="en-US" w:eastAsia="zh-CN"/>
              </w:rPr>
              <w:t>单位：mg/m</w:t>
            </w:r>
            <w:r>
              <w:rPr>
                <w:rFonts w:hint="eastAsia" w:ascii="Times New Roman" w:hAnsi="Times New Roman" w:eastAsia="宋体"/>
                <w:b/>
                <w:bCs/>
                <w:color w:val="auto"/>
                <w:sz w:val="21"/>
                <w:szCs w:val="21"/>
                <w:vertAlign w:val="superscript"/>
                <w:lang w:val="en-US" w:eastAsia="zh-CN"/>
              </w:rPr>
              <w:t>3</w:t>
            </w:r>
          </w:p>
          <w:tbl>
            <w:tblPr>
              <w:tblStyle w:val="27"/>
              <w:tblW w:w="8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1"/>
              <w:gridCol w:w="681"/>
              <w:gridCol w:w="920"/>
              <w:gridCol w:w="973"/>
              <w:gridCol w:w="973"/>
              <w:gridCol w:w="976"/>
              <w:gridCol w:w="2124"/>
            </w:tblGrid>
            <w:tr w14:paraId="18846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vMerge w:val="restart"/>
                  <w:noWrap w:val="0"/>
                  <w:vAlign w:val="center"/>
                </w:tcPr>
                <w:p w14:paraId="53E685F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检测点</w:t>
                  </w:r>
                </w:p>
                <w:p w14:paraId="704FC08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位置</w:t>
                  </w:r>
                </w:p>
              </w:tc>
              <w:tc>
                <w:tcPr>
                  <w:tcW w:w="681" w:type="dxa"/>
                  <w:vMerge w:val="restart"/>
                  <w:noWrap w:val="0"/>
                  <w:vAlign w:val="center"/>
                </w:tcPr>
                <w:p w14:paraId="46BA199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采样</w:t>
                  </w:r>
                  <w:r>
                    <w:rPr>
                      <w:rFonts w:hint="default" w:ascii="Times New Roman" w:hAnsi="Times New Roman" w:eastAsia="宋体" w:cs="Times New Roman"/>
                      <w:color w:val="auto"/>
                      <w:sz w:val="21"/>
                      <w:szCs w:val="21"/>
                      <w:lang w:eastAsia="zh-CN"/>
                    </w:rPr>
                    <w:t>日期</w:t>
                  </w:r>
                </w:p>
              </w:tc>
              <w:tc>
                <w:tcPr>
                  <w:tcW w:w="920" w:type="dxa"/>
                  <w:vMerge w:val="restart"/>
                  <w:noWrap w:val="0"/>
                  <w:vAlign w:val="center"/>
                </w:tcPr>
                <w:p w14:paraId="01E74C13">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w:t>
                  </w:r>
                </w:p>
                <w:p w14:paraId="226E4509">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2922" w:type="dxa"/>
                  <w:gridSpan w:val="3"/>
                  <w:noWrap w:val="0"/>
                  <w:vAlign w:val="center"/>
                </w:tcPr>
                <w:p w14:paraId="263B975E">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结   果</w:t>
                  </w:r>
                </w:p>
              </w:tc>
              <w:tc>
                <w:tcPr>
                  <w:tcW w:w="2124" w:type="dxa"/>
                  <w:vMerge w:val="restart"/>
                  <w:noWrap w:val="0"/>
                  <w:vAlign w:val="center"/>
                </w:tcPr>
                <w:p w14:paraId="486D3B7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恶臭污染物排放标准 GB14554-93</w:t>
                  </w:r>
                </w:p>
                <w:p w14:paraId="1361235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表1二级标准“新扩改建”标准限值</w:t>
                  </w:r>
                </w:p>
              </w:tc>
            </w:tr>
            <w:tr w14:paraId="77E0D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2331" w:type="dxa"/>
                  <w:vMerge w:val="continue"/>
                  <w:noWrap w:val="0"/>
                  <w:vAlign w:val="center"/>
                </w:tcPr>
                <w:p w14:paraId="1FEE3DAE">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681" w:type="dxa"/>
                  <w:vMerge w:val="continue"/>
                  <w:noWrap w:val="0"/>
                  <w:vAlign w:val="center"/>
                </w:tcPr>
                <w:p w14:paraId="1AA57C6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920" w:type="dxa"/>
                  <w:vMerge w:val="continue"/>
                  <w:noWrap w:val="0"/>
                  <w:vAlign w:val="center"/>
                </w:tcPr>
                <w:p w14:paraId="4F84EEF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c>
                <w:tcPr>
                  <w:tcW w:w="973" w:type="dxa"/>
                  <w:noWrap w:val="0"/>
                  <w:vAlign w:val="center"/>
                </w:tcPr>
                <w:p w14:paraId="736DFEF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第一次</w:t>
                  </w:r>
                </w:p>
              </w:tc>
              <w:tc>
                <w:tcPr>
                  <w:tcW w:w="973" w:type="dxa"/>
                  <w:noWrap w:val="0"/>
                  <w:vAlign w:val="center"/>
                </w:tcPr>
                <w:p w14:paraId="2CF504E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第二次</w:t>
                  </w:r>
                </w:p>
              </w:tc>
              <w:tc>
                <w:tcPr>
                  <w:tcW w:w="976" w:type="dxa"/>
                  <w:noWrap w:val="0"/>
                  <w:vAlign w:val="center"/>
                </w:tcPr>
                <w:p w14:paraId="7E236FE7">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第三次</w:t>
                  </w:r>
                </w:p>
              </w:tc>
              <w:tc>
                <w:tcPr>
                  <w:tcW w:w="2124" w:type="dxa"/>
                  <w:vMerge w:val="continue"/>
                  <w:noWrap w:val="0"/>
                  <w:vAlign w:val="center"/>
                </w:tcPr>
                <w:p w14:paraId="2DDCA963">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rPr>
                  </w:pPr>
                </w:p>
              </w:tc>
            </w:tr>
            <w:tr w14:paraId="7BAC2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noWrap w:val="0"/>
                  <w:vAlign w:val="center"/>
                </w:tcPr>
                <w:p w14:paraId="4F15E77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项目南侧厂界外2m</w:t>
                  </w:r>
                </w:p>
              </w:tc>
              <w:tc>
                <w:tcPr>
                  <w:tcW w:w="681" w:type="dxa"/>
                  <w:vMerge w:val="restart"/>
                  <w:noWrap w:val="0"/>
                  <w:vAlign w:val="center"/>
                </w:tcPr>
                <w:p w14:paraId="5A53348C">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2024.07.05</w:t>
                  </w:r>
                </w:p>
              </w:tc>
              <w:tc>
                <w:tcPr>
                  <w:tcW w:w="920" w:type="dxa"/>
                  <w:vMerge w:val="restart"/>
                  <w:noWrap w:val="0"/>
                  <w:vAlign w:val="center"/>
                </w:tcPr>
                <w:p w14:paraId="30D9CEC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氨</w:t>
                  </w:r>
                </w:p>
              </w:tc>
              <w:tc>
                <w:tcPr>
                  <w:tcW w:w="973" w:type="dxa"/>
                  <w:noWrap w:val="0"/>
                  <w:vAlign w:val="center"/>
                </w:tcPr>
                <w:p w14:paraId="456846A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0.07</w:t>
                  </w:r>
                </w:p>
              </w:tc>
              <w:tc>
                <w:tcPr>
                  <w:tcW w:w="973" w:type="dxa"/>
                  <w:noWrap w:val="0"/>
                  <w:vAlign w:val="center"/>
                </w:tcPr>
                <w:p w14:paraId="1D894B5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0.03</w:t>
                  </w:r>
                </w:p>
              </w:tc>
              <w:tc>
                <w:tcPr>
                  <w:tcW w:w="976" w:type="dxa"/>
                  <w:noWrap w:val="0"/>
                  <w:vAlign w:val="center"/>
                </w:tcPr>
                <w:p w14:paraId="198C2D5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0.04</w:t>
                  </w:r>
                </w:p>
              </w:tc>
              <w:tc>
                <w:tcPr>
                  <w:tcW w:w="2124" w:type="dxa"/>
                  <w:vMerge w:val="restart"/>
                  <w:noWrap w:val="0"/>
                  <w:vAlign w:val="center"/>
                </w:tcPr>
                <w:p w14:paraId="486B379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r>
            <w:tr w14:paraId="22F4C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2331" w:type="dxa"/>
                  <w:noWrap w:val="0"/>
                  <w:vAlign w:val="center"/>
                </w:tcPr>
                <w:p w14:paraId="52B53A27">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项目东南侧厂界外2m</w:t>
                  </w:r>
                </w:p>
              </w:tc>
              <w:tc>
                <w:tcPr>
                  <w:tcW w:w="681" w:type="dxa"/>
                  <w:vMerge w:val="continue"/>
                  <w:noWrap w:val="0"/>
                  <w:vAlign w:val="center"/>
                </w:tcPr>
                <w:p w14:paraId="00F04935">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noWrap w:val="0"/>
                  <w:vAlign w:val="center"/>
                </w:tcPr>
                <w:p w14:paraId="4DEB8BA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noWrap w:val="0"/>
                  <w:vAlign w:val="center"/>
                </w:tcPr>
                <w:p w14:paraId="1B6D646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0.16</w:t>
                  </w:r>
                </w:p>
              </w:tc>
              <w:tc>
                <w:tcPr>
                  <w:tcW w:w="973" w:type="dxa"/>
                  <w:noWrap w:val="0"/>
                  <w:vAlign w:val="center"/>
                </w:tcPr>
                <w:p w14:paraId="0DDA592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0.19</w:t>
                  </w:r>
                </w:p>
              </w:tc>
              <w:tc>
                <w:tcPr>
                  <w:tcW w:w="976" w:type="dxa"/>
                  <w:noWrap w:val="0"/>
                  <w:vAlign w:val="center"/>
                </w:tcPr>
                <w:p w14:paraId="6539BBB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w:t>
                  </w:r>
                </w:p>
              </w:tc>
              <w:tc>
                <w:tcPr>
                  <w:tcW w:w="2124" w:type="dxa"/>
                  <w:vMerge w:val="continue"/>
                  <w:noWrap w:val="0"/>
                  <w:vAlign w:val="center"/>
                </w:tcPr>
                <w:p w14:paraId="5525BC8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5B5CD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noWrap w:val="0"/>
                  <w:vAlign w:val="center"/>
                </w:tcPr>
                <w:p w14:paraId="5624DE7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项目东侧厂界外2m</w:t>
                  </w:r>
                </w:p>
              </w:tc>
              <w:tc>
                <w:tcPr>
                  <w:tcW w:w="681" w:type="dxa"/>
                  <w:vMerge w:val="continue"/>
                  <w:noWrap w:val="0"/>
                  <w:vAlign w:val="center"/>
                </w:tcPr>
                <w:p w14:paraId="7C538A9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noWrap w:val="0"/>
                  <w:vAlign w:val="center"/>
                </w:tcPr>
                <w:p w14:paraId="6D2FB2A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noWrap w:val="0"/>
                  <w:vAlign w:val="center"/>
                </w:tcPr>
                <w:p w14:paraId="6162638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973" w:type="dxa"/>
                  <w:noWrap w:val="0"/>
                  <w:vAlign w:val="center"/>
                </w:tcPr>
                <w:p w14:paraId="01C36D6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976" w:type="dxa"/>
                  <w:noWrap w:val="0"/>
                  <w:vAlign w:val="center"/>
                </w:tcPr>
                <w:p w14:paraId="5991DE6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0.07</w:t>
                  </w:r>
                </w:p>
              </w:tc>
              <w:tc>
                <w:tcPr>
                  <w:tcW w:w="2124" w:type="dxa"/>
                  <w:vMerge w:val="continue"/>
                  <w:noWrap w:val="0"/>
                  <w:vAlign w:val="center"/>
                </w:tcPr>
                <w:p w14:paraId="1285604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29A79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2331" w:type="dxa"/>
                  <w:noWrap w:val="0"/>
                  <w:vAlign w:val="center"/>
                </w:tcPr>
                <w:p w14:paraId="2D38D54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项目厂区内厂房东南侧外2m</w:t>
                  </w:r>
                </w:p>
              </w:tc>
              <w:tc>
                <w:tcPr>
                  <w:tcW w:w="681" w:type="dxa"/>
                  <w:vMerge w:val="continue"/>
                  <w:noWrap w:val="0"/>
                  <w:vAlign w:val="center"/>
                </w:tcPr>
                <w:p w14:paraId="19CA421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noWrap w:val="0"/>
                  <w:vAlign w:val="center"/>
                </w:tcPr>
                <w:p w14:paraId="6866E5D0">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noWrap w:val="0"/>
                  <w:vAlign w:val="center"/>
                </w:tcPr>
                <w:p w14:paraId="0C1D74B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w:t>
                  </w:r>
                </w:p>
              </w:tc>
              <w:tc>
                <w:tcPr>
                  <w:tcW w:w="973" w:type="dxa"/>
                  <w:noWrap w:val="0"/>
                  <w:vAlign w:val="center"/>
                </w:tcPr>
                <w:p w14:paraId="02AC335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0.06</w:t>
                  </w:r>
                </w:p>
              </w:tc>
              <w:tc>
                <w:tcPr>
                  <w:tcW w:w="976" w:type="dxa"/>
                  <w:noWrap w:val="0"/>
                  <w:vAlign w:val="center"/>
                </w:tcPr>
                <w:p w14:paraId="4560320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2124" w:type="dxa"/>
                  <w:vMerge w:val="continue"/>
                  <w:noWrap w:val="0"/>
                  <w:vAlign w:val="center"/>
                </w:tcPr>
                <w:p w14:paraId="5E9042C3">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1552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noWrap w:val="0"/>
                  <w:vAlign w:val="center"/>
                </w:tcPr>
                <w:p w14:paraId="09BD8B2D">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项目西北侧厂界处</w:t>
                  </w:r>
                </w:p>
              </w:tc>
              <w:tc>
                <w:tcPr>
                  <w:tcW w:w="681" w:type="dxa"/>
                  <w:vMerge w:val="continue"/>
                  <w:noWrap w:val="0"/>
                  <w:vAlign w:val="center"/>
                </w:tcPr>
                <w:p w14:paraId="73531E4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noWrap w:val="0"/>
                  <w:vAlign w:val="center"/>
                </w:tcPr>
                <w:p w14:paraId="76AB576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noWrap w:val="0"/>
                  <w:vAlign w:val="center"/>
                </w:tcPr>
                <w:p w14:paraId="2123B80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0.03</w:t>
                  </w:r>
                </w:p>
              </w:tc>
              <w:tc>
                <w:tcPr>
                  <w:tcW w:w="973" w:type="dxa"/>
                  <w:noWrap w:val="0"/>
                  <w:vAlign w:val="center"/>
                </w:tcPr>
                <w:p w14:paraId="5596340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w:t>
                  </w:r>
                </w:p>
              </w:tc>
              <w:tc>
                <w:tcPr>
                  <w:tcW w:w="976" w:type="dxa"/>
                  <w:noWrap w:val="0"/>
                  <w:vAlign w:val="center"/>
                </w:tcPr>
                <w:p w14:paraId="43B04D5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0.12</w:t>
                  </w:r>
                </w:p>
              </w:tc>
              <w:tc>
                <w:tcPr>
                  <w:tcW w:w="2124" w:type="dxa"/>
                  <w:vMerge w:val="continue"/>
                  <w:noWrap w:val="0"/>
                  <w:vAlign w:val="center"/>
                </w:tcPr>
                <w:p w14:paraId="6279E96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31D05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noWrap w:val="0"/>
                  <w:vAlign w:val="center"/>
                </w:tcPr>
                <w:p w14:paraId="2DEB17A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项目南侧厂界外2m</w:t>
                  </w:r>
                </w:p>
              </w:tc>
              <w:tc>
                <w:tcPr>
                  <w:tcW w:w="681" w:type="dxa"/>
                  <w:vMerge w:val="continue"/>
                  <w:noWrap w:val="0"/>
                  <w:vAlign w:val="center"/>
                </w:tcPr>
                <w:p w14:paraId="75C822C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restart"/>
                  <w:noWrap w:val="0"/>
                  <w:vAlign w:val="center"/>
                </w:tcPr>
                <w:p w14:paraId="20CE686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硫化氢</w:t>
                  </w:r>
                </w:p>
              </w:tc>
              <w:tc>
                <w:tcPr>
                  <w:tcW w:w="973" w:type="dxa"/>
                  <w:noWrap w:val="0"/>
                  <w:vAlign w:val="center"/>
                </w:tcPr>
                <w:p w14:paraId="792658B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3" w:type="dxa"/>
                  <w:noWrap w:val="0"/>
                  <w:vAlign w:val="center"/>
                </w:tcPr>
                <w:p w14:paraId="16F2BCB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6" w:type="dxa"/>
                  <w:noWrap w:val="0"/>
                  <w:vAlign w:val="center"/>
                </w:tcPr>
                <w:p w14:paraId="5A8F7BC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2124" w:type="dxa"/>
                  <w:vMerge w:val="restart"/>
                  <w:noWrap w:val="0"/>
                  <w:vAlign w:val="center"/>
                </w:tcPr>
                <w:p w14:paraId="65A880BE">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0.06</w:t>
                  </w:r>
                </w:p>
              </w:tc>
            </w:tr>
            <w:tr w14:paraId="16F85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2331" w:type="dxa"/>
                  <w:noWrap w:val="0"/>
                  <w:vAlign w:val="center"/>
                </w:tcPr>
                <w:p w14:paraId="00F2361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项目东南侧厂界外2m</w:t>
                  </w:r>
                </w:p>
              </w:tc>
              <w:tc>
                <w:tcPr>
                  <w:tcW w:w="681" w:type="dxa"/>
                  <w:vMerge w:val="continue"/>
                  <w:noWrap w:val="0"/>
                  <w:vAlign w:val="center"/>
                </w:tcPr>
                <w:p w14:paraId="4E69F60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noWrap w:val="0"/>
                  <w:vAlign w:val="center"/>
                </w:tcPr>
                <w:p w14:paraId="7D1A2BD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noWrap w:val="0"/>
                  <w:vAlign w:val="center"/>
                </w:tcPr>
                <w:p w14:paraId="22EB84E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3" w:type="dxa"/>
                  <w:noWrap w:val="0"/>
                  <w:vAlign w:val="center"/>
                </w:tcPr>
                <w:p w14:paraId="3DE6609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6" w:type="dxa"/>
                  <w:noWrap w:val="0"/>
                  <w:vAlign w:val="center"/>
                </w:tcPr>
                <w:p w14:paraId="7523517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2124" w:type="dxa"/>
                  <w:vMerge w:val="continue"/>
                  <w:noWrap w:val="0"/>
                  <w:vAlign w:val="center"/>
                </w:tcPr>
                <w:p w14:paraId="7AD5B4A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6DF2A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noWrap w:val="0"/>
                  <w:vAlign w:val="center"/>
                </w:tcPr>
                <w:p w14:paraId="6A2DA324">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项目东侧厂界外2m</w:t>
                  </w:r>
                </w:p>
              </w:tc>
              <w:tc>
                <w:tcPr>
                  <w:tcW w:w="681" w:type="dxa"/>
                  <w:vMerge w:val="continue"/>
                  <w:noWrap w:val="0"/>
                  <w:vAlign w:val="center"/>
                </w:tcPr>
                <w:p w14:paraId="68E206A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noWrap w:val="0"/>
                  <w:vAlign w:val="center"/>
                </w:tcPr>
                <w:p w14:paraId="2869904B">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noWrap w:val="0"/>
                  <w:vAlign w:val="center"/>
                </w:tcPr>
                <w:p w14:paraId="5866F6B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3" w:type="dxa"/>
                  <w:noWrap w:val="0"/>
                  <w:vAlign w:val="center"/>
                </w:tcPr>
                <w:p w14:paraId="1923689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6" w:type="dxa"/>
                  <w:noWrap w:val="0"/>
                  <w:vAlign w:val="center"/>
                </w:tcPr>
                <w:p w14:paraId="1B631A6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2124" w:type="dxa"/>
                  <w:vMerge w:val="continue"/>
                  <w:noWrap w:val="0"/>
                  <w:vAlign w:val="center"/>
                </w:tcPr>
                <w:p w14:paraId="10173A1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4D439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2331" w:type="dxa"/>
                  <w:vAlign w:val="center"/>
                </w:tcPr>
                <w:p w14:paraId="7BBA9889">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项目厂区内厂房东南侧外2m</w:t>
                  </w:r>
                </w:p>
              </w:tc>
              <w:tc>
                <w:tcPr>
                  <w:tcW w:w="681" w:type="dxa"/>
                  <w:vMerge w:val="continue"/>
                  <w:vAlign w:val="center"/>
                </w:tcPr>
                <w:p w14:paraId="4BEF5C8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vAlign w:val="center"/>
                </w:tcPr>
                <w:p w14:paraId="5C022A91">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vAlign w:val="center"/>
                </w:tcPr>
                <w:p w14:paraId="344F85B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3" w:type="dxa"/>
                  <w:vAlign w:val="center"/>
                </w:tcPr>
                <w:p w14:paraId="31CBF8D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6" w:type="dxa"/>
                  <w:vAlign w:val="center"/>
                </w:tcPr>
                <w:p w14:paraId="6BAF49E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2124" w:type="dxa"/>
                  <w:vMerge w:val="continue"/>
                  <w:vAlign w:val="center"/>
                </w:tcPr>
                <w:p w14:paraId="5567AA25">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49FD5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vAlign w:val="center"/>
                </w:tcPr>
                <w:p w14:paraId="341B7DCE">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项目西北侧厂界处</w:t>
                  </w:r>
                </w:p>
              </w:tc>
              <w:tc>
                <w:tcPr>
                  <w:tcW w:w="681" w:type="dxa"/>
                  <w:vMerge w:val="continue"/>
                  <w:vAlign w:val="center"/>
                </w:tcPr>
                <w:p w14:paraId="116EAE7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vAlign w:val="center"/>
                </w:tcPr>
                <w:p w14:paraId="7A9EF91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vAlign w:val="center"/>
                </w:tcPr>
                <w:p w14:paraId="6606107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3" w:type="dxa"/>
                  <w:vAlign w:val="center"/>
                </w:tcPr>
                <w:p w14:paraId="4A4F2AF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976" w:type="dxa"/>
                  <w:vAlign w:val="center"/>
                </w:tcPr>
                <w:p w14:paraId="778DCA6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2124" w:type="dxa"/>
                  <w:vMerge w:val="continue"/>
                  <w:vAlign w:val="center"/>
                </w:tcPr>
                <w:p w14:paraId="715790C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6325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vAlign w:val="center"/>
                </w:tcPr>
                <w:p w14:paraId="1CAD78C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项目南侧厂界外2m</w:t>
                  </w:r>
                </w:p>
              </w:tc>
              <w:tc>
                <w:tcPr>
                  <w:tcW w:w="681" w:type="dxa"/>
                  <w:vMerge w:val="continue"/>
                  <w:vAlign w:val="center"/>
                </w:tcPr>
                <w:p w14:paraId="67A44DB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restart"/>
                  <w:vAlign w:val="center"/>
                </w:tcPr>
                <w:p w14:paraId="55088D0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spacing w:val="0"/>
                      <w:kern w:val="2"/>
                      <w:sz w:val="21"/>
                      <w:szCs w:val="21"/>
                      <w:lang w:val="en-US" w:eastAsia="zh-CN" w:bidi="ar-SA"/>
                    </w:rPr>
                  </w:pPr>
                  <w:r>
                    <w:rPr>
                      <w:rFonts w:hint="default" w:ascii="Times New Roman" w:hAnsi="Times New Roman" w:eastAsia="宋体" w:cs="Times New Roman"/>
                      <w:snapToGrid w:val="0"/>
                      <w:color w:val="auto"/>
                      <w:spacing w:val="0"/>
                      <w:kern w:val="2"/>
                      <w:sz w:val="21"/>
                      <w:szCs w:val="21"/>
                      <w:lang w:val="en-US" w:eastAsia="zh-CN" w:bidi="ar-SA"/>
                    </w:rPr>
                    <w:t>臭气</w:t>
                  </w:r>
                </w:p>
                <w:p w14:paraId="09BD6D0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snapToGrid w:val="0"/>
                      <w:color w:val="auto"/>
                      <w:spacing w:val="0"/>
                      <w:kern w:val="2"/>
                      <w:sz w:val="21"/>
                      <w:szCs w:val="21"/>
                      <w:lang w:val="en-US" w:eastAsia="zh-CN" w:bidi="ar-SA"/>
                    </w:rPr>
                    <w:t>浓度</w:t>
                  </w:r>
                </w:p>
              </w:tc>
              <w:tc>
                <w:tcPr>
                  <w:tcW w:w="973" w:type="dxa"/>
                  <w:vAlign w:val="center"/>
                </w:tcPr>
                <w:p w14:paraId="1DC24B2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973" w:type="dxa"/>
                  <w:vAlign w:val="center"/>
                </w:tcPr>
                <w:p w14:paraId="09377C2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976" w:type="dxa"/>
                  <w:vAlign w:val="center"/>
                </w:tcPr>
                <w:p w14:paraId="2926B7F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2124" w:type="dxa"/>
                  <w:vMerge w:val="restart"/>
                  <w:vAlign w:val="center"/>
                </w:tcPr>
                <w:p w14:paraId="628BB48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p w14:paraId="6C74AFE7">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（无量纲）</w:t>
                  </w:r>
                </w:p>
              </w:tc>
            </w:tr>
            <w:tr w14:paraId="11026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2331" w:type="dxa"/>
                  <w:vAlign w:val="center"/>
                </w:tcPr>
                <w:p w14:paraId="10D28182">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项目东南侧厂界外2m</w:t>
                  </w:r>
                </w:p>
              </w:tc>
              <w:tc>
                <w:tcPr>
                  <w:tcW w:w="681" w:type="dxa"/>
                  <w:vMerge w:val="continue"/>
                  <w:vAlign w:val="center"/>
                </w:tcPr>
                <w:p w14:paraId="34C7C23D">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vAlign w:val="center"/>
                </w:tcPr>
                <w:p w14:paraId="0F363138">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vAlign w:val="center"/>
                </w:tcPr>
                <w:p w14:paraId="7E4519A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973" w:type="dxa"/>
                  <w:vAlign w:val="center"/>
                </w:tcPr>
                <w:p w14:paraId="3C3BC8E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76" w:type="dxa"/>
                  <w:vAlign w:val="center"/>
                </w:tcPr>
                <w:p w14:paraId="008A7F7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2124" w:type="dxa"/>
                  <w:vMerge w:val="continue"/>
                  <w:vAlign w:val="center"/>
                </w:tcPr>
                <w:p w14:paraId="11F20F99">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47E08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vAlign w:val="center"/>
                </w:tcPr>
                <w:p w14:paraId="665FBE96">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项目东侧厂界外2m</w:t>
                  </w:r>
                </w:p>
              </w:tc>
              <w:tc>
                <w:tcPr>
                  <w:tcW w:w="681" w:type="dxa"/>
                  <w:vMerge w:val="continue"/>
                  <w:vAlign w:val="center"/>
                </w:tcPr>
                <w:p w14:paraId="5416AE47">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vAlign w:val="center"/>
                </w:tcPr>
                <w:p w14:paraId="098922F6">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vAlign w:val="center"/>
                </w:tcPr>
                <w:p w14:paraId="720C11A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73" w:type="dxa"/>
                  <w:vAlign w:val="center"/>
                </w:tcPr>
                <w:p w14:paraId="57E1D4B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976" w:type="dxa"/>
                  <w:vAlign w:val="center"/>
                </w:tcPr>
                <w:p w14:paraId="29ED8CE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2124" w:type="dxa"/>
                  <w:vMerge w:val="continue"/>
                  <w:vAlign w:val="center"/>
                </w:tcPr>
                <w:p w14:paraId="02FFC64B">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5C15C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2331" w:type="dxa"/>
                  <w:vAlign w:val="center"/>
                </w:tcPr>
                <w:p w14:paraId="4C392020">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项目厂区内厂房东南侧外2m</w:t>
                  </w:r>
                </w:p>
              </w:tc>
              <w:tc>
                <w:tcPr>
                  <w:tcW w:w="681" w:type="dxa"/>
                  <w:vMerge w:val="continue"/>
                  <w:vAlign w:val="center"/>
                </w:tcPr>
                <w:p w14:paraId="610B1C59">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vAlign w:val="center"/>
                </w:tcPr>
                <w:p w14:paraId="078FD35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vAlign w:val="center"/>
                </w:tcPr>
                <w:p w14:paraId="271088B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73" w:type="dxa"/>
                  <w:vAlign w:val="center"/>
                </w:tcPr>
                <w:p w14:paraId="16BE638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76" w:type="dxa"/>
                  <w:vAlign w:val="center"/>
                </w:tcPr>
                <w:p w14:paraId="091453D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2124" w:type="dxa"/>
                  <w:vMerge w:val="continue"/>
                  <w:vAlign w:val="center"/>
                </w:tcPr>
                <w:p w14:paraId="5A376F8A">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2A44E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2331" w:type="dxa"/>
                  <w:vAlign w:val="center"/>
                </w:tcPr>
                <w:p w14:paraId="2D48871F">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Cs/>
                      <w:snapToGrid w:val="0"/>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项目西北侧厂界处</w:t>
                  </w:r>
                </w:p>
              </w:tc>
              <w:tc>
                <w:tcPr>
                  <w:tcW w:w="681" w:type="dxa"/>
                  <w:vMerge w:val="continue"/>
                  <w:vAlign w:val="center"/>
                </w:tcPr>
                <w:p w14:paraId="30B112FE">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920" w:type="dxa"/>
                  <w:vMerge w:val="continue"/>
                  <w:vAlign w:val="center"/>
                </w:tcPr>
                <w:p w14:paraId="6B98CC8F">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p>
              </w:tc>
              <w:tc>
                <w:tcPr>
                  <w:tcW w:w="973" w:type="dxa"/>
                  <w:vAlign w:val="center"/>
                </w:tcPr>
                <w:p w14:paraId="302229E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973" w:type="dxa"/>
                  <w:vAlign w:val="center"/>
                </w:tcPr>
                <w:p w14:paraId="260C78A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976" w:type="dxa"/>
                  <w:vAlign w:val="center"/>
                </w:tcPr>
                <w:p w14:paraId="6525553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w:t>
                  </w:r>
                </w:p>
              </w:tc>
              <w:tc>
                <w:tcPr>
                  <w:tcW w:w="2124" w:type="dxa"/>
                  <w:vMerge w:val="continue"/>
                  <w:vAlign w:val="center"/>
                </w:tcPr>
                <w:p w14:paraId="749C3838">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p>
              </w:tc>
            </w:tr>
            <w:tr w14:paraId="7F551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8978" w:type="dxa"/>
                  <w:gridSpan w:val="7"/>
                  <w:vAlign w:val="center"/>
                </w:tcPr>
                <w:p w14:paraId="5734447C">
                  <w:pPr>
                    <w:keepNext w:val="0"/>
                    <w:keepLines w:val="0"/>
                    <w:pageBreakBefore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注：1、“ND”表示检测结果小于方法检出限；</w:t>
                  </w:r>
                </w:p>
                <w:p w14:paraId="3691A7CC">
                  <w:pPr>
                    <w:keepNext w:val="0"/>
                    <w:keepLines w:val="0"/>
                    <w:pageBreakBefore w:val="0"/>
                    <w:kinsoku/>
                    <w:wordWrap/>
                    <w:overflowPunct/>
                    <w:topLinePunct w:val="0"/>
                    <w:autoSpaceDE/>
                    <w:autoSpaceDN/>
                    <w:bidi w:val="0"/>
                    <w:adjustRightInd w:val="0"/>
                    <w:snapToGrid w:val="0"/>
                    <w:spacing w:line="240" w:lineRule="auto"/>
                    <w:ind w:left="0" w:firstLine="0" w:firstLineChars="0"/>
                    <w:jc w:val="left"/>
                    <w:textAlignment w:val="auto"/>
                    <w:rPr>
                      <w:rFonts w:hint="default"/>
                      <w:color w:val="auto"/>
                      <w:sz w:val="21"/>
                      <w:szCs w:val="21"/>
                      <w:lang w:val="en-US" w:eastAsia="zh-CN"/>
                    </w:rPr>
                  </w:pPr>
                  <w:r>
                    <w:rPr>
                      <w:rFonts w:hint="eastAsia" w:ascii="Times New Roman" w:hAnsi="Times New Roman" w:eastAsia="宋体" w:cs="Times New Roman"/>
                      <w:snapToGrid w:val="0"/>
                      <w:color w:val="auto"/>
                      <w:kern w:val="0"/>
                      <w:sz w:val="21"/>
                      <w:szCs w:val="21"/>
                      <w:lang w:val="en-US" w:eastAsia="zh-CN" w:bidi="ar-SA"/>
                    </w:rPr>
                    <w:t>2、臭气浓度检测结果低于10时，检测结果表示为“＜10”。</w:t>
                  </w:r>
                </w:p>
              </w:tc>
            </w:tr>
          </w:tbl>
          <w:p w14:paraId="69CF643E">
            <w:pPr>
              <w:pStyle w:val="12"/>
              <w:keepNext w:val="0"/>
              <w:keepLines w:val="0"/>
              <w:pageBreakBefore w:val="0"/>
              <w:widowControl/>
              <w:kinsoku/>
              <w:wordWrap/>
              <w:overflowPunct/>
              <w:topLinePunct w:val="0"/>
              <w:autoSpaceDE/>
              <w:autoSpaceDN/>
              <w:bidi w:val="0"/>
              <w:adjustRightInd w:val="0"/>
              <w:snapToGrid w:val="0"/>
              <w:spacing w:after="0" w:line="360" w:lineRule="auto"/>
              <w:ind w:left="0" w:right="0" w:firstLine="488"/>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由表7-3，</w:t>
            </w:r>
            <w:r>
              <w:rPr>
                <w:rFonts w:hint="default" w:ascii="Times New Roman" w:hAnsi="Times New Roman" w:eastAsia="宋体" w:cs="Times New Roman"/>
                <w:color w:val="auto"/>
                <w:kern w:val="2"/>
                <w:sz w:val="24"/>
                <w:szCs w:val="24"/>
                <w:lang w:val="en-US" w:eastAsia="zh-CN" w:bidi="ar-SA"/>
              </w:rPr>
              <w:t>7-</w:t>
            </w:r>
            <w:r>
              <w:rPr>
                <w:rFonts w:hint="eastAsia" w:ascii="Times New Roman" w:hAnsi="Times New Roman" w:eastAsia="宋体" w:cs="Times New Roman"/>
                <w:color w:val="auto"/>
                <w:kern w:val="2"/>
                <w:sz w:val="24"/>
                <w:szCs w:val="24"/>
                <w:lang w:val="en-US" w:eastAsia="zh-CN" w:bidi="ar-SA"/>
              </w:rPr>
              <w:t>4可知，验收监测期间，无组织废气检测中，</w:t>
            </w:r>
            <w:r>
              <w:rPr>
                <w:rFonts w:hint="default" w:ascii="Times New Roman" w:hAnsi="Times New Roman" w:eastAsia="宋体" w:cs="Times New Roman"/>
                <w:color w:val="auto"/>
                <w:kern w:val="2"/>
                <w:sz w:val="24"/>
                <w:szCs w:val="24"/>
                <w:lang w:val="en-US" w:eastAsia="zh-CN" w:bidi="ar-SA"/>
              </w:rPr>
              <w:t>臭气浓度、硫化氢、氨</w:t>
            </w:r>
            <w:r>
              <w:rPr>
                <w:rFonts w:hint="eastAsia" w:ascii="Times New Roman" w:hAnsi="Times New Roman" w:eastAsia="宋体" w:cs="Times New Roman"/>
                <w:color w:val="auto"/>
                <w:kern w:val="2"/>
                <w:sz w:val="24"/>
                <w:szCs w:val="24"/>
                <w:lang w:val="en-US" w:eastAsia="zh-CN" w:bidi="ar-SA"/>
              </w:rPr>
              <w:t>检测结果符合</w:t>
            </w:r>
            <w:r>
              <w:rPr>
                <w:rFonts w:hint="default" w:ascii="Times New Roman" w:hAnsi="Times New Roman" w:eastAsia="宋体" w:cs="Times New Roman"/>
                <w:color w:val="auto"/>
                <w:kern w:val="2"/>
                <w:sz w:val="24"/>
                <w:szCs w:val="24"/>
                <w:lang w:val="en-US" w:eastAsia="zh-CN" w:bidi="ar-SA"/>
              </w:rPr>
              <w:t>《恶臭污染物排放标准》（GB14554-93）表1二级标准“新扩改建”标准限值。</w:t>
            </w:r>
          </w:p>
          <w:p w14:paraId="67FA875C">
            <w:pPr>
              <w:pStyle w:val="5"/>
              <w:keepNext w:val="0"/>
              <w:keepLines w:val="0"/>
              <w:numPr>
                <w:ilvl w:val="0"/>
                <w:numId w:val="6"/>
              </w:numPr>
              <w:suppressLineNumbers w:val="0"/>
              <w:spacing w:before="0" w:beforeAutospacing="0" w:after="0" w:afterAutospacing="0"/>
              <w:ind w:left="0" w:right="0"/>
              <w:rPr>
                <w:rFonts w:hint="eastAsia"/>
                <w:color w:val="auto"/>
                <w:sz w:val="24"/>
                <w:szCs w:val="24"/>
                <w:lang w:val="en-US" w:eastAsia="zh-CN"/>
              </w:rPr>
            </w:pPr>
            <w:r>
              <w:rPr>
                <w:rFonts w:hint="eastAsia"/>
                <w:color w:val="auto"/>
                <w:sz w:val="24"/>
                <w:szCs w:val="24"/>
                <w:lang w:val="en-US" w:eastAsia="zh-CN"/>
              </w:rPr>
              <w:t>废水</w:t>
            </w:r>
          </w:p>
          <w:p w14:paraId="62D4EE93">
            <w:pPr>
              <w:numPr>
                <w:numId w:val="0"/>
              </w:numPr>
              <w:ind w:firstLine="480" w:firstLineChars="200"/>
              <w:rPr>
                <w:rFonts w:hint="eastAsia" w:eastAsia="宋体"/>
                <w:color w:val="auto"/>
                <w:lang w:val="en-US" w:eastAsia="zh-CN"/>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color w:val="auto"/>
                <w:kern w:val="2"/>
              </w:rPr>
              <w:t>，本项目竣工环境保护设施验收</w:t>
            </w:r>
            <w:r>
              <w:rPr>
                <w:rFonts w:hint="eastAsia"/>
                <w:color w:val="auto"/>
                <w:kern w:val="2"/>
                <w:lang w:val="en-US" w:eastAsia="zh-CN"/>
              </w:rPr>
              <w:t>监测</w:t>
            </w:r>
            <w:r>
              <w:rPr>
                <w:rFonts w:hint="eastAsia"/>
                <w:color w:val="auto"/>
                <w:kern w:val="2"/>
              </w:rPr>
              <w:t>期间，</w:t>
            </w:r>
            <w:r>
              <w:rPr>
                <w:rFonts w:hint="eastAsia"/>
                <w:color w:val="auto"/>
                <w:kern w:val="2"/>
                <w:lang w:eastAsia="zh-CN"/>
              </w:rPr>
              <w:t>废水检测结果如下表。</w:t>
            </w:r>
          </w:p>
          <w:p w14:paraId="7F3E412C">
            <w:pPr>
              <w:keepNext w:val="0"/>
              <w:keepLines w:val="0"/>
              <w:widowControl/>
              <w:suppressLineNumbers w:val="0"/>
              <w:spacing w:before="0" w:beforeAutospacing="0" w:after="0" w:afterAutospacing="0"/>
              <w:ind w:left="0" w:right="0" w:firstLine="480"/>
              <w:jc w:val="center"/>
              <w:rPr>
                <w:rFonts w:hint="default" w:ascii="Times New Roman" w:hAnsi="Times New Roman" w:eastAsia="宋体"/>
                <w:b/>
                <w:bCs/>
                <w:color w:val="auto"/>
                <w:sz w:val="21"/>
                <w:szCs w:val="21"/>
                <w:vertAlign w:val="superscript"/>
                <w:lang w:val="en-US" w:eastAsia="zh-CN"/>
              </w:rPr>
            </w:pPr>
            <w:r>
              <w:rPr>
                <w:rFonts w:hint="eastAsia" w:ascii="Times New Roman" w:hAnsi="Times New Roman" w:eastAsia="宋体"/>
                <w:b/>
                <w:bCs/>
                <w:color w:val="auto"/>
                <w:sz w:val="21"/>
                <w:szCs w:val="21"/>
              </w:rPr>
              <w:t>表</w:t>
            </w:r>
            <w:r>
              <w:rPr>
                <w:rFonts w:hint="default" w:ascii="Times New Roman" w:hAnsi="Times New Roman" w:eastAsia="宋体"/>
                <w:b/>
                <w:bCs/>
                <w:color w:val="auto"/>
                <w:sz w:val="21"/>
                <w:szCs w:val="21"/>
              </w:rPr>
              <w:t>7-</w:t>
            </w:r>
            <w:r>
              <w:rPr>
                <w:rFonts w:hint="eastAsia" w:ascii="Times New Roman" w:hAnsi="Times New Roman" w:eastAsia="宋体"/>
                <w:b/>
                <w:bCs/>
                <w:color w:val="auto"/>
                <w:sz w:val="21"/>
                <w:szCs w:val="21"/>
                <w:lang w:val="en-US" w:eastAsia="zh-CN"/>
              </w:rPr>
              <w:t>5</w:t>
            </w:r>
            <w:r>
              <w:rPr>
                <w:rFonts w:hint="default" w:ascii="Times New Roman" w:hAnsi="Times New Roman" w:eastAsia="宋体"/>
                <w:b/>
                <w:bCs/>
                <w:color w:val="auto"/>
                <w:sz w:val="21"/>
                <w:szCs w:val="21"/>
              </w:rPr>
              <w:t xml:space="preserve"> </w:t>
            </w:r>
            <w:r>
              <w:rPr>
                <w:rFonts w:hint="eastAsia" w:ascii="Times New Roman" w:hAnsi="Times New Roman" w:eastAsia="宋体"/>
                <w:b/>
                <w:bCs/>
                <w:color w:val="auto"/>
                <w:sz w:val="21"/>
                <w:szCs w:val="21"/>
                <w:lang w:val="en-US" w:eastAsia="zh-CN"/>
              </w:rPr>
              <w:t xml:space="preserve"> </w:t>
            </w:r>
            <w:r>
              <w:rPr>
                <w:rFonts w:hint="eastAsia" w:ascii="Times New Roman" w:hAnsi="Times New Roman" w:eastAsia="宋体"/>
                <w:b/>
                <w:bCs/>
                <w:color w:val="auto"/>
                <w:sz w:val="21"/>
                <w:szCs w:val="21"/>
                <w:lang w:eastAsia="zh-CN"/>
              </w:rPr>
              <w:t>废水</w:t>
            </w:r>
            <w:r>
              <w:rPr>
                <w:rFonts w:hint="eastAsia" w:ascii="Times New Roman" w:eastAsia="宋体"/>
                <w:b/>
                <w:bCs/>
                <w:color w:val="auto"/>
                <w:sz w:val="21"/>
                <w:szCs w:val="21"/>
                <w:lang w:val="en-US" w:eastAsia="zh-CN"/>
              </w:rPr>
              <w:t>检测</w:t>
            </w:r>
            <w:r>
              <w:rPr>
                <w:rFonts w:hint="eastAsia" w:ascii="Times New Roman" w:hAnsi="Times New Roman" w:eastAsia="宋体"/>
                <w:b/>
                <w:bCs/>
                <w:color w:val="auto"/>
                <w:sz w:val="21"/>
                <w:szCs w:val="21"/>
              </w:rPr>
              <w:t>结果</w:t>
            </w:r>
            <w:r>
              <w:rPr>
                <w:rFonts w:hint="eastAsia" w:ascii="Times New Roman" w:hAnsi="Times New Roman" w:eastAsia="宋体"/>
                <w:b/>
                <w:bCs/>
                <w:color w:val="auto"/>
                <w:sz w:val="21"/>
                <w:szCs w:val="21"/>
                <w:lang w:val="en-US" w:eastAsia="zh-CN"/>
              </w:rPr>
              <w:t>表</w:t>
            </w:r>
            <w:r>
              <w:rPr>
                <w:rFonts w:hint="eastAsia" w:ascii="Times New Roman" w:eastAsia="宋体"/>
                <w:b/>
                <w:bCs/>
                <w:color w:val="auto"/>
                <w:sz w:val="21"/>
                <w:szCs w:val="21"/>
                <w:lang w:val="en-US" w:eastAsia="zh-CN"/>
              </w:rPr>
              <w:t xml:space="preserve">  </w:t>
            </w:r>
            <w:r>
              <w:rPr>
                <w:rFonts w:hint="eastAsia" w:ascii="Times New Roman" w:hAnsi="Times New Roman" w:eastAsia="宋体"/>
                <w:b/>
                <w:bCs/>
                <w:color w:val="auto"/>
                <w:sz w:val="21"/>
                <w:szCs w:val="21"/>
                <w:lang w:val="en-US" w:eastAsia="zh-CN"/>
              </w:rPr>
              <w:t>单位：mg/L</w:t>
            </w:r>
          </w:p>
          <w:tbl>
            <w:tblPr>
              <w:tblStyle w:val="27"/>
              <w:tblW w:w="8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26"/>
              <w:gridCol w:w="1590"/>
              <w:gridCol w:w="1007"/>
              <w:gridCol w:w="1007"/>
              <w:gridCol w:w="1007"/>
              <w:gridCol w:w="1010"/>
              <w:gridCol w:w="2453"/>
            </w:tblGrid>
            <w:tr w14:paraId="6DF73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24" w:type="dxa"/>
                  <w:gridSpan w:val="2"/>
                  <w:vMerge w:val="restart"/>
                  <w:noWrap w:val="0"/>
                  <w:vAlign w:val="center"/>
                </w:tcPr>
                <w:p w14:paraId="2BFB9810">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检测点</w:t>
                  </w:r>
                </w:p>
                <w:p w14:paraId="56BCA2E5">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位置</w:t>
                  </w:r>
                </w:p>
              </w:tc>
              <w:tc>
                <w:tcPr>
                  <w:tcW w:w="1590" w:type="dxa"/>
                  <w:vMerge w:val="restart"/>
                  <w:noWrap w:val="0"/>
                  <w:vAlign w:val="center"/>
                </w:tcPr>
                <w:p w14:paraId="25445BBE">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检测项目</w:t>
                  </w:r>
                </w:p>
              </w:tc>
              <w:tc>
                <w:tcPr>
                  <w:tcW w:w="4031" w:type="dxa"/>
                  <w:gridSpan w:val="4"/>
                  <w:noWrap w:val="0"/>
                  <w:vAlign w:val="center"/>
                </w:tcPr>
                <w:p w14:paraId="798F6109">
                  <w:pPr>
                    <w:keepNext w:val="0"/>
                    <w:keepLines w:val="0"/>
                    <w:pageBreakBefore w:val="0"/>
                    <w:widowControl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结果（</w:t>
                  </w:r>
                  <w:r>
                    <w:rPr>
                      <w:rFonts w:hint="default" w:ascii="Times New Roman" w:hAnsi="Times New Roman" w:eastAsia="宋体" w:cs="Times New Roman"/>
                      <w:color w:val="auto"/>
                      <w:spacing w:val="-2"/>
                      <w:sz w:val="21"/>
                      <w:szCs w:val="21"/>
                      <w:lang w:val="en-US" w:eastAsia="zh-CN"/>
                    </w:rPr>
                    <w:t>2024.07.04</w:t>
                  </w:r>
                  <w:r>
                    <w:rPr>
                      <w:rFonts w:hint="default" w:ascii="Times New Roman" w:hAnsi="Times New Roman" w:eastAsia="宋体" w:cs="Times New Roman"/>
                      <w:color w:val="auto"/>
                      <w:sz w:val="21"/>
                      <w:szCs w:val="21"/>
                    </w:rPr>
                    <w:t>）</w:t>
                  </w:r>
                </w:p>
              </w:tc>
              <w:tc>
                <w:tcPr>
                  <w:tcW w:w="2453" w:type="dxa"/>
                  <w:vMerge w:val="restart"/>
                  <w:noWrap w:val="0"/>
                  <w:vAlign w:val="center"/>
                </w:tcPr>
                <w:p w14:paraId="61177E6F">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污水综合</w:t>
                  </w:r>
                  <w:r>
                    <w:rPr>
                      <w:rFonts w:hint="default" w:ascii="Times New Roman" w:hAnsi="Times New Roman" w:eastAsia="宋体" w:cs="Times New Roman"/>
                      <w:color w:val="auto"/>
                      <w:sz w:val="21"/>
                      <w:szCs w:val="21"/>
                      <w:lang w:eastAsia="zh-CN"/>
                    </w:rPr>
                    <w:t>排放标准</w:t>
                  </w:r>
                </w:p>
                <w:p w14:paraId="6B415855">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GB 8978-1996 </w:t>
                  </w:r>
                </w:p>
                <w:p w14:paraId="0F1808FD">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表4三级标准</w:t>
                  </w:r>
                </w:p>
              </w:tc>
            </w:tr>
            <w:tr w14:paraId="041EE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24" w:type="dxa"/>
                  <w:gridSpan w:val="2"/>
                  <w:vMerge w:val="continue"/>
                  <w:noWrap w:val="0"/>
                  <w:vAlign w:val="center"/>
                </w:tcPr>
                <w:p w14:paraId="29F80213">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vMerge w:val="continue"/>
                  <w:noWrap w:val="0"/>
                  <w:vAlign w:val="center"/>
                </w:tcPr>
                <w:p w14:paraId="60CFCCD3">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007" w:type="dxa"/>
                  <w:noWrap w:val="0"/>
                  <w:vAlign w:val="center"/>
                </w:tcPr>
                <w:p w14:paraId="1EBC55CE">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11</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32</w:t>
                  </w:r>
                </w:p>
              </w:tc>
              <w:tc>
                <w:tcPr>
                  <w:tcW w:w="1007" w:type="dxa"/>
                  <w:noWrap w:val="0"/>
                  <w:vAlign w:val="center"/>
                </w:tcPr>
                <w:p w14:paraId="7A1ED2F6">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12</w:t>
                  </w:r>
                  <w:r>
                    <w:rPr>
                      <w:rFonts w:hint="default" w:ascii="Times New Roman" w:hAnsi="Times New Roman" w:eastAsia="宋体" w:cs="Times New Roman"/>
                      <w:snapToGrid w:val="0"/>
                      <w:color w:val="auto"/>
                      <w:spacing w:val="-3"/>
                      <w:sz w:val="21"/>
                      <w:szCs w:val="21"/>
                      <w:lang w:val="en-US" w:eastAsia="zh-CN" w:bidi="ar-SA"/>
                    </w:rPr>
                    <w:t>:39</w:t>
                  </w:r>
                </w:p>
              </w:tc>
              <w:tc>
                <w:tcPr>
                  <w:tcW w:w="1007" w:type="dxa"/>
                  <w:noWrap w:val="0"/>
                  <w:vAlign w:val="center"/>
                </w:tcPr>
                <w:p w14:paraId="37CCFB8B">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14</w:t>
                  </w:r>
                  <w:r>
                    <w:rPr>
                      <w:rFonts w:hint="default" w:ascii="Times New Roman" w:hAnsi="Times New Roman" w:eastAsia="宋体" w:cs="Times New Roman"/>
                      <w:snapToGrid w:val="0"/>
                      <w:color w:val="auto"/>
                      <w:spacing w:val="-3"/>
                      <w:sz w:val="21"/>
                      <w:szCs w:val="21"/>
                      <w:lang w:val="en-US" w:eastAsia="zh-CN" w:bidi="ar-SA"/>
                    </w:rPr>
                    <w:t>:32</w:t>
                  </w:r>
                </w:p>
              </w:tc>
              <w:tc>
                <w:tcPr>
                  <w:tcW w:w="1010" w:type="dxa"/>
                  <w:noWrap w:val="0"/>
                  <w:vAlign w:val="center"/>
                </w:tcPr>
                <w:p w14:paraId="5E01B0D4">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16</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16</w:t>
                  </w:r>
                </w:p>
              </w:tc>
              <w:tc>
                <w:tcPr>
                  <w:tcW w:w="2453" w:type="dxa"/>
                  <w:vMerge w:val="continue"/>
                  <w:noWrap w:val="0"/>
                  <w:vAlign w:val="center"/>
                </w:tcPr>
                <w:p w14:paraId="78C06338">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r>
            <w:tr w14:paraId="42936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24" w:type="dxa"/>
                  <w:gridSpan w:val="2"/>
                  <w:vMerge w:val="restart"/>
                  <w:noWrap w:val="0"/>
                  <w:vAlign w:val="center"/>
                </w:tcPr>
                <w:p w14:paraId="3D94179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w:t>
                  </w:r>
                </w:p>
                <w:p w14:paraId="2AEEB17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总排口</w:t>
                  </w:r>
                </w:p>
              </w:tc>
              <w:tc>
                <w:tcPr>
                  <w:tcW w:w="1590" w:type="dxa"/>
                  <w:noWrap w:val="0"/>
                  <w:vAlign w:val="center"/>
                </w:tcPr>
                <w:p w14:paraId="702F1672">
                  <w:pPr>
                    <w:pStyle w:val="99"/>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pH值</w:t>
                  </w:r>
                </w:p>
                <w:p w14:paraId="491DDA9F">
                  <w:pPr>
                    <w:pStyle w:val="99"/>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无量纲</w:t>
                  </w:r>
                  <w:r>
                    <w:rPr>
                      <w:rFonts w:hint="default" w:ascii="Times New Roman" w:hAnsi="Times New Roman" w:eastAsia="宋体" w:cs="Times New Roman"/>
                      <w:color w:val="auto"/>
                      <w:sz w:val="21"/>
                      <w:szCs w:val="21"/>
                      <w:lang w:eastAsia="zh-CN"/>
                    </w:rPr>
                    <w:t>）</w:t>
                  </w:r>
                </w:p>
              </w:tc>
              <w:tc>
                <w:tcPr>
                  <w:tcW w:w="1007" w:type="dxa"/>
                  <w:noWrap w:val="0"/>
                  <w:vAlign w:val="center"/>
                </w:tcPr>
                <w:p w14:paraId="030CEFF7">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7.8</w:t>
                  </w:r>
                </w:p>
              </w:tc>
              <w:tc>
                <w:tcPr>
                  <w:tcW w:w="1007" w:type="dxa"/>
                  <w:noWrap w:val="0"/>
                  <w:vAlign w:val="center"/>
                </w:tcPr>
                <w:p w14:paraId="6BDED2C8">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7.7</w:t>
                  </w:r>
                </w:p>
              </w:tc>
              <w:tc>
                <w:tcPr>
                  <w:tcW w:w="1007" w:type="dxa"/>
                  <w:noWrap w:val="0"/>
                  <w:vAlign w:val="center"/>
                </w:tcPr>
                <w:p w14:paraId="0F0347C8">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7.8</w:t>
                  </w:r>
                </w:p>
              </w:tc>
              <w:tc>
                <w:tcPr>
                  <w:tcW w:w="1010" w:type="dxa"/>
                  <w:noWrap w:val="0"/>
                  <w:vAlign w:val="center"/>
                </w:tcPr>
                <w:p w14:paraId="1999DF23">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7.8</w:t>
                  </w:r>
                </w:p>
              </w:tc>
              <w:tc>
                <w:tcPr>
                  <w:tcW w:w="2453" w:type="dxa"/>
                  <w:noWrap w:val="0"/>
                  <w:vAlign w:val="center"/>
                </w:tcPr>
                <w:p w14:paraId="57D2E21D">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w:t>
                  </w:r>
                </w:p>
              </w:tc>
            </w:tr>
            <w:tr w14:paraId="2319E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24" w:type="dxa"/>
                  <w:gridSpan w:val="2"/>
                  <w:vMerge w:val="continue"/>
                  <w:noWrap w:val="0"/>
                  <w:vAlign w:val="center"/>
                </w:tcPr>
                <w:p w14:paraId="6A57C729">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p>
              </w:tc>
              <w:tc>
                <w:tcPr>
                  <w:tcW w:w="1590" w:type="dxa"/>
                  <w:noWrap w:val="0"/>
                  <w:vAlign w:val="center"/>
                </w:tcPr>
                <w:p w14:paraId="7FC1164D">
                  <w:pPr>
                    <w:pStyle w:val="99"/>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悬浮物</w:t>
                  </w:r>
                </w:p>
                <w:p w14:paraId="646149E0">
                  <w:pPr>
                    <w:pStyle w:val="99"/>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（SS）</w:t>
                  </w:r>
                </w:p>
              </w:tc>
              <w:tc>
                <w:tcPr>
                  <w:tcW w:w="1007" w:type="dxa"/>
                  <w:noWrap w:val="0"/>
                  <w:vAlign w:val="center"/>
                </w:tcPr>
                <w:p w14:paraId="427D82DF">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1007" w:type="dxa"/>
                  <w:noWrap w:val="0"/>
                  <w:vAlign w:val="center"/>
                </w:tcPr>
                <w:p w14:paraId="67D45116">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007" w:type="dxa"/>
                  <w:noWrap w:val="0"/>
                  <w:vAlign w:val="center"/>
                </w:tcPr>
                <w:p w14:paraId="330B020F">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010" w:type="dxa"/>
                  <w:noWrap w:val="0"/>
                  <w:vAlign w:val="center"/>
                </w:tcPr>
                <w:p w14:paraId="43318E98">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2453" w:type="dxa"/>
                  <w:noWrap w:val="0"/>
                  <w:vAlign w:val="center"/>
                </w:tcPr>
                <w:p w14:paraId="72F2D96F">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400</w:t>
                  </w:r>
                </w:p>
              </w:tc>
            </w:tr>
            <w:tr w14:paraId="47D4E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49" w:hRule="atLeast"/>
                <w:jc w:val="center"/>
              </w:trPr>
              <w:tc>
                <w:tcPr>
                  <w:tcW w:w="924" w:type="dxa"/>
                  <w:gridSpan w:val="2"/>
                  <w:vMerge w:val="continue"/>
                  <w:noWrap w:val="0"/>
                  <w:vAlign w:val="center"/>
                </w:tcPr>
                <w:p w14:paraId="4CFEFC5A">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noWrap w:val="0"/>
                  <w:vAlign w:val="center"/>
                </w:tcPr>
                <w:p w14:paraId="482E5602">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化学需氧量</w:t>
                  </w:r>
                </w:p>
                <w:p w14:paraId="19488A73">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vertAlign w:val="subscript"/>
                    </w:rPr>
                    <w:t>Cr</w:t>
                  </w:r>
                  <w:r>
                    <w:rPr>
                      <w:rFonts w:hint="default" w:ascii="Times New Roman" w:hAnsi="Times New Roman" w:eastAsia="宋体" w:cs="Times New Roman"/>
                      <w:color w:val="auto"/>
                      <w:sz w:val="21"/>
                      <w:szCs w:val="21"/>
                    </w:rPr>
                    <w:t>）</w:t>
                  </w:r>
                </w:p>
              </w:tc>
              <w:tc>
                <w:tcPr>
                  <w:tcW w:w="1007" w:type="dxa"/>
                  <w:noWrap w:val="0"/>
                  <w:vAlign w:val="center"/>
                </w:tcPr>
                <w:p w14:paraId="76424CB6">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57</w:t>
                  </w:r>
                </w:p>
              </w:tc>
              <w:tc>
                <w:tcPr>
                  <w:tcW w:w="1007" w:type="dxa"/>
                  <w:noWrap w:val="0"/>
                  <w:vAlign w:val="center"/>
                </w:tcPr>
                <w:p w14:paraId="0EE3134C">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w:t>
                  </w:r>
                </w:p>
              </w:tc>
              <w:tc>
                <w:tcPr>
                  <w:tcW w:w="1007" w:type="dxa"/>
                  <w:noWrap w:val="0"/>
                  <w:vAlign w:val="center"/>
                </w:tcPr>
                <w:p w14:paraId="464E3532">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56</w:t>
                  </w:r>
                </w:p>
              </w:tc>
              <w:tc>
                <w:tcPr>
                  <w:tcW w:w="1010" w:type="dxa"/>
                  <w:noWrap w:val="0"/>
                  <w:vAlign w:val="center"/>
                </w:tcPr>
                <w:p w14:paraId="04E946CE">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55</w:t>
                  </w:r>
                </w:p>
              </w:tc>
              <w:tc>
                <w:tcPr>
                  <w:tcW w:w="2453" w:type="dxa"/>
                  <w:noWrap w:val="0"/>
                  <w:vAlign w:val="center"/>
                </w:tcPr>
                <w:p w14:paraId="14148ABE">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r>
            <w:tr w14:paraId="7597A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24" w:type="dxa"/>
                  <w:gridSpan w:val="2"/>
                  <w:vMerge w:val="continue"/>
                  <w:noWrap w:val="0"/>
                  <w:vAlign w:val="center"/>
                </w:tcPr>
                <w:p w14:paraId="10D0F89E">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noWrap w:val="0"/>
                  <w:vAlign w:val="center"/>
                </w:tcPr>
                <w:p w14:paraId="12340563">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rPr>
                    <w:t>五日生化需氧量（BOD</w:t>
                  </w:r>
                  <w:r>
                    <w:rPr>
                      <w:rFonts w:hint="default" w:ascii="Times New Roman" w:hAnsi="Times New Roman" w:eastAsia="宋体" w:cs="Times New Roman"/>
                      <w:color w:val="auto"/>
                      <w:sz w:val="21"/>
                      <w:szCs w:val="21"/>
                      <w:vertAlign w:val="subscript"/>
                    </w:rPr>
                    <w:t>5</w:t>
                  </w:r>
                  <w:r>
                    <w:rPr>
                      <w:rFonts w:hint="default" w:ascii="Times New Roman" w:hAnsi="Times New Roman" w:eastAsia="宋体" w:cs="Times New Roman"/>
                      <w:color w:val="auto"/>
                      <w:sz w:val="21"/>
                      <w:szCs w:val="21"/>
                    </w:rPr>
                    <w:t>）</w:t>
                  </w:r>
                </w:p>
              </w:tc>
              <w:tc>
                <w:tcPr>
                  <w:tcW w:w="1007" w:type="dxa"/>
                  <w:noWrap w:val="0"/>
                  <w:vAlign w:val="center"/>
                </w:tcPr>
                <w:p w14:paraId="26D60F9B">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15.2</w:t>
                  </w:r>
                </w:p>
              </w:tc>
              <w:tc>
                <w:tcPr>
                  <w:tcW w:w="1007" w:type="dxa"/>
                  <w:noWrap w:val="0"/>
                  <w:vAlign w:val="center"/>
                </w:tcPr>
                <w:p w14:paraId="55434690">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15.3</w:t>
                  </w:r>
                </w:p>
              </w:tc>
              <w:tc>
                <w:tcPr>
                  <w:tcW w:w="1007" w:type="dxa"/>
                  <w:noWrap w:val="0"/>
                  <w:vAlign w:val="center"/>
                </w:tcPr>
                <w:p w14:paraId="182FCE23">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15.2</w:t>
                  </w:r>
                </w:p>
              </w:tc>
              <w:tc>
                <w:tcPr>
                  <w:tcW w:w="1010" w:type="dxa"/>
                  <w:noWrap w:val="0"/>
                  <w:vAlign w:val="center"/>
                </w:tcPr>
                <w:p w14:paraId="36D62C25">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spacing w:val="-3"/>
                      <w:kern w:val="0"/>
                      <w:sz w:val="21"/>
                      <w:szCs w:val="21"/>
                      <w:lang w:val="en-US" w:eastAsia="zh-CN" w:bidi="ar-SA"/>
                    </w:rPr>
                    <w:t>15.0</w:t>
                  </w:r>
                </w:p>
              </w:tc>
              <w:tc>
                <w:tcPr>
                  <w:tcW w:w="2453" w:type="dxa"/>
                  <w:noWrap w:val="0"/>
                  <w:vAlign w:val="center"/>
                </w:tcPr>
                <w:p w14:paraId="7739D3E0">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r>
            <w:tr w14:paraId="00202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54" w:hRule="atLeast"/>
                <w:jc w:val="center"/>
              </w:trPr>
              <w:tc>
                <w:tcPr>
                  <w:tcW w:w="924" w:type="dxa"/>
                  <w:gridSpan w:val="2"/>
                  <w:vMerge w:val="continue"/>
                  <w:noWrap w:val="0"/>
                  <w:vAlign w:val="center"/>
                </w:tcPr>
                <w:p w14:paraId="14F7FD2C">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noWrap w:val="0"/>
                  <w:vAlign w:val="center"/>
                </w:tcPr>
                <w:p w14:paraId="2F82BB0C">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动植物油</w:t>
                  </w:r>
                  <w:r>
                    <w:rPr>
                      <w:rFonts w:hint="eastAsia" w:ascii="Times New Roman" w:hAnsi="Times New Roman" w:eastAsia="宋体" w:cs="Times New Roman"/>
                      <w:color w:val="auto"/>
                      <w:sz w:val="21"/>
                      <w:szCs w:val="21"/>
                      <w:lang w:val="en-US" w:eastAsia="zh-CN"/>
                    </w:rPr>
                    <w:t>类</w:t>
                  </w:r>
                </w:p>
              </w:tc>
              <w:tc>
                <w:tcPr>
                  <w:tcW w:w="1007" w:type="dxa"/>
                  <w:noWrap w:val="0"/>
                  <w:vAlign w:val="center"/>
                </w:tcPr>
                <w:p w14:paraId="2718B962">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1007" w:type="dxa"/>
                  <w:noWrap w:val="0"/>
                  <w:vAlign w:val="center"/>
                </w:tcPr>
                <w:p w14:paraId="0A3EF72F">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1007" w:type="dxa"/>
                  <w:noWrap w:val="0"/>
                  <w:vAlign w:val="center"/>
                </w:tcPr>
                <w:p w14:paraId="167D900E">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1010" w:type="dxa"/>
                  <w:noWrap w:val="0"/>
                  <w:vAlign w:val="center"/>
                </w:tcPr>
                <w:p w14:paraId="5EC5C1DD">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2453" w:type="dxa"/>
                  <w:noWrap w:val="0"/>
                  <w:vAlign w:val="center"/>
                </w:tcPr>
                <w:p w14:paraId="7B67BB7A">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w:t>
                  </w:r>
                </w:p>
              </w:tc>
            </w:tr>
            <w:tr w14:paraId="385B4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924" w:type="dxa"/>
                  <w:gridSpan w:val="2"/>
                  <w:vMerge w:val="continue"/>
                  <w:vAlign w:val="center"/>
                </w:tcPr>
                <w:p w14:paraId="27D63BC4">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rPr>
                  </w:pPr>
                </w:p>
              </w:tc>
              <w:tc>
                <w:tcPr>
                  <w:tcW w:w="1590" w:type="dxa"/>
                  <w:vMerge w:val="restart"/>
                  <w:vAlign w:val="center"/>
                </w:tcPr>
                <w:p w14:paraId="7BE128FF">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检测项目</w:t>
                  </w:r>
                </w:p>
              </w:tc>
              <w:tc>
                <w:tcPr>
                  <w:tcW w:w="4031" w:type="dxa"/>
                  <w:gridSpan w:val="4"/>
                  <w:vAlign w:val="center"/>
                </w:tcPr>
                <w:p w14:paraId="78873A26">
                  <w:pPr>
                    <w:keepNext w:val="0"/>
                    <w:keepLines w:val="0"/>
                    <w:pageBreakBefore w:val="0"/>
                    <w:widowControl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z w:val="21"/>
                      <w:szCs w:val="21"/>
                    </w:rPr>
                    <w:t>结果（</w:t>
                  </w:r>
                  <w:r>
                    <w:rPr>
                      <w:rFonts w:hint="default" w:ascii="Times New Roman" w:hAnsi="Times New Roman" w:eastAsia="宋体" w:cs="Times New Roman"/>
                      <w:color w:val="auto"/>
                      <w:spacing w:val="-2"/>
                      <w:sz w:val="21"/>
                      <w:szCs w:val="21"/>
                      <w:lang w:val="en-US" w:eastAsia="zh-CN"/>
                    </w:rPr>
                    <w:t>2024.07.04</w:t>
                  </w:r>
                  <w:r>
                    <w:rPr>
                      <w:rFonts w:hint="default" w:ascii="Times New Roman" w:hAnsi="Times New Roman" w:eastAsia="宋体" w:cs="Times New Roman"/>
                      <w:color w:val="auto"/>
                      <w:sz w:val="21"/>
                      <w:szCs w:val="21"/>
                    </w:rPr>
                    <w:t>）</w:t>
                  </w:r>
                </w:p>
              </w:tc>
              <w:tc>
                <w:tcPr>
                  <w:tcW w:w="2453" w:type="dxa"/>
                  <w:vMerge w:val="restart"/>
                  <w:vAlign w:val="center"/>
                </w:tcPr>
                <w:p w14:paraId="160B2CED">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污水排入城镇</w:t>
                  </w:r>
                </w:p>
                <w:p w14:paraId="238D6558">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下水道水质标准</w:t>
                  </w:r>
                </w:p>
                <w:p w14:paraId="3F9AE2F8">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1"/>
                      <w:szCs w:val="21"/>
                      <w:lang w:val="en-US" w:eastAsia="zh-CN"/>
                    </w:rPr>
                    <w:t xml:space="preserve"> GB/T 31962-2015表1B级</w:t>
                  </w:r>
                </w:p>
              </w:tc>
            </w:tr>
            <w:tr w14:paraId="6431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924" w:type="dxa"/>
                  <w:gridSpan w:val="2"/>
                  <w:vMerge w:val="continue"/>
                  <w:vAlign w:val="center"/>
                </w:tcPr>
                <w:p w14:paraId="5473B888">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rPr>
                  </w:pPr>
                </w:p>
              </w:tc>
              <w:tc>
                <w:tcPr>
                  <w:tcW w:w="1590" w:type="dxa"/>
                  <w:vMerge w:val="continue"/>
                  <w:vAlign w:val="center"/>
                </w:tcPr>
                <w:p w14:paraId="7674934C">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rPr>
                  </w:pPr>
                </w:p>
              </w:tc>
              <w:tc>
                <w:tcPr>
                  <w:tcW w:w="1007" w:type="dxa"/>
                  <w:vAlign w:val="center"/>
                </w:tcPr>
                <w:p w14:paraId="30265856">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11</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32</w:t>
                  </w:r>
                </w:p>
              </w:tc>
              <w:tc>
                <w:tcPr>
                  <w:tcW w:w="1007" w:type="dxa"/>
                  <w:vAlign w:val="center"/>
                </w:tcPr>
                <w:p w14:paraId="434FDB26">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12</w:t>
                  </w:r>
                  <w:r>
                    <w:rPr>
                      <w:rFonts w:hint="default" w:ascii="Times New Roman" w:hAnsi="Times New Roman" w:eastAsia="宋体" w:cs="Times New Roman"/>
                      <w:snapToGrid w:val="0"/>
                      <w:color w:val="auto"/>
                      <w:spacing w:val="-3"/>
                      <w:sz w:val="21"/>
                      <w:szCs w:val="21"/>
                      <w:lang w:val="en-US" w:eastAsia="zh-CN" w:bidi="ar-SA"/>
                    </w:rPr>
                    <w:t>:39</w:t>
                  </w:r>
                </w:p>
              </w:tc>
              <w:tc>
                <w:tcPr>
                  <w:tcW w:w="1007" w:type="dxa"/>
                  <w:vAlign w:val="center"/>
                </w:tcPr>
                <w:p w14:paraId="404D7094">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14</w:t>
                  </w:r>
                  <w:r>
                    <w:rPr>
                      <w:rFonts w:hint="default" w:ascii="Times New Roman" w:hAnsi="Times New Roman" w:eastAsia="宋体" w:cs="Times New Roman"/>
                      <w:snapToGrid w:val="0"/>
                      <w:color w:val="auto"/>
                      <w:spacing w:val="-3"/>
                      <w:sz w:val="21"/>
                      <w:szCs w:val="21"/>
                      <w:lang w:val="en-US" w:eastAsia="zh-CN" w:bidi="ar-SA"/>
                    </w:rPr>
                    <w:t>:32</w:t>
                  </w:r>
                </w:p>
              </w:tc>
              <w:tc>
                <w:tcPr>
                  <w:tcW w:w="1010" w:type="dxa"/>
                  <w:vAlign w:val="center"/>
                </w:tcPr>
                <w:p w14:paraId="4590A8C2">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16</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16</w:t>
                  </w:r>
                </w:p>
              </w:tc>
              <w:tc>
                <w:tcPr>
                  <w:tcW w:w="2453" w:type="dxa"/>
                  <w:vMerge w:val="continue"/>
                  <w:vAlign w:val="center"/>
                </w:tcPr>
                <w:p w14:paraId="3895D1AB">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rPr>
                  </w:pPr>
                </w:p>
              </w:tc>
            </w:tr>
            <w:tr w14:paraId="29360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24" w:type="dxa"/>
                  <w:gridSpan w:val="2"/>
                  <w:vMerge w:val="continue"/>
                  <w:noWrap w:val="0"/>
                  <w:vAlign w:val="center"/>
                </w:tcPr>
                <w:p w14:paraId="24EA82E5">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noWrap w:val="0"/>
                  <w:vAlign w:val="center"/>
                </w:tcPr>
                <w:p w14:paraId="7284939A">
                  <w:pPr>
                    <w:pStyle w:val="99"/>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色度</w:t>
                  </w:r>
                </w:p>
                <w:p w14:paraId="4B508585">
                  <w:pPr>
                    <w:pStyle w:val="99"/>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（稀释倍数）</w:t>
                  </w:r>
                </w:p>
              </w:tc>
              <w:tc>
                <w:tcPr>
                  <w:tcW w:w="1007" w:type="dxa"/>
                  <w:noWrap w:val="0"/>
                  <w:vAlign w:val="center"/>
                </w:tcPr>
                <w:p w14:paraId="29F7CA3D">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20</w:t>
                  </w:r>
                </w:p>
              </w:tc>
              <w:tc>
                <w:tcPr>
                  <w:tcW w:w="1007" w:type="dxa"/>
                  <w:noWrap w:val="0"/>
                  <w:vAlign w:val="center"/>
                </w:tcPr>
                <w:p w14:paraId="661DBA85">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20</w:t>
                  </w:r>
                </w:p>
              </w:tc>
              <w:tc>
                <w:tcPr>
                  <w:tcW w:w="1007" w:type="dxa"/>
                  <w:noWrap w:val="0"/>
                  <w:vAlign w:val="center"/>
                </w:tcPr>
                <w:p w14:paraId="712441C2">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20</w:t>
                  </w:r>
                </w:p>
              </w:tc>
              <w:tc>
                <w:tcPr>
                  <w:tcW w:w="1010" w:type="dxa"/>
                  <w:noWrap w:val="0"/>
                  <w:vAlign w:val="center"/>
                </w:tcPr>
                <w:p w14:paraId="03A8981E">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20</w:t>
                  </w:r>
                </w:p>
              </w:tc>
              <w:tc>
                <w:tcPr>
                  <w:tcW w:w="2453" w:type="dxa"/>
                  <w:noWrap w:val="0"/>
                  <w:vAlign w:val="center"/>
                </w:tcPr>
                <w:p w14:paraId="32F9D7C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64</w:t>
                  </w:r>
                </w:p>
              </w:tc>
            </w:tr>
            <w:tr w14:paraId="14045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24" w:type="dxa"/>
                  <w:gridSpan w:val="2"/>
                  <w:vMerge w:val="continue"/>
                  <w:noWrap w:val="0"/>
                  <w:vAlign w:val="center"/>
                </w:tcPr>
                <w:p w14:paraId="59604ED2">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noWrap w:val="0"/>
                  <w:vAlign w:val="center"/>
                </w:tcPr>
                <w:p w14:paraId="2B39EC6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氨氮</w:t>
                  </w:r>
                </w:p>
              </w:tc>
              <w:tc>
                <w:tcPr>
                  <w:tcW w:w="1007" w:type="dxa"/>
                  <w:noWrap w:val="0"/>
                  <w:vAlign w:val="center"/>
                </w:tcPr>
                <w:p w14:paraId="771412F9">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1.32</w:t>
                  </w:r>
                </w:p>
              </w:tc>
              <w:tc>
                <w:tcPr>
                  <w:tcW w:w="1007" w:type="dxa"/>
                  <w:noWrap w:val="0"/>
                  <w:vAlign w:val="center"/>
                </w:tcPr>
                <w:p w14:paraId="616E5ABB">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2.06</w:t>
                  </w:r>
                </w:p>
              </w:tc>
              <w:tc>
                <w:tcPr>
                  <w:tcW w:w="1007" w:type="dxa"/>
                  <w:noWrap w:val="0"/>
                  <w:vAlign w:val="center"/>
                </w:tcPr>
                <w:p w14:paraId="11C62701">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1.18</w:t>
                  </w:r>
                </w:p>
              </w:tc>
              <w:tc>
                <w:tcPr>
                  <w:tcW w:w="1010" w:type="dxa"/>
                  <w:noWrap w:val="0"/>
                  <w:vAlign w:val="center"/>
                </w:tcPr>
                <w:p w14:paraId="3E25342F">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2.20</w:t>
                  </w:r>
                </w:p>
              </w:tc>
              <w:tc>
                <w:tcPr>
                  <w:tcW w:w="2453" w:type="dxa"/>
                  <w:noWrap w:val="0"/>
                  <w:vAlign w:val="center"/>
                </w:tcPr>
                <w:p w14:paraId="31BBC987">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w:t>
                  </w:r>
                </w:p>
              </w:tc>
            </w:tr>
            <w:tr w14:paraId="0029B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924" w:type="dxa"/>
                  <w:gridSpan w:val="2"/>
                  <w:vMerge w:val="continue"/>
                  <w:noWrap w:val="0"/>
                  <w:vAlign w:val="center"/>
                </w:tcPr>
                <w:p w14:paraId="7E179E46">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noWrap w:val="0"/>
                  <w:vAlign w:val="center"/>
                </w:tcPr>
                <w:p w14:paraId="2C4B40E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总磷</w:t>
                  </w:r>
                </w:p>
              </w:tc>
              <w:tc>
                <w:tcPr>
                  <w:tcW w:w="1007" w:type="dxa"/>
                  <w:noWrap w:val="0"/>
                  <w:vAlign w:val="center"/>
                </w:tcPr>
                <w:p w14:paraId="2B3F799B">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0.33</w:t>
                  </w:r>
                </w:p>
              </w:tc>
              <w:tc>
                <w:tcPr>
                  <w:tcW w:w="1007" w:type="dxa"/>
                  <w:noWrap w:val="0"/>
                  <w:vAlign w:val="center"/>
                </w:tcPr>
                <w:p w14:paraId="632D5C80">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0.44</w:t>
                  </w:r>
                </w:p>
              </w:tc>
              <w:tc>
                <w:tcPr>
                  <w:tcW w:w="1007" w:type="dxa"/>
                  <w:noWrap w:val="0"/>
                  <w:vAlign w:val="center"/>
                </w:tcPr>
                <w:p w14:paraId="701C5F15">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0.27</w:t>
                  </w:r>
                </w:p>
              </w:tc>
              <w:tc>
                <w:tcPr>
                  <w:tcW w:w="1010" w:type="dxa"/>
                  <w:noWrap w:val="0"/>
                  <w:vAlign w:val="center"/>
                </w:tcPr>
                <w:p w14:paraId="02EBC334">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0.36</w:t>
                  </w:r>
                </w:p>
              </w:tc>
              <w:tc>
                <w:tcPr>
                  <w:tcW w:w="2453" w:type="dxa"/>
                  <w:noWrap w:val="0"/>
                  <w:vAlign w:val="center"/>
                </w:tcPr>
                <w:p w14:paraId="198AE58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r>
            <w:tr w14:paraId="369A5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24" w:type="dxa"/>
                  <w:gridSpan w:val="2"/>
                  <w:vMerge w:val="continue"/>
                  <w:noWrap w:val="0"/>
                  <w:vAlign w:val="center"/>
                </w:tcPr>
                <w:p w14:paraId="001BEA3A">
                  <w:pPr>
                    <w:keepNext w:val="0"/>
                    <w:keepLines w:val="0"/>
                    <w:pageBreakBefore w:val="0"/>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rPr>
                  </w:pPr>
                </w:p>
              </w:tc>
              <w:tc>
                <w:tcPr>
                  <w:tcW w:w="1590" w:type="dxa"/>
                  <w:noWrap w:val="0"/>
                  <w:vAlign w:val="center"/>
                </w:tcPr>
                <w:p w14:paraId="4BF64A7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总氮</w:t>
                  </w:r>
                </w:p>
              </w:tc>
              <w:tc>
                <w:tcPr>
                  <w:tcW w:w="1007" w:type="dxa"/>
                  <w:noWrap w:val="0"/>
                  <w:vAlign w:val="center"/>
                </w:tcPr>
                <w:p w14:paraId="1BA834D1">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4.61</w:t>
                  </w:r>
                </w:p>
              </w:tc>
              <w:tc>
                <w:tcPr>
                  <w:tcW w:w="1007" w:type="dxa"/>
                  <w:noWrap w:val="0"/>
                  <w:vAlign w:val="center"/>
                </w:tcPr>
                <w:p w14:paraId="633679FE">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5.10</w:t>
                  </w:r>
                </w:p>
              </w:tc>
              <w:tc>
                <w:tcPr>
                  <w:tcW w:w="1007" w:type="dxa"/>
                  <w:noWrap w:val="0"/>
                  <w:vAlign w:val="center"/>
                </w:tcPr>
                <w:p w14:paraId="7CDC8C59">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5.59</w:t>
                  </w:r>
                </w:p>
              </w:tc>
              <w:tc>
                <w:tcPr>
                  <w:tcW w:w="1010" w:type="dxa"/>
                  <w:noWrap w:val="0"/>
                  <w:vAlign w:val="center"/>
                </w:tcPr>
                <w:p w14:paraId="7F87F2E4">
                  <w:pPr>
                    <w:keepNext w:val="0"/>
                    <w:keepLines w:val="0"/>
                    <w:pageBreakBefore w:val="0"/>
                    <w:widowControl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5.98</w:t>
                  </w:r>
                </w:p>
              </w:tc>
              <w:tc>
                <w:tcPr>
                  <w:tcW w:w="2453" w:type="dxa"/>
                  <w:noWrap w:val="0"/>
                  <w:vAlign w:val="center"/>
                </w:tcPr>
                <w:p w14:paraId="0D38882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w:t>
                  </w:r>
                </w:p>
              </w:tc>
            </w:tr>
            <w:tr w14:paraId="55CC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98" w:type="dxa"/>
                  <w:gridSpan w:val="8"/>
                  <w:noWrap w:val="0"/>
                  <w:vAlign w:val="center"/>
                </w:tcPr>
                <w:p w14:paraId="7558F9F9">
                  <w:pPr>
                    <w:keepNext w:val="0"/>
                    <w:keepLines w:val="0"/>
                    <w:pageBreakBefore w:val="0"/>
                    <w:wordWrap/>
                    <w:overflowPunct/>
                    <w:topLinePunct w:val="0"/>
                    <w:bidi w:val="0"/>
                    <w:adjustRightInd w:val="0"/>
                    <w:snapToGrid w:val="0"/>
                    <w:spacing w:line="240" w:lineRule="auto"/>
                    <w:ind w:left="0" w:leftChars="0" w:firstLine="0" w:firstLineChars="0"/>
                    <w:jc w:val="left"/>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注：“ND”表示检测结果小于方法检出限。</w:t>
                  </w:r>
                </w:p>
              </w:tc>
            </w:tr>
            <w:tr w14:paraId="4EEC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4" w:hRule="atLeast"/>
                <w:jc w:val="center"/>
              </w:trPr>
              <w:tc>
                <w:tcPr>
                  <w:tcW w:w="898" w:type="dxa"/>
                  <w:vMerge w:val="restart"/>
                  <w:noWrap w:val="0"/>
                  <w:vAlign w:val="center"/>
                </w:tcPr>
                <w:p w14:paraId="7282754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检测点</w:t>
                  </w:r>
                </w:p>
                <w:p w14:paraId="146C2FF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位置</w:t>
                  </w:r>
                </w:p>
              </w:tc>
              <w:tc>
                <w:tcPr>
                  <w:tcW w:w="1616" w:type="dxa"/>
                  <w:gridSpan w:val="2"/>
                  <w:vMerge w:val="restart"/>
                  <w:noWrap w:val="0"/>
                  <w:vAlign w:val="center"/>
                </w:tcPr>
                <w:p w14:paraId="6874584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检测项目</w:t>
                  </w:r>
                </w:p>
              </w:tc>
              <w:tc>
                <w:tcPr>
                  <w:tcW w:w="4031" w:type="dxa"/>
                  <w:gridSpan w:val="4"/>
                  <w:noWrap w:val="0"/>
                  <w:vAlign w:val="center"/>
                </w:tcPr>
                <w:p w14:paraId="5F5388D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结果（</w:t>
                  </w:r>
                  <w:r>
                    <w:rPr>
                      <w:rFonts w:hint="default" w:ascii="Times New Roman" w:hAnsi="Times New Roman" w:eastAsia="宋体" w:cs="Times New Roman"/>
                      <w:color w:val="auto"/>
                      <w:spacing w:val="-2"/>
                      <w:sz w:val="21"/>
                      <w:szCs w:val="21"/>
                      <w:lang w:val="en-US" w:eastAsia="zh-CN"/>
                    </w:rPr>
                    <w:t>2024.07.05</w:t>
                  </w:r>
                  <w:r>
                    <w:rPr>
                      <w:rFonts w:hint="default" w:ascii="Times New Roman" w:hAnsi="Times New Roman" w:eastAsia="宋体" w:cs="Times New Roman"/>
                      <w:color w:val="auto"/>
                      <w:sz w:val="21"/>
                      <w:szCs w:val="21"/>
                    </w:rPr>
                    <w:t>）</w:t>
                  </w:r>
                </w:p>
              </w:tc>
              <w:tc>
                <w:tcPr>
                  <w:tcW w:w="2453" w:type="dxa"/>
                  <w:vMerge w:val="restart"/>
                  <w:noWrap w:val="0"/>
                  <w:vAlign w:val="center"/>
                </w:tcPr>
                <w:p w14:paraId="40D3DE5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污水综合</w:t>
                  </w:r>
                  <w:r>
                    <w:rPr>
                      <w:rFonts w:hint="default" w:ascii="Times New Roman" w:hAnsi="Times New Roman" w:eastAsia="宋体" w:cs="Times New Roman"/>
                      <w:color w:val="auto"/>
                      <w:sz w:val="21"/>
                      <w:szCs w:val="21"/>
                      <w:lang w:eastAsia="zh-CN"/>
                    </w:rPr>
                    <w:t>排放标准</w:t>
                  </w:r>
                </w:p>
                <w:p w14:paraId="7267713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 8978-1996</w:t>
                  </w:r>
                </w:p>
                <w:p w14:paraId="466B0E7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 xml:space="preserve"> 表4三级标准</w:t>
                  </w:r>
                </w:p>
              </w:tc>
            </w:tr>
            <w:tr w14:paraId="485D9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4" w:hRule="atLeast"/>
                <w:jc w:val="center"/>
              </w:trPr>
              <w:tc>
                <w:tcPr>
                  <w:tcW w:w="898" w:type="dxa"/>
                  <w:vMerge w:val="continue"/>
                  <w:noWrap w:val="0"/>
                  <w:vAlign w:val="center"/>
                </w:tcPr>
                <w:p w14:paraId="22B0AEA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vMerge w:val="continue"/>
                  <w:noWrap w:val="0"/>
                  <w:vAlign w:val="center"/>
                </w:tcPr>
                <w:p w14:paraId="6267E1C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007" w:type="dxa"/>
                  <w:noWrap w:val="0"/>
                  <w:vAlign w:val="center"/>
                </w:tcPr>
                <w:p w14:paraId="282C611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11</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26</w:t>
                  </w:r>
                </w:p>
              </w:tc>
              <w:tc>
                <w:tcPr>
                  <w:tcW w:w="1007" w:type="dxa"/>
                  <w:noWrap w:val="0"/>
                  <w:vAlign w:val="center"/>
                </w:tcPr>
                <w:p w14:paraId="6ACC011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13</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06</w:t>
                  </w:r>
                </w:p>
              </w:tc>
              <w:tc>
                <w:tcPr>
                  <w:tcW w:w="1007" w:type="dxa"/>
                  <w:noWrap w:val="0"/>
                  <w:vAlign w:val="center"/>
                </w:tcPr>
                <w:p w14:paraId="333C96B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14</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16</w:t>
                  </w:r>
                </w:p>
              </w:tc>
              <w:tc>
                <w:tcPr>
                  <w:tcW w:w="1010" w:type="dxa"/>
                  <w:noWrap w:val="0"/>
                  <w:vAlign w:val="center"/>
                </w:tcPr>
                <w:p w14:paraId="22F50EA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pacing w:val="0"/>
                      <w:kern w:val="2"/>
                      <w:sz w:val="21"/>
                      <w:szCs w:val="21"/>
                      <w:lang w:val="en-US" w:eastAsia="zh-CN" w:bidi="ar-SA"/>
                    </w:rPr>
                  </w:pPr>
                  <w:r>
                    <w:rPr>
                      <w:rFonts w:hint="default" w:ascii="Times New Roman" w:hAnsi="Times New Roman" w:eastAsia="宋体" w:cs="Times New Roman"/>
                      <w:color w:val="auto"/>
                      <w:spacing w:val="0"/>
                      <w:kern w:val="2"/>
                      <w:sz w:val="21"/>
                      <w:szCs w:val="21"/>
                      <w:lang w:val="en-US" w:eastAsia="zh-CN" w:bidi="ar-SA"/>
                    </w:rPr>
                    <w:t>16</w:t>
                  </w:r>
                  <w:r>
                    <w:rPr>
                      <w:rFonts w:hint="default" w:ascii="Times New Roman" w:hAnsi="Times New Roman" w:eastAsia="宋体" w:cs="Times New Roman"/>
                      <w:snapToGrid w:val="0"/>
                      <w:color w:val="auto"/>
                      <w:spacing w:val="-3"/>
                      <w:sz w:val="21"/>
                      <w:szCs w:val="21"/>
                      <w:lang w:val="en-US" w:eastAsia="zh-CN" w:bidi="ar-SA"/>
                    </w:rPr>
                    <w:t>:</w:t>
                  </w:r>
                  <w:r>
                    <w:rPr>
                      <w:rFonts w:hint="default" w:ascii="Times New Roman" w:hAnsi="Times New Roman" w:eastAsia="宋体" w:cs="Times New Roman"/>
                      <w:color w:val="auto"/>
                      <w:spacing w:val="0"/>
                      <w:kern w:val="2"/>
                      <w:sz w:val="21"/>
                      <w:szCs w:val="21"/>
                      <w:lang w:val="en-US" w:eastAsia="zh-CN" w:bidi="ar-SA"/>
                    </w:rPr>
                    <w:t>20</w:t>
                  </w:r>
                </w:p>
              </w:tc>
              <w:tc>
                <w:tcPr>
                  <w:tcW w:w="2453" w:type="dxa"/>
                  <w:vMerge w:val="continue"/>
                  <w:noWrap w:val="0"/>
                  <w:vAlign w:val="center"/>
                </w:tcPr>
                <w:p w14:paraId="293ECB4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r>
            <w:tr w14:paraId="5955B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4" w:hRule="atLeast"/>
                <w:jc w:val="center"/>
              </w:trPr>
              <w:tc>
                <w:tcPr>
                  <w:tcW w:w="898" w:type="dxa"/>
                  <w:vMerge w:val="restart"/>
                  <w:noWrap w:val="0"/>
                  <w:vAlign w:val="center"/>
                </w:tcPr>
                <w:p w14:paraId="287E32B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w:t>
                  </w:r>
                </w:p>
                <w:p w14:paraId="5E7BC4E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总排口</w:t>
                  </w:r>
                </w:p>
              </w:tc>
              <w:tc>
                <w:tcPr>
                  <w:tcW w:w="1616" w:type="dxa"/>
                  <w:gridSpan w:val="2"/>
                  <w:noWrap w:val="0"/>
                  <w:vAlign w:val="center"/>
                </w:tcPr>
                <w:p w14:paraId="27C99C59">
                  <w:pPr>
                    <w:pStyle w:val="99"/>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pH值</w:t>
                  </w:r>
                </w:p>
                <w:p w14:paraId="6BAA9459">
                  <w:pPr>
                    <w:pStyle w:val="99"/>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无量纲</w:t>
                  </w:r>
                  <w:r>
                    <w:rPr>
                      <w:rFonts w:hint="default" w:ascii="Times New Roman" w:hAnsi="Times New Roman" w:eastAsia="宋体" w:cs="Times New Roman"/>
                      <w:color w:val="auto"/>
                      <w:sz w:val="21"/>
                      <w:szCs w:val="21"/>
                      <w:lang w:eastAsia="zh-CN"/>
                    </w:rPr>
                    <w:t>）</w:t>
                  </w:r>
                </w:p>
              </w:tc>
              <w:tc>
                <w:tcPr>
                  <w:tcW w:w="1007" w:type="dxa"/>
                  <w:noWrap w:val="0"/>
                  <w:vAlign w:val="center"/>
                </w:tcPr>
                <w:p w14:paraId="09984CE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8.0</w:t>
                  </w:r>
                </w:p>
              </w:tc>
              <w:tc>
                <w:tcPr>
                  <w:tcW w:w="1007" w:type="dxa"/>
                  <w:noWrap w:val="0"/>
                  <w:vAlign w:val="center"/>
                </w:tcPr>
                <w:p w14:paraId="3F700C6B">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8.1</w:t>
                  </w:r>
                </w:p>
              </w:tc>
              <w:tc>
                <w:tcPr>
                  <w:tcW w:w="1007" w:type="dxa"/>
                  <w:noWrap w:val="0"/>
                  <w:vAlign w:val="center"/>
                </w:tcPr>
                <w:p w14:paraId="2B63EFD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7.9</w:t>
                  </w:r>
                </w:p>
              </w:tc>
              <w:tc>
                <w:tcPr>
                  <w:tcW w:w="1010" w:type="dxa"/>
                  <w:noWrap w:val="0"/>
                  <w:vAlign w:val="center"/>
                </w:tcPr>
                <w:p w14:paraId="066E2E0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8.0</w:t>
                  </w:r>
                </w:p>
              </w:tc>
              <w:tc>
                <w:tcPr>
                  <w:tcW w:w="2453" w:type="dxa"/>
                  <w:noWrap w:val="0"/>
                  <w:vAlign w:val="center"/>
                </w:tcPr>
                <w:p w14:paraId="09A8D19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w:t>
                  </w:r>
                </w:p>
              </w:tc>
            </w:tr>
            <w:tr w14:paraId="334B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4" w:hRule="atLeast"/>
                <w:jc w:val="center"/>
              </w:trPr>
              <w:tc>
                <w:tcPr>
                  <w:tcW w:w="898" w:type="dxa"/>
                  <w:vMerge w:val="continue"/>
                  <w:noWrap w:val="0"/>
                  <w:vAlign w:val="center"/>
                </w:tcPr>
                <w:p w14:paraId="38595C1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1616" w:type="dxa"/>
                  <w:gridSpan w:val="2"/>
                  <w:noWrap w:val="0"/>
                  <w:vAlign w:val="center"/>
                </w:tcPr>
                <w:p w14:paraId="5F26C3BB">
                  <w:pPr>
                    <w:pStyle w:val="99"/>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悬浮物</w:t>
                  </w:r>
                </w:p>
                <w:p w14:paraId="63B1D3C3">
                  <w:pPr>
                    <w:pStyle w:val="99"/>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（SS）</w:t>
                  </w:r>
                </w:p>
              </w:tc>
              <w:tc>
                <w:tcPr>
                  <w:tcW w:w="1007" w:type="dxa"/>
                  <w:noWrap w:val="0"/>
                  <w:vAlign w:val="center"/>
                </w:tcPr>
                <w:p w14:paraId="338A80E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1007" w:type="dxa"/>
                  <w:noWrap w:val="0"/>
                  <w:vAlign w:val="center"/>
                </w:tcPr>
                <w:p w14:paraId="4156042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1007" w:type="dxa"/>
                  <w:noWrap w:val="0"/>
                  <w:vAlign w:val="center"/>
                </w:tcPr>
                <w:p w14:paraId="6A50C9B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010" w:type="dxa"/>
                  <w:noWrap w:val="0"/>
                  <w:vAlign w:val="center"/>
                </w:tcPr>
                <w:p w14:paraId="4059F3F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2453" w:type="dxa"/>
                  <w:noWrap w:val="0"/>
                  <w:vAlign w:val="center"/>
                </w:tcPr>
                <w:p w14:paraId="584BB17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400</w:t>
                  </w:r>
                </w:p>
              </w:tc>
            </w:tr>
            <w:tr w14:paraId="57C2F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4" w:hRule="atLeast"/>
                <w:jc w:val="center"/>
              </w:trPr>
              <w:tc>
                <w:tcPr>
                  <w:tcW w:w="898" w:type="dxa"/>
                  <w:vMerge w:val="continue"/>
                  <w:noWrap w:val="0"/>
                  <w:vAlign w:val="center"/>
                </w:tcPr>
                <w:p w14:paraId="77E6C08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noWrap w:val="0"/>
                  <w:vAlign w:val="center"/>
                </w:tcPr>
                <w:p w14:paraId="620F2D1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化学需氧量</w:t>
                  </w:r>
                </w:p>
                <w:p w14:paraId="40732BE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vertAlign w:val="subscript"/>
                    </w:rPr>
                    <w:t>Cr</w:t>
                  </w:r>
                  <w:r>
                    <w:rPr>
                      <w:rFonts w:hint="default" w:ascii="Times New Roman" w:hAnsi="Times New Roman" w:eastAsia="宋体" w:cs="Times New Roman"/>
                      <w:color w:val="auto"/>
                      <w:sz w:val="21"/>
                      <w:szCs w:val="21"/>
                    </w:rPr>
                    <w:t>）</w:t>
                  </w:r>
                </w:p>
              </w:tc>
              <w:tc>
                <w:tcPr>
                  <w:tcW w:w="1007" w:type="dxa"/>
                  <w:noWrap w:val="0"/>
                  <w:vAlign w:val="center"/>
                </w:tcPr>
                <w:p w14:paraId="6F3A17B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64</w:t>
                  </w:r>
                </w:p>
              </w:tc>
              <w:tc>
                <w:tcPr>
                  <w:tcW w:w="1007" w:type="dxa"/>
                  <w:noWrap w:val="0"/>
                  <w:vAlign w:val="center"/>
                </w:tcPr>
                <w:p w14:paraId="1A615D0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59</w:t>
                  </w:r>
                </w:p>
              </w:tc>
              <w:tc>
                <w:tcPr>
                  <w:tcW w:w="1007" w:type="dxa"/>
                  <w:noWrap w:val="0"/>
                  <w:vAlign w:val="center"/>
                </w:tcPr>
                <w:p w14:paraId="5B4505A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65</w:t>
                  </w:r>
                </w:p>
              </w:tc>
              <w:tc>
                <w:tcPr>
                  <w:tcW w:w="1010" w:type="dxa"/>
                  <w:noWrap w:val="0"/>
                  <w:vAlign w:val="center"/>
                </w:tcPr>
                <w:p w14:paraId="32BF699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67</w:t>
                  </w:r>
                </w:p>
              </w:tc>
              <w:tc>
                <w:tcPr>
                  <w:tcW w:w="2453" w:type="dxa"/>
                  <w:noWrap w:val="0"/>
                  <w:vAlign w:val="center"/>
                </w:tcPr>
                <w:p w14:paraId="04EEEE0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r>
            <w:tr w14:paraId="1BAF7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4" w:hRule="atLeast"/>
                <w:jc w:val="center"/>
              </w:trPr>
              <w:tc>
                <w:tcPr>
                  <w:tcW w:w="898" w:type="dxa"/>
                  <w:vMerge w:val="continue"/>
                  <w:noWrap w:val="0"/>
                  <w:vAlign w:val="center"/>
                </w:tcPr>
                <w:p w14:paraId="1456064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noWrap w:val="0"/>
                  <w:vAlign w:val="center"/>
                </w:tcPr>
                <w:p w14:paraId="3601323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rPr>
                    <w:t>五日生化需氧量（BOD</w:t>
                  </w:r>
                  <w:r>
                    <w:rPr>
                      <w:rFonts w:hint="default" w:ascii="Times New Roman" w:hAnsi="Times New Roman" w:eastAsia="宋体" w:cs="Times New Roman"/>
                      <w:color w:val="auto"/>
                      <w:sz w:val="21"/>
                      <w:szCs w:val="21"/>
                      <w:vertAlign w:val="subscript"/>
                    </w:rPr>
                    <w:t>5</w:t>
                  </w:r>
                  <w:r>
                    <w:rPr>
                      <w:rFonts w:hint="default" w:ascii="Times New Roman" w:hAnsi="Times New Roman" w:eastAsia="宋体" w:cs="Times New Roman"/>
                      <w:color w:val="auto"/>
                      <w:sz w:val="21"/>
                      <w:szCs w:val="21"/>
                    </w:rPr>
                    <w:t>）</w:t>
                  </w:r>
                </w:p>
              </w:tc>
              <w:tc>
                <w:tcPr>
                  <w:tcW w:w="1007" w:type="dxa"/>
                  <w:noWrap w:val="0"/>
                  <w:vAlign w:val="center"/>
                </w:tcPr>
                <w:p w14:paraId="1653133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16.3</w:t>
                  </w:r>
                </w:p>
              </w:tc>
              <w:tc>
                <w:tcPr>
                  <w:tcW w:w="1007" w:type="dxa"/>
                  <w:noWrap w:val="0"/>
                  <w:vAlign w:val="center"/>
                </w:tcPr>
                <w:p w14:paraId="3199124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15.2</w:t>
                  </w:r>
                </w:p>
              </w:tc>
              <w:tc>
                <w:tcPr>
                  <w:tcW w:w="1007" w:type="dxa"/>
                  <w:noWrap w:val="0"/>
                  <w:vAlign w:val="center"/>
                </w:tcPr>
                <w:p w14:paraId="47BCB15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17.0</w:t>
                  </w:r>
                </w:p>
              </w:tc>
              <w:tc>
                <w:tcPr>
                  <w:tcW w:w="1010" w:type="dxa"/>
                  <w:noWrap w:val="0"/>
                  <w:vAlign w:val="center"/>
                </w:tcPr>
                <w:p w14:paraId="0875071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zh-CN" w:bidi="ar-SA"/>
                    </w:rPr>
                  </w:pPr>
                  <w:r>
                    <w:rPr>
                      <w:rFonts w:hint="eastAsia" w:ascii="Times New Roman" w:hAnsi="Times New Roman" w:eastAsia="宋体" w:cs="Times New Roman"/>
                      <w:snapToGrid w:val="0"/>
                      <w:color w:val="auto"/>
                      <w:spacing w:val="-3"/>
                      <w:kern w:val="0"/>
                      <w:sz w:val="21"/>
                      <w:szCs w:val="21"/>
                      <w:lang w:val="en-US" w:eastAsia="zh-CN" w:bidi="ar-SA"/>
                    </w:rPr>
                    <w:t>16.4</w:t>
                  </w:r>
                </w:p>
              </w:tc>
              <w:tc>
                <w:tcPr>
                  <w:tcW w:w="2453" w:type="dxa"/>
                  <w:noWrap w:val="0"/>
                  <w:vAlign w:val="center"/>
                </w:tcPr>
                <w:p w14:paraId="0B6EB1A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r>
            <w:tr w14:paraId="6C727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574" w:hRule="atLeast"/>
                <w:jc w:val="center"/>
              </w:trPr>
              <w:tc>
                <w:tcPr>
                  <w:tcW w:w="898" w:type="dxa"/>
                  <w:vMerge w:val="continue"/>
                  <w:noWrap w:val="0"/>
                  <w:vAlign w:val="center"/>
                </w:tcPr>
                <w:p w14:paraId="0B0A0FE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noWrap w:val="0"/>
                  <w:vAlign w:val="center"/>
                </w:tcPr>
                <w:p w14:paraId="0C54CF8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动植物油</w:t>
                  </w:r>
                  <w:r>
                    <w:rPr>
                      <w:rFonts w:hint="eastAsia" w:ascii="Times New Roman" w:hAnsi="Times New Roman" w:eastAsia="宋体" w:cs="Times New Roman"/>
                      <w:color w:val="auto"/>
                      <w:sz w:val="21"/>
                      <w:szCs w:val="21"/>
                      <w:lang w:val="en-US" w:eastAsia="zh-CN"/>
                    </w:rPr>
                    <w:t>类</w:t>
                  </w:r>
                </w:p>
              </w:tc>
              <w:tc>
                <w:tcPr>
                  <w:tcW w:w="1007" w:type="dxa"/>
                  <w:noWrap w:val="0"/>
                  <w:vAlign w:val="center"/>
                </w:tcPr>
                <w:p w14:paraId="50B10ED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1007" w:type="dxa"/>
                  <w:noWrap w:val="0"/>
                  <w:vAlign w:val="center"/>
                </w:tcPr>
                <w:p w14:paraId="116C0FA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1007" w:type="dxa"/>
                  <w:noWrap w:val="0"/>
                  <w:vAlign w:val="center"/>
                </w:tcPr>
                <w:p w14:paraId="7FAA739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1010" w:type="dxa"/>
                  <w:noWrap w:val="0"/>
                  <w:vAlign w:val="center"/>
                </w:tcPr>
                <w:p w14:paraId="77F038E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spacing w:val="-3"/>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ND</w:t>
                  </w:r>
                </w:p>
              </w:tc>
              <w:tc>
                <w:tcPr>
                  <w:tcW w:w="2453" w:type="dxa"/>
                  <w:noWrap w:val="0"/>
                  <w:vAlign w:val="center"/>
                </w:tcPr>
                <w:p w14:paraId="768BAC2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100</w:t>
                  </w:r>
                </w:p>
              </w:tc>
            </w:tr>
            <w:tr w14:paraId="0B7E7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618" w:hRule="atLeast"/>
                <w:jc w:val="center"/>
              </w:trPr>
              <w:tc>
                <w:tcPr>
                  <w:tcW w:w="898" w:type="dxa"/>
                  <w:vMerge w:val="continue"/>
                  <w:noWrap w:val="0"/>
                  <w:vAlign w:val="center"/>
                </w:tcPr>
                <w:p w14:paraId="14239D2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noWrap w:val="0"/>
                  <w:vAlign w:val="center"/>
                </w:tcPr>
                <w:p w14:paraId="6C2CC3B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色度</w:t>
                  </w:r>
                </w:p>
                <w:p w14:paraId="205E897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（稀释倍数）</w:t>
                  </w:r>
                </w:p>
              </w:tc>
              <w:tc>
                <w:tcPr>
                  <w:tcW w:w="1007" w:type="dxa"/>
                  <w:noWrap w:val="0"/>
                  <w:vAlign w:val="center"/>
                </w:tcPr>
                <w:p w14:paraId="78E2DECF">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1007" w:type="dxa"/>
                  <w:noWrap w:val="0"/>
                  <w:vAlign w:val="center"/>
                </w:tcPr>
                <w:p w14:paraId="3D44AAF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1007" w:type="dxa"/>
                  <w:noWrap w:val="0"/>
                  <w:vAlign w:val="center"/>
                </w:tcPr>
                <w:p w14:paraId="6A40938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1010" w:type="dxa"/>
                  <w:noWrap w:val="0"/>
                  <w:vAlign w:val="center"/>
                </w:tcPr>
                <w:p w14:paraId="439C7ED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2453" w:type="dxa"/>
                  <w:noWrap w:val="0"/>
                  <w:vAlign w:val="center"/>
                </w:tcPr>
                <w:p w14:paraId="43E8E0F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64</w:t>
                  </w:r>
                </w:p>
              </w:tc>
            </w:tr>
            <w:tr w14:paraId="2D709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391" w:hRule="atLeast"/>
                <w:jc w:val="center"/>
              </w:trPr>
              <w:tc>
                <w:tcPr>
                  <w:tcW w:w="898" w:type="dxa"/>
                  <w:vMerge w:val="continue"/>
                  <w:noWrap w:val="0"/>
                  <w:vAlign w:val="center"/>
                </w:tcPr>
                <w:p w14:paraId="580E8BFE">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noWrap w:val="0"/>
                  <w:vAlign w:val="center"/>
                </w:tcPr>
                <w:p w14:paraId="58CF0D7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氨氮</w:t>
                  </w:r>
                </w:p>
              </w:tc>
              <w:tc>
                <w:tcPr>
                  <w:tcW w:w="1007" w:type="dxa"/>
                  <w:noWrap w:val="0"/>
                  <w:vAlign w:val="center"/>
                </w:tcPr>
                <w:p w14:paraId="56182D2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2.06</w:t>
                  </w:r>
                </w:p>
              </w:tc>
              <w:tc>
                <w:tcPr>
                  <w:tcW w:w="1007" w:type="dxa"/>
                  <w:noWrap w:val="0"/>
                  <w:vAlign w:val="center"/>
                </w:tcPr>
                <w:p w14:paraId="0C3B999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1.47</w:t>
                  </w:r>
                </w:p>
              </w:tc>
              <w:tc>
                <w:tcPr>
                  <w:tcW w:w="1007" w:type="dxa"/>
                  <w:noWrap w:val="0"/>
                  <w:vAlign w:val="center"/>
                </w:tcPr>
                <w:p w14:paraId="236A55A2">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2.65</w:t>
                  </w:r>
                </w:p>
              </w:tc>
              <w:tc>
                <w:tcPr>
                  <w:tcW w:w="1010" w:type="dxa"/>
                  <w:noWrap w:val="0"/>
                  <w:vAlign w:val="center"/>
                </w:tcPr>
                <w:p w14:paraId="284EBA0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w:t>
                  </w:r>
                  <w:r>
                    <w:rPr>
                      <w:rFonts w:hint="eastAsia" w:ascii="Times New Roman" w:hAnsi="Times New Roman" w:eastAsia="宋体" w:cs="Times New Roman"/>
                      <w:color w:val="auto"/>
                      <w:sz w:val="21"/>
                      <w:szCs w:val="21"/>
                      <w:lang w:val="en-US" w:eastAsia="zh-CN"/>
                    </w:rPr>
                    <w:t>9</w:t>
                  </w:r>
                </w:p>
              </w:tc>
              <w:tc>
                <w:tcPr>
                  <w:tcW w:w="2453" w:type="dxa"/>
                  <w:noWrap w:val="0"/>
                  <w:vAlign w:val="center"/>
                </w:tcPr>
                <w:p w14:paraId="79BC2C66">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w:t>
                  </w:r>
                </w:p>
              </w:tc>
            </w:tr>
            <w:tr w14:paraId="5774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26" w:hRule="atLeast"/>
                <w:jc w:val="center"/>
              </w:trPr>
              <w:tc>
                <w:tcPr>
                  <w:tcW w:w="898" w:type="dxa"/>
                  <w:vMerge w:val="continue"/>
                  <w:noWrap w:val="0"/>
                  <w:vAlign w:val="center"/>
                </w:tcPr>
                <w:p w14:paraId="6F092B4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noWrap w:val="0"/>
                  <w:vAlign w:val="center"/>
                </w:tcPr>
                <w:p w14:paraId="2ABB0078">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总磷</w:t>
                  </w:r>
                </w:p>
              </w:tc>
              <w:tc>
                <w:tcPr>
                  <w:tcW w:w="1007" w:type="dxa"/>
                  <w:noWrap w:val="0"/>
                  <w:vAlign w:val="center"/>
                </w:tcPr>
                <w:p w14:paraId="234E302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0.66</w:t>
                  </w:r>
                </w:p>
              </w:tc>
              <w:tc>
                <w:tcPr>
                  <w:tcW w:w="1007" w:type="dxa"/>
                  <w:noWrap w:val="0"/>
                  <w:vAlign w:val="center"/>
                </w:tcPr>
                <w:p w14:paraId="432894AD">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0.62</w:t>
                  </w:r>
                </w:p>
              </w:tc>
              <w:tc>
                <w:tcPr>
                  <w:tcW w:w="1007" w:type="dxa"/>
                  <w:noWrap w:val="0"/>
                  <w:vAlign w:val="center"/>
                </w:tcPr>
                <w:p w14:paraId="0EB468B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0.63</w:t>
                  </w:r>
                </w:p>
              </w:tc>
              <w:tc>
                <w:tcPr>
                  <w:tcW w:w="1010" w:type="dxa"/>
                  <w:noWrap w:val="0"/>
                  <w:vAlign w:val="center"/>
                </w:tcPr>
                <w:p w14:paraId="2B427D57">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0.68</w:t>
                  </w:r>
                </w:p>
              </w:tc>
              <w:tc>
                <w:tcPr>
                  <w:tcW w:w="2453" w:type="dxa"/>
                  <w:noWrap w:val="0"/>
                  <w:vAlign w:val="center"/>
                </w:tcPr>
                <w:p w14:paraId="157DCF0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r>
            <w:tr w14:paraId="52631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14" w:hRule="atLeast"/>
                <w:jc w:val="center"/>
              </w:trPr>
              <w:tc>
                <w:tcPr>
                  <w:tcW w:w="898" w:type="dxa"/>
                  <w:vMerge w:val="continue"/>
                  <w:noWrap w:val="0"/>
                  <w:vAlign w:val="center"/>
                </w:tcPr>
                <w:p w14:paraId="42985739">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1616" w:type="dxa"/>
                  <w:gridSpan w:val="2"/>
                  <w:noWrap w:val="0"/>
                  <w:vAlign w:val="center"/>
                </w:tcPr>
                <w:p w14:paraId="2289DEEA">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总氮</w:t>
                  </w:r>
                </w:p>
              </w:tc>
              <w:tc>
                <w:tcPr>
                  <w:tcW w:w="1007" w:type="dxa"/>
                  <w:noWrap w:val="0"/>
                  <w:vAlign w:val="center"/>
                </w:tcPr>
                <w:p w14:paraId="0A7E145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6.18</w:t>
                  </w:r>
                </w:p>
              </w:tc>
              <w:tc>
                <w:tcPr>
                  <w:tcW w:w="1007" w:type="dxa"/>
                  <w:noWrap w:val="0"/>
                  <w:vAlign w:val="center"/>
                </w:tcPr>
                <w:p w14:paraId="6398B451">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4.90</w:t>
                  </w:r>
                </w:p>
              </w:tc>
              <w:tc>
                <w:tcPr>
                  <w:tcW w:w="1007" w:type="dxa"/>
                  <w:noWrap w:val="0"/>
                  <w:vAlign w:val="center"/>
                </w:tcPr>
                <w:p w14:paraId="37C22153">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5.49</w:t>
                  </w:r>
                </w:p>
              </w:tc>
              <w:tc>
                <w:tcPr>
                  <w:tcW w:w="1010" w:type="dxa"/>
                  <w:noWrap w:val="0"/>
                  <w:vAlign w:val="center"/>
                </w:tcPr>
                <w:p w14:paraId="1A80E484">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5.83</w:t>
                  </w:r>
                </w:p>
              </w:tc>
              <w:tc>
                <w:tcPr>
                  <w:tcW w:w="2453" w:type="dxa"/>
                  <w:noWrap w:val="0"/>
                  <w:vAlign w:val="center"/>
                </w:tcPr>
                <w:p w14:paraId="37D57AD0">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w:t>
                  </w:r>
                </w:p>
              </w:tc>
            </w:tr>
            <w:tr w14:paraId="09012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cantSplit/>
                <w:trHeight w:val="472" w:hRule="atLeast"/>
                <w:jc w:val="center"/>
              </w:trPr>
              <w:tc>
                <w:tcPr>
                  <w:tcW w:w="8998" w:type="dxa"/>
                  <w:gridSpan w:val="8"/>
                  <w:noWrap w:val="0"/>
                  <w:vAlign w:val="center"/>
                </w:tcPr>
                <w:p w14:paraId="39EE81EC">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注：“ND”表示检测结果小于方法检出限。</w:t>
                  </w:r>
                </w:p>
              </w:tc>
            </w:tr>
          </w:tbl>
          <w:p w14:paraId="021603B3">
            <w:pPr>
              <w:pStyle w:val="12"/>
              <w:keepNext w:val="0"/>
              <w:keepLines w:val="0"/>
              <w:pageBreakBefore w:val="0"/>
              <w:widowControl/>
              <w:kinsoku/>
              <w:wordWrap/>
              <w:overflowPunct/>
              <w:topLinePunct w:val="0"/>
              <w:autoSpaceDE/>
              <w:autoSpaceDN/>
              <w:bidi w:val="0"/>
              <w:adjustRightInd w:val="0"/>
              <w:snapToGrid w:val="0"/>
              <w:spacing w:after="0" w:line="360" w:lineRule="auto"/>
              <w:ind w:left="0" w:right="0" w:firstLine="488"/>
              <w:textAlignment w:val="auto"/>
              <w:rPr>
                <w:rFonts w:hint="default" w:ascii="Times New Roman" w:hAnsi="Times New Roman" w:eastAsia="宋体" w:cs="Times New Roman"/>
                <w:color w:val="auto"/>
                <w:kern w:val="2"/>
                <w:sz w:val="24"/>
                <w:szCs w:val="22"/>
                <w:lang w:val="en-US" w:eastAsia="zh-CN" w:bidi="ar-SA"/>
              </w:rPr>
            </w:pPr>
            <w:r>
              <w:rPr>
                <w:rFonts w:hint="eastAsia" w:ascii="Times New Roman" w:hAnsi="Times New Roman" w:eastAsia="宋体" w:cs="Times New Roman"/>
                <w:color w:val="auto"/>
                <w:kern w:val="2"/>
                <w:sz w:val="24"/>
                <w:szCs w:val="22"/>
                <w:lang w:val="en-US" w:eastAsia="zh-CN" w:bidi="ar-SA"/>
              </w:rPr>
              <w:t>由上表7-5可知，废水中</w:t>
            </w:r>
            <w:r>
              <w:rPr>
                <w:rFonts w:hint="default" w:ascii="Times New Roman" w:hAnsi="Times New Roman" w:eastAsia="宋体" w:cs="Times New Roman"/>
                <w:color w:val="auto"/>
                <w:kern w:val="2"/>
                <w:sz w:val="24"/>
                <w:szCs w:val="22"/>
                <w:lang w:val="en-US" w:eastAsia="zh-CN" w:bidi="ar-SA"/>
              </w:rPr>
              <w:t>pH值、悬浮物、化学需氧量、五日生化需氧量、动植物油</w:t>
            </w:r>
            <w:r>
              <w:rPr>
                <w:rFonts w:hint="eastAsia" w:ascii="Times New Roman" w:hAnsi="Times New Roman" w:eastAsia="宋体" w:cs="Times New Roman"/>
                <w:color w:val="auto"/>
                <w:kern w:val="2"/>
                <w:sz w:val="24"/>
                <w:szCs w:val="22"/>
                <w:lang w:val="en-US" w:eastAsia="zh-CN" w:bidi="ar-SA"/>
              </w:rPr>
              <w:t>类</w:t>
            </w:r>
            <w:r>
              <w:rPr>
                <w:rFonts w:hint="default" w:ascii="Times New Roman" w:hAnsi="Times New Roman" w:eastAsia="宋体" w:cs="Times New Roman"/>
                <w:color w:val="auto"/>
                <w:kern w:val="2"/>
                <w:sz w:val="24"/>
                <w:szCs w:val="22"/>
                <w:lang w:val="en-US" w:eastAsia="zh-CN" w:bidi="ar-SA"/>
              </w:rPr>
              <w:t>检测结果符合《污水综合排放标准》(GB 8978-1996) 表4中三级标准限值；色度、氨氮、总磷、总氮的检测结果符合《污水排入城镇下水道水质标准》（GB/T 31962-2015 ）表1中B级标准限值。</w:t>
            </w:r>
          </w:p>
          <w:p w14:paraId="7ED3E219">
            <w:pPr>
              <w:pStyle w:val="5"/>
              <w:keepNext w:val="0"/>
              <w:keepLines w:val="0"/>
              <w:suppressLineNumbers w:val="0"/>
              <w:spacing w:before="0" w:beforeAutospacing="0" w:after="0" w:afterAutospacing="0"/>
              <w:ind w:left="0" w:right="0"/>
              <w:rPr>
                <w:rFonts w:hint="default"/>
                <w:color w:val="auto"/>
                <w:sz w:val="24"/>
                <w:szCs w:val="24"/>
              </w:rPr>
            </w:pPr>
            <w:r>
              <w:rPr>
                <w:rFonts w:hint="eastAsia"/>
                <w:color w:val="auto"/>
                <w:sz w:val="24"/>
                <w:szCs w:val="24"/>
                <w:lang w:val="en-US" w:eastAsia="zh-CN"/>
              </w:rPr>
              <w:t>3</w:t>
            </w:r>
            <w:r>
              <w:rPr>
                <w:rFonts w:hint="eastAsia"/>
                <w:color w:val="auto"/>
                <w:sz w:val="24"/>
                <w:szCs w:val="24"/>
              </w:rPr>
              <w:t>、噪声</w:t>
            </w:r>
          </w:p>
          <w:p w14:paraId="759AC935">
            <w:pPr>
              <w:keepNext w:val="0"/>
              <w:keepLines w:val="0"/>
              <w:widowControl w:val="0"/>
              <w:suppressLineNumbers w:val="0"/>
              <w:adjustRightInd/>
              <w:snapToGrid/>
              <w:spacing w:before="0" w:beforeAutospacing="0" w:after="0" w:afterAutospacing="0"/>
              <w:ind w:left="0" w:right="0" w:firstLine="480"/>
              <w:rPr>
                <w:rFonts w:hint="default"/>
                <w:color w:val="auto"/>
                <w:kern w:val="2"/>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color w:val="auto"/>
                <w:kern w:val="2"/>
              </w:rPr>
              <w:t>，本项目竣工环境保护设施验收</w:t>
            </w:r>
            <w:r>
              <w:rPr>
                <w:rFonts w:hint="eastAsia"/>
                <w:color w:val="auto"/>
                <w:kern w:val="2"/>
                <w:lang w:val="en-US" w:eastAsia="zh-CN"/>
              </w:rPr>
              <w:t>监测</w:t>
            </w:r>
            <w:r>
              <w:rPr>
                <w:rFonts w:hint="eastAsia"/>
                <w:color w:val="auto"/>
                <w:kern w:val="2"/>
              </w:rPr>
              <w:t>期间，噪声</w:t>
            </w:r>
            <w:r>
              <w:rPr>
                <w:rFonts w:hint="eastAsia"/>
                <w:color w:val="auto"/>
                <w:kern w:val="2"/>
                <w:lang w:val="en-US" w:eastAsia="zh-CN"/>
              </w:rPr>
              <w:t>检测</w:t>
            </w:r>
            <w:r>
              <w:rPr>
                <w:rFonts w:hint="eastAsia"/>
                <w:color w:val="auto"/>
                <w:kern w:val="2"/>
              </w:rPr>
              <w:t>结果见表</w:t>
            </w:r>
            <w:r>
              <w:rPr>
                <w:rFonts w:hint="default"/>
                <w:color w:val="auto"/>
                <w:kern w:val="2"/>
              </w:rPr>
              <w:t>7-</w:t>
            </w:r>
            <w:r>
              <w:rPr>
                <w:rFonts w:hint="eastAsia"/>
                <w:color w:val="auto"/>
                <w:kern w:val="2"/>
                <w:lang w:val="en-US" w:eastAsia="zh-CN"/>
              </w:rPr>
              <w:t>6</w:t>
            </w:r>
            <w:r>
              <w:rPr>
                <w:rFonts w:hint="eastAsia"/>
                <w:color w:val="auto"/>
                <w:kern w:val="2"/>
              </w:rPr>
              <w:t>：</w:t>
            </w:r>
          </w:p>
          <w:p w14:paraId="10EECF6C">
            <w:pPr>
              <w:pStyle w:val="61"/>
              <w:keepNext w:val="0"/>
              <w:keepLines w:val="0"/>
              <w:suppressLineNumbers w:val="0"/>
              <w:spacing w:before="0" w:beforeAutospacing="0" w:after="0" w:afterAutospacing="0" w:line="240" w:lineRule="auto"/>
              <w:ind w:left="0" w:right="0"/>
              <w:rPr>
                <w:rFonts w:hint="eastAsia"/>
                <w:color w:val="auto"/>
                <w:sz w:val="21"/>
                <w:szCs w:val="21"/>
                <w:lang w:val="en-US" w:eastAsia="zh-CN"/>
              </w:rPr>
            </w:pPr>
            <w:r>
              <w:rPr>
                <w:rFonts w:hint="eastAsia"/>
                <w:color w:val="auto"/>
                <w:sz w:val="21"/>
                <w:szCs w:val="21"/>
              </w:rPr>
              <w:t>表</w:t>
            </w:r>
            <w:r>
              <w:rPr>
                <w:rFonts w:hint="default"/>
                <w:color w:val="auto"/>
                <w:sz w:val="21"/>
                <w:szCs w:val="21"/>
              </w:rPr>
              <w:t>7-</w:t>
            </w:r>
            <w:r>
              <w:rPr>
                <w:rFonts w:hint="eastAsia"/>
                <w:color w:val="auto"/>
                <w:sz w:val="21"/>
                <w:szCs w:val="21"/>
                <w:lang w:val="en-US" w:eastAsia="zh-CN"/>
              </w:rPr>
              <w:t>6</w:t>
            </w:r>
            <w:r>
              <w:rPr>
                <w:rFonts w:hint="default"/>
                <w:color w:val="auto"/>
                <w:sz w:val="21"/>
                <w:szCs w:val="21"/>
              </w:rPr>
              <w:t xml:space="preserve"> </w:t>
            </w:r>
            <w:r>
              <w:rPr>
                <w:rFonts w:hint="eastAsia"/>
                <w:color w:val="auto"/>
                <w:sz w:val="21"/>
                <w:szCs w:val="21"/>
              </w:rPr>
              <w:t>噪声</w:t>
            </w:r>
            <w:r>
              <w:rPr>
                <w:rFonts w:hint="eastAsia"/>
                <w:color w:val="auto"/>
                <w:sz w:val="21"/>
                <w:szCs w:val="21"/>
                <w:lang w:val="en-US" w:eastAsia="zh-CN"/>
              </w:rPr>
              <w:t>检测</w:t>
            </w:r>
            <w:r>
              <w:rPr>
                <w:rFonts w:hint="eastAsia"/>
                <w:color w:val="auto"/>
                <w:sz w:val="21"/>
                <w:szCs w:val="21"/>
              </w:rPr>
              <w:t>结果</w:t>
            </w:r>
            <w:r>
              <w:rPr>
                <w:rFonts w:hint="eastAsia"/>
                <w:color w:val="auto"/>
                <w:sz w:val="21"/>
                <w:szCs w:val="21"/>
                <w:lang w:val="en-US" w:eastAsia="zh-CN"/>
              </w:rPr>
              <w:t>表</w:t>
            </w:r>
          </w:p>
          <w:tbl>
            <w:tblPr>
              <w:tblStyle w:val="100"/>
              <w:tblW w:w="90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2"/>
              <w:gridCol w:w="2293"/>
              <w:gridCol w:w="1291"/>
              <w:gridCol w:w="1455"/>
              <w:gridCol w:w="974"/>
              <w:gridCol w:w="2273"/>
            </w:tblGrid>
            <w:tr w14:paraId="21E2A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772" w:type="dxa"/>
                  <w:vMerge w:val="restart"/>
                  <w:tcBorders>
                    <w:bottom w:val="nil"/>
                  </w:tcBorders>
                  <w:vAlign w:val="center"/>
                </w:tcPr>
                <w:p w14:paraId="78D1499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检测点</w:t>
                  </w:r>
                </w:p>
                <w:p w14:paraId="3C5C946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编号</w:t>
                  </w:r>
                </w:p>
              </w:tc>
              <w:tc>
                <w:tcPr>
                  <w:tcW w:w="2293" w:type="dxa"/>
                  <w:vMerge w:val="restart"/>
                  <w:tcBorders>
                    <w:bottom w:val="nil"/>
                  </w:tcBorders>
                  <w:vAlign w:val="center"/>
                </w:tcPr>
                <w:p w14:paraId="2106381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检测点位置</w:t>
                  </w:r>
                </w:p>
              </w:tc>
              <w:tc>
                <w:tcPr>
                  <w:tcW w:w="1291" w:type="dxa"/>
                  <w:vMerge w:val="restart"/>
                  <w:tcBorders>
                    <w:bottom w:val="nil"/>
                  </w:tcBorders>
                  <w:vAlign w:val="center"/>
                </w:tcPr>
                <w:p w14:paraId="2FC5DF2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主要声源</w:t>
                  </w:r>
                </w:p>
              </w:tc>
              <w:tc>
                <w:tcPr>
                  <w:tcW w:w="1455" w:type="dxa"/>
                  <w:vMerge w:val="restart"/>
                  <w:tcBorders>
                    <w:bottom w:val="nil"/>
                  </w:tcBorders>
                  <w:vAlign w:val="center"/>
                </w:tcPr>
                <w:p w14:paraId="2EC7CBA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3"/>
                      <w:sz w:val="21"/>
                      <w:szCs w:val="21"/>
                    </w:rPr>
                  </w:pPr>
                  <w:r>
                    <w:rPr>
                      <w:rFonts w:hint="default" w:ascii="Times New Roman" w:hAnsi="Times New Roman" w:eastAsia="宋体" w:cs="Times New Roman"/>
                      <w:color w:val="auto"/>
                      <w:spacing w:val="-3"/>
                      <w:sz w:val="21"/>
                      <w:szCs w:val="21"/>
                    </w:rPr>
                    <w:t>检测时段</w:t>
                  </w:r>
                </w:p>
                <w:p w14:paraId="6F70133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（2024.0</w:t>
                  </w:r>
                  <w:r>
                    <w:rPr>
                      <w:rFonts w:hint="default" w:ascii="Times New Roman" w:hAnsi="Times New Roman" w:eastAsia="宋体" w:cs="Times New Roman"/>
                      <w:color w:val="auto"/>
                      <w:spacing w:val="-3"/>
                      <w:sz w:val="21"/>
                      <w:szCs w:val="21"/>
                      <w:lang w:val="en-US" w:eastAsia="zh-CN"/>
                    </w:rPr>
                    <w:t>7.04</w:t>
                  </w:r>
                  <w:r>
                    <w:rPr>
                      <w:rFonts w:hint="default" w:ascii="Times New Roman" w:hAnsi="Times New Roman" w:eastAsia="宋体" w:cs="Times New Roman"/>
                      <w:color w:val="auto"/>
                      <w:spacing w:val="-3"/>
                      <w:sz w:val="21"/>
                      <w:szCs w:val="21"/>
                      <w:lang w:eastAsia="zh-CN"/>
                    </w:rPr>
                    <w:t>）</w:t>
                  </w:r>
                </w:p>
              </w:tc>
              <w:tc>
                <w:tcPr>
                  <w:tcW w:w="974" w:type="dxa"/>
                  <w:vAlign w:val="center"/>
                </w:tcPr>
                <w:p w14:paraId="5AA913F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结果</w:t>
                  </w:r>
                </w:p>
              </w:tc>
              <w:tc>
                <w:tcPr>
                  <w:tcW w:w="2273" w:type="dxa"/>
                  <w:vMerge w:val="restart"/>
                  <w:vAlign w:val="center"/>
                </w:tcPr>
                <w:p w14:paraId="7944CBD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8"/>
                      <w:sz w:val="21"/>
                      <w:szCs w:val="21"/>
                      <w:lang w:eastAsia="zh-CN"/>
                    </w:rPr>
                  </w:pPr>
                  <w:r>
                    <w:rPr>
                      <w:rFonts w:hint="default" w:ascii="Times New Roman" w:hAnsi="Times New Roman" w:eastAsia="宋体" w:cs="Times New Roman"/>
                      <w:color w:val="auto"/>
                      <w:spacing w:val="-8"/>
                      <w:sz w:val="21"/>
                      <w:szCs w:val="21"/>
                      <w:lang w:eastAsia="zh-CN"/>
                    </w:rPr>
                    <w:t>工业企业厂界环境噪声排放标准GB 12348-2008</w:t>
                  </w:r>
                  <w:r>
                    <w:rPr>
                      <w:rFonts w:hint="default" w:ascii="Times New Roman" w:hAnsi="Times New Roman" w:eastAsia="宋体" w:cs="Times New Roman"/>
                      <w:color w:val="auto"/>
                      <w:spacing w:val="-8"/>
                      <w:sz w:val="21"/>
                      <w:szCs w:val="21"/>
                      <w:lang w:val="en-US" w:eastAsia="zh-CN"/>
                    </w:rPr>
                    <w:t xml:space="preserve"> 3 </w:t>
                  </w:r>
                  <w:r>
                    <w:rPr>
                      <w:rFonts w:hint="default" w:ascii="Times New Roman" w:hAnsi="Times New Roman" w:eastAsia="宋体" w:cs="Times New Roman"/>
                      <w:color w:val="auto"/>
                      <w:spacing w:val="-8"/>
                      <w:sz w:val="21"/>
                      <w:szCs w:val="21"/>
                      <w:lang w:eastAsia="zh-CN"/>
                    </w:rPr>
                    <w:t>类</w:t>
                  </w:r>
                </w:p>
              </w:tc>
            </w:tr>
            <w:tr w14:paraId="16FE6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 w:hRule="atLeast"/>
                <w:jc w:val="center"/>
              </w:trPr>
              <w:tc>
                <w:tcPr>
                  <w:tcW w:w="772" w:type="dxa"/>
                  <w:vMerge w:val="continue"/>
                  <w:tcBorders>
                    <w:top w:val="nil"/>
                  </w:tcBorders>
                  <w:vAlign w:val="center"/>
                </w:tcPr>
                <w:p w14:paraId="60C19C0D">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2293" w:type="dxa"/>
                  <w:vMerge w:val="continue"/>
                  <w:tcBorders>
                    <w:top w:val="nil"/>
                  </w:tcBorders>
                  <w:vAlign w:val="center"/>
                </w:tcPr>
                <w:p w14:paraId="6D083010">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1291" w:type="dxa"/>
                  <w:vMerge w:val="continue"/>
                  <w:tcBorders>
                    <w:top w:val="nil"/>
                    <w:bottom w:val="single" w:color="auto" w:sz="4" w:space="0"/>
                  </w:tcBorders>
                  <w:vAlign w:val="center"/>
                </w:tcPr>
                <w:p w14:paraId="715569B0">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1455" w:type="dxa"/>
                  <w:vMerge w:val="continue"/>
                  <w:tcBorders>
                    <w:top w:val="nil"/>
                    <w:bottom w:val="single" w:color="auto" w:sz="4" w:space="0"/>
                  </w:tcBorders>
                  <w:vAlign w:val="center"/>
                </w:tcPr>
                <w:p w14:paraId="7B02529D">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974" w:type="dxa"/>
                  <w:vAlign w:val="center"/>
                </w:tcPr>
                <w:p w14:paraId="0B9ABB1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昼间</w:t>
                  </w:r>
                </w:p>
              </w:tc>
              <w:tc>
                <w:tcPr>
                  <w:tcW w:w="2273" w:type="dxa"/>
                  <w:vMerge w:val="continue"/>
                  <w:vAlign w:val="center"/>
                </w:tcPr>
                <w:p w14:paraId="62A02A2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r w14:paraId="22FECC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jc w:val="center"/>
              </w:trPr>
              <w:tc>
                <w:tcPr>
                  <w:tcW w:w="772" w:type="dxa"/>
                  <w:vAlign w:val="center"/>
                </w:tcPr>
                <w:p w14:paraId="0BDFC4A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5"/>
                      <w:sz w:val="21"/>
                      <w:szCs w:val="21"/>
                    </w:rPr>
                    <w:t>1#</w:t>
                  </w:r>
                </w:p>
              </w:tc>
              <w:tc>
                <w:tcPr>
                  <w:tcW w:w="2293" w:type="dxa"/>
                  <w:tcBorders>
                    <w:right w:val="single" w:color="auto" w:sz="4" w:space="0"/>
                  </w:tcBorders>
                  <w:vAlign w:val="center"/>
                </w:tcPr>
                <w:p w14:paraId="18A325D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项目东南侧厂界外1m处</w:t>
                  </w:r>
                </w:p>
              </w:tc>
              <w:tc>
                <w:tcPr>
                  <w:tcW w:w="1291" w:type="dxa"/>
                  <w:tcBorders>
                    <w:top w:val="single" w:color="auto" w:sz="4" w:space="0"/>
                    <w:left w:val="single" w:color="auto" w:sz="4" w:space="0"/>
                    <w:right w:val="single" w:color="auto" w:sz="4" w:space="0"/>
                  </w:tcBorders>
                  <w:vAlign w:val="center"/>
                </w:tcPr>
                <w:p w14:paraId="4C0C394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风机、车辆</w:t>
                  </w:r>
                </w:p>
              </w:tc>
              <w:tc>
                <w:tcPr>
                  <w:tcW w:w="1455" w:type="dxa"/>
                  <w:tcBorders>
                    <w:top w:val="single" w:color="auto" w:sz="4" w:space="0"/>
                    <w:left w:val="single" w:color="auto" w:sz="4" w:space="0"/>
                    <w:bottom w:val="single" w:color="auto" w:sz="4" w:space="0"/>
                    <w:right w:val="single" w:color="auto" w:sz="4" w:space="0"/>
                  </w:tcBorders>
                  <w:vAlign w:val="center"/>
                </w:tcPr>
                <w:p w14:paraId="3B5467E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16:51~16:56</w:t>
                  </w:r>
                </w:p>
              </w:tc>
              <w:tc>
                <w:tcPr>
                  <w:tcW w:w="974" w:type="dxa"/>
                  <w:tcBorders>
                    <w:left w:val="single" w:color="auto" w:sz="4" w:space="0"/>
                  </w:tcBorders>
                  <w:vAlign w:val="center"/>
                </w:tcPr>
                <w:p w14:paraId="655177BF">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58.7</w:t>
                  </w:r>
                </w:p>
              </w:tc>
              <w:tc>
                <w:tcPr>
                  <w:tcW w:w="2273" w:type="dxa"/>
                  <w:vMerge w:val="restart"/>
                  <w:vAlign w:val="center"/>
                </w:tcPr>
                <w:p w14:paraId="2A779010">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3"/>
                      <w:sz w:val="21"/>
                      <w:szCs w:val="21"/>
                      <w:lang w:val="en-US" w:eastAsia="zh-CN"/>
                    </w:rPr>
                  </w:pPr>
                  <w:r>
                    <w:rPr>
                      <w:rFonts w:hint="default" w:ascii="Times New Roman" w:hAnsi="Times New Roman" w:eastAsia="宋体" w:cs="Times New Roman"/>
                      <w:color w:val="auto"/>
                      <w:spacing w:val="-3"/>
                      <w:sz w:val="21"/>
                      <w:szCs w:val="21"/>
                      <w:lang w:val="en-US" w:eastAsia="zh-CN"/>
                    </w:rPr>
                    <w:t>65</w:t>
                  </w:r>
                </w:p>
              </w:tc>
            </w:tr>
            <w:tr w14:paraId="2F83CC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72" w:type="dxa"/>
                  <w:vAlign w:val="center"/>
                </w:tcPr>
                <w:p w14:paraId="795913F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2#</w:t>
                  </w:r>
                </w:p>
              </w:tc>
              <w:tc>
                <w:tcPr>
                  <w:tcW w:w="2293" w:type="dxa"/>
                  <w:tcBorders>
                    <w:right w:val="single" w:color="auto" w:sz="4" w:space="0"/>
                  </w:tcBorders>
                  <w:vAlign w:val="center"/>
                </w:tcPr>
                <w:p w14:paraId="23550A5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项目西南侧厂界外1m处，高于围墙0.5m</w:t>
                  </w:r>
                </w:p>
              </w:tc>
              <w:tc>
                <w:tcPr>
                  <w:tcW w:w="1291" w:type="dxa"/>
                  <w:vMerge w:val="restart"/>
                  <w:tcBorders>
                    <w:left w:val="single" w:color="auto" w:sz="4" w:space="0"/>
                    <w:right w:val="single" w:color="auto" w:sz="4" w:space="0"/>
                  </w:tcBorders>
                  <w:vAlign w:val="center"/>
                </w:tcPr>
                <w:p w14:paraId="48A317C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风机</w:t>
                  </w:r>
                </w:p>
              </w:tc>
              <w:tc>
                <w:tcPr>
                  <w:tcW w:w="1455" w:type="dxa"/>
                  <w:tcBorders>
                    <w:top w:val="single" w:color="auto" w:sz="4" w:space="0"/>
                    <w:left w:val="single" w:color="auto" w:sz="4" w:space="0"/>
                    <w:bottom w:val="single" w:color="auto" w:sz="4" w:space="0"/>
                    <w:right w:val="single" w:color="auto" w:sz="4" w:space="0"/>
                  </w:tcBorders>
                  <w:vAlign w:val="center"/>
                </w:tcPr>
                <w:p w14:paraId="683ABCA6">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17:30~17:35</w:t>
                  </w:r>
                </w:p>
              </w:tc>
              <w:tc>
                <w:tcPr>
                  <w:tcW w:w="974" w:type="dxa"/>
                  <w:tcBorders>
                    <w:left w:val="single" w:color="auto" w:sz="4" w:space="0"/>
                  </w:tcBorders>
                  <w:vAlign w:val="center"/>
                </w:tcPr>
                <w:p w14:paraId="1219E642">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58.9</w:t>
                  </w:r>
                </w:p>
              </w:tc>
              <w:tc>
                <w:tcPr>
                  <w:tcW w:w="2273" w:type="dxa"/>
                  <w:vMerge w:val="continue"/>
                  <w:vAlign w:val="center"/>
                </w:tcPr>
                <w:p w14:paraId="0FDF3DE0">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r w14:paraId="39A45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72" w:type="dxa"/>
                  <w:vAlign w:val="center"/>
                </w:tcPr>
                <w:p w14:paraId="0D2B9A9F">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3#</w:t>
                  </w:r>
                </w:p>
              </w:tc>
              <w:tc>
                <w:tcPr>
                  <w:tcW w:w="2293" w:type="dxa"/>
                  <w:tcBorders>
                    <w:right w:val="single" w:color="auto" w:sz="4" w:space="0"/>
                  </w:tcBorders>
                  <w:vAlign w:val="center"/>
                </w:tcPr>
                <w:p w14:paraId="580ABE8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项目西北侧厂界外1m处，高于围墙0.5m</w:t>
                  </w:r>
                </w:p>
              </w:tc>
              <w:tc>
                <w:tcPr>
                  <w:tcW w:w="1291" w:type="dxa"/>
                  <w:vMerge w:val="continue"/>
                  <w:tcBorders>
                    <w:left w:val="single" w:color="auto" w:sz="4" w:space="0"/>
                    <w:right w:val="single" w:color="auto" w:sz="4" w:space="0"/>
                  </w:tcBorders>
                  <w:vAlign w:val="center"/>
                </w:tcPr>
                <w:p w14:paraId="4157CEA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kern w:val="2"/>
                      <w:sz w:val="21"/>
                      <w:szCs w:val="21"/>
                      <w:lang w:val="en-US" w:eastAsia="zh-CN"/>
                    </w:rPr>
                  </w:pPr>
                </w:p>
              </w:tc>
              <w:tc>
                <w:tcPr>
                  <w:tcW w:w="1455" w:type="dxa"/>
                  <w:tcBorders>
                    <w:top w:val="single" w:color="auto" w:sz="4" w:space="0"/>
                    <w:left w:val="single" w:color="auto" w:sz="4" w:space="0"/>
                    <w:bottom w:val="single" w:color="auto" w:sz="4" w:space="0"/>
                    <w:right w:val="single" w:color="auto" w:sz="4" w:space="0"/>
                  </w:tcBorders>
                  <w:vAlign w:val="center"/>
                </w:tcPr>
                <w:p w14:paraId="797FA0D8">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17:38~17:43</w:t>
                  </w:r>
                </w:p>
              </w:tc>
              <w:tc>
                <w:tcPr>
                  <w:tcW w:w="974" w:type="dxa"/>
                  <w:tcBorders>
                    <w:left w:val="single" w:color="auto" w:sz="4" w:space="0"/>
                  </w:tcBorders>
                  <w:vAlign w:val="center"/>
                </w:tcPr>
                <w:p w14:paraId="69F1A51F">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50.1</w:t>
                  </w:r>
                </w:p>
              </w:tc>
              <w:tc>
                <w:tcPr>
                  <w:tcW w:w="2273" w:type="dxa"/>
                  <w:vMerge w:val="continue"/>
                  <w:vAlign w:val="center"/>
                </w:tcPr>
                <w:p w14:paraId="6513C48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r w14:paraId="2F9FB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72" w:type="dxa"/>
                  <w:vAlign w:val="center"/>
                </w:tcPr>
                <w:p w14:paraId="5DEA1A4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5"/>
                      <w:sz w:val="21"/>
                      <w:szCs w:val="21"/>
                      <w:lang w:val="en-US" w:eastAsia="zh-CN"/>
                    </w:rPr>
                  </w:pPr>
                  <w:r>
                    <w:rPr>
                      <w:rFonts w:hint="default" w:ascii="Times New Roman" w:hAnsi="Times New Roman" w:eastAsia="宋体" w:cs="Times New Roman"/>
                      <w:color w:val="auto"/>
                      <w:spacing w:val="-5"/>
                      <w:sz w:val="21"/>
                      <w:szCs w:val="21"/>
                      <w:lang w:val="en-US" w:eastAsia="zh-CN"/>
                    </w:rPr>
                    <w:t>4#</w:t>
                  </w:r>
                </w:p>
              </w:tc>
              <w:tc>
                <w:tcPr>
                  <w:tcW w:w="2293" w:type="dxa"/>
                  <w:tcBorders>
                    <w:right w:val="single" w:color="auto" w:sz="4" w:space="0"/>
                  </w:tcBorders>
                  <w:vAlign w:val="center"/>
                </w:tcPr>
                <w:p w14:paraId="6B0FC41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项目东北侧厂界外1m处，高于围墙0.5m</w:t>
                  </w:r>
                </w:p>
              </w:tc>
              <w:tc>
                <w:tcPr>
                  <w:tcW w:w="1291" w:type="dxa"/>
                  <w:vMerge w:val="continue"/>
                  <w:tcBorders>
                    <w:left w:val="single" w:color="auto" w:sz="4" w:space="0"/>
                    <w:right w:val="single" w:color="auto" w:sz="4" w:space="0"/>
                  </w:tcBorders>
                  <w:vAlign w:val="center"/>
                </w:tcPr>
                <w:p w14:paraId="6281AA4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kern w:val="2"/>
                      <w:sz w:val="21"/>
                      <w:szCs w:val="21"/>
                      <w:lang w:val="en-US" w:eastAsia="zh-CN"/>
                    </w:rPr>
                  </w:pPr>
                </w:p>
              </w:tc>
              <w:tc>
                <w:tcPr>
                  <w:tcW w:w="1455" w:type="dxa"/>
                  <w:tcBorders>
                    <w:top w:val="single" w:color="auto" w:sz="4" w:space="0"/>
                    <w:left w:val="single" w:color="auto" w:sz="4" w:space="0"/>
                    <w:bottom w:val="single" w:color="auto" w:sz="4" w:space="0"/>
                    <w:right w:val="single" w:color="auto" w:sz="4" w:space="0"/>
                  </w:tcBorders>
                  <w:vAlign w:val="center"/>
                </w:tcPr>
                <w:p w14:paraId="40377213">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17:45~17:50</w:t>
                  </w:r>
                </w:p>
              </w:tc>
              <w:tc>
                <w:tcPr>
                  <w:tcW w:w="974" w:type="dxa"/>
                  <w:tcBorders>
                    <w:left w:val="single" w:color="auto" w:sz="4" w:space="0"/>
                  </w:tcBorders>
                  <w:vAlign w:val="center"/>
                </w:tcPr>
                <w:p w14:paraId="1AAB46A6">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53.6</w:t>
                  </w:r>
                </w:p>
              </w:tc>
              <w:tc>
                <w:tcPr>
                  <w:tcW w:w="2273" w:type="dxa"/>
                  <w:vMerge w:val="continue"/>
                  <w:vAlign w:val="center"/>
                </w:tcPr>
                <w:p w14:paraId="5A16D98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r w14:paraId="7F9DD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772" w:type="dxa"/>
                  <w:vMerge w:val="restart"/>
                  <w:tcBorders>
                    <w:bottom w:val="nil"/>
                  </w:tcBorders>
                  <w:vAlign w:val="center"/>
                </w:tcPr>
                <w:p w14:paraId="6F83E90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检测点</w:t>
                  </w:r>
                </w:p>
                <w:p w14:paraId="531BFF3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编号</w:t>
                  </w:r>
                </w:p>
              </w:tc>
              <w:tc>
                <w:tcPr>
                  <w:tcW w:w="2293" w:type="dxa"/>
                  <w:vMerge w:val="restart"/>
                  <w:tcBorders>
                    <w:bottom w:val="nil"/>
                  </w:tcBorders>
                  <w:vAlign w:val="center"/>
                </w:tcPr>
                <w:p w14:paraId="7DCBD890">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检测点位置</w:t>
                  </w:r>
                </w:p>
              </w:tc>
              <w:tc>
                <w:tcPr>
                  <w:tcW w:w="1291" w:type="dxa"/>
                  <w:vMerge w:val="restart"/>
                  <w:tcBorders>
                    <w:bottom w:val="nil"/>
                  </w:tcBorders>
                  <w:vAlign w:val="center"/>
                </w:tcPr>
                <w:p w14:paraId="6484477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主要声源</w:t>
                  </w:r>
                </w:p>
              </w:tc>
              <w:tc>
                <w:tcPr>
                  <w:tcW w:w="1455" w:type="dxa"/>
                  <w:vMerge w:val="restart"/>
                  <w:tcBorders>
                    <w:bottom w:val="nil"/>
                  </w:tcBorders>
                  <w:vAlign w:val="center"/>
                </w:tcPr>
                <w:p w14:paraId="7F74405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3"/>
                      <w:sz w:val="21"/>
                      <w:szCs w:val="21"/>
                    </w:rPr>
                  </w:pPr>
                  <w:r>
                    <w:rPr>
                      <w:rFonts w:hint="default" w:ascii="Times New Roman" w:hAnsi="Times New Roman" w:eastAsia="宋体" w:cs="Times New Roman"/>
                      <w:color w:val="auto"/>
                      <w:spacing w:val="-3"/>
                      <w:sz w:val="21"/>
                      <w:szCs w:val="21"/>
                    </w:rPr>
                    <w:t>检测时段</w:t>
                  </w:r>
                </w:p>
                <w:p w14:paraId="362A95A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lang w:eastAsia="zh-CN"/>
                    </w:rPr>
                    <w:t>（2024.0</w:t>
                  </w:r>
                  <w:r>
                    <w:rPr>
                      <w:rFonts w:hint="default" w:ascii="Times New Roman" w:hAnsi="Times New Roman" w:eastAsia="宋体" w:cs="Times New Roman"/>
                      <w:color w:val="auto"/>
                      <w:spacing w:val="-3"/>
                      <w:sz w:val="21"/>
                      <w:szCs w:val="21"/>
                      <w:lang w:val="en-US" w:eastAsia="zh-CN"/>
                    </w:rPr>
                    <w:t>7.05</w:t>
                  </w:r>
                  <w:r>
                    <w:rPr>
                      <w:rFonts w:hint="default" w:ascii="Times New Roman" w:hAnsi="Times New Roman" w:eastAsia="宋体" w:cs="Times New Roman"/>
                      <w:color w:val="auto"/>
                      <w:spacing w:val="-3"/>
                      <w:sz w:val="21"/>
                      <w:szCs w:val="21"/>
                      <w:lang w:eastAsia="zh-CN"/>
                    </w:rPr>
                    <w:t>）</w:t>
                  </w:r>
                </w:p>
              </w:tc>
              <w:tc>
                <w:tcPr>
                  <w:tcW w:w="974" w:type="dxa"/>
                  <w:vAlign w:val="center"/>
                </w:tcPr>
                <w:p w14:paraId="06ADD97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结果</w:t>
                  </w:r>
                </w:p>
              </w:tc>
              <w:tc>
                <w:tcPr>
                  <w:tcW w:w="2273" w:type="dxa"/>
                  <w:vMerge w:val="restart"/>
                  <w:vAlign w:val="center"/>
                </w:tcPr>
                <w:p w14:paraId="64A3290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8"/>
                      <w:sz w:val="21"/>
                      <w:szCs w:val="21"/>
                      <w:lang w:eastAsia="zh-CN"/>
                    </w:rPr>
                  </w:pPr>
                  <w:r>
                    <w:rPr>
                      <w:rFonts w:hint="default" w:ascii="Times New Roman" w:hAnsi="Times New Roman" w:eastAsia="宋体" w:cs="Times New Roman"/>
                      <w:color w:val="auto"/>
                      <w:spacing w:val="-8"/>
                      <w:sz w:val="21"/>
                      <w:szCs w:val="21"/>
                      <w:lang w:eastAsia="zh-CN"/>
                    </w:rPr>
                    <w:t>工业企业厂界环境噪声排放标准GB 12348-2008</w:t>
                  </w:r>
                  <w:r>
                    <w:rPr>
                      <w:rFonts w:hint="default" w:ascii="Times New Roman" w:hAnsi="Times New Roman" w:eastAsia="宋体" w:cs="Times New Roman"/>
                      <w:color w:val="auto"/>
                      <w:spacing w:val="-8"/>
                      <w:sz w:val="21"/>
                      <w:szCs w:val="21"/>
                      <w:lang w:val="en-US" w:eastAsia="zh-CN"/>
                    </w:rPr>
                    <w:t xml:space="preserve"> 3 </w:t>
                  </w:r>
                  <w:r>
                    <w:rPr>
                      <w:rFonts w:hint="default" w:ascii="Times New Roman" w:hAnsi="Times New Roman" w:eastAsia="宋体" w:cs="Times New Roman"/>
                      <w:color w:val="auto"/>
                      <w:spacing w:val="-8"/>
                      <w:sz w:val="21"/>
                      <w:szCs w:val="21"/>
                      <w:lang w:eastAsia="zh-CN"/>
                    </w:rPr>
                    <w:t>类</w:t>
                  </w:r>
                </w:p>
              </w:tc>
            </w:tr>
            <w:tr w14:paraId="1FBC7F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 w:hRule="atLeast"/>
                <w:jc w:val="center"/>
              </w:trPr>
              <w:tc>
                <w:tcPr>
                  <w:tcW w:w="772" w:type="dxa"/>
                  <w:vMerge w:val="continue"/>
                  <w:tcBorders>
                    <w:top w:val="nil"/>
                  </w:tcBorders>
                  <w:vAlign w:val="center"/>
                </w:tcPr>
                <w:p w14:paraId="45688246">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2293" w:type="dxa"/>
                  <w:vMerge w:val="continue"/>
                  <w:tcBorders>
                    <w:top w:val="nil"/>
                  </w:tcBorders>
                  <w:vAlign w:val="center"/>
                </w:tcPr>
                <w:p w14:paraId="45709893">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1291" w:type="dxa"/>
                  <w:vMerge w:val="continue"/>
                  <w:tcBorders>
                    <w:top w:val="nil"/>
                    <w:bottom w:val="single" w:color="auto" w:sz="4" w:space="0"/>
                  </w:tcBorders>
                  <w:vAlign w:val="center"/>
                </w:tcPr>
                <w:p w14:paraId="7B38D85E">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1455" w:type="dxa"/>
                  <w:vMerge w:val="continue"/>
                  <w:tcBorders>
                    <w:top w:val="nil"/>
                    <w:bottom w:val="single" w:color="auto" w:sz="4" w:space="0"/>
                  </w:tcBorders>
                  <w:vAlign w:val="center"/>
                </w:tcPr>
                <w:p w14:paraId="5AE7E0CC">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c>
                <w:tcPr>
                  <w:tcW w:w="974" w:type="dxa"/>
                  <w:vAlign w:val="center"/>
                </w:tcPr>
                <w:p w14:paraId="79B3F8F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color w:val="auto"/>
                      <w:sz w:val="21"/>
                      <w:szCs w:val="21"/>
                      <w:lang w:eastAsia="zh-CN"/>
                    </w:rPr>
                    <w:t>昼间</w:t>
                  </w:r>
                </w:p>
              </w:tc>
              <w:tc>
                <w:tcPr>
                  <w:tcW w:w="2273" w:type="dxa"/>
                  <w:vMerge w:val="continue"/>
                  <w:vAlign w:val="center"/>
                </w:tcPr>
                <w:p w14:paraId="6DF5953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r w14:paraId="4750B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jc w:val="center"/>
              </w:trPr>
              <w:tc>
                <w:tcPr>
                  <w:tcW w:w="772" w:type="dxa"/>
                  <w:vAlign w:val="center"/>
                </w:tcPr>
                <w:p w14:paraId="7FF3340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5"/>
                      <w:sz w:val="21"/>
                      <w:szCs w:val="21"/>
                    </w:rPr>
                    <w:t>1#</w:t>
                  </w:r>
                </w:p>
              </w:tc>
              <w:tc>
                <w:tcPr>
                  <w:tcW w:w="2293" w:type="dxa"/>
                  <w:tcBorders>
                    <w:right w:val="single" w:color="auto" w:sz="4" w:space="0"/>
                  </w:tcBorders>
                  <w:vAlign w:val="center"/>
                </w:tcPr>
                <w:p w14:paraId="47D79BD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项目东南侧厂界外1m处</w:t>
                  </w:r>
                </w:p>
              </w:tc>
              <w:tc>
                <w:tcPr>
                  <w:tcW w:w="1291" w:type="dxa"/>
                  <w:tcBorders>
                    <w:top w:val="single" w:color="auto" w:sz="4" w:space="0"/>
                    <w:left w:val="single" w:color="auto" w:sz="4" w:space="0"/>
                    <w:right w:val="single" w:color="auto" w:sz="4" w:space="0"/>
                  </w:tcBorders>
                  <w:vAlign w:val="center"/>
                </w:tcPr>
                <w:p w14:paraId="4732805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风机、车辆</w:t>
                  </w:r>
                </w:p>
              </w:tc>
              <w:tc>
                <w:tcPr>
                  <w:tcW w:w="1455" w:type="dxa"/>
                  <w:tcBorders>
                    <w:top w:val="single" w:color="auto" w:sz="4" w:space="0"/>
                    <w:left w:val="single" w:color="auto" w:sz="4" w:space="0"/>
                    <w:bottom w:val="single" w:color="auto" w:sz="4" w:space="0"/>
                    <w:right w:val="single" w:color="auto" w:sz="4" w:space="0"/>
                  </w:tcBorders>
                  <w:vAlign w:val="center"/>
                </w:tcPr>
                <w:p w14:paraId="1CB47A8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15:43~15:48</w:t>
                  </w:r>
                </w:p>
              </w:tc>
              <w:tc>
                <w:tcPr>
                  <w:tcW w:w="974" w:type="dxa"/>
                  <w:tcBorders>
                    <w:left w:val="single" w:color="auto" w:sz="4" w:space="0"/>
                  </w:tcBorders>
                  <w:vAlign w:val="center"/>
                </w:tcPr>
                <w:p w14:paraId="12FA0DEF">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58.7</w:t>
                  </w:r>
                </w:p>
              </w:tc>
              <w:tc>
                <w:tcPr>
                  <w:tcW w:w="2273" w:type="dxa"/>
                  <w:vMerge w:val="restart"/>
                  <w:vAlign w:val="center"/>
                </w:tcPr>
                <w:p w14:paraId="6699839F">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3"/>
                      <w:sz w:val="21"/>
                      <w:szCs w:val="21"/>
                      <w:lang w:val="en-US" w:eastAsia="zh-CN"/>
                    </w:rPr>
                  </w:pPr>
                  <w:r>
                    <w:rPr>
                      <w:rFonts w:hint="default" w:ascii="Times New Roman" w:hAnsi="Times New Roman" w:eastAsia="宋体" w:cs="Times New Roman"/>
                      <w:color w:val="auto"/>
                      <w:spacing w:val="-3"/>
                      <w:sz w:val="21"/>
                      <w:szCs w:val="21"/>
                      <w:lang w:val="en-US" w:eastAsia="zh-CN"/>
                    </w:rPr>
                    <w:t>65</w:t>
                  </w:r>
                </w:p>
              </w:tc>
            </w:tr>
            <w:tr w14:paraId="64E7D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72" w:type="dxa"/>
                  <w:vAlign w:val="center"/>
                </w:tcPr>
                <w:p w14:paraId="2127935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2#</w:t>
                  </w:r>
                </w:p>
              </w:tc>
              <w:tc>
                <w:tcPr>
                  <w:tcW w:w="2293" w:type="dxa"/>
                  <w:tcBorders>
                    <w:right w:val="single" w:color="auto" w:sz="4" w:space="0"/>
                  </w:tcBorders>
                  <w:vAlign w:val="center"/>
                </w:tcPr>
                <w:p w14:paraId="13EED9E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项目西南侧厂界外1m处，高于围墙0.5m</w:t>
                  </w:r>
                </w:p>
              </w:tc>
              <w:tc>
                <w:tcPr>
                  <w:tcW w:w="1291" w:type="dxa"/>
                  <w:vMerge w:val="restart"/>
                  <w:tcBorders>
                    <w:left w:val="single" w:color="auto" w:sz="4" w:space="0"/>
                    <w:right w:val="single" w:color="auto" w:sz="4" w:space="0"/>
                  </w:tcBorders>
                  <w:vAlign w:val="center"/>
                </w:tcPr>
                <w:p w14:paraId="3EF989A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风机</w:t>
                  </w:r>
                </w:p>
              </w:tc>
              <w:tc>
                <w:tcPr>
                  <w:tcW w:w="1455" w:type="dxa"/>
                  <w:tcBorders>
                    <w:top w:val="single" w:color="auto" w:sz="4" w:space="0"/>
                    <w:left w:val="single" w:color="auto" w:sz="4" w:space="0"/>
                    <w:bottom w:val="single" w:color="auto" w:sz="4" w:space="0"/>
                    <w:right w:val="single" w:color="auto" w:sz="4" w:space="0"/>
                  </w:tcBorders>
                  <w:vAlign w:val="center"/>
                </w:tcPr>
                <w:p w14:paraId="47B27F5B">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15:55~16:00</w:t>
                  </w:r>
                </w:p>
              </w:tc>
              <w:tc>
                <w:tcPr>
                  <w:tcW w:w="974" w:type="dxa"/>
                  <w:tcBorders>
                    <w:left w:val="single" w:color="auto" w:sz="4" w:space="0"/>
                  </w:tcBorders>
                  <w:vAlign w:val="center"/>
                </w:tcPr>
                <w:p w14:paraId="722EDCEB">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57.0</w:t>
                  </w:r>
                </w:p>
              </w:tc>
              <w:tc>
                <w:tcPr>
                  <w:tcW w:w="2273" w:type="dxa"/>
                  <w:vMerge w:val="continue"/>
                  <w:vAlign w:val="center"/>
                </w:tcPr>
                <w:p w14:paraId="0A5AF56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r w14:paraId="64E38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72" w:type="dxa"/>
                  <w:vAlign w:val="center"/>
                </w:tcPr>
                <w:p w14:paraId="465268EF">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3#</w:t>
                  </w:r>
                </w:p>
              </w:tc>
              <w:tc>
                <w:tcPr>
                  <w:tcW w:w="2293" w:type="dxa"/>
                  <w:tcBorders>
                    <w:right w:val="single" w:color="auto" w:sz="4" w:space="0"/>
                  </w:tcBorders>
                  <w:vAlign w:val="center"/>
                </w:tcPr>
                <w:p w14:paraId="7B1D907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项目西北侧厂界外1m处，高于围墙0.5m</w:t>
                  </w:r>
                </w:p>
              </w:tc>
              <w:tc>
                <w:tcPr>
                  <w:tcW w:w="1291" w:type="dxa"/>
                  <w:vMerge w:val="continue"/>
                  <w:tcBorders>
                    <w:left w:val="single" w:color="auto" w:sz="4" w:space="0"/>
                    <w:right w:val="single" w:color="auto" w:sz="4" w:space="0"/>
                  </w:tcBorders>
                  <w:vAlign w:val="center"/>
                </w:tcPr>
                <w:p w14:paraId="7F18DB5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kern w:val="2"/>
                      <w:sz w:val="21"/>
                      <w:szCs w:val="21"/>
                      <w:lang w:val="en-US" w:eastAsia="zh-CN"/>
                    </w:rPr>
                  </w:pPr>
                </w:p>
              </w:tc>
              <w:tc>
                <w:tcPr>
                  <w:tcW w:w="1455" w:type="dxa"/>
                  <w:tcBorders>
                    <w:top w:val="single" w:color="auto" w:sz="4" w:space="0"/>
                    <w:left w:val="single" w:color="auto" w:sz="4" w:space="0"/>
                    <w:bottom w:val="single" w:color="auto" w:sz="4" w:space="0"/>
                    <w:right w:val="single" w:color="auto" w:sz="4" w:space="0"/>
                  </w:tcBorders>
                  <w:vAlign w:val="center"/>
                </w:tcPr>
                <w:p w14:paraId="5E57D9DB">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16:03~16:08</w:t>
                  </w:r>
                </w:p>
              </w:tc>
              <w:tc>
                <w:tcPr>
                  <w:tcW w:w="974" w:type="dxa"/>
                  <w:tcBorders>
                    <w:left w:val="single" w:color="auto" w:sz="4" w:space="0"/>
                  </w:tcBorders>
                  <w:vAlign w:val="center"/>
                </w:tcPr>
                <w:p w14:paraId="5ACDF9BA">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54.4</w:t>
                  </w:r>
                </w:p>
              </w:tc>
              <w:tc>
                <w:tcPr>
                  <w:tcW w:w="2273" w:type="dxa"/>
                  <w:vMerge w:val="continue"/>
                  <w:vAlign w:val="center"/>
                </w:tcPr>
                <w:p w14:paraId="12D242D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r w14:paraId="2C0AF4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jc w:val="center"/>
              </w:trPr>
              <w:tc>
                <w:tcPr>
                  <w:tcW w:w="772" w:type="dxa"/>
                  <w:vAlign w:val="center"/>
                </w:tcPr>
                <w:p w14:paraId="34639CA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pacing w:val="-5"/>
                      <w:sz w:val="21"/>
                      <w:szCs w:val="21"/>
                      <w:lang w:val="en-US" w:eastAsia="zh-CN"/>
                    </w:rPr>
                  </w:pPr>
                  <w:r>
                    <w:rPr>
                      <w:rFonts w:hint="default" w:ascii="Times New Roman" w:hAnsi="Times New Roman" w:eastAsia="宋体" w:cs="Times New Roman"/>
                      <w:color w:val="auto"/>
                      <w:spacing w:val="-5"/>
                      <w:sz w:val="21"/>
                      <w:szCs w:val="21"/>
                      <w:lang w:val="en-US" w:eastAsia="zh-CN"/>
                    </w:rPr>
                    <w:t>4#</w:t>
                  </w:r>
                </w:p>
              </w:tc>
              <w:tc>
                <w:tcPr>
                  <w:tcW w:w="2293" w:type="dxa"/>
                  <w:tcBorders>
                    <w:right w:val="single" w:color="auto" w:sz="4" w:space="0"/>
                  </w:tcBorders>
                  <w:vAlign w:val="center"/>
                </w:tcPr>
                <w:p w14:paraId="0EFA172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项目东北侧厂界外1m处，高于围墙0.5m</w:t>
                  </w:r>
                </w:p>
              </w:tc>
              <w:tc>
                <w:tcPr>
                  <w:tcW w:w="1291" w:type="dxa"/>
                  <w:vMerge w:val="continue"/>
                  <w:tcBorders>
                    <w:left w:val="single" w:color="auto" w:sz="4" w:space="0"/>
                    <w:right w:val="single" w:color="auto" w:sz="4" w:space="0"/>
                  </w:tcBorders>
                  <w:vAlign w:val="center"/>
                </w:tcPr>
                <w:p w14:paraId="021006F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Times New Roman" w:hAnsi="Times New Roman" w:eastAsia="宋体" w:cs="Times New Roman"/>
                      <w:color w:val="auto"/>
                      <w:kern w:val="2"/>
                      <w:sz w:val="21"/>
                      <w:szCs w:val="21"/>
                      <w:lang w:val="en-US" w:eastAsia="zh-CN"/>
                    </w:rPr>
                  </w:pPr>
                </w:p>
              </w:tc>
              <w:tc>
                <w:tcPr>
                  <w:tcW w:w="1455" w:type="dxa"/>
                  <w:tcBorders>
                    <w:top w:val="single" w:color="auto" w:sz="4" w:space="0"/>
                    <w:left w:val="single" w:color="auto" w:sz="4" w:space="0"/>
                    <w:bottom w:val="single" w:color="auto" w:sz="4" w:space="0"/>
                    <w:right w:val="single" w:color="auto" w:sz="4" w:space="0"/>
                  </w:tcBorders>
                  <w:vAlign w:val="center"/>
                </w:tcPr>
                <w:p w14:paraId="30EC26F3">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snapToGrid w:val="0"/>
                      <w:color w:val="auto"/>
                      <w:spacing w:val="-3"/>
                      <w:sz w:val="21"/>
                      <w:szCs w:val="21"/>
                      <w:lang w:val="en-US" w:eastAsia="zh-CN" w:bidi="ar-SA"/>
                    </w:rPr>
                  </w:pPr>
                  <w:r>
                    <w:rPr>
                      <w:rFonts w:hint="default" w:ascii="Times New Roman" w:hAnsi="Times New Roman" w:eastAsia="宋体" w:cs="Times New Roman"/>
                      <w:snapToGrid w:val="0"/>
                      <w:color w:val="auto"/>
                      <w:spacing w:val="-3"/>
                      <w:sz w:val="21"/>
                      <w:szCs w:val="21"/>
                      <w:lang w:val="en-US" w:eastAsia="zh-CN" w:bidi="ar-SA"/>
                    </w:rPr>
                    <w:t>16:13~16:18</w:t>
                  </w:r>
                </w:p>
              </w:tc>
              <w:tc>
                <w:tcPr>
                  <w:tcW w:w="974" w:type="dxa"/>
                  <w:tcBorders>
                    <w:left w:val="single" w:color="auto" w:sz="4" w:space="0"/>
                  </w:tcBorders>
                  <w:vAlign w:val="center"/>
                </w:tcPr>
                <w:p w14:paraId="6163ECC2">
                  <w:pPr>
                    <w:pStyle w:val="99"/>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63.2</w:t>
                  </w:r>
                </w:p>
              </w:tc>
              <w:tc>
                <w:tcPr>
                  <w:tcW w:w="2273" w:type="dxa"/>
                  <w:vMerge w:val="continue"/>
                  <w:vAlign w:val="center"/>
                </w:tcPr>
                <w:p w14:paraId="653E1C9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ascii="Times New Roman" w:hAnsi="Times New Roman" w:eastAsia="宋体" w:cs="Times New Roman"/>
                      <w:color w:val="auto"/>
                      <w:sz w:val="21"/>
                      <w:szCs w:val="21"/>
                    </w:rPr>
                  </w:pPr>
                </w:p>
              </w:tc>
            </w:tr>
          </w:tbl>
          <w:p w14:paraId="249B2CE5">
            <w:pPr>
              <w:keepNext w:val="0"/>
              <w:keepLines w:val="0"/>
              <w:widowControl/>
              <w:suppressLineNumbers w:val="0"/>
              <w:spacing w:before="0" w:beforeAutospacing="0" w:after="0" w:afterAutospacing="0"/>
              <w:ind w:left="0" w:right="0" w:firstLine="480"/>
              <w:rPr>
                <w:rFonts w:hint="default"/>
                <w:bCs/>
                <w:color w:val="auto"/>
              </w:rPr>
            </w:pPr>
            <w:r>
              <w:rPr>
                <w:rFonts w:hint="eastAsia"/>
                <w:color w:val="auto"/>
                <w:kern w:val="2"/>
                <w:szCs w:val="24"/>
              </w:rPr>
              <w:t>由表</w:t>
            </w:r>
            <w:r>
              <w:rPr>
                <w:rFonts w:hint="default"/>
                <w:color w:val="auto"/>
                <w:kern w:val="2"/>
                <w:szCs w:val="24"/>
              </w:rPr>
              <w:t>7-</w:t>
            </w:r>
            <w:r>
              <w:rPr>
                <w:rFonts w:hint="eastAsia"/>
                <w:color w:val="auto"/>
                <w:kern w:val="2"/>
                <w:szCs w:val="24"/>
                <w:lang w:val="en-US" w:eastAsia="zh-CN"/>
              </w:rPr>
              <w:t>6</w:t>
            </w:r>
            <w:r>
              <w:rPr>
                <w:rFonts w:hint="eastAsia"/>
                <w:color w:val="auto"/>
                <w:kern w:val="2"/>
                <w:szCs w:val="24"/>
              </w:rPr>
              <w:t>可知，验收</w:t>
            </w:r>
            <w:r>
              <w:rPr>
                <w:rFonts w:hint="eastAsia"/>
                <w:color w:val="auto"/>
                <w:kern w:val="2"/>
                <w:szCs w:val="24"/>
                <w:lang w:val="en-US" w:eastAsia="zh-CN"/>
              </w:rPr>
              <w:t>监测</w:t>
            </w:r>
            <w:r>
              <w:rPr>
                <w:rFonts w:hint="eastAsia"/>
                <w:color w:val="auto"/>
                <w:kern w:val="2"/>
                <w:szCs w:val="24"/>
              </w:rPr>
              <w:t>期间，噪声</w:t>
            </w:r>
            <w:r>
              <w:rPr>
                <w:rFonts w:hint="eastAsia"/>
                <w:color w:val="auto"/>
                <w:kern w:val="2"/>
                <w:szCs w:val="24"/>
                <w:lang w:val="en-US" w:eastAsia="zh-CN"/>
              </w:rPr>
              <w:t>检测</w:t>
            </w:r>
            <w:r>
              <w:rPr>
                <w:rFonts w:hint="eastAsia"/>
                <w:color w:val="auto"/>
                <w:kern w:val="2"/>
                <w:szCs w:val="24"/>
              </w:rPr>
              <w:t>中，1#-4#昼间噪声值均满足《工业企业厂界环境噪声排放标准》（GB 12348-2008）表1中</w:t>
            </w:r>
            <w:r>
              <w:rPr>
                <w:rFonts w:hint="eastAsia"/>
                <w:color w:val="auto"/>
                <w:kern w:val="2"/>
                <w:szCs w:val="24"/>
                <w:lang w:val="en-US" w:eastAsia="zh-CN"/>
              </w:rPr>
              <w:t>3</w:t>
            </w:r>
            <w:r>
              <w:rPr>
                <w:rFonts w:hint="eastAsia"/>
                <w:color w:val="auto"/>
                <w:kern w:val="2"/>
                <w:szCs w:val="24"/>
              </w:rPr>
              <w:t>类标准限值要求</w:t>
            </w:r>
            <w:r>
              <w:rPr>
                <w:rFonts w:hint="default"/>
                <w:bCs/>
                <w:color w:val="auto"/>
              </w:rPr>
              <w:t>。</w:t>
            </w:r>
          </w:p>
          <w:p w14:paraId="1AF90132">
            <w:pPr>
              <w:pStyle w:val="5"/>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4</w:t>
            </w:r>
            <w:r>
              <w:rPr>
                <w:rFonts w:hint="eastAsia"/>
                <w:color w:val="auto"/>
                <w:sz w:val="24"/>
                <w:szCs w:val="24"/>
              </w:rPr>
              <w:t>、固废</w:t>
            </w:r>
          </w:p>
          <w:p w14:paraId="157A3C3E">
            <w:pPr>
              <w:keepNext w:val="0"/>
              <w:keepLines w:val="0"/>
              <w:widowControl/>
              <w:suppressLineNumbers w:val="0"/>
              <w:autoSpaceDE w:val="0"/>
              <w:autoSpaceDN w:val="0"/>
              <w:spacing w:before="0" w:beforeAutospacing="0" w:after="0" w:afterAutospacing="0"/>
              <w:ind w:left="0" w:right="0" w:firstLine="480"/>
              <w:rPr>
                <w:rFonts w:hint="default"/>
                <w:color w:val="auto"/>
              </w:rPr>
            </w:pPr>
            <w:r>
              <w:rPr>
                <w:rFonts w:hint="eastAsia"/>
                <w:color w:val="auto"/>
                <w:szCs w:val="24"/>
              </w:rPr>
              <w:t>本项目运营期产生的固废有</w:t>
            </w:r>
            <w:r>
              <w:rPr>
                <w:rFonts w:hint="eastAsia"/>
                <w:color w:val="auto"/>
                <w:szCs w:val="24"/>
                <w:lang w:eastAsia="zh-CN"/>
              </w:rPr>
              <w:t>餐佐料生产线废菜、污水处理站污泥、料渣、废油脂、废弃包装袋、生活厨余垃圾、废机油、废弃沾染物、实验室废液</w:t>
            </w:r>
            <w:r>
              <w:rPr>
                <w:rFonts w:hint="eastAsia"/>
                <w:color w:val="auto"/>
                <w:szCs w:val="24"/>
              </w:rPr>
              <w:t>。项目生活垃圾收集后交由环卫部门统一清运处理；</w:t>
            </w:r>
            <w:r>
              <w:rPr>
                <w:rFonts w:hint="eastAsia"/>
                <w:color w:val="auto"/>
                <w:szCs w:val="24"/>
                <w:lang w:eastAsia="zh-CN"/>
              </w:rPr>
              <w:t>厨余垃圾、废油脂、料渣、废菜均交由眉山市安和旅游开发有限公司清运处置</w:t>
            </w:r>
            <w:r>
              <w:rPr>
                <w:rFonts w:hint="eastAsia"/>
                <w:color w:val="auto"/>
                <w:szCs w:val="24"/>
                <w:lang w:val="en-US" w:eastAsia="zh-CN"/>
              </w:rPr>
              <w:t>；废弃包装袋外售废品回收站处理；污水处理站污泥交由有能力的单位清运处置。</w:t>
            </w:r>
            <w:r>
              <w:rPr>
                <w:rFonts w:hint="eastAsia"/>
                <w:color w:val="auto"/>
                <w:szCs w:val="24"/>
              </w:rPr>
              <w:t>危险废物（</w:t>
            </w:r>
            <w:r>
              <w:rPr>
                <w:rFonts w:hint="eastAsia"/>
                <w:color w:val="auto"/>
                <w:szCs w:val="24"/>
                <w:lang w:eastAsia="zh-CN"/>
              </w:rPr>
              <w:t>废机油、废弃沾染物、实验室废液</w:t>
            </w:r>
            <w:r>
              <w:rPr>
                <w:rFonts w:hint="eastAsia"/>
                <w:color w:val="auto"/>
                <w:szCs w:val="24"/>
              </w:rPr>
              <w:t>）收集后暂存于危废暂存间，定期交由有资质单位清运处置。项目各项固废落实了环评的处置要求，固废得到了妥善处置，去向明确</w:t>
            </w:r>
            <w:r>
              <w:rPr>
                <w:rFonts w:hint="eastAsia"/>
                <w:color w:val="auto"/>
              </w:rPr>
              <w:t>。</w:t>
            </w:r>
          </w:p>
        </w:tc>
      </w:tr>
      <w:tr w14:paraId="1B05F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9" w:type="dxa"/>
          </w:tcPr>
          <w:p w14:paraId="7F0E7C5D">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三、总量控制指标</w:t>
            </w:r>
          </w:p>
          <w:p w14:paraId="71C3458B">
            <w:pPr>
              <w:keepNext w:val="0"/>
              <w:keepLines w:val="0"/>
              <w:widowControl/>
              <w:suppressLineNumbers w:val="0"/>
              <w:spacing w:before="0" w:beforeAutospacing="0" w:after="0" w:afterAutospacing="0"/>
              <w:ind w:left="0" w:right="0" w:firstLine="480"/>
              <w:rPr>
                <w:rFonts w:hint="default"/>
                <w:bCs/>
                <w:color w:val="auto"/>
              </w:rPr>
            </w:pPr>
            <w:r>
              <w:rPr>
                <w:rFonts w:hint="eastAsia"/>
                <w:bCs/>
                <w:color w:val="auto"/>
              </w:rPr>
              <w:t>（</w:t>
            </w:r>
            <w:r>
              <w:rPr>
                <w:rFonts w:hint="default"/>
                <w:bCs/>
                <w:color w:val="auto"/>
              </w:rPr>
              <w:t>1</w:t>
            </w:r>
            <w:r>
              <w:rPr>
                <w:rFonts w:hint="eastAsia"/>
                <w:bCs/>
                <w:color w:val="auto"/>
              </w:rPr>
              <w:t>）环评</w:t>
            </w:r>
            <w:r>
              <w:rPr>
                <w:rFonts w:hint="eastAsia"/>
                <w:bCs/>
                <w:color w:val="auto"/>
                <w:lang w:val="en-US" w:eastAsia="zh-CN"/>
              </w:rPr>
              <w:t>及批复</w:t>
            </w:r>
            <w:r>
              <w:rPr>
                <w:rFonts w:hint="eastAsia"/>
                <w:bCs/>
                <w:color w:val="auto"/>
              </w:rPr>
              <w:t>要求</w:t>
            </w:r>
          </w:p>
          <w:p w14:paraId="619EC68E">
            <w:pPr>
              <w:keepNext w:val="0"/>
              <w:keepLines w:val="0"/>
              <w:widowControl w:val="0"/>
              <w:suppressLineNumbers w:val="0"/>
              <w:autoSpaceDE w:val="0"/>
              <w:autoSpaceDN w:val="0"/>
              <w:spacing w:before="0" w:beforeAutospacing="0" w:after="0" w:afterAutospacing="0"/>
              <w:ind w:left="0" w:right="0" w:firstLine="480"/>
              <w:rPr>
                <w:rFonts w:hint="default"/>
                <w:color w:val="auto"/>
              </w:rPr>
            </w:pPr>
            <w:r>
              <w:rPr>
                <w:rFonts w:hint="eastAsia"/>
                <w:color w:val="auto"/>
              </w:rPr>
              <w:t>根据</w:t>
            </w:r>
            <w:r>
              <w:rPr>
                <w:rFonts w:hint="eastAsia"/>
                <w:color w:val="auto"/>
                <w:lang w:val="en-US" w:eastAsia="zh-CN"/>
              </w:rPr>
              <w:t>项目</w:t>
            </w:r>
            <w:r>
              <w:rPr>
                <w:rFonts w:hint="eastAsia"/>
                <w:color w:val="auto"/>
              </w:rPr>
              <w:t>环评</w:t>
            </w:r>
            <w:r>
              <w:rPr>
                <w:rFonts w:hint="eastAsia"/>
                <w:color w:val="auto"/>
                <w:lang w:val="en-US" w:eastAsia="zh-CN"/>
              </w:rPr>
              <w:t>及</w:t>
            </w:r>
            <w:r>
              <w:rPr>
                <w:rFonts w:hint="eastAsia"/>
                <w:color w:val="auto"/>
              </w:rPr>
              <w:t>批复</w:t>
            </w:r>
            <w:r>
              <w:rPr>
                <w:rFonts w:hint="eastAsia"/>
                <w:color w:val="auto"/>
                <w:lang w:eastAsia="zh-CN"/>
              </w:rPr>
              <w:t>可</w:t>
            </w:r>
            <w:r>
              <w:rPr>
                <w:rFonts w:hint="eastAsia"/>
                <w:color w:val="auto"/>
                <w:lang w:val="en-US" w:eastAsia="zh-CN"/>
              </w:rPr>
              <w:t>知</w:t>
            </w:r>
            <w:r>
              <w:rPr>
                <w:rFonts w:hint="eastAsia"/>
                <w:color w:val="auto"/>
              </w:rPr>
              <w:t>，</w:t>
            </w:r>
            <w:r>
              <w:rPr>
                <w:rFonts w:hint="eastAsia"/>
                <w:color w:val="auto"/>
                <w:lang w:eastAsia="zh-CN"/>
              </w:rPr>
              <w:t>本项目扩建部分</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：0.0072t/a，NOx：0.637t/a、粉尘0.064t/a；废水</w:t>
            </w:r>
            <w:r>
              <w:rPr>
                <w:rFonts w:hint="eastAsia"/>
                <w:color w:val="auto"/>
              </w:rPr>
              <w:t>总量控制指标为</w:t>
            </w:r>
            <w:r>
              <w:rPr>
                <w:rFonts w:hint="eastAsia"/>
                <w:color w:val="auto"/>
                <w:lang w:val="en-US" w:eastAsia="zh-CN"/>
              </w:rPr>
              <w:t>：COD：0.13t/a，氨氮：0.013t/a。建厂后全厂</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：0.0092t/a，NOx：0.813t/a、粉尘0.064t/a；废水</w:t>
            </w:r>
            <w:r>
              <w:rPr>
                <w:rFonts w:hint="eastAsia"/>
                <w:color w:val="auto"/>
              </w:rPr>
              <w:t>总量控制指标为</w:t>
            </w:r>
            <w:r>
              <w:rPr>
                <w:rFonts w:hint="eastAsia"/>
                <w:color w:val="auto"/>
                <w:lang w:val="en-US" w:eastAsia="zh-CN"/>
              </w:rPr>
              <w:t>：COD：0.23t/a，氨氮：0.023t/a。</w:t>
            </w:r>
          </w:p>
          <w:p w14:paraId="14FE69B6">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2</w:t>
            </w:r>
            <w:r>
              <w:rPr>
                <w:rFonts w:hint="eastAsia" w:hAnsi="宋体"/>
                <w:color w:val="auto"/>
                <w:szCs w:val="24"/>
              </w:rPr>
              <w:t>）排污许可登记</w:t>
            </w:r>
          </w:p>
          <w:p w14:paraId="152416FD">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lang w:val="en-US" w:eastAsia="zh-CN"/>
              </w:rPr>
              <w:t>四川金顶维食品有限公司</w:t>
            </w:r>
            <w:r>
              <w:rPr>
                <w:rFonts w:hint="eastAsia" w:hAnsi="宋体"/>
                <w:color w:val="auto"/>
                <w:szCs w:val="24"/>
              </w:rPr>
              <w:t>已填报</w:t>
            </w:r>
            <w:r>
              <w:rPr>
                <w:rFonts w:hint="eastAsia" w:hAnsi="宋体"/>
                <w:color w:val="auto"/>
                <w:szCs w:val="24"/>
                <w:lang w:eastAsia="zh-CN"/>
              </w:rPr>
              <w:t>，</w:t>
            </w:r>
            <w:r>
              <w:rPr>
                <w:rFonts w:hint="eastAsia" w:hAnsi="宋体"/>
                <w:color w:val="auto"/>
                <w:szCs w:val="24"/>
                <w:lang w:val="en-US" w:eastAsia="zh-CN"/>
              </w:rPr>
              <w:t>并取得固定污染源排污许可证（许可证编号：91511402098552144K001Q）。</w:t>
            </w:r>
          </w:p>
          <w:p w14:paraId="55206D02">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3</w:t>
            </w:r>
            <w:r>
              <w:rPr>
                <w:rFonts w:hint="eastAsia" w:hAnsi="宋体"/>
                <w:color w:val="auto"/>
                <w:szCs w:val="24"/>
              </w:rPr>
              <w:t>）验收核查</w:t>
            </w:r>
          </w:p>
          <w:p w14:paraId="52BE4C3C">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①废水</w:t>
            </w:r>
          </w:p>
          <w:p w14:paraId="6CE59471">
            <w:pPr>
              <w:keepNext w:val="0"/>
              <w:keepLines w:val="0"/>
              <w:widowControl w:val="0"/>
              <w:suppressLineNumbers w:val="0"/>
              <w:adjustRightInd/>
              <w:snapToGrid/>
              <w:spacing w:before="0" w:beforeAutospacing="0" w:after="0" w:afterAutospacing="0"/>
              <w:ind w:left="0" w:right="0" w:firstLine="480"/>
              <w:jc w:val="left"/>
              <w:rPr>
                <w:rFonts w:hint="default"/>
                <w:color w:val="auto"/>
                <w:kern w:val="0"/>
                <w:sz w:val="24"/>
              </w:rPr>
            </w:pPr>
            <w:r>
              <w:rPr>
                <w:rFonts w:hint="eastAsia" w:hAnsi="宋体"/>
                <w:color w:val="auto"/>
                <w:szCs w:val="24"/>
                <w:lang w:val="en-US" w:eastAsia="zh-CN"/>
              </w:rPr>
              <w:t>厂区综合污水经厂区自建污水处理站处理达</w:t>
            </w:r>
            <w:r>
              <w:rPr>
                <w:rFonts w:hint="default"/>
                <w:color w:val="auto"/>
                <w:kern w:val="0"/>
                <w:sz w:val="24"/>
              </w:rPr>
              <w:t>《污水综合排放标准》GB8978-1996中三级标准</w:t>
            </w:r>
            <w:r>
              <w:rPr>
                <w:rFonts w:hint="eastAsia"/>
                <w:color w:val="auto"/>
                <w:kern w:val="0"/>
                <w:sz w:val="24"/>
              </w:rPr>
              <w:t>，氨氮参照《污水排入城镇下水道水质标准》（GB/T31962-2015）表1中B等级标准</w:t>
            </w:r>
            <w:r>
              <w:rPr>
                <w:rFonts w:hint="eastAsia"/>
                <w:color w:val="auto"/>
                <w:kern w:val="0"/>
                <w:sz w:val="24"/>
                <w:lang w:eastAsia="zh-CN"/>
              </w:rPr>
              <w:t>后排入泡菜园区污水处理厂</w:t>
            </w:r>
            <w:r>
              <w:rPr>
                <w:rFonts w:hint="default"/>
                <w:color w:val="auto"/>
                <w:kern w:val="0"/>
                <w:sz w:val="24"/>
              </w:rPr>
              <w:t>。</w:t>
            </w:r>
          </w:p>
          <w:p w14:paraId="16D06EA7">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②废气</w:t>
            </w:r>
          </w:p>
          <w:p w14:paraId="77FC41DE">
            <w:pPr>
              <w:keepNext w:val="0"/>
              <w:keepLines w:val="0"/>
              <w:widowControl w:val="0"/>
              <w:suppressLineNumbers w:val="0"/>
              <w:adjustRightInd/>
              <w:snapToGrid/>
              <w:spacing w:before="0" w:beforeAutospacing="0" w:after="0" w:afterAutospacing="0"/>
              <w:ind w:left="0" w:right="0" w:firstLine="480"/>
              <w:jc w:val="left"/>
              <w:rPr>
                <w:rFonts w:hint="default" w:hAnsi="宋体" w:eastAsia="宋体"/>
                <w:color w:val="auto"/>
                <w:szCs w:val="24"/>
                <w:lang w:val="en-US" w:eastAsia="zh-CN"/>
              </w:rPr>
            </w:pPr>
            <w:r>
              <w:rPr>
                <w:rFonts w:hint="eastAsia" w:hAnsi="宋体"/>
                <w:color w:val="auto"/>
                <w:szCs w:val="24"/>
              </w:rPr>
              <w:t>本项目</w:t>
            </w:r>
            <w:r>
              <w:rPr>
                <w:rFonts w:hint="eastAsia" w:hAnsi="宋体"/>
                <w:color w:val="auto"/>
                <w:szCs w:val="24"/>
                <w:lang w:val="en-US" w:eastAsia="zh-CN"/>
              </w:rPr>
              <w:t>1#生产厂房的油烟、异味经集气罩收集至水喷淋装置+油烟净化器处理后经15m排气筒排放；2#生产厂房的油烟、异味经集气罩收集至水喷淋装置+油烟净化器处理后经15m排气筒排放；1#研发实验室产生的油烟经油烟净化器处理后经15m排气筒排放；2#研发实验室产生的油烟经油烟净化器处理后经15m排气筒排放；食堂油烟经集气罩收集至油烟净化器处理后引至屋顶排放。</w:t>
            </w:r>
          </w:p>
          <w:p w14:paraId="5D54005D">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ascii="Times New Roman" w:hAnsi="Times New Roman"/>
                <w:color w:val="auto"/>
                <w:sz w:val="24"/>
                <w:szCs w:val="24"/>
              </w:rPr>
              <w:t>，项目</w:t>
            </w:r>
            <w:r>
              <w:rPr>
                <w:rFonts w:hint="eastAsia"/>
                <w:color w:val="auto"/>
                <w:sz w:val="24"/>
                <w:szCs w:val="24"/>
                <w:lang w:eastAsia="zh-CN"/>
              </w:rPr>
              <w:t>废水及</w:t>
            </w:r>
            <w:r>
              <w:rPr>
                <w:rFonts w:hint="eastAsia" w:ascii="Times New Roman" w:hAnsi="Times New Roman"/>
                <w:color w:val="auto"/>
                <w:sz w:val="24"/>
                <w:szCs w:val="24"/>
              </w:rPr>
              <w:t>有组织废气核算结果如下：</w:t>
            </w:r>
          </w:p>
          <w:p w14:paraId="15D5997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color w:val="auto"/>
                <w:sz w:val="24"/>
                <w:szCs w:val="24"/>
                <w:lang w:eastAsia="zh-CN"/>
              </w:rPr>
            </w:pPr>
            <w:r>
              <w:rPr>
                <w:rFonts w:hint="eastAsia"/>
                <w:color w:val="auto"/>
                <w:sz w:val="24"/>
                <w:szCs w:val="24"/>
                <w:lang w:eastAsia="zh-CN"/>
              </w:rPr>
              <w:t>废水：</w:t>
            </w:r>
          </w:p>
          <w:p w14:paraId="003FA545">
            <w:pPr>
              <w:pStyle w:val="33"/>
              <w:keepNext w:val="0"/>
              <w:keepLines w:val="0"/>
              <w:suppressLineNumbers w:val="0"/>
              <w:spacing w:before="0" w:beforeAutospacing="0" w:after="0" w:afterAutospacing="0"/>
              <w:ind w:left="0" w:right="0"/>
              <w:rPr>
                <w:rFonts w:hint="eastAsia"/>
                <w:color w:val="auto"/>
                <w:lang w:eastAsia="zh-CN"/>
              </w:rPr>
            </w:pPr>
            <w:r>
              <w:rPr>
                <w:rFonts w:hint="eastAsia"/>
                <w:color w:val="auto"/>
                <w:lang w:eastAsia="zh-CN"/>
              </w:rPr>
              <w:t>企业排口：</w:t>
            </w:r>
          </w:p>
          <w:p w14:paraId="667F792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67</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0.169</w:t>
            </w:r>
            <w:r>
              <w:rPr>
                <w:rFonts w:hint="eastAsia" w:ascii="Times New Roman" w:hAnsi="Times New Roman" w:eastAsia="宋体" w:cs="Times New Roman"/>
                <w:color w:val="auto"/>
                <w:kern w:val="0"/>
                <w:sz w:val="24"/>
                <w:szCs w:val="24"/>
                <w:lang w:val="en-US" w:eastAsia="zh-CN"/>
              </w:rPr>
              <w:t>t/a；</w:t>
            </w:r>
          </w:p>
          <w:p w14:paraId="5EEF3E2F">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2.65</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0.007</w:t>
            </w:r>
            <w:r>
              <w:rPr>
                <w:rFonts w:hint="eastAsia" w:ascii="Times New Roman" w:hAnsi="Times New Roman" w:eastAsia="宋体" w:cs="Times New Roman"/>
                <w:color w:val="auto"/>
                <w:kern w:val="0"/>
                <w:sz w:val="24"/>
                <w:szCs w:val="24"/>
                <w:lang w:val="en-US" w:eastAsia="zh-CN"/>
              </w:rPr>
              <w:t>t/a。</w:t>
            </w:r>
          </w:p>
          <w:p w14:paraId="2D366154">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cs="Times New Roman"/>
                <w:color w:val="auto"/>
                <w:sz w:val="24"/>
                <w:szCs w:val="24"/>
                <w:lang w:val="en-US" w:eastAsia="zh-CN" w:bidi="ar-SA"/>
              </w:rPr>
            </w:pPr>
            <w:r>
              <w:rPr>
                <w:rFonts w:hint="eastAsia" w:ascii="Times New Roman" w:hAnsi="Times New Roman" w:cs="Times New Roman"/>
                <w:color w:val="auto"/>
                <w:sz w:val="24"/>
                <w:szCs w:val="24"/>
                <w:lang w:val="en-US" w:eastAsia="zh-CN" w:bidi="ar-SA"/>
              </w:rPr>
              <w:t>园区污水处理站排口：</w:t>
            </w:r>
          </w:p>
          <w:p w14:paraId="0328F31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/a×40mg/L=</w:t>
            </w:r>
            <w:r>
              <w:rPr>
                <w:rFonts w:hint="eastAsia" w:cs="Times New Roman"/>
                <w:color w:val="auto"/>
                <w:kern w:val="0"/>
                <w:sz w:val="24"/>
                <w:szCs w:val="24"/>
                <w:lang w:val="en-US" w:eastAsia="zh-CN"/>
              </w:rPr>
              <w:t>0.101</w:t>
            </w:r>
            <w:r>
              <w:rPr>
                <w:rFonts w:hint="eastAsia" w:ascii="Times New Roman" w:hAnsi="Times New Roman" w:eastAsia="宋体" w:cs="Times New Roman"/>
                <w:color w:val="auto"/>
                <w:kern w:val="0"/>
                <w:sz w:val="24"/>
                <w:szCs w:val="24"/>
                <w:lang w:val="en-US" w:eastAsia="zh-CN"/>
              </w:rPr>
              <w:t>t/a；</w:t>
            </w:r>
          </w:p>
          <w:p w14:paraId="1900C2CB">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/a×3mg/L=</w:t>
            </w:r>
            <w:r>
              <w:rPr>
                <w:rFonts w:hint="eastAsia" w:cs="Times New Roman"/>
                <w:color w:val="auto"/>
                <w:kern w:val="0"/>
                <w:sz w:val="24"/>
                <w:szCs w:val="24"/>
                <w:lang w:val="en-US" w:eastAsia="zh-CN"/>
              </w:rPr>
              <w:t>0.008</w:t>
            </w:r>
            <w:r>
              <w:rPr>
                <w:rFonts w:hint="eastAsia" w:ascii="Times New Roman" w:hAnsi="Times New Roman" w:eastAsia="宋体" w:cs="Times New Roman"/>
                <w:color w:val="auto"/>
                <w:kern w:val="0"/>
                <w:sz w:val="24"/>
                <w:szCs w:val="24"/>
                <w:lang w:val="en-US" w:eastAsia="zh-CN"/>
              </w:rPr>
              <w:t>t/a。</w:t>
            </w:r>
          </w:p>
          <w:p w14:paraId="2736B047">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废气：</w:t>
            </w:r>
          </w:p>
          <w:p w14:paraId="2A80DD43">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eastAsia="宋体"/>
                <w:color w:val="auto"/>
                <w:sz w:val="24"/>
                <w:szCs w:val="24"/>
                <w:lang w:eastAsia="zh-CN"/>
              </w:rPr>
            </w:pPr>
            <w:r>
              <w:rPr>
                <w:rFonts w:hint="eastAsia"/>
                <w:color w:val="auto"/>
                <w:sz w:val="24"/>
                <w:szCs w:val="24"/>
                <w:lang w:eastAsia="zh-CN"/>
              </w:rPr>
              <w:t>项目鸡精生产线还未建设，全厂仅有油烟、氨、硫化氢和臭气浓度排放，环评及批复中无油烟、氨、硫化氢和臭气浓度的总量控制指标。</w:t>
            </w:r>
          </w:p>
          <w:p w14:paraId="49396929">
            <w:pPr>
              <w:keepNext w:val="0"/>
              <w:keepLines w:val="0"/>
              <w:widowControl w:val="0"/>
              <w:suppressLineNumbers w:val="0"/>
              <w:adjustRightInd/>
              <w:snapToGrid/>
              <w:spacing w:before="0" w:beforeAutospacing="0" w:after="0" w:afterAutospacing="0"/>
              <w:ind w:left="0" w:right="0" w:firstLine="480"/>
              <w:jc w:val="left"/>
              <w:rPr>
                <w:rFonts w:hint="default"/>
                <w:color w:val="auto"/>
                <w:szCs w:val="24"/>
              </w:rPr>
            </w:pPr>
            <w:r>
              <w:rPr>
                <w:rFonts w:hint="eastAsia" w:ascii="Times New Roman" w:hAnsi="Times New Roman"/>
                <w:color w:val="auto"/>
                <w:sz w:val="24"/>
                <w:szCs w:val="24"/>
              </w:rPr>
              <w:t>综上，项目</w:t>
            </w: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ascii="Times New Roman" w:hAnsi="Times New Roman"/>
                <w:color w:val="auto"/>
                <w:sz w:val="24"/>
                <w:szCs w:val="24"/>
              </w:rPr>
              <w:t>排放量满足总量控制要求</w:t>
            </w:r>
            <w:r>
              <w:rPr>
                <w:rFonts w:hint="default" w:ascii="Times New Roman" w:hAnsi="Times New Roman" w:eastAsia="宋体"/>
                <w:color w:val="auto"/>
                <w:sz w:val="24"/>
                <w:szCs w:val="24"/>
              </w:rPr>
              <w:t>。</w:t>
            </w:r>
          </w:p>
          <w:p w14:paraId="20BC65E7">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default"/>
                <w:color w:val="auto"/>
                <w:szCs w:val="24"/>
              </w:rPr>
            </w:pPr>
          </w:p>
        </w:tc>
      </w:tr>
    </w:tbl>
    <w:p w14:paraId="7CC15120">
      <w:pPr>
        <w:ind w:firstLine="480"/>
        <w:rPr>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3B224C7">
      <w:pPr>
        <w:pStyle w:val="3"/>
        <w:rPr>
          <w:color w:val="auto"/>
        </w:rPr>
      </w:pPr>
      <w:bookmarkStart w:id="25" w:name="_Toc9590"/>
      <w:r>
        <w:rPr>
          <w:rFonts w:hint="eastAsia"/>
          <w:color w:val="auto"/>
        </w:rPr>
        <w:t>表八</w:t>
      </w:r>
      <w:r>
        <w:rPr>
          <w:color w:val="auto"/>
        </w:rPr>
        <w:t xml:space="preserve">  </w:t>
      </w:r>
      <w:r>
        <w:rPr>
          <w:rFonts w:hint="eastAsia"/>
          <w:color w:val="auto"/>
        </w:rPr>
        <w:t>环境管理执行情况检查</w:t>
      </w:r>
      <w:bookmarkEnd w:id="18"/>
      <w:bookmarkEnd w:id="19"/>
      <w:bookmarkEnd w:id="25"/>
    </w:p>
    <w:tbl>
      <w:tblPr>
        <w:tblStyle w:val="27"/>
        <w:tblW w:w="8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0"/>
      </w:tblGrid>
      <w:tr w14:paraId="171A5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20" w:type="dxa"/>
          </w:tcPr>
          <w:p w14:paraId="099B7C90">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、环保审批手续及</w:t>
            </w:r>
            <w:r>
              <w:rPr>
                <w:rFonts w:hint="default"/>
                <w:color w:val="auto"/>
                <w:sz w:val="24"/>
                <w:szCs w:val="24"/>
              </w:rPr>
              <w:t>“</w:t>
            </w:r>
            <w:r>
              <w:rPr>
                <w:rFonts w:hint="eastAsia"/>
                <w:color w:val="auto"/>
                <w:sz w:val="24"/>
                <w:szCs w:val="24"/>
              </w:rPr>
              <w:t>三同时</w:t>
            </w:r>
            <w:r>
              <w:rPr>
                <w:rFonts w:hint="default"/>
                <w:color w:val="auto"/>
                <w:sz w:val="24"/>
                <w:szCs w:val="24"/>
              </w:rPr>
              <w:t>”</w:t>
            </w:r>
            <w:r>
              <w:rPr>
                <w:rFonts w:hint="eastAsia"/>
                <w:color w:val="auto"/>
                <w:sz w:val="24"/>
                <w:szCs w:val="24"/>
              </w:rPr>
              <w:t>执行情况</w:t>
            </w:r>
          </w:p>
          <w:p w14:paraId="315AE2BC">
            <w:pPr>
              <w:keepNext w:val="0"/>
              <w:keepLines w:val="0"/>
              <w:widowControl w:val="0"/>
              <w:suppressLineNumbers w:val="0"/>
              <w:spacing w:before="0" w:beforeAutospacing="0" w:after="0" w:afterAutospacing="0"/>
              <w:ind w:left="0" w:right="0" w:firstLine="480"/>
              <w:rPr>
                <w:rFonts w:hint="default"/>
                <w:color w:val="auto"/>
                <w:kern w:val="2"/>
              </w:rPr>
            </w:pPr>
            <w:r>
              <w:rPr>
                <w:rFonts w:hint="eastAsia"/>
                <w:color w:val="auto"/>
                <w:lang w:val="en-US" w:eastAsia="zh-CN"/>
              </w:rPr>
              <w:t>2019</w:t>
            </w:r>
            <w:r>
              <w:rPr>
                <w:rFonts w:hint="default"/>
                <w:color w:val="auto"/>
              </w:rPr>
              <w:t>年</w:t>
            </w:r>
            <w:r>
              <w:rPr>
                <w:rFonts w:hint="eastAsia"/>
                <w:color w:val="auto"/>
                <w:lang w:val="en-US" w:eastAsia="zh-CN"/>
              </w:rPr>
              <w:t>5</w:t>
            </w:r>
            <w:r>
              <w:rPr>
                <w:rFonts w:hint="default"/>
                <w:color w:val="auto"/>
              </w:rPr>
              <w:t>月，</w:t>
            </w:r>
            <w:r>
              <w:rPr>
                <w:rFonts w:hint="eastAsia"/>
                <w:color w:val="auto"/>
                <w:lang w:eastAsia="zh-CN"/>
              </w:rPr>
              <w:t>四川金顶维食品有限公司</w:t>
            </w:r>
            <w:r>
              <w:rPr>
                <w:rFonts w:hint="default"/>
                <w:color w:val="auto"/>
              </w:rPr>
              <w:t>委托</w:t>
            </w:r>
            <w:r>
              <w:rPr>
                <w:rFonts w:hint="eastAsia"/>
                <w:color w:val="auto"/>
                <w:lang w:eastAsia="zh-CN"/>
              </w:rPr>
              <w:t>睿柯环境工程有限公司</w:t>
            </w:r>
            <w:r>
              <w:rPr>
                <w:rFonts w:hint="default"/>
                <w:color w:val="auto"/>
              </w:rPr>
              <w:t>编制完成了《</w:t>
            </w:r>
            <w:r>
              <w:rPr>
                <w:rFonts w:hint="eastAsia"/>
                <w:color w:val="auto"/>
                <w:lang w:eastAsia="zh-CN"/>
              </w:rPr>
              <w:t>四川金顶维食品有限公司</w:t>
            </w:r>
            <w:r>
              <w:rPr>
                <w:rFonts w:hint="eastAsia"/>
                <w:color w:val="auto"/>
                <w:lang w:val="en-US" w:eastAsia="zh-CN"/>
              </w:rPr>
              <w:t>餐佐料生产线扩建项目</w:t>
            </w:r>
            <w:r>
              <w:rPr>
                <w:rFonts w:hint="default"/>
                <w:color w:val="auto"/>
              </w:rPr>
              <w:t>环境影响报告表》</w:t>
            </w:r>
            <w:r>
              <w:rPr>
                <w:rFonts w:hint="eastAsia"/>
                <w:color w:val="auto"/>
              </w:rPr>
              <w:t>；</w:t>
            </w:r>
            <w:r>
              <w:rPr>
                <w:rFonts w:hint="eastAsia"/>
                <w:color w:val="auto"/>
                <w:lang w:val="en-US" w:eastAsia="zh-CN"/>
              </w:rPr>
              <w:t>2019</w:t>
            </w:r>
            <w:r>
              <w:rPr>
                <w:rFonts w:hint="default"/>
                <w:color w:val="auto"/>
              </w:rPr>
              <w:t>年</w:t>
            </w:r>
            <w:r>
              <w:rPr>
                <w:rFonts w:hint="eastAsia"/>
                <w:color w:val="auto"/>
                <w:lang w:val="en-US" w:eastAsia="zh-CN"/>
              </w:rPr>
              <w:t>7</w:t>
            </w:r>
            <w:r>
              <w:rPr>
                <w:rFonts w:hint="default"/>
                <w:color w:val="auto"/>
              </w:rPr>
              <w:t>月</w:t>
            </w:r>
            <w:r>
              <w:rPr>
                <w:rFonts w:hint="eastAsia"/>
                <w:color w:val="auto"/>
                <w:lang w:val="en-US" w:eastAsia="zh-CN"/>
              </w:rPr>
              <w:t>4</w:t>
            </w:r>
            <w:r>
              <w:rPr>
                <w:rFonts w:hint="default"/>
                <w:color w:val="auto"/>
              </w:rPr>
              <w:t>日取得了眉山市东坡生态环境局</w:t>
            </w:r>
            <w:r>
              <w:rPr>
                <w:rFonts w:hint="eastAsia" w:ascii="Times New Roman" w:hAnsi="Times New Roman" w:eastAsia="宋体" w:cs="Times New Roman"/>
                <w:color w:val="auto"/>
                <w:kern w:val="0"/>
                <w:sz w:val="24"/>
              </w:rPr>
              <w:t>《关于</w:t>
            </w:r>
            <w:r>
              <w:rPr>
                <w:rFonts w:hint="eastAsia" w:cs="Times New Roman"/>
                <w:color w:val="auto"/>
                <w:kern w:val="24"/>
                <w:sz w:val="24"/>
                <w:szCs w:val="24"/>
                <w:lang w:eastAsia="zh-CN"/>
              </w:rPr>
              <w:t>四川金顶维食品有限公司</w:t>
            </w:r>
            <w:r>
              <w:rPr>
                <w:rFonts w:hint="eastAsia" w:ascii="Calibri" w:hAnsi="Calibri" w:cs="Times New Roman"/>
                <w:color w:val="auto"/>
                <w:kern w:val="2"/>
                <w:sz w:val="24"/>
                <w:szCs w:val="24"/>
                <w:shd w:val="clear" w:color="auto" w:fill="auto"/>
                <w:lang w:val="zh-TW" w:eastAsia="zh-CN" w:bidi="ar-SA"/>
              </w:rPr>
              <w:t>餐佐料生产线扩建项目</w:t>
            </w:r>
            <w:r>
              <w:rPr>
                <w:rFonts w:hint="eastAsia" w:ascii="Calibri" w:hAnsi="Calibri" w:eastAsia="宋体" w:cs="Times New Roman"/>
                <w:color w:val="auto"/>
                <w:kern w:val="2"/>
                <w:sz w:val="24"/>
                <w:szCs w:val="24"/>
                <w:shd w:val="clear" w:color="auto" w:fill="auto"/>
                <w:lang w:val="zh-TW" w:eastAsia="zh-CN" w:bidi="ar-SA"/>
              </w:rPr>
              <w:t>环境影响报告</w:t>
            </w:r>
            <w:r>
              <w:rPr>
                <w:rFonts w:hint="eastAsia" w:cs="Times New Roman"/>
                <w:color w:val="auto"/>
                <w:kern w:val="2"/>
                <w:sz w:val="24"/>
                <w:szCs w:val="24"/>
                <w:shd w:val="clear" w:color="auto" w:fill="auto"/>
                <w:lang w:val="zh-TW" w:eastAsia="zh-CN" w:bidi="ar-SA"/>
              </w:rPr>
              <w:t>表</w:t>
            </w:r>
            <w:r>
              <w:rPr>
                <w:rFonts w:hint="eastAsia" w:ascii="Times New Roman" w:hAnsi="Times New Roman" w:eastAsia="宋体" w:cs="Times New Roman"/>
                <w:color w:val="auto"/>
                <w:kern w:val="0"/>
                <w:sz w:val="24"/>
              </w:rPr>
              <w:t>的批复》（眉</w:t>
            </w:r>
            <w:r>
              <w:rPr>
                <w:rFonts w:hint="eastAsia" w:ascii="Times New Roman" w:hAnsi="Times New Roman" w:eastAsia="宋体" w:cs="Times New Roman"/>
                <w:color w:val="auto"/>
                <w:kern w:val="0"/>
                <w:sz w:val="24"/>
                <w:lang w:eastAsia="zh-CN"/>
              </w:rPr>
              <w:t>市环建</w:t>
            </w:r>
            <w:r>
              <w:rPr>
                <w:rFonts w:hint="eastAsia" w:cs="Times New Roman"/>
                <w:color w:val="auto"/>
                <w:kern w:val="0"/>
                <w:sz w:val="24"/>
                <w:lang w:eastAsia="zh-CN"/>
              </w:rPr>
              <w:t>函</w:t>
            </w:r>
            <w:r>
              <w:rPr>
                <w:rFonts w:hint="eastAsia" w:ascii="Times New Roman" w:hAnsi="Times New Roman" w:eastAsia="宋体" w:cs="Times New Roman"/>
                <w:color w:val="auto"/>
                <w:kern w:val="0"/>
                <w:sz w:val="24"/>
              </w:rPr>
              <w:t>〔20</w:t>
            </w:r>
            <w:r>
              <w:rPr>
                <w:rFonts w:hint="eastAsia" w:cs="Times New Roman"/>
                <w:color w:val="auto"/>
                <w:kern w:val="0"/>
                <w:sz w:val="24"/>
                <w:lang w:val="en-US" w:eastAsia="zh-CN"/>
              </w:rPr>
              <w:t>19</w:t>
            </w:r>
            <w:r>
              <w:rPr>
                <w:rFonts w:hint="eastAsia" w:ascii="Times New Roman" w:hAnsi="Times New Roman" w:eastAsia="宋体" w:cs="Times New Roman"/>
                <w:color w:val="auto"/>
                <w:kern w:val="0"/>
                <w:sz w:val="24"/>
              </w:rPr>
              <w:t>〕</w:t>
            </w:r>
            <w:r>
              <w:rPr>
                <w:rFonts w:hint="eastAsia" w:cs="Times New Roman"/>
                <w:color w:val="auto"/>
                <w:kern w:val="0"/>
                <w:sz w:val="24"/>
                <w:lang w:val="en-US" w:eastAsia="zh-CN"/>
              </w:rPr>
              <w:t>36</w:t>
            </w:r>
            <w:r>
              <w:rPr>
                <w:rFonts w:hint="eastAsia" w:ascii="Times New Roman" w:hAnsi="Times New Roman" w:eastAsia="宋体" w:cs="Times New Roman"/>
                <w:color w:val="auto"/>
                <w:kern w:val="0"/>
                <w:sz w:val="24"/>
              </w:rPr>
              <w:t>号）</w:t>
            </w:r>
            <w:r>
              <w:rPr>
                <w:rFonts w:hint="default"/>
                <w:color w:val="auto"/>
              </w:rPr>
              <w:t>，同意项目实施建设</w:t>
            </w:r>
            <w:r>
              <w:rPr>
                <w:rFonts w:hint="eastAsia"/>
                <w:color w:val="auto"/>
              </w:rPr>
              <w:t>，</w:t>
            </w:r>
            <w:r>
              <w:rPr>
                <w:rFonts w:hint="eastAsia"/>
                <w:color w:val="auto"/>
                <w:kern w:val="2"/>
              </w:rPr>
              <w:t>该项目环评、环保手续齐全。</w:t>
            </w:r>
          </w:p>
          <w:p w14:paraId="62EFF683">
            <w:pPr>
              <w:keepNext w:val="0"/>
              <w:keepLines w:val="0"/>
              <w:widowControl w:val="0"/>
              <w:suppressLineNumbers w:val="0"/>
              <w:adjustRightInd/>
              <w:snapToGrid/>
              <w:spacing w:before="0" w:beforeAutospacing="0" w:after="0" w:afterAutospacing="0"/>
              <w:ind w:left="0" w:right="0" w:firstLine="480"/>
              <w:jc w:val="left"/>
              <w:rPr>
                <w:rFonts w:hint="default" w:hAnsi="宋体"/>
                <w:color w:val="auto"/>
                <w:szCs w:val="24"/>
              </w:rPr>
            </w:pPr>
            <w:r>
              <w:rPr>
                <w:rFonts w:hint="eastAsia" w:hAnsi="宋体"/>
                <w:color w:val="auto"/>
                <w:szCs w:val="24"/>
              </w:rPr>
              <w:t>本项目环评设施与主体工程同时设计、同时施工、同时投入使用，符合“三同时”要求。</w:t>
            </w:r>
          </w:p>
          <w:p w14:paraId="3877045E">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2</w:t>
            </w:r>
            <w:r>
              <w:rPr>
                <w:rFonts w:hint="eastAsia"/>
                <w:color w:val="auto"/>
                <w:sz w:val="24"/>
                <w:szCs w:val="24"/>
              </w:rPr>
              <w:t>、环保治理设施的完成、运行、维护情况检查</w:t>
            </w:r>
          </w:p>
          <w:p w14:paraId="73742856">
            <w:pPr>
              <w:keepNext w:val="0"/>
              <w:keepLines w:val="0"/>
              <w:widowControl w:val="0"/>
              <w:suppressLineNumbers w:val="0"/>
              <w:spacing w:before="0" w:beforeAutospacing="0" w:after="0" w:afterAutospacing="0"/>
              <w:ind w:left="0" w:right="0" w:firstLine="480"/>
              <w:jc w:val="left"/>
              <w:rPr>
                <w:rFonts w:hint="default"/>
                <w:color w:val="auto"/>
                <w:kern w:val="2"/>
                <w:szCs w:val="24"/>
              </w:rPr>
            </w:pPr>
            <w:r>
              <w:rPr>
                <w:rFonts w:hint="eastAsia"/>
                <w:color w:val="auto"/>
                <w:kern w:val="2"/>
              </w:rPr>
              <w:t>项目环保设施正常运行，常规检修、日常保养、维护均由</w:t>
            </w:r>
            <w:r>
              <w:rPr>
                <w:rFonts w:hint="eastAsia"/>
                <w:bCs/>
                <w:color w:val="auto"/>
                <w:lang w:eastAsia="zh-CN"/>
              </w:rPr>
              <w:t>四川金顶维食品有限公司</w:t>
            </w:r>
            <w:r>
              <w:rPr>
                <w:rFonts w:hint="eastAsia"/>
                <w:color w:val="auto"/>
                <w:kern w:val="2"/>
              </w:rPr>
              <w:t>负责</w:t>
            </w:r>
            <w:r>
              <w:rPr>
                <w:rFonts w:hint="eastAsia"/>
                <w:color w:val="auto"/>
                <w:kern w:val="2"/>
                <w:szCs w:val="24"/>
              </w:rPr>
              <w:t>。</w:t>
            </w:r>
          </w:p>
          <w:p w14:paraId="22A346FA">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3</w:t>
            </w:r>
            <w:r>
              <w:rPr>
                <w:rFonts w:hint="eastAsia"/>
                <w:color w:val="auto"/>
                <w:sz w:val="24"/>
                <w:szCs w:val="24"/>
              </w:rPr>
              <w:t>、环境保护档案管理情况检查</w:t>
            </w:r>
          </w:p>
          <w:p w14:paraId="76F73DE0">
            <w:pPr>
              <w:keepNext w:val="0"/>
              <w:keepLines w:val="0"/>
              <w:widowControl w:val="0"/>
              <w:suppressLineNumbers w:val="0"/>
              <w:spacing w:before="0" w:beforeAutospacing="0" w:after="0" w:afterAutospacing="0"/>
              <w:ind w:left="0" w:right="0" w:firstLine="480"/>
              <w:jc w:val="left"/>
              <w:rPr>
                <w:rFonts w:hint="default"/>
                <w:color w:val="auto"/>
                <w:kern w:val="2"/>
                <w:szCs w:val="24"/>
              </w:rPr>
            </w:pPr>
            <w:r>
              <w:rPr>
                <w:rFonts w:hint="eastAsia"/>
                <w:color w:val="auto"/>
                <w:kern w:val="2"/>
              </w:rPr>
              <w:t>与项目有关的各项环保档案资料（例如：环评报告表、环评批复和文件）均由</w:t>
            </w:r>
            <w:r>
              <w:rPr>
                <w:rFonts w:hint="eastAsia"/>
                <w:color w:val="auto"/>
                <w:lang w:val="en-US" w:eastAsia="zh-CN"/>
              </w:rPr>
              <w:t>四川金顶维食品有限公司</w:t>
            </w:r>
            <w:r>
              <w:rPr>
                <w:rFonts w:hint="eastAsia" w:hAnsi="宋体"/>
                <w:color w:val="auto"/>
                <w:szCs w:val="24"/>
              </w:rPr>
              <w:t>办公室</w:t>
            </w:r>
            <w:r>
              <w:rPr>
                <w:rFonts w:hint="eastAsia"/>
                <w:color w:val="auto"/>
                <w:kern w:val="2"/>
              </w:rPr>
              <w:t>管理，负责登记归档并保管</w:t>
            </w:r>
            <w:r>
              <w:rPr>
                <w:rFonts w:hint="eastAsia"/>
                <w:color w:val="auto"/>
                <w:kern w:val="2"/>
                <w:szCs w:val="24"/>
              </w:rPr>
              <w:t>。</w:t>
            </w:r>
          </w:p>
          <w:p w14:paraId="2F01227C">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4</w:t>
            </w:r>
            <w:r>
              <w:rPr>
                <w:rFonts w:hint="eastAsia"/>
                <w:color w:val="auto"/>
                <w:sz w:val="24"/>
                <w:szCs w:val="24"/>
              </w:rPr>
              <w:t>、环境保护制度的建立和执行情况检查</w:t>
            </w:r>
          </w:p>
          <w:p w14:paraId="4EBFA1FB">
            <w:pPr>
              <w:keepNext w:val="0"/>
              <w:keepLines w:val="0"/>
              <w:widowControl w:val="0"/>
              <w:suppressLineNumbers w:val="0"/>
              <w:spacing w:before="0" w:beforeAutospacing="0" w:after="0" w:afterAutospacing="0"/>
              <w:ind w:left="0" w:right="0" w:firstLine="480"/>
              <w:rPr>
                <w:rFonts w:hint="default"/>
                <w:color w:val="auto"/>
                <w:kern w:val="2"/>
              </w:rPr>
            </w:pPr>
            <w:r>
              <w:rPr>
                <w:rFonts w:hint="eastAsia"/>
                <w:color w:val="auto"/>
                <w:kern w:val="2"/>
              </w:rPr>
              <w:t>公司建立健全了比较完备的相应环保设施运行、维护制度，将责任具体化，公司环保负责人随时对环保设施进行监督管理，发现问题及时整改，确保环保设施的正常运行。</w:t>
            </w:r>
          </w:p>
          <w:p w14:paraId="6CBF9489">
            <w:pPr>
              <w:keepNext w:val="0"/>
              <w:keepLines w:val="0"/>
              <w:widowControl w:val="0"/>
              <w:suppressLineNumbers w:val="0"/>
              <w:spacing w:before="0" w:beforeAutospacing="0" w:after="0" w:afterAutospacing="0"/>
              <w:ind w:left="0" w:right="0" w:firstLine="480"/>
              <w:jc w:val="left"/>
              <w:rPr>
                <w:rFonts w:hint="default"/>
                <w:color w:val="auto"/>
                <w:kern w:val="2"/>
                <w:szCs w:val="24"/>
              </w:rPr>
            </w:pPr>
            <w:r>
              <w:rPr>
                <w:rFonts w:hint="eastAsia"/>
                <w:color w:val="auto"/>
                <w:kern w:val="2"/>
              </w:rPr>
              <w:t>环保设施按照操作规程和运行管理条例进行日常使用、保养和维护检修</w:t>
            </w:r>
            <w:r>
              <w:rPr>
                <w:rFonts w:hint="eastAsia"/>
                <w:color w:val="auto"/>
                <w:kern w:val="2"/>
                <w:szCs w:val="24"/>
              </w:rPr>
              <w:t>。</w:t>
            </w:r>
          </w:p>
          <w:p w14:paraId="4760D83B">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5</w:t>
            </w:r>
            <w:r>
              <w:rPr>
                <w:rFonts w:hint="eastAsia"/>
                <w:color w:val="auto"/>
                <w:sz w:val="24"/>
                <w:szCs w:val="24"/>
              </w:rPr>
              <w:t>、建设和试生产期间问题调查</w:t>
            </w:r>
          </w:p>
          <w:p w14:paraId="12A85D4D">
            <w:pPr>
              <w:keepNext w:val="0"/>
              <w:keepLines w:val="0"/>
              <w:widowControl w:val="0"/>
              <w:suppressLineNumbers w:val="0"/>
              <w:spacing w:before="0" w:beforeAutospacing="0" w:after="0" w:afterAutospacing="0"/>
              <w:ind w:left="0" w:right="0" w:firstLine="480"/>
              <w:jc w:val="left"/>
              <w:rPr>
                <w:rFonts w:hint="default"/>
                <w:color w:val="auto"/>
                <w:kern w:val="2"/>
                <w:szCs w:val="24"/>
              </w:rPr>
            </w:pPr>
            <w:r>
              <w:rPr>
                <w:rFonts w:hint="eastAsia"/>
                <w:color w:val="auto"/>
                <w:kern w:val="2"/>
                <w:szCs w:val="24"/>
              </w:rPr>
              <w:t>经调查，本项目在建设期和试生产期间，未发生污染事件，未接到扰民投诉。</w:t>
            </w:r>
          </w:p>
          <w:p w14:paraId="07F8B7E7">
            <w:pPr>
              <w:keepNext w:val="0"/>
              <w:keepLines w:val="0"/>
              <w:widowControl w:val="0"/>
              <w:suppressLineNumbers w:val="0"/>
              <w:spacing w:before="0" w:beforeAutospacing="0" w:after="0" w:afterAutospacing="0"/>
              <w:ind w:left="0" w:right="0" w:firstLine="0" w:firstLineChars="0"/>
              <w:jc w:val="left"/>
              <w:rPr>
                <w:rFonts w:hint="default"/>
                <w:b/>
                <w:bCs/>
                <w:color w:val="auto"/>
                <w:sz w:val="24"/>
                <w:szCs w:val="24"/>
              </w:rPr>
            </w:pPr>
            <w:r>
              <w:rPr>
                <w:rFonts w:hint="default"/>
                <w:b/>
                <w:bCs/>
                <w:color w:val="auto"/>
                <w:sz w:val="24"/>
                <w:szCs w:val="24"/>
              </w:rPr>
              <w:t>6</w:t>
            </w:r>
            <w:r>
              <w:rPr>
                <w:rFonts w:hint="eastAsia"/>
                <w:b/>
                <w:bCs/>
                <w:color w:val="auto"/>
                <w:sz w:val="24"/>
                <w:szCs w:val="24"/>
              </w:rPr>
              <w:t>、总量控制</w:t>
            </w:r>
          </w:p>
          <w:p w14:paraId="149FEB4C">
            <w:pPr>
              <w:keepNext w:val="0"/>
              <w:keepLines w:val="0"/>
              <w:widowControl/>
              <w:suppressLineNumbers w:val="0"/>
              <w:spacing w:before="0" w:beforeAutospacing="0" w:after="0" w:afterAutospacing="0"/>
              <w:ind w:left="0" w:right="0" w:firstLine="480"/>
              <w:rPr>
                <w:rFonts w:hint="default"/>
                <w:bCs/>
                <w:color w:val="auto"/>
              </w:rPr>
            </w:pPr>
            <w:r>
              <w:rPr>
                <w:rFonts w:hint="eastAsia"/>
                <w:bCs/>
                <w:color w:val="auto"/>
              </w:rPr>
              <w:t>（</w:t>
            </w:r>
            <w:r>
              <w:rPr>
                <w:rFonts w:hint="default"/>
                <w:bCs/>
                <w:color w:val="auto"/>
              </w:rPr>
              <w:t>1</w:t>
            </w:r>
            <w:r>
              <w:rPr>
                <w:rFonts w:hint="eastAsia"/>
                <w:bCs/>
                <w:color w:val="auto"/>
              </w:rPr>
              <w:t>）环评</w:t>
            </w:r>
            <w:r>
              <w:rPr>
                <w:rFonts w:hint="eastAsia"/>
                <w:bCs/>
                <w:color w:val="auto"/>
                <w:lang w:val="en-US" w:eastAsia="zh-CN"/>
              </w:rPr>
              <w:t>及批复</w:t>
            </w:r>
            <w:r>
              <w:rPr>
                <w:rFonts w:hint="eastAsia"/>
                <w:bCs/>
                <w:color w:val="auto"/>
              </w:rPr>
              <w:t>要求</w:t>
            </w:r>
          </w:p>
          <w:p w14:paraId="4C75C8A7">
            <w:pPr>
              <w:keepNext w:val="0"/>
              <w:keepLines w:val="0"/>
              <w:widowControl w:val="0"/>
              <w:suppressLineNumbers w:val="0"/>
              <w:autoSpaceDE w:val="0"/>
              <w:autoSpaceDN w:val="0"/>
              <w:spacing w:before="0" w:beforeAutospacing="0" w:after="0" w:afterAutospacing="0"/>
              <w:ind w:left="0" w:right="0" w:firstLine="480"/>
              <w:rPr>
                <w:rFonts w:hint="default"/>
                <w:color w:val="auto"/>
              </w:rPr>
            </w:pPr>
            <w:r>
              <w:rPr>
                <w:rFonts w:hint="eastAsia"/>
                <w:color w:val="auto"/>
              </w:rPr>
              <w:t>根据</w:t>
            </w:r>
            <w:r>
              <w:rPr>
                <w:rFonts w:hint="eastAsia"/>
                <w:color w:val="auto"/>
                <w:lang w:val="en-US" w:eastAsia="zh-CN"/>
              </w:rPr>
              <w:t>项目</w:t>
            </w:r>
            <w:r>
              <w:rPr>
                <w:rFonts w:hint="eastAsia"/>
                <w:color w:val="auto"/>
              </w:rPr>
              <w:t>环评</w:t>
            </w:r>
            <w:r>
              <w:rPr>
                <w:rFonts w:hint="eastAsia"/>
                <w:color w:val="auto"/>
                <w:lang w:val="en-US" w:eastAsia="zh-CN"/>
              </w:rPr>
              <w:t>及</w:t>
            </w:r>
            <w:r>
              <w:rPr>
                <w:rFonts w:hint="eastAsia"/>
                <w:color w:val="auto"/>
              </w:rPr>
              <w:t>批复</w:t>
            </w:r>
            <w:r>
              <w:rPr>
                <w:rFonts w:hint="eastAsia"/>
                <w:color w:val="auto"/>
                <w:lang w:val="en-US" w:eastAsia="zh-CN"/>
              </w:rPr>
              <w:t>知</w:t>
            </w:r>
            <w:r>
              <w:rPr>
                <w:rFonts w:hint="eastAsia"/>
                <w:color w:val="auto"/>
              </w:rPr>
              <w:t>，</w:t>
            </w:r>
            <w:r>
              <w:rPr>
                <w:rFonts w:hint="eastAsia"/>
                <w:color w:val="auto"/>
                <w:lang w:eastAsia="zh-CN"/>
              </w:rPr>
              <w:t>本项目扩建部分</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：0.0072t/a，NOx：0.637t/a、粉尘0.064t/a；废水</w:t>
            </w:r>
            <w:r>
              <w:rPr>
                <w:rFonts w:hint="eastAsia"/>
                <w:color w:val="auto"/>
              </w:rPr>
              <w:t>总量控制指标为</w:t>
            </w:r>
            <w:r>
              <w:rPr>
                <w:rFonts w:hint="eastAsia"/>
                <w:color w:val="auto"/>
                <w:lang w:val="en-US" w:eastAsia="zh-CN"/>
              </w:rPr>
              <w:t>：COD：0.13t/a，氨氮：0.013t/a。建厂后全厂</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：0.0092t/a，NOx：0.813t/a、粉尘0.064t/a；废水</w:t>
            </w:r>
            <w:r>
              <w:rPr>
                <w:rFonts w:hint="eastAsia"/>
                <w:color w:val="auto"/>
              </w:rPr>
              <w:t>总量控制指标为</w:t>
            </w:r>
            <w:r>
              <w:rPr>
                <w:rFonts w:hint="eastAsia"/>
                <w:color w:val="auto"/>
                <w:lang w:val="en-US" w:eastAsia="zh-CN"/>
              </w:rPr>
              <w:t>：COD：0.23t/a，氨氮：0.023t/a。</w:t>
            </w:r>
          </w:p>
          <w:p w14:paraId="6FF74232">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2</w:t>
            </w:r>
            <w:r>
              <w:rPr>
                <w:rFonts w:hint="eastAsia" w:hAnsi="宋体"/>
                <w:color w:val="auto"/>
                <w:szCs w:val="24"/>
              </w:rPr>
              <w:t>）排污许可登记</w:t>
            </w:r>
          </w:p>
          <w:p w14:paraId="4CACFEC7">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lang w:val="en-US" w:eastAsia="zh-CN"/>
              </w:rPr>
              <w:t>四川金顶维食品有限公司</w:t>
            </w:r>
            <w:r>
              <w:rPr>
                <w:rFonts w:hint="eastAsia" w:hAnsi="宋体"/>
                <w:color w:val="auto"/>
                <w:szCs w:val="24"/>
              </w:rPr>
              <w:t>已填报</w:t>
            </w:r>
            <w:r>
              <w:rPr>
                <w:rFonts w:hint="eastAsia" w:hAnsi="宋体"/>
                <w:color w:val="auto"/>
                <w:szCs w:val="24"/>
                <w:lang w:eastAsia="zh-CN"/>
              </w:rPr>
              <w:t>，</w:t>
            </w:r>
            <w:r>
              <w:rPr>
                <w:rFonts w:hint="eastAsia" w:hAnsi="宋体"/>
                <w:color w:val="auto"/>
                <w:szCs w:val="24"/>
                <w:lang w:val="en-US" w:eastAsia="zh-CN"/>
              </w:rPr>
              <w:t>并取得固定污染源排污许可证（许可证编号：91511402098552144K001Q）。</w:t>
            </w:r>
          </w:p>
          <w:p w14:paraId="632E22D9">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3</w:t>
            </w:r>
            <w:r>
              <w:rPr>
                <w:rFonts w:hint="eastAsia" w:hAnsi="宋体"/>
                <w:color w:val="auto"/>
                <w:szCs w:val="24"/>
              </w:rPr>
              <w:t>）验收核查</w:t>
            </w:r>
          </w:p>
          <w:p w14:paraId="5B0EAB5F">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①废水</w:t>
            </w:r>
          </w:p>
          <w:p w14:paraId="6C62A1E9">
            <w:pPr>
              <w:keepNext w:val="0"/>
              <w:keepLines w:val="0"/>
              <w:widowControl w:val="0"/>
              <w:suppressLineNumbers w:val="0"/>
              <w:adjustRightInd/>
              <w:snapToGrid/>
              <w:spacing w:before="0" w:beforeAutospacing="0" w:after="0" w:afterAutospacing="0"/>
              <w:ind w:left="0" w:right="0" w:firstLine="480"/>
              <w:jc w:val="left"/>
              <w:rPr>
                <w:rFonts w:hint="default"/>
                <w:color w:val="auto"/>
                <w:kern w:val="0"/>
                <w:sz w:val="24"/>
              </w:rPr>
            </w:pPr>
            <w:r>
              <w:rPr>
                <w:rFonts w:hint="eastAsia" w:hAnsi="宋体"/>
                <w:color w:val="auto"/>
                <w:szCs w:val="24"/>
                <w:lang w:val="en-US" w:eastAsia="zh-CN"/>
              </w:rPr>
              <w:t>厂区综合污水经厂区自建污水处理站处理达</w:t>
            </w:r>
            <w:r>
              <w:rPr>
                <w:rFonts w:hint="default"/>
                <w:color w:val="auto"/>
                <w:kern w:val="0"/>
                <w:sz w:val="24"/>
              </w:rPr>
              <w:t>《污水综合排放标准》GB8978-1996中三级标准</w:t>
            </w:r>
            <w:r>
              <w:rPr>
                <w:rFonts w:hint="eastAsia"/>
                <w:color w:val="auto"/>
                <w:kern w:val="0"/>
                <w:sz w:val="24"/>
              </w:rPr>
              <w:t>，氨氮参照《污水排入城镇下水道水质标准》（GB/T31962-2015）表1中B等级标准</w:t>
            </w:r>
            <w:r>
              <w:rPr>
                <w:rFonts w:hint="eastAsia"/>
                <w:color w:val="auto"/>
                <w:kern w:val="0"/>
                <w:sz w:val="24"/>
                <w:lang w:eastAsia="zh-CN"/>
              </w:rPr>
              <w:t>后排入泡菜园区污水处理厂</w:t>
            </w:r>
            <w:r>
              <w:rPr>
                <w:rFonts w:hint="default"/>
                <w:color w:val="auto"/>
                <w:kern w:val="0"/>
                <w:sz w:val="24"/>
              </w:rPr>
              <w:t>。</w:t>
            </w:r>
          </w:p>
          <w:p w14:paraId="76AEF815">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②废气</w:t>
            </w:r>
          </w:p>
          <w:p w14:paraId="15F68365">
            <w:pPr>
              <w:keepNext w:val="0"/>
              <w:keepLines w:val="0"/>
              <w:widowControl w:val="0"/>
              <w:suppressLineNumbers w:val="0"/>
              <w:adjustRightInd/>
              <w:snapToGrid/>
              <w:spacing w:before="0" w:beforeAutospacing="0" w:after="0" w:afterAutospacing="0"/>
              <w:ind w:left="0" w:right="0" w:firstLine="480"/>
              <w:jc w:val="left"/>
              <w:rPr>
                <w:rFonts w:hint="default" w:hAnsi="宋体" w:eastAsia="宋体"/>
                <w:color w:val="auto"/>
                <w:szCs w:val="24"/>
                <w:lang w:val="en-US" w:eastAsia="zh-CN"/>
              </w:rPr>
            </w:pPr>
            <w:r>
              <w:rPr>
                <w:rFonts w:hint="eastAsia" w:hAnsi="宋体"/>
                <w:color w:val="auto"/>
                <w:szCs w:val="24"/>
              </w:rPr>
              <w:t>本项目</w:t>
            </w:r>
            <w:r>
              <w:rPr>
                <w:rFonts w:hint="eastAsia" w:hAnsi="宋体"/>
                <w:color w:val="auto"/>
                <w:szCs w:val="24"/>
                <w:lang w:val="en-US" w:eastAsia="zh-CN"/>
              </w:rPr>
              <w:t>1#生产厂房的油烟、异味经集气罩收集至水喷淋装置+油烟净化器处理后经15m排气筒排放；2#生产厂房的油烟、异味经集气罩收集至水喷淋装置+油烟净化器处理后经15m排气筒排放；1#研发实验室产生的油烟经油烟净化器处理后经15m排气筒排放；2#研发实验室产生的油烟经油烟净化器处理后经15m排气筒排放；食堂油烟经集气罩收集至油烟净化器处理后引至屋顶排放。</w:t>
            </w:r>
          </w:p>
          <w:p w14:paraId="17067FD6">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ascii="Times New Roman" w:hAnsi="Times New Roman"/>
                <w:color w:val="auto"/>
                <w:sz w:val="24"/>
                <w:szCs w:val="24"/>
              </w:rPr>
              <w:t>，项目</w:t>
            </w:r>
            <w:r>
              <w:rPr>
                <w:rFonts w:hint="eastAsia"/>
                <w:color w:val="auto"/>
                <w:sz w:val="24"/>
                <w:szCs w:val="24"/>
                <w:lang w:eastAsia="zh-CN"/>
              </w:rPr>
              <w:t>废水及</w:t>
            </w:r>
            <w:r>
              <w:rPr>
                <w:rFonts w:hint="eastAsia" w:ascii="Times New Roman" w:hAnsi="Times New Roman"/>
                <w:color w:val="auto"/>
                <w:sz w:val="24"/>
                <w:szCs w:val="24"/>
              </w:rPr>
              <w:t>有组织废气核算结果如下：</w:t>
            </w:r>
          </w:p>
          <w:p w14:paraId="772D764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color w:val="auto"/>
                <w:sz w:val="24"/>
                <w:szCs w:val="24"/>
                <w:lang w:eastAsia="zh-CN"/>
              </w:rPr>
            </w:pPr>
            <w:r>
              <w:rPr>
                <w:rFonts w:hint="eastAsia"/>
                <w:color w:val="auto"/>
                <w:sz w:val="24"/>
                <w:szCs w:val="24"/>
                <w:lang w:eastAsia="zh-CN"/>
              </w:rPr>
              <w:t>废水：</w:t>
            </w:r>
          </w:p>
          <w:p w14:paraId="35C66A23">
            <w:pPr>
              <w:pStyle w:val="33"/>
              <w:keepNext w:val="0"/>
              <w:keepLines w:val="0"/>
              <w:suppressLineNumbers w:val="0"/>
              <w:spacing w:before="0" w:beforeAutospacing="0" w:after="0" w:afterAutospacing="0"/>
              <w:ind w:left="0" w:right="0"/>
              <w:rPr>
                <w:rFonts w:hint="eastAsia"/>
                <w:color w:val="auto"/>
                <w:lang w:eastAsia="zh-CN"/>
              </w:rPr>
            </w:pPr>
            <w:r>
              <w:rPr>
                <w:rFonts w:hint="eastAsia"/>
                <w:color w:val="auto"/>
                <w:lang w:eastAsia="zh-CN"/>
              </w:rPr>
              <w:t>企业排口：</w:t>
            </w:r>
          </w:p>
          <w:p w14:paraId="53C9307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67</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0.169</w:t>
            </w:r>
            <w:r>
              <w:rPr>
                <w:rFonts w:hint="eastAsia" w:ascii="Times New Roman" w:hAnsi="Times New Roman" w:eastAsia="宋体" w:cs="Times New Roman"/>
                <w:color w:val="auto"/>
                <w:kern w:val="0"/>
                <w:sz w:val="24"/>
                <w:szCs w:val="24"/>
                <w:lang w:val="en-US" w:eastAsia="zh-CN"/>
              </w:rPr>
              <w:t>t/a；</w:t>
            </w:r>
          </w:p>
          <w:p w14:paraId="6F9461F9">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2.65</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0.007</w:t>
            </w:r>
            <w:r>
              <w:rPr>
                <w:rFonts w:hint="eastAsia" w:ascii="Times New Roman" w:hAnsi="Times New Roman" w:eastAsia="宋体" w:cs="Times New Roman"/>
                <w:color w:val="auto"/>
                <w:kern w:val="0"/>
                <w:sz w:val="24"/>
                <w:szCs w:val="24"/>
                <w:lang w:val="en-US" w:eastAsia="zh-CN"/>
              </w:rPr>
              <w:t>t/a。</w:t>
            </w:r>
          </w:p>
          <w:p w14:paraId="6A27D721">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cs="Times New Roman"/>
                <w:color w:val="auto"/>
                <w:sz w:val="24"/>
                <w:szCs w:val="24"/>
                <w:lang w:val="en-US" w:eastAsia="zh-CN" w:bidi="ar-SA"/>
              </w:rPr>
            </w:pPr>
            <w:r>
              <w:rPr>
                <w:rFonts w:hint="eastAsia" w:ascii="Times New Roman" w:hAnsi="Times New Roman" w:cs="Times New Roman"/>
                <w:color w:val="auto"/>
                <w:sz w:val="24"/>
                <w:szCs w:val="24"/>
                <w:lang w:val="en-US" w:eastAsia="zh-CN" w:bidi="ar-SA"/>
              </w:rPr>
              <w:t>园区污水处理站排口：</w:t>
            </w:r>
          </w:p>
          <w:p w14:paraId="56C8648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/a×40mg/L=</w:t>
            </w:r>
            <w:r>
              <w:rPr>
                <w:rFonts w:hint="eastAsia" w:cs="Times New Roman"/>
                <w:color w:val="auto"/>
                <w:kern w:val="0"/>
                <w:sz w:val="24"/>
                <w:szCs w:val="24"/>
                <w:lang w:val="en-US" w:eastAsia="zh-CN"/>
              </w:rPr>
              <w:t>0.101</w:t>
            </w:r>
            <w:r>
              <w:rPr>
                <w:rFonts w:hint="eastAsia" w:ascii="Times New Roman" w:hAnsi="Times New Roman" w:eastAsia="宋体" w:cs="Times New Roman"/>
                <w:color w:val="auto"/>
                <w:kern w:val="0"/>
                <w:sz w:val="24"/>
                <w:szCs w:val="24"/>
                <w:lang w:val="en-US" w:eastAsia="zh-CN"/>
              </w:rPr>
              <w:t>t/a；</w:t>
            </w:r>
          </w:p>
          <w:p w14:paraId="02CA03ED">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/a×3mg/L=</w:t>
            </w:r>
            <w:r>
              <w:rPr>
                <w:rFonts w:hint="eastAsia" w:cs="Times New Roman"/>
                <w:color w:val="auto"/>
                <w:kern w:val="0"/>
                <w:sz w:val="24"/>
                <w:szCs w:val="24"/>
                <w:lang w:val="en-US" w:eastAsia="zh-CN"/>
              </w:rPr>
              <w:t>0.008</w:t>
            </w:r>
            <w:r>
              <w:rPr>
                <w:rFonts w:hint="eastAsia" w:ascii="Times New Roman" w:hAnsi="Times New Roman" w:eastAsia="宋体" w:cs="Times New Roman"/>
                <w:color w:val="auto"/>
                <w:kern w:val="0"/>
                <w:sz w:val="24"/>
                <w:szCs w:val="24"/>
                <w:lang w:val="en-US" w:eastAsia="zh-CN"/>
              </w:rPr>
              <w:t>t/a。</w:t>
            </w:r>
          </w:p>
          <w:p w14:paraId="65B9F5AC">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废气：</w:t>
            </w:r>
          </w:p>
          <w:p w14:paraId="1DB59347">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eastAsia="宋体"/>
                <w:color w:val="auto"/>
                <w:sz w:val="24"/>
                <w:szCs w:val="24"/>
                <w:lang w:eastAsia="zh-CN"/>
              </w:rPr>
            </w:pPr>
            <w:r>
              <w:rPr>
                <w:rFonts w:hint="eastAsia"/>
                <w:color w:val="auto"/>
                <w:sz w:val="24"/>
                <w:szCs w:val="24"/>
                <w:lang w:eastAsia="zh-CN"/>
              </w:rPr>
              <w:t>项目鸡精生产线还未建设，全厂仅有油烟、氨、硫化氢和臭气浓度排放，环评及批复中无油烟、氨、硫化氢和臭气浓度的总量控制指标。</w:t>
            </w:r>
          </w:p>
          <w:p w14:paraId="356F6111">
            <w:pPr>
              <w:keepNext w:val="0"/>
              <w:keepLines w:val="0"/>
              <w:widowControl w:val="0"/>
              <w:suppressLineNumbers w:val="0"/>
              <w:adjustRightInd/>
              <w:snapToGrid/>
              <w:spacing w:before="0" w:beforeAutospacing="0" w:after="0" w:afterAutospacing="0"/>
              <w:ind w:left="0" w:right="0" w:firstLine="480"/>
              <w:jc w:val="left"/>
              <w:rPr>
                <w:rFonts w:hint="default"/>
                <w:color w:val="auto"/>
                <w:szCs w:val="24"/>
              </w:rPr>
            </w:pPr>
            <w:r>
              <w:rPr>
                <w:rFonts w:hint="eastAsia" w:ascii="Times New Roman" w:hAnsi="Times New Roman"/>
                <w:color w:val="auto"/>
                <w:sz w:val="24"/>
                <w:szCs w:val="24"/>
              </w:rPr>
              <w:t>综上，项目</w:t>
            </w: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ascii="Times New Roman" w:hAnsi="Times New Roman"/>
                <w:color w:val="auto"/>
                <w:sz w:val="24"/>
                <w:szCs w:val="24"/>
              </w:rPr>
              <w:t>排放量满足总量控制要求</w:t>
            </w:r>
            <w:r>
              <w:rPr>
                <w:rFonts w:hint="default" w:ascii="Times New Roman" w:hAnsi="Times New Roman" w:eastAsia="宋体"/>
                <w:color w:val="auto"/>
                <w:sz w:val="24"/>
                <w:szCs w:val="24"/>
              </w:rPr>
              <w:t>。</w:t>
            </w:r>
          </w:p>
          <w:p w14:paraId="1ED5D68A">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7</w:t>
            </w:r>
            <w:r>
              <w:rPr>
                <w:rFonts w:hint="eastAsia"/>
                <w:color w:val="auto"/>
                <w:sz w:val="24"/>
                <w:szCs w:val="24"/>
              </w:rPr>
              <w:t>、环评批复要求落实情况</w:t>
            </w:r>
          </w:p>
          <w:p w14:paraId="488991AB">
            <w:pPr>
              <w:keepNext w:val="0"/>
              <w:keepLines w:val="0"/>
              <w:widowControl w:val="0"/>
              <w:suppressLineNumbers w:val="0"/>
              <w:spacing w:before="0" w:beforeAutospacing="0" w:after="0" w:afterAutospacing="0"/>
              <w:ind w:left="0" w:right="0" w:firstLine="480"/>
              <w:jc w:val="left"/>
              <w:rPr>
                <w:rFonts w:hint="default"/>
                <w:color w:val="auto"/>
                <w:kern w:val="2"/>
                <w:szCs w:val="24"/>
              </w:rPr>
            </w:pPr>
            <w:r>
              <w:rPr>
                <w:rFonts w:hint="eastAsia"/>
                <w:color w:val="auto"/>
                <w:kern w:val="2"/>
              </w:rPr>
              <w:t>本项目与环评报告及批复要求对比可知：项</w:t>
            </w:r>
            <w:r>
              <w:rPr>
                <w:rFonts w:hint="eastAsia"/>
                <w:color w:val="auto"/>
                <w:kern w:val="2"/>
                <w:lang w:eastAsia="zh-CN"/>
              </w:rPr>
              <w:t>目在</w:t>
            </w:r>
            <w:r>
              <w:rPr>
                <w:rFonts w:hint="eastAsia"/>
                <w:color w:val="auto"/>
                <w:kern w:val="2"/>
              </w:rPr>
              <w:t>实际建设中均按环评报告要求进行了建设，项目在建设过程中没有发生重大变动，施工及运营期已采取的环境保护措施与环境保护主管部门审批要求</w:t>
            </w:r>
            <w:r>
              <w:rPr>
                <w:rFonts w:hint="eastAsia" w:ascii="Times New Roman" w:hAnsi="Times New Roman" w:cs="Times New Roman"/>
                <w:color w:val="auto"/>
                <w:sz w:val="24"/>
                <w:szCs w:val="24"/>
              </w:rPr>
              <w:t>眉</w:t>
            </w:r>
            <w:r>
              <w:rPr>
                <w:rFonts w:hint="eastAsia" w:ascii="Times New Roman" w:hAnsi="Times New Roman" w:cs="Times New Roman"/>
                <w:color w:val="auto"/>
                <w:sz w:val="24"/>
                <w:szCs w:val="24"/>
                <w:lang w:eastAsia="zh-CN"/>
              </w:rPr>
              <w:t>市</w:t>
            </w:r>
            <w:r>
              <w:rPr>
                <w:rFonts w:hint="eastAsia" w:ascii="Times New Roman" w:hAnsi="Times New Roman" w:cs="Times New Roman"/>
                <w:color w:val="auto"/>
                <w:sz w:val="24"/>
                <w:szCs w:val="24"/>
              </w:rPr>
              <w:t>环建</w:t>
            </w:r>
            <w:r>
              <w:rPr>
                <w:rFonts w:hint="eastAsia" w:ascii="Times New Roman" w:hAnsi="Times New Roman" w:cs="Times New Roman"/>
                <w:color w:val="auto"/>
                <w:sz w:val="24"/>
                <w:szCs w:val="24"/>
                <w:lang w:eastAsia="zh-CN"/>
              </w:rPr>
              <w:t>函【</w:t>
            </w:r>
            <w:r>
              <w:rPr>
                <w:rFonts w:hint="eastAsia" w:ascii="Times New Roman" w:hAnsi="Times New Roman" w:cs="Times New Roman"/>
                <w:color w:val="auto"/>
                <w:sz w:val="24"/>
                <w:szCs w:val="24"/>
                <w:lang w:val="en-US" w:eastAsia="zh-CN"/>
              </w:rPr>
              <w:t>2019</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36</w:t>
            </w:r>
            <w:r>
              <w:rPr>
                <w:rFonts w:hint="eastAsia" w:ascii="Times New Roman" w:hAnsi="Times New Roman" w:cs="Times New Roman"/>
                <w:color w:val="auto"/>
                <w:sz w:val="24"/>
                <w:szCs w:val="24"/>
              </w:rPr>
              <w:t>号</w:t>
            </w:r>
            <w:r>
              <w:rPr>
                <w:rFonts w:hint="eastAsia"/>
                <w:color w:val="auto"/>
                <w:kern w:val="2"/>
              </w:rPr>
              <w:t>的对比情况详见下</w:t>
            </w:r>
            <w:r>
              <w:rPr>
                <w:rFonts w:hint="eastAsia"/>
                <w:color w:val="auto"/>
                <w:kern w:val="2"/>
                <w:szCs w:val="24"/>
              </w:rPr>
              <w:t>表</w:t>
            </w:r>
            <w:r>
              <w:rPr>
                <w:rFonts w:hint="default"/>
                <w:color w:val="auto"/>
                <w:kern w:val="2"/>
                <w:szCs w:val="24"/>
              </w:rPr>
              <w:t>8-1</w:t>
            </w:r>
            <w:r>
              <w:rPr>
                <w:rFonts w:hint="eastAsia"/>
                <w:color w:val="auto"/>
                <w:kern w:val="2"/>
                <w:szCs w:val="24"/>
              </w:rPr>
              <w:t>。</w:t>
            </w:r>
          </w:p>
          <w:p w14:paraId="2EED86BF">
            <w:pPr>
              <w:pStyle w:val="61"/>
              <w:keepNext w:val="0"/>
              <w:keepLines w:val="0"/>
              <w:suppressLineNumbers w:val="0"/>
              <w:adjustRightInd w:val="0"/>
              <w:snapToGrid w:val="0"/>
              <w:spacing w:before="0" w:beforeAutospacing="0" w:after="0" w:afterAutospacing="0" w:line="240" w:lineRule="auto"/>
              <w:ind w:left="0" w:right="0"/>
              <w:rPr>
                <w:rFonts w:hint="default"/>
                <w:color w:val="auto"/>
              </w:rPr>
            </w:pPr>
            <w:r>
              <w:rPr>
                <w:rFonts w:hint="eastAsia"/>
                <w:color w:val="auto"/>
              </w:rPr>
              <w:t>表</w:t>
            </w:r>
            <w:r>
              <w:rPr>
                <w:rFonts w:hint="default"/>
                <w:color w:val="auto"/>
              </w:rPr>
              <w:t xml:space="preserve">8-1 </w:t>
            </w:r>
            <w:r>
              <w:rPr>
                <w:rFonts w:hint="eastAsia"/>
                <w:color w:val="auto"/>
              </w:rPr>
              <w:t>环保措施与环评批复落实情况调查表</w:t>
            </w:r>
          </w:p>
          <w:tbl>
            <w:tblPr>
              <w:tblStyle w:val="27"/>
              <w:tblW w:w="5000"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3102"/>
              <w:gridCol w:w="3022"/>
              <w:gridCol w:w="1823"/>
            </w:tblGrid>
            <w:tr w14:paraId="75BFEF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6F344E0A">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bCs w:val="0"/>
                      <w:color w:val="auto"/>
                      <w:sz w:val="21"/>
                      <w:szCs w:val="21"/>
                    </w:rPr>
                  </w:pPr>
                  <w:r>
                    <w:rPr>
                      <w:rFonts w:hint="eastAsia"/>
                      <w:b/>
                      <w:bCs w:val="0"/>
                      <w:color w:val="auto"/>
                      <w:sz w:val="21"/>
                      <w:szCs w:val="21"/>
                    </w:rPr>
                    <w:t>序号</w:t>
                  </w:r>
                </w:p>
              </w:tc>
              <w:tc>
                <w:tcPr>
                  <w:tcW w:w="1852" w:type="pct"/>
                  <w:tcBorders>
                    <w:tl2br w:val="nil"/>
                    <w:tr2bl w:val="nil"/>
                  </w:tcBorders>
                  <w:vAlign w:val="center"/>
                </w:tcPr>
                <w:p w14:paraId="7D9A38BA">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bCs w:val="0"/>
                      <w:color w:val="auto"/>
                      <w:sz w:val="21"/>
                      <w:szCs w:val="21"/>
                    </w:rPr>
                  </w:pPr>
                  <w:r>
                    <w:rPr>
                      <w:rFonts w:hint="eastAsia"/>
                      <w:b/>
                      <w:bCs w:val="0"/>
                      <w:color w:val="auto"/>
                      <w:sz w:val="21"/>
                      <w:szCs w:val="21"/>
                    </w:rPr>
                    <w:t>环评、环评批复环保措施</w:t>
                  </w:r>
                </w:p>
              </w:tc>
              <w:tc>
                <w:tcPr>
                  <w:tcW w:w="1804" w:type="pct"/>
                  <w:tcBorders>
                    <w:tl2br w:val="nil"/>
                    <w:tr2bl w:val="nil"/>
                  </w:tcBorders>
                  <w:vAlign w:val="center"/>
                </w:tcPr>
                <w:p w14:paraId="426D751E">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bCs w:val="0"/>
                      <w:color w:val="auto"/>
                      <w:sz w:val="21"/>
                      <w:szCs w:val="21"/>
                    </w:rPr>
                  </w:pPr>
                  <w:r>
                    <w:rPr>
                      <w:rFonts w:hint="eastAsia"/>
                      <w:b/>
                      <w:bCs w:val="0"/>
                      <w:color w:val="auto"/>
                      <w:sz w:val="21"/>
                      <w:szCs w:val="21"/>
                    </w:rPr>
                    <w:t>实际落实情况</w:t>
                  </w:r>
                </w:p>
              </w:tc>
              <w:tc>
                <w:tcPr>
                  <w:tcW w:w="1088" w:type="pct"/>
                  <w:tcBorders>
                    <w:tl2br w:val="nil"/>
                    <w:tr2bl w:val="nil"/>
                  </w:tcBorders>
                  <w:vAlign w:val="center"/>
                </w:tcPr>
                <w:p w14:paraId="260A8370">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bCs w:val="0"/>
                      <w:color w:val="auto"/>
                      <w:sz w:val="21"/>
                      <w:szCs w:val="21"/>
                    </w:rPr>
                  </w:pPr>
                  <w:r>
                    <w:rPr>
                      <w:rFonts w:hint="eastAsia"/>
                      <w:b/>
                      <w:bCs w:val="0"/>
                      <w:color w:val="auto"/>
                      <w:sz w:val="21"/>
                      <w:szCs w:val="21"/>
                    </w:rPr>
                    <w:t>落实情况</w:t>
                  </w:r>
                </w:p>
              </w:tc>
            </w:tr>
            <w:tr w14:paraId="771F1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4" w:type="pct"/>
                  <w:tcBorders>
                    <w:tl2br w:val="nil"/>
                    <w:tr2bl w:val="nil"/>
                  </w:tcBorders>
                  <w:vAlign w:val="center"/>
                </w:tcPr>
                <w:p w14:paraId="0AE41C20">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default"/>
                      <w:b w:val="0"/>
                      <w:bCs/>
                      <w:color w:val="auto"/>
                      <w:sz w:val="21"/>
                      <w:szCs w:val="21"/>
                    </w:rPr>
                    <w:t>1</w:t>
                  </w:r>
                </w:p>
              </w:tc>
              <w:tc>
                <w:tcPr>
                  <w:tcW w:w="1852" w:type="pct"/>
                  <w:tcBorders>
                    <w:tl2br w:val="nil"/>
                    <w:tr2bl w:val="nil"/>
                  </w:tcBorders>
                  <w:vAlign w:val="center"/>
                </w:tcPr>
                <w:p w14:paraId="6D0D177A">
                  <w:pPr>
                    <w:pStyle w:val="64"/>
                    <w:keepNext w:val="0"/>
                    <w:keepLines w:val="0"/>
                    <w:pageBreakBefore w:val="0"/>
                    <w:suppressLineNumbers w:val="0"/>
                    <w:kinsoku/>
                    <w:wordWrap/>
                    <w:overflowPunct/>
                    <w:topLinePunct w:val="0"/>
                    <w:bidi w:val="0"/>
                    <w:spacing w:before="0" w:beforeAutospacing="0" w:after="0" w:afterAutospacing="0" w:line="240" w:lineRule="auto"/>
                    <w:ind w:left="0" w:right="0" w:firstLine="420" w:firstLineChars="200"/>
                    <w:jc w:val="both"/>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严格按照报告表要求落实各项环保设施的建设，加强环保设施的日常管理和维护，确保环保设施正常运转及各类污染物稳定达标排放，杜绝事故排放。</w:t>
                  </w:r>
                </w:p>
              </w:tc>
              <w:tc>
                <w:tcPr>
                  <w:tcW w:w="1804" w:type="pct"/>
                  <w:tcBorders>
                    <w:tl2br w:val="nil"/>
                    <w:tr2bl w:val="nil"/>
                  </w:tcBorders>
                  <w:vAlign w:val="center"/>
                </w:tcPr>
                <w:p w14:paraId="3C65DD7B">
                  <w:pPr>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420" w:firstLineChars="200"/>
                    <w:jc w:val="both"/>
                    <w:rPr>
                      <w:rFonts w:hint="eastAsia" w:eastAsia="宋体"/>
                      <w:b w:val="0"/>
                      <w:bCs/>
                      <w:color w:val="auto"/>
                      <w:sz w:val="21"/>
                      <w:szCs w:val="21"/>
                      <w:lang w:eastAsia="zh-CN"/>
                    </w:rPr>
                  </w:pPr>
                  <w:r>
                    <w:rPr>
                      <w:rFonts w:hint="eastAsia"/>
                      <w:b w:val="0"/>
                      <w:bCs/>
                      <w:color w:val="auto"/>
                      <w:sz w:val="21"/>
                      <w:szCs w:val="21"/>
                      <w:lang w:eastAsia="zh-CN"/>
                    </w:rPr>
                    <w:t>经调查，项目严格按照报告表要求落实各项环保设施的建设，加强环保设施的日常管理和维护,确保环保设施正常运转及各类污染物稳定达标排放，杜绝事故排放。</w:t>
                  </w:r>
                </w:p>
              </w:tc>
              <w:tc>
                <w:tcPr>
                  <w:tcW w:w="1088" w:type="pct"/>
                  <w:tcBorders>
                    <w:tl2br w:val="nil"/>
                    <w:tr2bl w:val="nil"/>
                  </w:tcBorders>
                  <w:vAlign w:val="center"/>
                </w:tcPr>
                <w:p w14:paraId="010C1664">
                  <w:pPr>
                    <w:pStyle w:val="64"/>
                    <w:keepNext w:val="0"/>
                    <w:keepLines w:val="0"/>
                    <w:pageBreakBefore w:val="0"/>
                    <w:suppressLineNumbers w:val="0"/>
                    <w:kinsoku/>
                    <w:wordWrap/>
                    <w:overflowPunct/>
                    <w:topLinePunct w:val="0"/>
                    <w:bidi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eastAsia"/>
                      <w:b w:val="0"/>
                      <w:bCs/>
                      <w:color w:val="auto"/>
                      <w:sz w:val="21"/>
                      <w:szCs w:val="21"/>
                    </w:rPr>
                    <w:t>已落实</w:t>
                  </w:r>
                </w:p>
              </w:tc>
            </w:tr>
            <w:tr w14:paraId="0A0E9A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04E8A1B4">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default"/>
                      <w:b w:val="0"/>
                      <w:bCs/>
                      <w:color w:val="auto"/>
                      <w:sz w:val="21"/>
                      <w:szCs w:val="21"/>
                    </w:rPr>
                    <w:t>2</w:t>
                  </w:r>
                </w:p>
              </w:tc>
              <w:tc>
                <w:tcPr>
                  <w:tcW w:w="1852" w:type="pct"/>
                  <w:tcBorders>
                    <w:tl2br w:val="nil"/>
                    <w:tr2bl w:val="nil"/>
                  </w:tcBorders>
                  <w:vAlign w:val="center"/>
                </w:tcPr>
                <w:p w14:paraId="626AF795">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落实并优化报告表提出的废气治理措施，确保大气污染物达标排放。餐佐料生产线油烟和异味经集气罩收集通过“油烟净化器+碱喷淋”处理后，由15 米高排气筒排放;鸡精生产线产生的粉尘及异味经集气罩收集后通过“旋风除尘器+布袋除尘器+碱喷淋”装置处理后，由15米高排气筒排放;食堂油烟经油烟净化器处理后通过烟道引至屋顶排放。</w:t>
                  </w:r>
                </w:p>
                <w:p w14:paraId="2CFBD497">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按报告表要求，全厂以1#厂房边界向外划定100米、2#厂房边界向外划定50米形成包络线，以控制和减轻无组织排放废气对周围环境的影响，目前该范围内无环境敏感点，卫生防护距离内今后不宜引入居民区、学校、医院等环境敏感点及对大气环境要求较高的项目。</w:t>
                  </w:r>
                </w:p>
              </w:tc>
              <w:tc>
                <w:tcPr>
                  <w:tcW w:w="1804" w:type="pct"/>
                  <w:tcBorders>
                    <w:tl2br w:val="nil"/>
                    <w:tr2bl w:val="nil"/>
                  </w:tcBorders>
                  <w:vAlign w:val="center"/>
                </w:tcPr>
                <w:p w14:paraId="180C2821">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eastAsia" w:ascii="Times New Roman" w:hAnsi="Times New Roman" w:eastAsia="宋体" w:cs="Times New Roman"/>
                      <w:b w:val="0"/>
                      <w:bCs/>
                      <w:color w:val="auto"/>
                      <w:kern w:val="2"/>
                      <w:sz w:val="21"/>
                      <w:szCs w:val="21"/>
                      <w:lang w:val="en-US" w:eastAsia="zh-CN" w:bidi="ar-SA"/>
                    </w:rPr>
                  </w:pPr>
                  <w:r>
                    <w:rPr>
                      <w:rFonts w:hint="eastAsia"/>
                      <w:b w:val="0"/>
                      <w:bCs/>
                      <w:color w:val="auto"/>
                      <w:sz w:val="21"/>
                      <w:szCs w:val="21"/>
                      <w:lang w:val="en-US" w:eastAsia="zh-CN"/>
                    </w:rPr>
                    <w:t>经调查，项目</w:t>
                  </w:r>
                  <w:r>
                    <w:rPr>
                      <w:rFonts w:hint="eastAsia" w:ascii="Times New Roman" w:hAnsi="Times New Roman" w:eastAsia="宋体" w:cs="Times New Roman"/>
                      <w:b w:val="0"/>
                      <w:bCs/>
                      <w:color w:val="auto"/>
                      <w:kern w:val="2"/>
                      <w:sz w:val="21"/>
                      <w:szCs w:val="21"/>
                      <w:lang w:val="en-US" w:eastAsia="zh-CN" w:bidi="ar-SA"/>
                    </w:rPr>
                    <w:t>落实并优化报告表提出的废气治理措施，确保大气污染物达标排放。餐佐料生产线油烟和异味经集气罩收集通过“油烟净化器+</w:t>
                  </w:r>
                  <w:r>
                    <w:rPr>
                      <w:rFonts w:hint="eastAsia" w:cs="Times New Roman"/>
                      <w:b w:val="0"/>
                      <w:bCs/>
                      <w:color w:val="auto"/>
                      <w:kern w:val="2"/>
                      <w:sz w:val="21"/>
                      <w:szCs w:val="21"/>
                      <w:lang w:val="en-US" w:eastAsia="zh-CN" w:bidi="ar-SA"/>
                    </w:rPr>
                    <w:t>水</w:t>
                  </w:r>
                  <w:r>
                    <w:rPr>
                      <w:rFonts w:hint="eastAsia" w:ascii="Times New Roman" w:hAnsi="Times New Roman" w:eastAsia="宋体" w:cs="Times New Roman"/>
                      <w:b w:val="0"/>
                      <w:bCs/>
                      <w:color w:val="auto"/>
                      <w:kern w:val="2"/>
                      <w:sz w:val="21"/>
                      <w:szCs w:val="21"/>
                      <w:lang w:val="en-US" w:eastAsia="zh-CN" w:bidi="ar-SA"/>
                    </w:rPr>
                    <w:t>喷淋”处理后</w:t>
                  </w:r>
                  <w:r>
                    <w:rPr>
                      <w:rFonts w:hint="eastAsia" w:cs="Times New Roman"/>
                      <w:b w:val="0"/>
                      <w:bCs/>
                      <w:color w:val="auto"/>
                      <w:kern w:val="2"/>
                      <w:sz w:val="21"/>
                      <w:szCs w:val="21"/>
                      <w:lang w:val="en-US" w:eastAsia="zh-CN" w:bidi="ar-SA"/>
                    </w:rPr>
                    <w:t>，该工艺的处理效率能达到环评提出的90%</w:t>
                  </w:r>
                  <w:r>
                    <w:rPr>
                      <w:rFonts w:hint="eastAsia" w:ascii="Times New Roman" w:hAnsi="Times New Roman" w:eastAsia="宋体" w:cs="Times New Roman"/>
                      <w:b w:val="0"/>
                      <w:bCs/>
                      <w:color w:val="auto"/>
                      <w:kern w:val="2"/>
                      <w:sz w:val="21"/>
                      <w:szCs w:val="21"/>
                      <w:lang w:val="en-US" w:eastAsia="zh-CN" w:bidi="ar-SA"/>
                    </w:rPr>
                    <w:t>，由15 米高排气筒排放</w:t>
                  </w:r>
                  <w:r>
                    <w:rPr>
                      <w:rFonts w:hint="eastAsia" w:cs="Times New Roman"/>
                      <w:b w:val="0"/>
                      <w:bCs/>
                      <w:color w:val="auto"/>
                      <w:kern w:val="2"/>
                      <w:sz w:val="21"/>
                      <w:szCs w:val="21"/>
                      <w:lang w:val="en-US" w:eastAsia="zh-CN" w:bidi="ar-SA"/>
                    </w:rPr>
                    <w:t>；</w:t>
                  </w:r>
                  <w:r>
                    <w:rPr>
                      <w:rFonts w:hint="eastAsia" w:ascii="Times New Roman" w:hAnsi="Times New Roman" w:eastAsia="宋体" w:cs="Times New Roman"/>
                      <w:b w:val="0"/>
                      <w:bCs/>
                      <w:color w:val="auto"/>
                      <w:kern w:val="2"/>
                      <w:sz w:val="21"/>
                      <w:szCs w:val="21"/>
                      <w:lang w:val="en-US" w:eastAsia="zh-CN" w:bidi="ar-SA"/>
                    </w:rPr>
                    <w:t>鸡精生产线</w:t>
                  </w:r>
                  <w:r>
                    <w:rPr>
                      <w:rFonts w:hint="eastAsia" w:cs="Times New Roman"/>
                      <w:b w:val="0"/>
                      <w:bCs/>
                      <w:color w:val="auto"/>
                      <w:kern w:val="2"/>
                      <w:sz w:val="21"/>
                      <w:szCs w:val="21"/>
                      <w:lang w:val="en-US" w:eastAsia="zh-CN" w:bidi="ar-SA"/>
                    </w:rPr>
                    <w:t>未建设；</w:t>
                  </w:r>
                  <w:r>
                    <w:rPr>
                      <w:rFonts w:hint="eastAsia" w:ascii="Times New Roman" w:hAnsi="Times New Roman" w:eastAsia="宋体" w:cs="Times New Roman"/>
                      <w:b w:val="0"/>
                      <w:bCs/>
                      <w:color w:val="auto"/>
                      <w:kern w:val="2"/>
                      <w:sz w:val="21"/>
                      <w:szCs w:val="21"/>
                      <w:lang w:val="en-US" w:eastAsia="zh-CN" w:bidi="ar-SA"/>
                    </w:rPr>
                    <w:t>食堂油烟经油烟净化器处理后通过烟道引至屋顶排放。</w:t>
                  </w:r>
                </w:p>
                <w:p w14:paraId="0C4C2725">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0" w:firstLineChars="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全厂以1#厂房边界向外划定100米、2#厂房边界向外划定50米形成包络线，卫生防护距离内</w:t>
                  </w:r>
                  <w:r>
                    <w:rPr>
                      <w:rFonts w:hint="eastAsia" w:cs="Times New Roman"/>
                      <w:b w:val="0"/>
                      <w:bCs/>
                      <w:color w:val="auto"/>
                      <w:kern w:val="2"/>
                      <w:sz w:val="21"/>
                      <w:szCs w:val="21"/>
                      <w:lang w:val="en-US" w:eastAsia="zh-CN" w:bidi="ar-SA"/>
                    </w:rPr>
                    <w:t>无</w:t>
                  </w:r>
                  <w:r>
                    <w:rPr>
                      <w:rFonts w:hint="eastAsia" w:ascii="Times New Roman" w:hAnsi="Times New Roman" w:eastAsia="宋体" w:cs="Times New Roman"/>
                      <w:b w:val="0"/>
                      <w:bCs/>
                      <w:color w:val="auto"/>
                      <w:kern w:val="2"/>
                      <w:sz w:val="21"/>
                      <w:szCs w:val="21"/>
                      <w:lang w:val="en-US" w:eastAsia="zh-CN" w:bidi="ar-SA"/>
                    </w:rPr>
                    <w:t>居民区、学校、医院等环境敏感点及对大气环境要求较高的项目。</w:t>
                  </w:r>
                </w:p>
                <w:p w14:paraId="00B20E37">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0" w:firstLineChars="0"/>
                    <w:jc w:val="both"/>
                    <w:rPr>
                      <w:rFonts w:hint="default" w:ascii="Times New Roman" w:hAnsi="Times New Roman" w:eastAsia="宋体" w:cs="Times New Roman"/>
                      <w:b/>
                      <w:bCs w:val="0"/>
                      <w:color w:val="auto"/>
                      <w:kern w:val="2"/>
                      <w:sz w:val="21"/>
                      <w:szCs w:val="21"/>
                      <w:lang w:val="en-US" w:eastAsia="zh-CN" w:bidi="ar-SA"/>
                    </w:rPr>
                  </w:pPr>
                </w:p>
                <w:p w14:paraId="60D4E92A">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both"/>
                    <w:rPr>
                      <w:rFonts w:hint="default" w:eastAsia="宋体"/>
                      <w:b w:val="0"/>
                      <w:bCs/>
                      <w:color w:val="auto"/>
                      <w:sz w:val="21"/>
                      <w:szCs w:val="21"/>
                      <w:lang w:val="en-US" w:eastAsia="zh-CN"/>
                    </w:rPr>
                  </w:pPr>
                </w:p>
              </w:tc>
              <w:tc>
                <w:tcPr>
                  <w:tcW w:w="1088" w:type="pct"/>
                  <w:tcBorders>
                    <w:tl2br w:val="nil"/>
                    <w:tr2bl w:val="nil"/>
                  </w:tcBorders>
                  <w:vAlign w:val="center"/>
                </w:tcPr>
                <w:p w14:paraId="77927375">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eastAsia"/>
                      <w:b w:val="0"/>
                      <w:bCs/>
                      <w:color w:val="auto"/>
                      <w:sz w:val="21"/>
                      <w:szCs w:val="21"/>
                    </w:rPr>
                    <w:t>已落实</w:t>
                  </w:r>
                </w:p>
              </w:tc>
            </w:tr>
            <w:tr w14:paraId="6A00C3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3A26AF15">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default"/>
                      <w:b w:val="0"/>
                      <w:bCs/>
                      <w:color w:val="auto"/>
                      <w:sz w:val="21"/>
                      <w:szCs w:val="21"/>
                    </w:rPr>
                    <w:t>3</w:t>
                  </w:r>
                </w:p>
              </w:tc>
              <w:tc>
                <w:tcPr>
                  <w:tcW w:w="1852" w:type="pct"/>
                  <w:tcBorders>
                    <w:tl2br w:val="nil"/>
                    <w:tr2bl w:val="nil"/>
                  </w:tcBorders>
                  <w:vAlign w:val="center"/>
                </w:tcPr>
                <w:p w14:paraId="7DB46A88">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落实并优化报告表提出的废水处理措施，确保地表水环境安全。对厂区污水处理站进行升级改造，生产废水和</w:t>
                  </w:r>
                  <w:r>
                    <w:rPr>
                      <w:rFonts w:hint="eastAsia" w:cs="Times New Roman"/>
                      <w:b w:val="0"/>
                      <w:bCs/>
                      <w:color w:val="auto"/>
                      <w:kern w:val="2"/>
                      <w:sz w:val="21"/>
                      <w:szCs w:val="21"/>
                      <w:lang w:val="en-US" w:eastAsia="zh-CN" w:bidi="ar-SA"/>
                    </w:rPr>
                    <w:t>经化粪池处理后的生活污水</w:t>
                  </w:r>
                  <w:r>
                    <w:rPr>
                      <w:rFonts w:hint="eastAsia" w:ascii="Times New Roman" w:hAnsi="Times New Roman" w:eastAsia="宋体" w:cs="Times New Roman"/>
                      <w:b w:val="0"/>
                      <w:bCs/>
                      <w:color w:val="auto"/>
                      <w:kern w:val="2"/>
                      <w:sz w:val="21"/>
                      <w:szCs w:val="21"/>
                      <w:lang w:val="en-US" w:eastAsia="zh-CN" w:bidi="ar-SA"/>
                    </w:rPr>
                    <w:t>经</w:t>
                  </w:r>
                  <w:r>
                    <w:rPr>
                      <w:rFonts w:hint="eastAsia" w:cs="Times New Roman"/>
                      <w:b w:val="0"/>
                      <w:bCs/>
                      <w:color w:val="auto"/>
                      <w:kern w:val="2"/>
                      <w:sz w:val="21"/>
                      <w:szCs w:val="21"/>
                      <w:lang w:val="en-US" w:eastAsia="zh-CN" w:bidi="ar-SA"/>
                    </w:rPr>
                    <w:t>污水处理站</w:t>
                  </w:r>
                  <w:r>
                    <w:rPr>
                      <w:rFonts w:hint="eastAsia" w:ascii="Times New Roman" w:hAnsi="Times New Roman" w:eastAsia="宋体" w:cs="Times New Roman"/>
                      <w:b w:val="0"/>
                      <w:bCs/>
                      <w:color w:val="auto"/>
                      <w:kern w:val="2"/>
                      <w:sz w:val="21"/>
                      <w:szCs w:val="21"/>
                      <w:lang w:val="en-US" w:eastAsia="zh-CN" w:bidi="ar-SA"/>
                    </w:rPr>
                    <w:t>处理后处理达到《污水综合排放标准》(GB18978-1996)中三级标准，通过污水管网，排入园区污水处理厂处理后达标排放。</w:t>
                  </w:r>
                </w:p>
              </w:tc>
              <w:tc>
                <w:tcPr>
                  <w:tcW w:w="1804" w:type="pct"/>
                  <w:tcBorders>
                    <w:tl2br w:val="nil"/>
                    <w:tr2bl w:val="nil"/>
                  </w:tcBorders>
                  <w:vAlign w:val="center"/>
                </w:tcPr>
                <w:p w14:paraId="11086E4E">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eastAsia" w:eastAsia="宋体"/>
                      <w:b w:val="0"/>
                      <w:bCs/>
                      <w:color w:val="auto"/>
                      <w:sz w:val="21"/>
                      <w:szCs w:val="21"/>
                      <w:lang w:eastAsia="zh-CN"/>
                    </w:rPr>
                  </w:pPr>
                  <w:r>
                    <w:rPr>
                      <w:rFonts w:hint="eastAsia"/>
                      <w:b w:val="0"/>
                      <w:bCs/>
                      <w:color w:val="auto"/>
                      <w:sz w:val="21"/>
                      <w:szCs w:val="21"/>
                      <w:lang w:eastAsia="zh-CN"/>
                    </w:rPr>
                    <w:t>经调查，项目</w:t>
                  </w:r>
                  <w:r>
                    <w:rPr>
                      <w:rFonts w:hint="eastAsia" w:ascii="Times New Roman" w:hAnsi="Times New Roman" w:eastAsia="宋体" w:cs="Times New Roman"/>
                      <w:b w:val="0"/>
                      <w:bCs/>
                      <w:color w:val="auto"/>
                      <w:kern w:val="2"/>
                      <w:sz w:val="21"/>
                      <w:szCs w:val="21"/>
                      <w:lang w:val="en-US" w:eastAsia="zh-CN" w:bidi="ar-SA"/>
                    </w:rPr>
                    <w:t>落实并优化报告表提出的废水处理措施，确保地表水环境安全。对厂区污水处理站进行升级改造，生产废水和</w:t>
                  </w:r>
                  <w:r>
                    <w:rPr>
                      <w:rFonts w:hint="eastAsia" w:cs="Times New Roman"/>
                      <w:b w:val="0"/>
                      <w:bCs/>
                      <w:color w:val="auto"/>
                      <w:kern w:val="2"/>
                      <w:sz w:val="21"/>
                      <w:szCs w:val="21"/>
                      <w:lang w:val="en-US" w:eastAsia="zh-CN" w:bidi="ar-SA"/>
                    </w:rPr>
                    <w:t>经化粪池处理后的生活污水</w:t>
                  </w:r>
                  <w:r>
                    <w:rPr>
                      <w:rFonts w:hint="eastAsia" w:ascii="Times New Roman" w:hAnsi="Times New Roman" w:eastAsia="宋体" w:cs="Times New Roman"/>
                      <w:b w:val="0"/>
                      <w:bCs/>
                      <w:color w:val="auto"/>
                      <w:kern w:val="2"/>
                      <w:sz w:val="21"/>
                      <w:szCs w:val="21"/>
                      <w:lang w:val="en-US" w:eastAsia="zh-CN" w:bidi="ar-SA"/>
                    </w:rPr>
                    <w:t>经</w:t>
                  </w:r>
                  <w:r>
                    <w:rPr>
                      <w:rFonts w:hint="eastAsia" w:cs="Times New Roman"/>
                      <w:b w:val="0"/>
                      <w:bCs/>
                      <w:color w:val="auto"/>
                      <w:kern w:val="2"/>
                      <w:sz w:val="21"/>
                      <w:szCs w:val="21"/>
                      <w:lang w:val="en-US" w:eastAsia="zh-CN" w:bidi="ar-SA"/>
                    </w:rPr>
                    <w:t>污水处理站</w:t>
                  </w:r>
                  <w:r>
                    <w:rPr>
                      <w:rFonts w:hint="eastAsia" w:ascii="Times New Roman" w:hAnsi="Times New Roman" w:eastAsia="宋体" w:cs="Times New Roman"/>
                      <w:b w:val="0"/>
                      <w:bCs/>
                      <w:color w:val="auto"/>
                      <w:kern w:val="2"/>
                      <w:sz w:val="21"/>
                      <w:szCs w:val="21"/>
                      <w:lang w:val="en-US" w:eastAsia="zh-CN" w:bidi="ar-SA"/>
                    </w:rPr>
                    <w:t>处理后处理达到《污水综合排放标准》(GB18978-1996)中三级标准，通过污水管网，排入园区污水处理厂处理后达标排放。</w:t>
                  </w:r>
                </w:p>
              </w:tc>
              <w:tc>
                <w:tcPr>
                  <w:tcW w:w="1088" w:type="pct"/>
                  <w:tcBorders>
                    <w:tl2br w:val="nil"/>
                    <w:tr2bl w:val="nil"/>
                  </w:tcBorders>
                  <w:vAlign w:val="center"/>
                </w:tcPr>
                <w:p w14:paraId="7D8D0D09">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eastAsia"/>
                      <w:b w:val="0"/>
                      <w:bCs/>
                      <w:color w:val="auto"/>
                      <w:sz w:val="21"/>
                      <w:szCs w:val="21"/>
                    </w:rPr>
                    <w:t>已落实</w:t>
                  </w:r>
                </w:p>
              </w:tc>
            </w:tr>
            <w:tr w14:paraId="0448FF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6C9C962E">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eastAsia"/>
                      <w:b w:val="0"/>
                      <w:bCs/>
                      <w:color w:val="auto"/>
                      <w:sz w:val="21"/>
                      <w:szCs w:val="21"/>
                    </w:rPr>
                    <w:t>4</w:t>
                  </w:r>
                </w:p>
              </w:tc>
              <w:tc>
                <w:tcPr>
                  <w:tcW w:w="1852" w:type="pct"/>
                  <w:tcBorders>
                    <w:tl2br w:val="nil"/>
                    <w:tr2bl w:val="nil"/>
                  </w:tcBorders>
                  <w:vAlign w:val="center"/>
                </w:tcPr>
                <w:p w14:paraId="3EEE9FF5">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严格按照报告表要求，落实并优化固体废物污染防治措施，按照“减量化、资源化、无害化”的原则，对固体废物进行分类收集和处置，危险废物交由危废处置资质单位处理，避免造成二次污染，确保环境安全。</w:t>
                  </w:r>
                </w:p>
                <w:p w14:paraId="1CD6EE03">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b w:val="0"/>
                      <w:bCs/>
                      <w:color w:val="auto"/>
                      <w:kern w:val="2"/>
                      <w:sz w:val="21"/>
                      <w:szCs w:val="21"/>
                      <w:lang w:val="en-US" w:eastAsia="zh-CN" w:bidi="ar-SA"/>
                    </w:rPr>
                  </w:pPr>
                </w:p>
              </w:tc>
              <w:tc>
                <w:tcPr>
                  <w:tcW w:w="1804" w:type="pct"/>
                  <w:tcBorders>
                    <w:tl2br w:val="nil"/>
                    <w:tr2bl w:val="nil"/>
                  </w:tcBorders>
                  <w:vAlign w:val="center"/>
                </w:tcPr>
                <w:p w14:paraId="416E1E1F">
                  <w:pPr>
                    <w:keepNext w:val="0"/>
                    <w:keepLines w:val="0"/>
                    <w:pageBreakBefore w:val="0"/>
                    <w:widowControl/>
                    <w:numPr>
                      <w:ilvl w:val="0"/>
                      <w:numId w:val="0"/>
                    </w:numPr>
                    <w:suppressLineNumbers w:val="0"/>
                    <w:kinsoku/>
                    <w:wordWrap/>
                    <w:overflowPunct/>
                    <w:topLinePunct w:val="0"/>
                    <w:bidi w:val="0"/>
                    <w:spacing w:before="0" w:beforeAutospacing="0" w:after="0" w:afterAutospacing="0" w:line="240" w:lineRule="auto"/>
                    <w:ind w:left="0" w:leftChars="0" w:right="0" w:rightChars="0" w:firstLine="420" w:firstLineChars="200"/>
                    <w:jc w:val="both"/>
                    <w:rPr>
                      <w:rFonts w:hint="eastAsia" w:eastAsia="宋体"/>
                      <w:b w:val="0"/>
                      <w:bCs/>
                      <w:color w:val="auto"/>
                      <w:sz w:val="21"/>
                      <w:szCs w:val="21"/>
                      <w:lang w:eastAsia="zh-CN"/>
                    </w:rPr>
                  </w:pPr>
                  <w:r>
                    <w:rPr>
                      <w:rFonts w:hint="eastAsia"/>
                      <w:b w:val="0"/>
                      <w:bCs/>
                      <w:color w:val="auto"/>
                      <w:sz w:val="21"/>
                      <w:szCs w:val="21"/>
                      <w:lang w:eastAsia="zh-CN"/>
                    </w:rPr>
                    <w:t>经调查，</w:t>
                  </w:r>
                  <w:r>
                    <w:rPr>
                      <w:rFonts w:hint="eastAsia" w:ascii="Times New Roman" w:hAnsi="Times New Roman"/>
                      <w:b w:val="0"/>
                      <w:bCs/>
                      <w:color w:val="auto"/>
                      <w:sz w:val="21"/>
                      <w:szCs w:val="21"/>
                    </w:rPr>
                    <w:t>严格按照报告表要求，落实并优化固体废物污染防治措施，按照“减量化、资源化、无害化”的原则，对固体废物进行分类收集和处置，危险废物交由危废处置资质单位处理，避免造成二次污染，确保环境安全。</w:t>
                  </w:r>
                </w:p>
              </w:tc>
              <w:tc>
                <w:tcPr>
                  <w:tcW w:w="1088" w:type="pct"/>
                  <w:tcBorders>
                    <w:tl2br w:val="nil"/>
                    <w:tr2bl w:val="nil"/>
                  </w:tcBorders>
                  <w:vAlign w:val="center"/>
                </w:tcPr>
                <w:p w14:paraId="0033936B">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eastAsia"/>
                      <w:b w:val="0"/>
                      <w:bCs/>
                      <w:color w:val="auto"/>
                      <w:sz w:val="21"/>
                      <w:szCs w:val="21"/>
                    </w:rPr>
                    <w:t>已落实</w:t>
                  </w:r>
                </w:p>
              </w:tc>
            </w:tr>
            <w:tr w14:paraId="75EA1A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4" w:type="pct"/>
                  <w:tcBorders>
                    <w:tl2br w:val="nil"/>
                    <w:tr2bl w:val="nil"/>
                  </w:tcBorders>
                  <w:vAlign w:val="center"/>
                </w:tcPr>
                <w:p w14:paraId="5039B83F">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lang w:val="en-US"/>
                    </w:rPr>
                  </w:pPr>
                  <w:r>
                    <w:rPr>
                      <w:rFonts w:hint="eastAsia"/>
                      <w:b w:val="0"/>
                      <w:bCs/>
                      <w:color w:val="auto"/>
                      <w:sz w:val="21"/>
                      <w:szCs w:val="21"/>
                    </w:rPr>
                    <w:t>5</w:t>
                  </w:r>
                </w:p>
              </w:tc>
              <w:tc>
                <w:tcPr>
                  <w:tcW w:w="1852" w:type="pct"/>
                  <w:tcBorders>
                    <w:tl2br w:val="nil"/>
                    <w:tr2bl w:val="nil"/>
                  </w:tcBorders>
                  <w:vAlign w:val="center"/>
                </w:tcPr>
                <w:p w14:paraId="77CD1870">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按报告表要求，选用低噪设备，采取厂房隔声、设备减振等可靠的防噪措施，确保厂界噪声达标排放。</w:t>
                  </w:r>
                </w:p>
                <w:p w14:paraId="0E47A50A">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b w:val="0"/>
                      <w:bCs/>
                      <w:color w:val="auto"/>
                      <w:kern w:val="2"/>
                      <w:sz w:val="21"/>
                      <w:szCs w:val="21"/>
                      <w:lang w:val="en-US" w:eastAsia="zh-CN" w:bidi="ar-SA"/>
                    </w:rPr>
                  </w:pPr>
                </w:p>
              </w:tc>
              <w:tc>
                <w:tcPr>
                  <w:tcW w:w="1804" w:type="pct"/>
                  <w:tcBorders>
                    <w:tl2br w:val="nil"/>
                    <w:tr2bl w:val="nil"/>
                  </w:tcBorders>
                  <w:vAlign w:val="center"/>
                </w:tcPr>
                <w:p w14:paraId="7D28536A">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rPr>
                      <w:rFonts w:hint="default" w:eastAsia="宋体"/>
                      <w:b w:val="0"/>
                      <w:bCs/>
                      <w:color w:val="auto"/>
                      <w:sz w:val="21"/>
                      <w:szCs w:val="21"/>
                      <w:lang w:val="en-US" w:eastAsia="zh-CN"/>
                    </w:rPr>
                  </w:pPr>
                  <w:r>
                    <w:rPr>
                      <w:rFonts w:hint="eastAsia"/>
                      <w:b w:val="0"/>
                      <w:bCs/>
                      <w:color w:val="auto"/>
                      <w:sz w:val="21"/>
                      <w:szCs w:val="21"/>
                      <w:lang w:val="en-US" w:eastAsia="zh-CN"/>
                    </w:rPr>
                    <w:t>经调查，项目</w:t>
                  </w:r>
                  <w:r>
                    <w:rPr>
                      <w:rFonts w:hint="eastAsia"/>
                      <w:b w:val="0"/>
                      <w:bCs/>
                      <w:color w:val="auto"/>
                      <w:sz w:val="21"/>
                      <w:szCs w:val="21"/>
                      <w:lang w:val="en-US"/>
                    </w:rPr>
                    <w:t>按报告表要求，</w:t>
                  </w:r>
                  <w:r>
                    <w:rPr>
                      <w:rFonts w:hint="eastAsia"/>
                      <w:b w:val="0"/>
                      <w:bCs/>
                      <w:color w:val="auto"/>
                      <w:sz w:val="21"/>
                      <w:szCs w:val="21"/>
                      <w:lang w:eastAsia="zh-CN"/>
                    </w:rPr>
                    <w:t>选用低噪设备，采取厂房隔声、设备减振等可靠的防噪措施，确保厂界噪声达标排放。</w:t>
                  </w:r>
                </w:p>
              </w:tc>
              <w:tc>
                <w:tcPr>
                  <w:tcW w:w="1088" w:type="pct"/>
                  <w:tcBorders>
                    <w:tl2br w:val="nil"/>
                    <w:tr2bl w:val="nil"/>
                  </w:tcBorders>
                  <w:vAlign w:val="center"/>
                </w:tcPr>
                <w:p w14:paraId="5E5382F7">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eastAsia="宋体"/>
                      <w:b w:val="0"/>
                      <w:bCs/>
                      <w:color w:val="auto"/>
                      <w:sz w:val="21"/>
                      <w:szCs w:val="21"/>
                      <w:lang w:eastAsia="zh-CN"/>
                    </w:rPr>
                  </w:pPr>
                  <w:r>
                    <w:rPr>
                      <w:rFonts w:hint="eastAsia"/>
                      <w:b w:val="0"/>
                      <w:bCs/>
                      <w:color w:val="auto"/>
                      <w:sz w:val="21"/>
                      <w:szCs w:val="21"/>
                      <w:lang w:val="en-US" w:eastAsia="zh-CN"/>
                    </w:rPr>
                    <w:t>已落实</w:t>
                  </w:r>
                </w:p>
              </w:tc>
            </w:tr>
            <w:tr w14:paraId="4E427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254" w:type="pct"/>
                  <w:tcBorders>
                    <w:tl2br w:val="nil"/>
                    <w:tr2bl w:val="nil"/>
                  </w:tcBorders>
                  <w:vAlign w:val="center"/>
                </w:tcPr>
                <w:p w14:paraId="21D50354">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default"/>
                      <w:b w:val="0"/>
                      <w:bCs/>
                      <w:color w:val="auto"/>
                      <w:sz w:val="21"/>
                      <w:szCs w:val="21"/>
                    </w:rPr>
                  </w:pPr>
                  <w:r>
                    <w:rPr>
                      <w:rFonts w:hint="eastAsia"/>
                      <w:b w:val="0"/>
                      <w:bCs/>
                      <w:color w:val="auto"/>
                      <w:sz w:val="21"/>
                      <w:szCs w:val="21"/>
                    </w:rPr>
                    <w:t>6</w:t>
                  </w:r>
                </w:p>
              </w:tc>
              <w:tc>
                <w:tcPr>
                  <w:tcW w:w="1852" w:type="pct"/>
                  <w:tcBorders>
                    <w:tl2br w:val="nil"/>
                    <w:tr2bl w:val="nil"/>
                  </w:tcBorders>
                  <w:vAlign w:val="center"/>
                </w:tcPr>
                <w:p w14:paraId="6B60415B">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lang w:val="en-US" w:eastAsia="zh-CN" w:bidi="ar-SA"/>
                    </w:rPr>
                    <w:t>严格落实各类环境风险防范措施，按环评要求成立机构，健全组织，确定岗位分工，确保不发生环境污染事故。</w:t>
                  </w:r>
                </w:p>
              </w:tc>
              <w:tc>
                <w:tcPr>
                  <w:tcW w:w="1804" w:type="pct"/>
                  <w:tcBorders>
                    <w:tl2br w:val="nil"/>
                    <w:tr2bl w:val="nil"/>
                  </w:tcBorders>
                  <w:vAlign w:val="center"/>
                </w:tcPr>
                <w:p w14:paraId="4C83E16A">
                  <w:pPr>
                    <w:keepNext w:val="0"/>
                    <w:keepLines w:val="0"/>
                    <w:pageBreakBefore w:val="0"/>
                    <w:widowControl/>
                    <w:suppressLineNumbers w:val="0"/>
                    <w:kinsoku/>
                    <w:wordWrap/>
                    <w:overflowPunct/>
                    <w:topLinePunct w:val="0"/>
                    <w:bidi w:val="0"/>
                    <w:spacing w:before="0" w:beforeLines="0" w:beforeAutospacing="0" w:after="0" w:afterLines="0" w:afterAutospacing="0" w:line="240" w:lineRule="auto"/>
                    <w:ind w:left="0" w:right="0" w:firstLine="420" w:firstLineChars="200"/>
                    <w:jc w:val="both"/>
                    <w:rPr>
                      <w:rFonts w:hint="default" w:eastAsia="宋体"/>
                      <w:b w:val="0"/>
                      <w:bCs/>
                      <w:color w:val="auto"/>
                      <w:sz w:val="21"/>
                      <w:szCs w:val="21"/>
                      <w:lang w:val="en-US" w:eastAsia="zh-CN"/>
                    </w:rPr>
                  </w:pPr>
                  <w:r>
                    <w:rPr>
                      <w:rFonts w:hint="eastAsia"/>
                      <w:b w:val="0"/>
                      <w:bCs/>
                      <w:color w:val="auto"/>
                      <w:sz w:val="21"/>
                      <w:szCs w:val="21"/>
                      <w:lang w:val="en-US" w:eastAsia="zh-CN"/>
                    </w:rPr>
                    <w:t>经调查，项目严格</w:t>
                  </w:r>
                  <w:r>
                    <w:rPr>
                      <w:rFonts w:hint="eastAsia" w:ascii="Times New Roman" w:hAnsi="Times New Roman" w:eastAsia="宋体" w:cs="Times New Roman"/>
                      <w:b w:val="0"/>
                      <w:bCs/>
                      <w:color w:val="auto"/>
                      <w:kern w:val="2"/>
                      <w:sz w:val="21"/>
                      <w:szCs w:val="21"/>
                      <w:lang w:val="en-US" w:eastAsia="zh-CN" w:bidi="ar-SA"/>
                    </w:rPr>
                    <w:t>落实各类环境风险防范措施，按环评要求成立机构，健全组织，确定岗位分工，确保不发生环境污染事故。</w:t>
                  </w:r>
                </w:p>
              </w:tc>
              <w:tc>
                <w:tcPr>
                  <w:tcW w:w="1088" w:type="pct"/>
                  <w:tcBorders>
                    <w:tl2br w:val="nil"/>
                    <w:tr2bl w:val="nil"/>
                  </w:tcBorders>
                  <w:vAlign w:val="center"/>
                </w:tcPr>
                <w:p w14:paraId="59BE79CB">
                  <w:pPr>
                    <w:pStyle w:val="72"/>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rPr>
                      <w:rFonts w:hint="eastAsia" w:eastAsia="宋体"/>
                      <w:b w:val="0"/>
                      <w:bCs/>
                      <w:color w:val="auto"/>
                      <w:sz w:val="21"/>
                      <w:szCs w:val="21"/>
                      <w:lang w:eastAsia="zh-CN"/>
                    </w:rPr>
                  </w:pPr>
                  <w:r>
                    <w:rPr>
                      <w:rFonts w:hint="eastAsia"/>
                      <w:b w:val="0"/>
                      <w:bCs/>
                      <w:color w:val="auto"/>
                      <w:sz w:val="21"/>
                      <w:szCs w:val="21"/>
                      <w:lang w:val="en-US" w:eastAsia="zh-CN"/>
                    </w:rPr>
                    <w:t>已落实</w:t>
                  </w:r>
                </w:p>
              </w:tc>
            </w:tr>
          </w:tbl>
          <w:p w14:paraId="441B915C">
            <w:pPr>
              <w:keepNext w:val="0"/>
              <w:keepLines w:val="0"/>
              <w:widowControl/>
              <w:suppressLineNumbers w:val="0"/>
              <w:spacing w:before="0" w:beforeAutospacing="0" w:after="0" w:afterAutospacing="0"/>
              <w:ind w:left="0" w:right="0" w:firstLine="0" w:firstLineChars="0"/>
              <w:rPr>
                <w:rFonts w:hint="default"/>
                <w:color w:val="auto"/>
                <w:szCs w:val="21"/>
              </w:rPr>
            </w:pPr>
          </w:p>
        </w:tc>
      </w:tr>
    </w:tbl>
    <w:p w14:paraId="7EB2F9C6">
      <w:pPr>
        <w:ind w:firstLine="0" w:firstLineChars="0"/>
        <w:rPr>
          <w:rFonts w:eastAsia="仿宋"/>
          <w:b/>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E71C170">
      <w:pPr>
        <w:pStyle w:val="3"/>
        <w:rPr>
          <w:color w:val="auto"/>
        </w:rPr>
      </w:pPr>
      <w:bookmarkStart w:id="26" w:name="_Toc31848"/>
      <w:bookmarkStart w:id="27" w:name="_Toc519594908"/>
      <w:bookmarkStart w:id="28" w:name="_Toc519515363"/>
      <w:r>
        <w:rPr>
          <w:rFonts w:hint="eastAsia"/>
          <w:color w:val="auto"/>
        </w:rPr>
        <w:t>表九</w:t>
      </w:r>
      <w:r>
        <w:rPr>
          <w:color w:val="auto"/>
        </w:rPr>
        <w:t xml:space="preserve">  </w:t>
      </w:r>
      <w:r>
        <w:rPr>
          <w:rFonts w:hint="eastAsia"/>
          <w:color w:val="auto"/>
        </w:rPr>
        <w:t>验收监测结论</w:t>
      </w:r>
      <w:bookmarkEnd w:id="26"/>
      <w:bookmarkEnd w:id="27"/>
      <w:bookmarkEnd w:id="28"/>
    </w:p>
    <w:tbl>
      <w:tblPr>
        <w:tblStyle w:val="27"/>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14:paraId="37EB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4" w:type="dxa"/>
          </w:tcPr>
          <w:p w14:paraId="04E4E3CA">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一、污染物监测、调查结论</w:t>
            </w:r>
          </w:p>
          <w:p w14:paraId="703D3A5A">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1</w:t>
            </w:r>
            <w:r>
              <w:rPr>
                <w:rFonts w:hint="eastAsia"/>
                <w:color w:val="auto"/>
                <w:sz w:val="24"/>
                <w:szCs w:val="24"/>
              </w:rPr>
              <w:t>、废气</w:t>
            </w:r>
          </w:p>
          <w:p w14:paraId="1F8504A9">
            <w:pPr>
              <w:keepNext w:val="0"/>
              <w:keepLines w:val="0"/>
              <w:widowControl w:val="0"/>
              <w:suppressLineNumbers w:val="0"/>
              <w:tabs>
                <w:tab w:val="left" w:pos="8882"/>
              </w:tabs>
              <w:spacing w:before="0" w:beforeAutospacing="0" w:after="0" w:afterAutospacing="0"/>
              <w:ind w:left="0" w:right="0" w:firstLine="480"/>
              <w:rPr>
                <w:rFonts w:hint="default"/>
                <w:color w:val="auto"/>
                <w:szCs w:val="24"/>
              </w:rPr>
            </w:pPr>
            <w:r>
              <w:rPr>
                <w:rFonts w:hint="eastAsia"/>
                <w:color w:val="auto"/>
                <w:szCs w:val="24"/>
              </w:rPr>
              <w:t>经调查，项目施工期未发生大气污染事故。</w:t>
            </w:r>
          </w:p>
          <w:p w14:paraId="2B3E7A50">
            <w:pPr>
              <w:keepNext w:val="0"/>
              <w:keepLines w:val="0"/>
              <w:widowControl/>
              <w:suppressLineNumbers w:val="0"/>
              <w:spacing w:before="0" w:beforeAutospacing="0" w:after="0" w:afterAutospacing="0"/>
              <w:ind w:left="0" w:right="0" w:firstLine="480"/>
              <w:rPr>
                <w:rFonts w:hint="default"/>
                <w:bCs/>
                <w:color w:val="auto"/>
              </w:rPr>
            </w:pPr>
            <w:r>
              <w:rPr>
                <w:rFonts w:hint="eastAsia"/>
                <w:color w:val="auto"/>
                <w:szCs w:val="24"/>
              </w:rPr>
              <w:t>验收</w:t>
            </w:r>
            <w:r>
              <w:rPr>
                <w:rFonts w:hint="eastAsia"/>
                <w:color w:val="auto"/>
                <w:szCs w:val="24"/>
                <w:lang w:val="en-US" w:eastAsia="zh-CN"/>
              </w:rPr>
              <w:t>监测</w:t>
            </w:r>
            <w:r>
              <w:rPr>
                <w:rFonts w:hint="eastAsia"/>
                <w:color w:val="auto"/>
                <w:szCs w:val="24"/>
              </w:rPr>
              <w:t>期间，有组织废气</w:t>
            </w:r>
            <w:r>
              <w:rPr>
                <w:rFonts w:hint="eastAsia"/>
                <w:color w:val="auto"/>
                <w:szCs w:val="24"/>
                <w:lang w:val="en-US" w:eastAsia="zh-CN"/>
              </w:rPr>
              <w:t>检测</w:t>
            </w:r>
            <w:r>
              <w:rPr>
                <w:rFonts w:hint="eastAsia"/>
                <w:color w:val="auto"/>
                <w:szCs w:val="24"/>
              </w:rPr>
              <w:t>中，</w:t>
            </w:r>
            <w:r>
              <w:rPr>
                <w:rFonts w:hint="eastAsia"/>
                <w:b w:val="0"/>
                <w:color w:val="auto"/>
                <w:sz w:val="24"/>
                <w:szCs w:val="24"/>
                <w:lang w:val="en-US" w:eastAsia="zh-CN"/>
              </w:rPr>
              <w:t>油烟检测</w:t>
            </w:r>
            <w:r>
              <w:rPr>
                <w:rFonts w:hint="eastAsia"/>
                <w:b w:val="0"/>
                <w:color w:val="auto"/>
                <w:sz w:val="24"/>
                <w:szCs w:val="24"/>
              </w:rPr>
              <w:t>结果满足《饮食业油烟排放标准（试行）》（GB 18483-2001）表2中标准限值要求</w:t>
            </w:r>
            <w:r>
              <w:rPr>
                <w:rFonts w:hint="eastAsia"/>
                <w:b w:val="0"/>
                <w:color w:val="auto"/>
                <w:sz w:val="24"/>
                <w:szCs w:val="24"/>
                <w:lang w:eastAsia="zh-CN"/>
              </w:rPr>
              <w:t>。</w:t>
            </w:r>
            <w:r>
              <w:rPr>
                <w:rFonts w:hint="eastAsia" w:ascii="Times New Roman" w:hAnsi="Times New Roman" w:eastAsia="宋体" w:cs="Times New Roman"/>
                <w:color w:val="auto"/>
                <w:kern w:val="2"/>
                <w:sz w:val="24"/>
                <w:szCs w:val="24"/>
                <w:lang w:val="en-US" w:eastAsia="zh-CN" w:bidi="ar-SA"/>
              </w:rPr>
              <w:t>无组织废气检测中，</w:t>
            </w:r>
            <w:r>
              <w:rPr>
                <w:rFonts w:hint="default" w:ascii="Times New Roman" w:hAnsi="Times New Roman" w:eastAsia="宋体" w:cs="Times New Roman"/>
                <w:color w:val="auto"/>
                <w:kern w:val="2"/>
                <w:sz w:val="24"/>
                <w:szCs w:val="24"/>
                <w:lang w:val="en-US" w:eastAsia="zh-CN" w:bidi="ar-SA"/>
              </w:rPr>
              <w:t>臭气浓度、硫化氢、氨</w:t>
            </w:r>
            <w:r>
              <w:rPr>
                <w:rFonts w:hint="eastAsia" w:ascii="Times New Roman" w:hAnsi="Times New Roman" w:eastAsia="宋体" w:cs="Times New Roman"/>
                <w:color w:val="auto"/>
                <w:kern w:val="2"/>
                <w:sz w:val="24"/>
                <w:szCs w:val="24"/>
                <w:lang w:val="en-US" w:eastAsia="zh-CN" w:bidi="ar-SA"/>
              </w:rPr>
              <w:t>检测结果符合</w:t>
            </w:r>
            <w:r>
              <w:rPr>
                <w:rFonts w:hint="default" w:ascii="Times New Roman" w:hAnsi="Times New Roman" w:eastAsia="宋体" w:cs="Times New Roman"/>
                <w:color w:val="auto"/>
                <w:kern w:val="2"/>
                <w:sz w:val="24"/>
                <w:szCs w:val="24"/>
                <w:lang w:val="en-US" w:eastAsia="zh-CN" w:bidi="ar-SA"/>
              </w:rPr>
              <w:t>《恶臭污染物排放标准》（GB14554-93）表1二级标准“新扩改建”标准限值。</w:t>
            </w:r>
          </w:p>
          <w:p w14:paraId="5C4C8A71">
            <w:pPr>
              <w:keepNext w:val="0"/>
              <w:keepLines w:val="0"/>
              <w:widowControl/>
              <w:suppressLineNumbers w:val="0"/>
              <w:spacing w:before="0" w:beforeAutospacing="0" w:after="0" w:afterAutospacing="0"/>
              <w:ind w:left="0" w:leftChars="0" w:right="0" w:firstLine="0" w:firstLineChars="0"/>
              <w:rPr>
                <w:rFonts w:hint="default"/>
                <w:b/>
                <w:bCs/>
                <w:color w:val="auto"/>
                <w:sz w:val="24"/>
                <w:szCs w:val="24"/>
              </w:rPr>
            </w:pPr>
            <w:r>
              <w:rPr>
                <w:rFonts w:hint="default"/>
                <w:b/>
                <w:bCs/>
                <w:color w:val="auto"/>
                <w:sz w:val="24"/>
                <w:szCs w:val="24"/>
              </w:rPr>
              <w:t>2</w:t>
            </w:r>
            <w:r>
              <w:rPr>
                <w:rFonts w:hint="eastAsia"/>
                <w:b/>
                <w:bCs/>
                <w:color w:val="auto"/>
                <w:sz w:val="24"/>
                <w:szCs w:val="24"/>
              </w:rPr>
              <w:t>、噪声</w:t>
            </w:r>
          </w:p>
          <w:p w14:paraId="19BFF0DB">
            <w:pPr>
              <w:keepNext w:val="0"/>
              <w:keepLines w:val="0"/>
              <w:widowControl w:val="0"/>
              <w:suppressLineNumbers w:val="0"/>
              <w:tabs>
                <w:tab w:val="left" w:pos="8882"/>
              </w:tabs>
              <w:spacing w:before="0" w:beforeAutospacing="0" w:after="0" w:afterAutospacing="0"/>
              <w:ind w:left="0" w:right="0" w:firstLine="480"/>
              <w:rPr>
                <w:rFonts w:hint="default"/>
                <w:color w:val="auto"/>
                <w:szCs w:val="24"/>
              </w:rPr>
            </w:pPr>
            <w:r>
              <w:rPr>
                <w:rFonts w:hint="eastAsia"/>
                <w:color w:val="auto"/>
                <w:szCs w:val="24"/>
              </w:rPr>
              <w:t>经调查，项目施工期无噪声扰民投诉。</w:t>
            </w:r>
          </w:p>
          <w:p w14:paraId="3EF7BA13">
            <w:pPr>
              <w:keepNext w:val="0"/>
              <w:keepLines w:val="0"/>
              <w:widowControl/>
              <w:suppressLineNumbers w:val="0"/>
              <w:spacing w:before="0" w:beforeAutospacing="0" w:after="0" w:afterAutospacing="0"/>
              <w:ind w:left="0" w:right="0" w:firstLine="480"/>
              <w:rPr>
                <w:rFonts w:hint="default"/>
                <w:bCs/>
                <w:color w:val="auto"/>
              </w:rPr>
            </w:pPr>
            <w:r>
              <w:rPr>
                <w:rFonts w:hint="eastAsia"/>
                <w:color w:val="auto"/>
                <w:szCs w:val="24"/>
              </w:rPr>
              <w:t>验收</w:t>
            </w:r>
            <w:r>
              <w:rPr>
                <w:rFonts w:hint="eastAsia"/>
                <w:color w:val="auto"/>
                <w:szCs w:val="24"/>
                <w:lang w:val="en-US" w:eastAsia="zh-CN"/>
              </w:rPr>
              <w:t>监测</w:t>
            </w:r>
            <w:r>
              <w:rPr>
                <w:rFonts w:hint="eastAsia"/>
                <w:color w:val="auto"/>
                <w:szCs w:val="24"/>
              </w:rPr>
              <w:t>期间，噪声</w:t>
            </w:r>
            <w:r>
              <w:rPr>
                <w:rFonts w:hint="eastAsia"/>
                <w:color w:val="auto"/>
                <w:szCs w:val="24"/>
                <w:lang w:val="en-US" w:eastAsia="zh-CN"/>
              </w:rPr>
              <w:t>检测</w:t>
            </w:r>
            <w:r>
              <w:rPr>
                <w:rFonts w:hint="eastAsia"/>
                <w:color w:val="auto"/>
                <w:szCs w:val="24"/>
              </w:rPr>
              <w:t>中，</w:t>
            </w:r>
            <w:r>
              <w:rPr>
                <w:rFonts w:hint="eastAsia"/>
                <w:color w:val="auto"/>
                <w:kern w:val="2"/>
                <w:szCs w:val="24"/>
              </w:rPr>
              <w:t>1#-4#昼间噪声值均满足《工业企业厂界环境噪声排放标准》（GB 12348-2008）表1中</w:t>
            </w:r>
            <w:r>
              <w:rPr>
                <w:rFonts w:hint="eastAsia"/>
                <w:color w:val="auto"/>
                <w:kern w:val="2"/>
                <w:szCs w:val="24"/>
                <w:lang w:val="en-US" w:eastAsia="zh-CN"/>
              </w:rPr>
              <w:t>3</w:t>
            </w:r>
            <w:r>
              <w:rPr>
                <w:rFonts w:hint="eastAsia"/>
                <w:color w:val="auto"/>
                <w:kern w:val="2"/>
                <w:szCs w:val="24"/>
              </w:rPr>
              <w:t>类标准限值要求</w:t>
            </w:r>
            <w:r>
              <w:rPr>
                <w:rFonts w:hint="default"/>
                <w:bCs/>
                <w:color w:val="auto"/>
              </w:rPr>
              <w:t>。</w:t>
            </w:r>
          </w:p>
          <w:p w14:paraId="1B43685A">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3</w:t>
            </w:r>
            <w:r>
              <w:rPr>
                <w:rFonts w:hint="eastAsia"/>
                <w:color w:val="auto"/>
                <w:sz w:val="24"/>
                <w:szCs w:val="24"/>
              </w:rPr>
              <w:t>、废水</w:t>
            </w:r>
          </w:p>
          <w:p w14:paraId="07D7842A">
            <w:pPr>
              <w:keepNext w:val="0"/>
              <w:keepLines w:val="0"/>
              <w:widowControl w:val="0"/>
              <w:suppressLineNumbers w:val="0"/>
              <w:spacing w:before="0" w:beforeAutospacing="0" w:after="0" w:afterAutospacing="0"/>
              <w:ind w:left="0" w:right="0" w:firstLine="480"/>
              <w:rPr>
                <w:rFonts w:hint="default"/>
                <w:color w:val="auto"/>
              </w:rPr>
            </w:pPr>
            <w:r>
              <w:rPr>
                <w:rFonts w:hint="eastAsia"/>
                <w:color w:val="auto"/>
              </w:rPr>
              <w:t>经调查，项目施工期未发生水体污染事故。</w:t>
            </w:r>
          </w:p>
          <w:p w14:paraId="358B6462">
            <w:pPr>
              <w:keepNext w:val="0"/>
              <w:keepLines w:val="0"/>
              <w:widowControl/>
              <w:suppressLineNumbers w:val="0"/>
              <w:spacing w:before="0" w:beforeAutospacing="0" w:after="0" w:afterAutospacing="0"/>
              <w:ind w:left="0" w:right="0" w:firstLine="480"/>
              <w:rPr>
                <w:rFonts w:hint="default"/>
                <w:color w:val="auto"/>
              </w:rPr>
            </w:pPr>
            <w:r>
              <w:rPr>
                <w:rFonts w:hint="eastAsia"/>
                <w:color w:val="auto"/>
                <w:kern w:val="2"/>
                <w:szCs w:val="24"/>
              </w:rPr>
              <w:t>验收</w:t>
            </w:r>
            <w:r>
              <w:rPr>
                <w:rFonts w:hint="eastAsia"/>
                <w:color w:val="auto"/>
                <w:kern w:val="2"/>
                <w:szCs w:val="24"/>
                <w:lang w:val="en-US" w:eastAsia="zh-CN"/>
              </w:rPr>
              <w:t>监测</w:t>
            </w:r>
            <w:r>
              <w:rPr>
                <w:rFonts w:hint="eastAsia"/>
                <w:color w:val="auto"/>
                <w:kern w:val="2"/>
                <w:szCs w:val="24"/>
              </w:rPr>
              <w:t>期间，</w:t>
            </w:r>
            <w:r>
              <w:rPr>
                <w:rFonts w:hint="eastAsia"/>
                <w:color w:val="auto"/>
                <w:kern w:val="2"/>
                <w:szCs w:val="24"/>
                <w:lang w:eastAsia="zh-CN"/>
              </w:rPr>
              <w:t>厂区污水处理站排出的</w:t>
            </w:r>
            <w:r>
              <w:rPr>
                <w:rFonts w:hint="eastAsia" w:ascii="Times New Roman" w:hAnsi="Times New Roman" w:eastAsia="宋体" w:cs="Times New Roman"/>
                <w:color w:val="auto"/>
                <w:kern w:val="2"/>
                <w:sz w:val="24"/>
                <w:szCs w:val="22"/>
                <w:lang w:val="en-US" w:eastAsia="zh-CN" w:bidi="ar-SA"/>
              </w:rPr>
              <w:t>废水中</w:t>
            </w:r>
            <w:r>
              <w:rPr>
                <w:rFonts w:hint="default" w:ascii="Times New Roman" w:hAnsi="Times New Roman" w:eastAsia="宋体" w:cs="Times New Roman"/>
                <w:color w:val="auto"/>
                <w:kern w:val="2"/>
                <w:sz w:val="24"/>
                <w:szCs w:val="22"/>
                <w:lang w:val="en-US" w:eastAsia="zh-CN" w:bidi="ar-SA"/>
              </w:rPr>
              <w:t>pH值、悬浮物、化学需氧量、五日生化需氧量、动植物油</w:t>
            </w:r>
            <w:r>
              <w:rPr>
                <w:rFonts w:hint="eastAsia" w:ascii="Times New Roman" w:hAnsi="Times New Roman" w:eastAsia="宋体" w:cs="Times New Roman"/>
                <w:color w:val="auto"/>
                <w:kern w:val="2"/>
                <w:sz w:val="24"/>
                <w:szCs w:val="22"/>
                <w:lang w:val="en-US" w:eastAsia="zh-CN" w:bidi="ar-SA"/>
              </w:rPr>
              <w:t>类</w:t>
            </w:r>
            <w:r>
              <w:rPr>
                <w:rFonts w:hint="default" w:ascii="Times New Roman" w:hAnsi="Times New Roman" w:eastAsia="宋体" w:cs="Times New Roman"/>
                <w:color w:val="auto"/>
                <w:kern w:val="2"/>
                <w:sz w:val="24"/>
                <w:szCs w:val="22"/>
                <w:lang w:val="en-US" w:eastAsia="zh-CN" w:bidi="ar-SA"/>
              </w:rPr>
              <w:t>检测结果符合《污水综合排放标准》(GB 8978-1996) 表4中三级标准限值；色度、氨氮、总磷、总氮的检测结果符合《污水排入城镇下水道水质标准》（GB/T 31962-2015 ）表1中B级标准限值。</w:t>
            </w:r>
          </w:p>
          <w:p w14:paraId="0B109D4C">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4</w:t>
            </w:r>
            <w:r>
              <w:rPr>
                <w:rFonts w:hint="eastAsia"/>
                <w:color w:val="auto"/>
                <w:sz w:val="24"/>
                <w:szCs w:val="24"/>
              </w:rPr>
              <w:t>、固废</w:t>
            </w:r>
          </w:p>
          <w:p w14:paraId="28BE7E5A">
            <w:pPr>
              <w:keepNext w:val="0"/>
              <w:keepLines w:val="0"/>
              <w:widowControl w:val="0"/>
              <w:suppressLineNumbers w:val="0"/>
              <w:spacing w:before="0" w:beforeAutospacing="0" w:after="0" w:afterAutospacing="0"/>
              <w:ind w:left="0" w:right="0" w:firstLine="480"/>
              <w:rPr>
                <w:rFonts w:hint="default"/>
                <w:color w:val="auto"/>
              </w:rPr>
            </w:pPr>
            <w:r>
              <w:rPr>
                <w:rFonts w:hint="eastAsia"/>
                <w:color w:val="auto"/>
              </w:rPr>
              <w:t>经调查，项目施工期未遗留固废环境问题。</w:t>
            </w:r>
          </w:p>
          <w:p w14:paraId="115A6606">
            <w:pPr>
              <w:pStyle w:val="4"/>
              <w:keepNext w:val="0"/>
              <w:keepLines w:val="0"/>
              <w:suppressLineNumbers w:val="0"/>
              <w:spacing w:before="0" w:beforeAutospacing="0" w:after="0" w:afterAutospacing="0"/>
              <w:ind w:left="0" w:right="0" w:firstLine="480" w:firstLineChars="200"/>
              <w:rPr>
                <w:rFonts w:hint="eastAsia" w:ascii="Times New Roman" w:hAnsi="Times New Roman" w:eastAsia="宋体" w:cs="Times New Roman"/>
                <w:b w:val="0"/>
                <w:bCs w:val="0"/>
                <w:color w:val="auto"/>
                <w:sz w:val="24"/>
                <w:szCs w:val="22"/>
                <w:lang w:val="en-US" w:eastAsia="zh-CN" w:bidi="ar-SA"/>
              </w:rPr>
            </w:pPr>
            <w:r>
              <w:rPr>
                <w:rFonts w:hint="eastAsia" w:ascii="Times New Roman" w:hAnsi="Times New Roman" w:eastAsia="宋体" w:cs="Times New Roman"/>
                <w:b w:val="0"/>
                <w:bCs w:val="0"/>
                <w:color w:val="auto"/>
                <w:sz w:val="24"/>
                <w:szCs w:val="22"/>
                <w:lang w:val="en-US" w:eastAsia="zh-CN" w:bidi="ar-SA"/>
              </w:rPr>
              <w:t>本项目运营期产生的固废有餐佐料生产线废菜、污水处理站污泥、料渣、废油脂、废弃包装袋、生活厨余垃圾、废机油、废弃沾染物、实验室废液。项目生活垃圾收集后交由环卫部门统一清运处理；厨余垃圾、废油脂、料渣、废菜均交由眉山市安和旅游开发有限公司清运处置；废弃包装袋外售废品回收站处理；污水处理站污泥交由有能力的单位清运处置。危险废物（废机油、废弃沾染物、实验室废液）收集后暂存于危废暂存间，定期交由有资质单位清运处置。项目各项固废落实了环评的处置要求，固废得到了妥善处置，去向明确。</w:t>
            </w:r>
          </w:p>
          <w:p w14:paraId="332E1055">
            <w:pPr>
              <w:pStyle w:val="4"/>
              <w:keepNext w:val="0"/>
              <w:keepLines w:val="0"/>
              <w:suppressLineNumbers w:val="0"/>
              <w:spacing w:before="0" w:beforeAutospacing="0" w:after="0" w:afterAutospacing="0"/>
              <w:ind w:left="0" w:right="0"/>
              <w:rPr>
                <w:rFonts w:hint="default"/>
                <w:color w:val="auto"/>
                <w:sz w:val="24"/>
                <w:szCs w:val="24"/>
              </w:rPr>
            </w:pPr>
            <w:r>
              <w:rPr>
                <w:rFonts w:hint="default"/>
                <w:color w:val="auto"/>
                <w:sz w:val="24"/>
                <w:szCs w:val="24"/>
              </w:rPr>
              <w:t>5</w:t>
            </w:r>
            <w:r>
              <w:rPr>
                <w:rFonts w:hint="eastAsia"/>
                <w:color w:val="auto"/>
                <w:sz w:val="24"/>
                <w:szCs w:val="24"/>
              </w:rPr>
              <w:t>、总量控制指标</w:t>
            </w:r>
          </w:p>
          <w:p w14:paraId="0CF90F56">
            <w:pPr>
              <w:keepNext w:val="0"/>
              <w:keepLines w:val="0"/>
              <w:widowControl/>
              <w:suppressLineNumbers w:val="0"/>
              <w:spacing w:before="0" w:beforeAutospacing="0" w:after="0" w:afterAutospacing="0"/>
              <w:ind w:left="0" w:right="0" w:firstLine="480"/>
              <w:rPr>
                <w:rFonts w:hint="default"/>
                <w:bCs/>
                <w:color w:val="auto"/>
              </w:rPr>
            </w:pPr>
            <w:r>
              <w:rPr>
                <w:rFonts w:hint="eastAsia"/>
                <w:bCs/>
                <w:color w:val="auto"/>
              </w:rPr>
              <w:t>（</w:t>
            </w:r>
            <w:r>
              <w:rPr>
                <w:rFonts w:hint="default"/>
                <w:bCs/>
                <w:color w:val="auto"/>
              </w:rPr>
              <w:t>1</w:t>
            </w:r>
            <w:r>
              <w:rPr>
                <w:rFonts w:hint="eastAsia"/>
                <w:bCs/>
                <w:color w:val="auto"/>
              </w:rPr>
              <w:t>）环评</w:t>
            </w:r>
            <w:r>
              <w:rPr>
                <w:rFonts w:hint="eastAsia"/>
                <w:bCs/>
                <w:color w:val="auto"/>
                <w:lang w:val="en-US" w:eastAsia="zh-CN"/>
              </w:rPr>
              <w:t>及批复</w:t>
            </w:r>
            <w:r>
              <w:rPr>
                <w:rFonts w:hint="eastAsia"/>
                <w:bCs/>
                <w:color w:val="auto"/>
              </w:rPr>
              <w:t>要求</w:t>
            </w:r>
          </w:p>
          <w:p w14:paraId="1BB63EFD">
            <w:pPr>
              <w:keepNext w:val="0"/>
              <w:keepLines w:val="0"/>
              <w:widowControl w:val="0"/>
              <w:suppressLineNumbers w:val="0"/>
              <w:autoSpaceDE w:val="0"/>
              <w:autoSpaceDN w:val="0"/>
              <w:spacing w:before="0" w:beforeAutospacing="0" w:after="0" w:afterAutospacing="0"/>
              <w:ind w:left="0" w:right="0" w:firstLine="480"/>
              <w:rPr>
                <w:rFonts w:hint="default"/>
                <w:color w:val="auto"/>
              </w:rPr>
            </w:pPr>
            <w:r>
              <w:rPr>
                <w:rFonts w:hint="eastAsia"/>
                <w:color w:val="auto"/>
              </w:rPr>
              <w:t>根据</w:t>
            </w:r>
            <w:r>
              <w:rPr>
                <w:rFonts w:hint="eastAsia"/>
                <w:color w:val="auto"/>
                <w:lang w:val="en-US" w:eastAsia="zh-CN"/>
              </w:rPr>
              <w:t>项目</w:t>
            </w:r>
            <w:r>
              <w:rPr>
                <w:rFonts w:hint="eastAsia"/>
                <w:color w:val="auto"/>
              </w:rPr>
              <w:t>环评</w:t>
            </w:r>
            <w:r>
              <w:rPr>
                <w:rFonts w:hint="eastAsia"/>
                <w:color w:val="auto"/>
                <w:lang w:val="en-US" w:eastAsia="zh-CN"/>
              </w:rPr>
              <w:t>及</w:t>
            </w:r>
            <w:r>
              <w:rPr>
                <w:rFonts w:hint="eastAsia"/>
                <w:color w:val="auto"/>
              </w:rPr>
              <w:t>批复</w:t>
            </w:r>
            <w:r>
              <w:rPr>
                <w:rFonts w:hint="eastAsia"/>
                <w:color w:val="auto"/>
                <w:lang w:val="en-US" w:eastAsia="zh-CN"/>
              </w:rPr>
              <w:t>知</w:t>
            </w:r>
            <w:r>
              <w:rPr>
                <w:rFonts w:hint="eastAsia"/>
                <w:color w:val="auto"/>
              </w:rPr>
              <w:t>，</w:t>
            </w:r>
            <w:r>
              <w:rPr>
                <w:rFonts w:hint="eastAsia"/>
                <w:color w:val="auto"/>
                <w:lang w:eastAsia="zh-CN"/>
              </w:rPr>
              <w:t>本项目扩建部分</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：0.0072t/a，NOx：0.637t/a、粉尘0.064t/a；废水</w:t>
            </w:r>
            <w:r>
              <w:rPr>
                <w:rFonts w:hint="eastAsia"/>
                <w:color w:val="auto"/>
              </w:rPr>
              <w:t>总量控制指标为</w:t>
            </w:r>
            <w:r>
              <w:rPr>
                <w:rFonts w:hint="eastAsia"/>
                <w:color w:val="auto"/>
                <w:lang w:val="en-US" w:eastAsia="zh-CN"/>
              </w:rPr>
              <w:t>：COD：0.13t/a，氨氮：0.013t/a。建厂后全厂</w:t>
            </w:r>
            <w:r>
              <w:rPr>
                <w:rFonts w:hint="eastAsia"/>
                <w:color w:val="auto"/>
              </w:rPr>
              <w:t>废气总量控制指标为：</w:t>
            </w:r>
            <w:r>
              <w:rPr>
                <w:rFonts w:hint="eastAsia"/>
                <w:color w:val="auto"/>
                <w:lang w:val="en-US" w:eastAsia="zh-CN"/>
              </w:rPr>
              <w:t>SO</w:t>
            </w:r>
            <w:r>
              <w:rPr>
                <w:rFonts w:hint="eastAsia"/>
                <w:color w:val="auto"/>
                <w:vertAlign w:val="subscript"/>
                <w:lang w:val="en-US" w:eastAsia="zh-CN"/>
              </w:rPr>
              <w:t>2</w:t>
            </w:r>
            <w:r>
              <w:rPr>
                <w:rFonts w:hint="eastAsia"/>
                <w:color w:val="auto"/>
                <w:lang w:val="en-US" w:eastAsia="zh-CN"/>
              </w:rPr>
              <w:t>：0.0092t/a，NOx：0.813t/a、粉尘0.064t/a；废水</w:t>
            </w:r>
            <w:r>
              <w:rPr>
                <w:rFonts w:hint="eastAsia"/>
                <w:color w:val="auto"/>
              </w:rPr>
              <w:t>总量控制指标为</w:t>
            </w:r>
            <w:r>
              <w:rPr>
                <w:rFonts w:hint="eastAsia"/>
                <w:color w:val="auto"/>
                <w:lang w:val="en-US" w:eastAsia="zh-CN"/>
              </w:rPr>
              <w:t>：COD：0.23t/a，氨氮：0.023t/a。</w:t>
            </w:r>
          </w:p>
          <w:p w14:paraId="7E1FA128">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2</w:t>
            </w:r>
            <w:r>
              <w:rPr>
                <w:rFonts w:hint="eastAsia" w:hAnsi="宋体"/>
                <w:color w:val="auto"/>
                <w:szCs w:val="24"/>
              </w:rPr>
              <w:t>）排污许可登记</w:t>
            </w:r>
          </w:p>
          <w:p w14:paraId="39A709BE">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lang w:val="en-US" w:eastAsia="zh-CN"/>
              </w:rPr>
              <w:t>四川金顶维食品有限公司</w:t>
            </w:r>
            <w:r>
              <w:rPr>
                <w:rFonts w:hint="eastAsia" w:hAnsi="宋体"/>
                <w:color w:val="auto"/>
                <w:szCs w:val="24"/>
              </w:rPr>
              <w:t>已填报</w:t>
            </w:r>
            <w:r>
              <w:rPr>
                <w:rFonts w:hint="eastAsia" w:hAnsi="宋体"/>
                <w:color w:val="auto"/>
                <w:szCs w:val="24"/>
                <w:lang w:eastAsia="zh-CN"/>
              </w:rPr>
              <w:t>，</w:t>
            </w:r>
            <w:r>
              <w:rPr>
                <w:rFonts w:hint="eastAsia" w:hAnsi="宋体"/>
                <w:color w:val="auto"/>
                <w:szCs w:val="24"/>
                <w:lang w:val="en-US" w:eastAsia="zh-CN"/>
              </w:rPr>
              <w:t>并取得固定污染源排污许可证（许可证编号：91511402098552144K001Q）。</w:t>
            </w:r>
          </w:p>
          <w:p w14:paraId="4304BB9E">
            <w:pPr>
              <w:keepNext w:val="0"/>
              <w:keepLines w:val="0"/>
              <w:widowControl w:val="0"/>
              <w:suppressLineNumbers w:val="0"/>
              <w:autoSpaceDE w:val="0"/>
              <w:autoSpaceDN w:val="0"/>
              <w:spacing w:before="0" w:beforeAutospacing="0" w:after="0" w:afterAutospacing="0"/>
              <w:ind w:left="0" w:right="0" w:firstLine="480"/>
              <w:rPr>
                <w:rFonts w:hint="default" w:hAnsi="宋体"/>
                <w:color w:val="auto"/>
                <w:szCs w:val="24"/>
              </w:rPr>
            </w:pPr>
            <w:r>
              <w:rPr>
                <w:rFonts w:hint="eastAsia" w:hAnsi="宋体"/>
                <w:color w:val="auto"/>
                <w:szCs w:val="24"/>
              </w:rPr>
              <w:t>（</w:t>
            </w:r>
            <w:r>
              <w:rPr>
                <w:rFonts w:hint="default" w:hAnsi="宋体"/>
                <w:color w:val="auto"/>
                <w:szCs w:val="24"/>
              </w:rPr>
              <w:t>3</w:t>
            </w:r>
            <w:r>
              <w:rPr>
                <w:rFonts w:hint="eastAsia" w:hAnsi="宋体"/>
                <w:color w:val="auto"/>
                <w:szCs w:val="24"/>
              </w:rPr>
              <w:t>）验收核查</w:t>
            </w:r>
          </w:p>
          <w:p w14:paraId="42CA1950">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①废水</w:t>
            </w:r>
          </w:p>
          <w:p w14:paraId="3B960FB3">
            <w:pPr>
              <w:keepNext w:val="0"/>
              <w:keepLines w:val="0"/>
              <w:widowControl w:val="0"/>
              <w:suppressLineNumbers w:val="0"/>
              <w:adjustRightInd/>
              <w:snapToGrid/>
              <w:spacing w:before="0" w:beforeAutospacing="0" w:after="0" w:afterAutospacing="0"/>
              <w:ind w:left="0" w:right="0" w:firstLine="480"/>
              <w:jc w:val="left"/>
              <w:rPr>
                <w:rFonts w:hint="default"/>
                <w:color w:val="auto"/>
                <w:kern w:val="0"/>
                <w:sz w:val="24"/>
              </w:rPr>
            </w:pPr>
            <w:r>
              <w:rPr>
                <w:rFonts w:hint="eastAsia" w:hAnsi="宋体"/>
                <w:color w:val="auto"/>
                <w:szCs w:val="24"/>
                <w:lang w:val="en-US" w:eastAsia="zh-CN"/>
              </w:rPr>
              <w:t>厂区综合污水经厂区自建污水处理站处理达</w:t>
            </w:r>
            <w:r>
              <w:rPr>
                <w:rFonts w:hint="default"/>
                <w:color w:val="auto"/>
                <w:kern w:val="0"/>
                <w:sz w:val="24"/>
              </w:rPr>
              <w:t>《污水综合排放标准》GB8978-1996中三级标准</w:t>
            </w:r>
            <w:r>
              <w:rPr>
                <w:rFonts w:hint="eastAsia"/>
                <w:color w:val="auto"/>
                <w:kern w:val="0"/>
                <w:sz w:val="24"/>
              </w:rPr>
              <w:t>，氨氮参照《污水排入城镇下水道水质标准》（GB/T31962-2015）表1中B等级标准</w:t>
            </w:r>
            <w:r>
              <w:rPr>
                <w:rFonts w:hint="eastAsia"/>
                <w:color w:val="auto"/>
                <w:kern w:val="0"/>
                <w:sz w:val="24"/>
                <w:lang w:eastAsia="zh-CN"/>
              </w:rPr>
              <w:t>后排入泡菜园区污水处理厂</w:t>
            </w:r>
            <w:r>
              <w:rPr>
                <w:rFonts w:hint="default"/>
                <w:color w:val="auto"/>
                <w:kern w:val="0"/>
                <w:sz w:val="24"/>
              </w:rPr>
              <w:t>。</w:t>
            </w:r>
          </w:p>
          <w:p w14:paraId="6EF89630">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ascii="Times New Roman" w:hAnsi="Times New Roman"/>
                <w:color w:val="auto"/>
                <w:sz w:val="24"/>
                <w:szCs w:val="24"/>
              </w:rPr>
              <w:t>②废气</w:t>
            </w:r>
          </w:p>
          <w:p w14:paraId="7D4670F4">
            <w:pPr>
              <w:keepNext w:val="0"/>
              <w:keepLines w:val="0"/>
              <w:widowControl w:val="0"/>
              <w:suppressLineNumbers w:val="0"/>
              <w:adjustRightInd/>
              <w:snapToGrid/>
              <w:spacing w:before="0" w:beforeAutospacing="0" w:after="0" w:afterAutospacing="0"/>
              <w:ind w:left="0" w:right="0" w:firstLine="480"/>
              <w:jc w:val="left"/>
              <w:rPr>
                <w:rFonts w:hint="default" w:hAnsi="宋体" w:eastAsia="宋体"/>
                <w:color w:val="auto"/>
                <w:szCs w:val="24"/>
                <w:lang w:val="en-US" w:eastAsia="zh-CN"/>
              </w:rPr>
            </w:pPr>
            <w:r>
              <w:rPr>
                <w:rFonts w:hint="eastAsia" w:hAnsi="宋体"/>
                <w:color w:val="auto"/>
                <w:szCs w:val="24"/>
              </w:rPr>
              <w:t>本项目</w:t>
            </w:r>
            <w:r>
              <w:rPr>
                <w:rFonts w:hint="eastAsia" w:hAnsi="宋体"/>
                <w:color w:val="auto"/>
                <w:szCs w:val="24"/>
                <w:lang w:val="en-US" w:eastAsia="zh-CN"/>
              </w:rPr>
              <w:t>1#生产厂房的油烟、异味经集气罩收集至水喷淋装置+油烟净化器处理后经15m排气筒排放；2#生产厂房的油烟、异味经集气罩收集至水喷淋装置+油烟净化器处理后经15m排气筒排放；1#研发实验室产生的油烟经油烟净化器处理后经15m排气筒排放；2#研发实验室产生的油烟经油烟净化器处理后经15m排气筒排放；食堂油烟经集气罩收集至油烟净化器处理后引至屋顶排放。</w:t>
            </w:r>
          </w:p>
          <w:p w14:paraId="6B843834">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color w:val="auto"/>
                <w:sz w:val="24"/>
                <w:szCs w:val="24"/>
              </w:rPr>
            </w:pPr>
            <w:r>
              <w:rPr>
                <w:rFonts w:hint="eastAsia"/>
                <w:color w:val="auto"/>
                <w:kern w:val="2"/>
              </w:rPr>
              <w:t>根据</w:t>
            </w:r>
            <w:r>
              <w:rPr>
                <w:rFonts w:hint="eastAsia"/>
                <w:color w:val="auto"/>
                <w:kern w:val="2"/>
                <w:szCs w:val="24"/>
                <w:lang w:eastAsia="zh-CN"/>
              </w:rPr>
              <w:t>成都风行绿洲科技有限公司</w:t>
            </w:r>
            <w:r>
              <w:rPr>
                <w:rFonts w:hint="eastAsia"/>
                <w:color w:val="auto"/>
              </w:rPr>
              <w:t>《</w:t>
            </w:r>
            <w:r>
              <w:rPr>
                <w:rFonts w:hint="eastAsia"/>
                <w:color w:val="auto"/>
                <w:lang w:val="en-US" w:eastAsia="zh-CN"/>
              </w:rPr>
              <w:t>检测</w:t>
            </w:r>
            <w:r>
              <w:rPr>
                <w:rFonts w:hint="eastAsia"/>
                <w:color w:val="auto"/>
              </w:rPr>
              <w:t>报告》（</w:t>
            </w:r>
            <w:r>
              <w:rPr>
                <w:rFonts w:hint="eastAsia"/>
                <w:color w:val="auto"/>
                <w:lang w:val="en-US" w:eastAsia="zh-CN"/>
              </w:rPr>
              <w:t>FXB100826C</w:t>
            </w:r>
            <w:r>
              <w:rPr>
                <w:rFonts w:hint="eastAsia"/>
                <w:color w:val="auto"/>
              </w:rPr>
              <w:t>）</w:t>
            </w:r>
            <w:r>
              <w:rPr>
                <w:rFonts w:hint="eastAsia" w:ascii="Times New Roman" w:hAnsi="Times New Roman"/>
                <w:color w:val="auto"/>
                <w:sz w:val="24"/>
                <w:szCs w:val="24"/>
              </w:rPr>
              <w:t>，项目</w:t>
            </w:r>
            <w:r>
              <w:rPr>
                <w:rFonts w:hint="eastAsia"/>
                <w:color w:val="auto"/>
                <w:sz w:val="24"/>
                <w:szCs w:val="24"/>
                <w:lang w:eastAsia="zh-CN"/>
              </w:rPr>
              <w:t>废水及</w:t>
            </w:r>
            <w:r>
              <w:rPr>
                <w:rFonts w:hint="eastAsia" w:ascii="Times New Roman" w:hAnsi="Times New Roman"/>
                <w:color w:val="auto"/>
                <w:sz w:val="24"/>
                <w:szCs w:val="24"/>
              </w:rPr>
              <w:t>有组织废气核算结果如下：</w:t>
            </w:r>
          </w:p>
          <w:p w14:paraId="0827DBF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color w:val="auto"/>
                <w:sz w:val="24"/>
                <w:szCs w:val="24"/>
                <w:lang w:eastAsia="zh-CN"/>
              </w:rPr>
            </w:pPr>
            <w:r>
              <w:rPr>
                <w:rFonts w:hint="eastAsia"/>
                <w:color w:val="auto"/>
                <w:sz w:val="24"/>
                <w:szCs w:val="24"/>
                <w:lang w:eastAsia="zh-CN"/>
              </w:rPr>
              <w:t>废水：</w:t>
            </w:r>
          </w:p>
          <w:p w14:paraId="14953B58">
            <w:pPr>
              <w:pStyle w:val="33"/>
              <w:keepNext w:val="0"/>
              <w:keepLines w:val="0"/>
              <w:suppressLineNumbers w:val="0"/>
              <w:spacing w:before="0" w:beforeAutospacing="0" w:after="0" w:afterAutospacing="0"/>
              <w:ind w:left="0" w:right="0"/>
              <w:rPr>
                <w:rFonts w:hint="eastAsia"/>
                <w:color w:val="auto"/>
                <w:lang w:eastAsia="zh-CN"/>
              </w:rPr>
            </w:pPr>
            <w:r>
              <w:rPr>
                <w:rFonts w:hint="eastAsia"/>
                <w:color w:val="auto"/>
                <w:lang w:eastAsia="zh-CN"/>
              </w:rPr>
              <w:t>企业排口：</w:t>
            </w:r>
          </w:p>
          <w:p w14:paraId="5EE00A5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67</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0.169</w:t>
            </w:r>
            <w:r>
              <w:rPr>
                <w:rFonts w:hint="eastAsia" w:ascii="Times New Roman" w:hAnsi="Times New Roman" w:eastAsia="宋体" w:cs="Times New Roman"/>
                <w:color w:val="auto"/>
                <w:kern w:val="0"/>
                <w:sz w:val="24"/>
                <w:szCs w:val="24"/>
                <w:lang w:val="en-US" w:eastAsia="zh-CN"/>
              </w:rPr>
              <w:t>t/a；</w:t>
            </w:r>
          </w:p>
          <w:p w14:paraId="542511CA">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w:t>
            </w:r>
            <w:r>
              <w:rPr>
                <w:rFonts w:hint="eastAsia" w:cs="Times New Roman"/>
                <w:color w:val="auto"/>
                <w:kern w:val="0"/>
                <w:sz w:val="24"/>
                <w:szCs w:val="24"/>
                <w:lang w:val="en-US" w:eastAsia="zh-CN"/>
              </w:rPr>
              <w:t>2.65</w:t>
            </w:r>
            <w:r>
              <w:rPr>
                <w:rFonts w:hint="eastAsia" w:ascii="Times New Roman" w:hAnsi="Times New Roman" w:eastAsia="宋体" w:cs="Times New Roman"/>
                <w:color w:val="auto"/>
                <w:kern w:val="0"/>
                <w:sz w:val="24"/>
                <w:szCs w:val="24"/>
                <w:lang w:val="en-US" w:eastAsia="zh-CN"/>
              </w:rPr>
              <w:t>mg/L=</w:t>
            </w:r>
            <w:r>
              <w:rPr>
                <w:rFonts w:hint="eastAsia" w:cs="Times New Roman"/>
                <w:color w:val="auto"/>
                <w:kern w:val="0"/>
                <w:sz w:val="24"/>
                <w:szCs w:val="24"/>
                <w:lang w:val="en-US" w:eastAsia="zh-CN"/>
              </w:rPr>
              <w:t>0.007</w:t>
            </w:r>
            <w:r>
              <w:rPr>
                <w:rFonts w:hint="eastAsia" w:ascii="Times New Roman" w:hAnsi="Times New Roman" w:eastAsia="宋体" w:cs="Times New Roman"/>
                <w:color w:val="auto"/>
                <w:kern w:val="0"/>
                <w:sz w:val="24"/>
                <w:szCs w:val="24"/>
                <w:lang w:val="en-US" w:eastAsia="zh-CN"/>
              </w:rPr>
              <w:t>t/a。</w:t>
            </w:r>
          </w:p>
          <w:p w14:paraId="7A3BA3E9">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cs="Times New Roman"/>
                <w:color w:val="auto"/>
                <w:sz w:val="24"/>
                <w:szCs w:val="24"/>
                <w:lang w:val="en-US" w:eastAsia="zh-CN" w:bidi="ar-SA"/>
              </w:rPr>
            </w:pPr>
            <w:r>
              <w:rPr>
                <w:rFonts w:hint="eastAsia" w:ascii="Times New Roman" w:hAnsi="Times New Roman" w:cs="Times New Roman"/>
                <w:color w:val="auto"/>
                <w:sz w:val="24"/>
                <w:szCs w:val="24"/>
                <w:lang w:val="en-US" w:eastAsia="zh-CN" w:bidi="ar-SA"/>
              </w:rPr>
              <w:t>园区污水处理站排口：</w:t>
            </w:r>
          </w:p>
          <w:p w14:paraId="122F80E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/a×40mg/L=</w:t>
            </w:r>
            <w:r>
              <w:rPr>
                <w:rFonts w:hint="eastAsia" w:cs="Times New Roman"/>
                <w:color w:val="auto"/>
                <w:kern w:val="0"/>
                <w:sz w:val="24"/>
                <w:szCs w:val="24"/>
                <w:lang w:val="en-US" w:eastAsia="zh-CN"/>
              </w:rPr>
              <w:t>0.101</w:t>
            </w:r>
            <w:r>
              <w:rPr>
                <w:rFonts w:hint="eastAsia" w:ascii="Times New Roman" w:hAnsi="Times New Roman" w:eastAsia="宋体" w:cs="Times New Roman"/>
                <w:color w:val="auto"/>
                <w:kern w:val="0"/>
                <w:sz w:val="24"/>
                <w:szCs w:val="24"/>
                <w:lang w:val="en-US" w:eastAsia="zh-CN"/>
              </w:rPr>
              <w:t>t/a；</w:t>
            </w:r>
          </w:p>
          <w:p w14:paraId="4BE04F64">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firstLine="480"/>
              <w:jc w:val="left"/>
              <w:textAlignment w:val="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cs="Times New Roman"/>
                <w:color w:val="auto"/>
                <w:kern w:val="0"/>
                <w:sz w:val="24"/>
                <w:szCs w:val="24"/>
                <w:lang w:val="en-US" w:eastAsia="zh-CN"/>
              </w:rPr>
              <w:t>核算</w:t>
            </w:r>
            <w:r>
              <w:rPr>
                <w:rFonts w:hint="eastAsia" w:ascii="Times New Roman" w:hAnsi="Times New Roman" w:eastAsia="宋体" w:cs="Times New Roman"/>
                <w:color w:val="auto"/>
                <w:kern w:val="0"/>
                <w:sz w:val="24"/>
                <w:szCs w:val="24"/>
                <w:lang w:val="en-US" w:eastAsia="zh-CN"/>
              </w:rPr>
              <w:t>总量指标=</w:t>
            </w:r>
            <w:r>
              <w:rPr>
                <w:rFonts w:hint="eastAsia" w:cs="Times New Roman"/>
                <w:color w:val="auto"/>
                <w:kern w:val="0"/>
                <w:sz w:val="24"/>
                <w:szCs w:val="24"/>
                <w:lang w:val="en-US" w:eastAsia="zh-CN"/>
              </w:rPr>
              <w:t>2526</w:t>
            </w:r>
            <w:r>
              <w:rPr>
                <w:rFonts w:hint="eastAsia" w:ascii="Times New Roman" w:hAnsi="Times New Roman" w:eastAsia="宋体" w:cs="Times New Roman"/>
                <w:color w:val="auto"/>
                <w:kern w:val="0"/>
                <w:sz w:val="24"/>
                <w:szCs w:val="24"/>
                <w:lang w:val="en-US" w:eastAsia="zh-CN"/>
              </w:rPr>
              <w:t>m</w:t>
            </w:r>
            <w:r>
              <w:rPr>
                <w:rFonts w:hint="eastAsia" w:ascii="Times New Roman" w:hAnsi="Times New Roman" w:eastAsia="宋体" w:cs="Times New Roman"/>
                <w:color w:val="auto"/>
                <w:kern w:val="0"/>
                <w:sz w:val="24"/>
                <w:szCs w:val="24"/>
                <w:vertAlign w:val="superscript"/>
                <w:lang w:val="en-US" w:eastAsia="zh-CN"/>
              </w:rPr>
              <w:t>3</w:t>
            </w:r>
            <w:r>
              <w:rPr>
                <w:rFonts w:hint="eastAsia" w:ascii="Times New Roman" w:hAnsi="Times New Roman" w:eastAsia="宋体" w:cs="Times New Roman"/>
                <w:color w:val="auto"/>
                <w:kern w:val="0"/>
                <w:sz w:val="24"/>
                <w:szCs w:val="24"/>
                <w:lang w:val="en-US" w:eastAsia="zh-CN"/>
              </w:rPr>
              <w:t>/a×3mg/L=</w:t>
            </w:r>
            <w:r>
              <w:rPr>
                <w:rFonts w:hint="eastAsia" w:cs="Times New Roman"/>
                <w:color w:val="auto"/>
                <w:kern w:val="0"/>
                <w:sz w:val="24"/>
                <w:szCs w:val="24"/>
                <w:lang w:val="en-US" w:eastAsia="zh-CN"/>
              </w:rPr>
              <w:t>0.008</w:t>
            </w:r>
            <w:r>
              <w:rPr>
                <w:rFonts w:hint="eastAsia" w:ascii="Times New Roman" w:hAnsi="Times New Roman" w:eastAsia="宋体" w:cs="Times New Roman"/>
                <w:color w:val="auto"/>
                <w:kern w:val="0"/>
                <w:sz w:val="24"/>
                <w:szCs w:val="24"/>
                <w:lang w:val="en-US" w:eastAsia="zh-CN"/>
              </w:rPr>
              <w:t>t/a。</w:t>
            </w:r>
          </w:p>
          <w:p w14:paraId="068DE194">
            <w:pPr>
              <w:pStyle w:val="33"/>
              <w:keepNext w:val="0"/>
              <w:keepLines w:val="0"/>
              <w:pageBreakBefore w:val="0"/>
              <w:widowControl w:val="0"/>
              <w:suppressLineNumbers w:val="0"/>
              <w:kinsoku/>
              <w:wordWrap/>
              <w:overflowPunct/>
              <w:topLinePunct w:val="0"/>
              <w:bidi w:val="0"/>
              <w:spacing w:before="0" w:beforeLines="0" w:beforeAutospacing="0" w:after="0" w:afterLines="0" w:afterAutospacing="0"/>
              <w:ind w:left="0" w:right="0"/>
              <w:textAlignment w:val="auto"/>
              <w:rPr>
                <w:rFonts w:hint="eastAsia"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废气：</w:t>
            </w:r>
          </w:p>
          <w:p w14:paraId="1D8449F4">
            <w:pPr>
              <w:keepNext w:val="0"/>
              <w:keepLines w:val="0"/>
              <w:widowControl w:val="0"/>
              <w:suppressLineNumbers w:val="0"/>
              <w:adjustRightInd/>
              <w:snapToGrid/>
              <w:spacing w:before="0" w:beforeAutospacing="0" w:after="0" w:afterAutospacing="0"/>
              <w:ind w:left="0" w:right="0" w:firstLine="480"/>
              <w:jc w:val="left"/>
              <w:rPr>
                <w:rFonts w:hint="eastAsia" w:ascii="Times New Roman" w:hAnsi="Times New Roman" w:eastAsia="宋体"/>
                <w:color w:val="auto"/>
                <w:sz w:val="24"/>
                <w:szCs w:val="24"/>
                <w:lang w:eastAsia="zh-CN"/>
              </w:rPr>
            </w:pPr>
            <w:r>
              <w:rPr>
                <w:rFonts w:hint="eastAsia"/>
                <w:color w:val="auto"/>
                <w:sz w:val="24"/>
                <w:szCs w:val="24"/>
                <w:lang w:eastAsia="zh-CN"/>
              </w:rPr>
              <w:t>项目鸡精生产线还未建设，全厂仅有油烟、氨、硫化氢和臭气浓度排放，环评及批复中无油烟、氨、硫化氢和臭气浓度的总量控制指标。</w:t>
            </w:r>
          </w:p>
          <w:p w14:paraId="182191A5">
            <w:pPr>
              <w:keepNext w:val="0"/>
              <w:keepLines w:val="0"/>
              <w:widowControl w:val="0"/>
              <w:suppressLineNumbers w:val="0"/>
              <w:adjustRightInd/>
              <w:snapToGrid/>
              <w:spacing w:before="0" w:beforeAutospacing="0" w:after="0" w:afterAutospacing="0"/>
              <w:ind w:left="0" w:right="0" w:firstLine="480"/>
              <w:jc w:val="left"/>
              <w:rPr>
                <w:rFonts w:hint="default"/>
                <w:color w:val="auto"/>
                <w:szCs w:val="24"/>
              </w:rPr>
            </w:pPr>
            <w:r>
              <w:rPr>
                <w:rFonts w:hint="eastAsia" w:ascii="Times New Roman" w:hAnsi="Times New Roman"/>
                <w:color w:val="auto"/>
                <w:sz w:val="24"/>
                <w:szCs w:val="24"/>
              </w:rPr>
              <w:t>综上，项目</w:t>
            </w:r>
            <w:r>
              <w:rPr>
                <w:rFonts w:hint="eastAsia" w:ascii="Times New Roman" w:hAnsi="Times New Roman" w:eastAsia="宋体" w:cs="Times New Roman"/>
                <w:color w:val="auto"/>
                <w:kern w:val="0"/>
                <w:sz w:val="24"/>
                <w:szCs w:val="24"/>
                <w:lang w:val="en-US" w:eastAsia="zh-CN"/>
              </w:rPr>
              <w:t>COD</w:t>
            </w:r>
            <w:r>
              <w:rPr>
                <w:rFonts w:hint="eastAsia"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NH</w:t>
            </w:r>
            <w:r>
              <w:rPr>
                <w:rFonts w:hint="eastAsia" w:ascii="Times New Roman" w:hAnsi="Times New Roman" w:eastAsia="宋体" w:cs="Times New Roman"/>
                <w:color w:val="auto"/>
                <w:kern w:val="0"/>
                <w:sz w:val="24"/>
                <w:szCs w:val="24"/>
                <w:vertAlign w:val="subscript"/>
                <w:lang w:val="en-US" w:eastAsia="zh-CN"/>
              </w:rPr>
              <w:t>3</w:t>
            </w:r>
            <w:r>
              <w:rPr>
                <w:rFonts w:hint="eastAsia" w:ascii="Times New Roman" w:hAnsi="Times New Roman" w:eastAsia="宋体" w:cs="Times New Roman"/>
                <w:color w:val="auto"/>
                <w:kern w:val="0"/>
                <w:sz w:val="24"/>
                <w:szCs w:val="24"/>
                <w:lang w:val="en-US" w:eastAsia="zh-CN"/>
              </w:rPr>
              <w:t>-N</w:t>
            </w:r>
            <w:r>
              <w:rPr>
                <w:rFonts w:hint="eastAsia" w:ascii="Times New Roman" w:hAnsi="Times New Roman"/>
                <w:color w:val="auto"/>
                <w:sz w:val="24"/>
                <w:szCs w:val="24"/>
              </w:rPr>
              <w:t>排放量满足总量控制要求</w:t>
            </w:r>
            <w:r>
              <w:rPr>
                <w:rFonts w:hint="default" w:ascii="Times New Roman" w:hAnsi="Times New Roman" w:eastAsia="宋体"/>
                <w:color w:val="auto"/>
                <w:sz w:val="24"/>
                <w:szCs w:val="24"/>
              </w:rPr>
              <w:t>。</w:t>
            </w:r>
          </w:p>
          <w:p w14:paraId="18B043A9">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二、结论</w:t>
            </w:r>
          </w:p>
          <w:p w14:paraId="609CBA90">
            <w:pPr>
              <w:keepNext w:val="0"/>
              <w:keepLines w:val="0"/>
              <w:widowControl w:val="0"/>
              <w:suppressLineNumbers w:val="0"/>
              <w:spacing w:before="0" w:beforeAutospacing="0" w:after="0" w:afterAutospacing="0"/>
              <w:ind w:left="0" w:right="0" w:firstLine="480"/>
              <w:rPr>
                <w:rFonts w:hint="default"/>
                <w:color w:val="auto"/>
              </w:rPr>
            </w:pPr>
            <w:r>
              <w:rPr>
                <w:rFonts w:hint="eastAsia"/>
                <w:color w:val="auto"/>
              </w:rPr>
              <w:t>综上所述，</w:t>
            </w:r>
            <w:r>
              <w:rPr>
                <w:rFonts w:hint="eastAsia"/>
                <w:bCs/>
                <w:color w:val="auto"/>
                <w:lang w:eastAsia="zh-CN"/>
              </w:rPr>
              <w:t>四川金顶维食品有限公司</w:t>
            </w:r>
            <w:r>
              <w:rPr>
                <w:rFonts w:hint="eastAsia"/>
                <w:color w:val="auto"/>
              </w:rPr>
              <w:t>“</w:t>
            </w:r>
            <w:r>
              <w:rPr>
                <w:rFonts w:hint="eastAsia"/>
                <w:bCs/>
                <w:color w:val="auto"/>
                <w:lang w:val="en-US" w:eastAsia="zh-CN"/>
              </w:rPr>
              <w:t>四川金顶维食品有限公司餐佐料生产线扩建项目</w:t>
            </w:r>
            <w:r>
              <w:rPr>
                <w:rFonts w:hint="eastAsia"/>
                <w:color w:val="auto"/>
              </w:rPr>
              <w:t>”审查、审批手续完备。环保设施及措施已基本按照环评要求建成和运行，未发生重大变动，污染物排放达标，固废处置得当，环保管理制度健全，建议通过环境保护验收。</w:t>
            </w:r>
          </w:p>
          <w:p w14:paraId="13EEB944">
            <w:pPr>
              <w:pStyle w:val="4"/>
              <w:keepNext w:val="0"/>
              <w:keepLines w:val="0"/>
              <w:suppressLineNumbers w:val="0"/>
              <w:spacing w:before="0" w:beforeAutospacing="0" w:after="0" w:afterAutospacing="0"/>
              <w:ind w:left="0" w:right="0"/>
              <w:rPr>
                <w:rFonts w:hint="default"/>
                <w:color w:val="auto"/>
                <w:sz w:val="28"/>
                <w:szCs w:val="28"/>
              </w:rPr>
            </w:pPr>
            <w:r>
              <w:rPr>
                <w:rFonts w:hint="eastAsia"/>
                <w:color w:val="auto"/>
                <w:sz w:val="28"/>
                <w:szCs w:val="28"/>
              </w:rPr>
              <w:t>三、建议</w:t>
            </w:r>
          </w:p>
          <w:p w14:paraId="6E5D7C82">
            <w:pPr>
              <w:keepNext w:val="0"/>
              <w:keepLines w:val="0"/>
              <w:widowControl w:val="0"/>
              <w:suppressLineNumbers w:val="0"/>
              <w:spacing w:before="0" w:beforeAutospacing="0" w:after="0" w:afterAutospacing="0"/>
              <w:ind w:left="0" w:right="0" w:firstLine="480"/>
              <w:rPr>
                <w:rFonts w:hint="default"/>
                <w:color w:val="auto"/>
              </w:rPr>
            </w:pPr>
            <w:r>
              <w:rPr>
                <w:rFonts w:hint="eastAsia"/>
                <w:color w:val="auto"/>
              </w:rPr>
              <w:t>（</w:t>
            </w:r>
            <w:r>
              <w:rPr>
                <w:rFonts w:hint="default"/>
                <w:color w:val="auto"/>
              </w:rPr>
              <w:t>1</w:t>
            </w:r>
            <w:r>
              <w:rPr>
                <w:rFonts w:hint="eastAsia"/>
                <w:color w:val="auto"/>
              </w:rPr>
              <w:t>）进一步加强环保设施的运行管理、维护，保证环保设施运行效率和处理效果的可靠性、稳定性，确保污染物稳定达标排放，避免事故排放。</w:t>
            </w:r>
          </w:p>
          <w:p w14:paraId="3DE55083">
            <w:pPr>
              <w:keepNext w:val="0"/>
              <w:keepLines w:val="0"/>
              <w:widowControl/>
              <w:suppressLineNumbers w:val="0"/>
              <w:spacing w:before="0" w:beforeAutospacing="0" w:after="0" w:afterAutospacing="0"/>
              <w:ind w:left="0" w:right="0" w:firstLine="480"/>
              <w:rPr>
                <w:rFonts w:hint="default"/>
                <w:color w:val="auto"/>
                <w:kern w:val="2"/>
                <w:szCs w:val="24"/>
              </w:rPr>
            </w:pPr>
            <w:r>
              <w:rPr>
                <w:rFonts w:hint="eastAsia"/>
                <w:color w:val="auto"/>
              </w:rPr>
              <w:t>（</w:t>
            </w:r>
            <w:r>
              <w:rPr>
                <w:rFonts w:hint="default"/>
                <w:color w:val="auto"/>
              </w:rPr>
              <w:t>2</w:t>
            </w:r>
            <w:r>
              <w:rPr>
                <w:rFonts w:hint="eastAsia"/>
                <w:color w:val="auto"/>
              </w:rPr>
              <w:t>）规范和完善危险废物管理，及时转运处置。</w:t>
            </w:r>
          </w:p>
          <w:p w14:paraId="59F3F4C7">
            <w:pPr>
              <w:keepNext w:val="0"/>
              <w:keepLines w:val="0"/>
              <w:widowControl w:val="0"/>
              <w:suppressLineNumbers w:val="0"/>
              <w:spacing w:before="0" w:beforeAutospacing="0" w:after="0" w:afterAutospacing="0"/>
              <w:ind w:left="0" w:right="0" w:firstLine="0" w:firstLineChars="0"/>
              <w:rPr>
                <w:rFonts w:hint="default"/>
                <w:color w:val="auto"/>
              </w:rPr>
            </w:pPr>
          </w:p>
          <w:p w14:paraId="0801C896">
            <w:pPr>
              <w:keepNext w:val="0"/>
              <w:keepLines w:val="0"/>
              <w:widowControl w:val="0"/>
              <w:suppressLineNumbers w:val="0"/>
              <w:spacing w:before="0" w:beforeAutospacing="0" w:after="0" w:afterAutospacing="0"/>
              <w:ind w:left="0" w:right="0" w:firstLine="0" w:firstLineChars="0"/>
              <w:rPr>
                <w:rFonts w:hint="default"/>
                <w:color w:val="auto"/>
              </w:rPr>
            </w:pPr>
          </w:p>
        </w:tc>
      </w:tr>
    </w:tbl>
    <w:p w14:paraId="4EE105CF">
      <w:pPr>
        <w:ind w:firstLine="0" w:firstLineChars="0"/>
        <w:rPr>
          <w:rFonts w:eastAsia="仿宋"/>
          <w:b/>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4BFF345E">
      <w:pPr>
        <w:spacing w:before="66" w:beforeLines="20" w:after="66" w:afterLines="20" w:line="276" w:lineRule="auto"/>
        <w:ind w:firstLine="0" w:firstLineChars="0"/>
        <w:jc w:val="center"/>
        <w:rPr>
          <w:rFonts w:ascii="宋体"/>
          <w:b/>
          <w:color w:val="auto"/>
          <w:sz w:val="28"/>
          <w:szCs w:val="28"/>
        </w:rPr>
      </w:pPr>
      <w:r>
        <w:rPr>
          <w:rFonts w:hint="eastAsia" w:ascii="宋体" w:hAnsi="宋体"/>
          <w:b/>
          <w:color w:val="auto"/>
          <w:sz w:val="28"/>
          <w:szCs w:val="28"/>
        </w:rPr>
        <w:t>建设项目工程竣工环境保护验收登记表</w:t>
      </w:r>
    </w:p>
    <w:p w14:paraId="4DA0A1FA">
      <w:pPr>
        <w:spacing w:line="276" w:lineRule="auto"/>
        <w:ind w:firstLine="0" w:firstLineChars="0"/>
        <w:rPr>
          <w:b/>
          <w:color w:val="auto"/>
          <w:sz w:val="21"/>
          <w:szCs w:val="21"/>
        </w:rPr>
      </w:pPr>
      <w:r>
        <w:rPr>
          <w:rFonts w:hint="eastAsia"/>
          <w:b/>
          <w:color w:val="auto"/>
          <w:sz w:val="21"/>
          <w:szCs w:val="21"/>
        </w:rPr>
        <w:t>填表单位（盖章）</w:t>
      </w:r>
      <w:r>
        <w:rPr>
          <w:rFonts w:hint="eastAsia"/>
          <w:b/>
          <w:color w:val="auto"/>
          <w:kern w:val="2"/>
          <w:sz w:val="21"/>
          <w:szCs w:val="21"/>
        </w:rPr>
        <w:t>：</w:t>
      </w:r>
      <w:r>
        <w:rPr>
          <w:rFonts w:hint="eastAsia"/>
          <w:b/>
          <w:color w:val="auto"/>
          <w:kern w:val="2"/>
          <w:sz w:val="21"/>
          <w:szCs w:val="21"/>
          <w:lang w:eastAsia="zh-CN"/>
        </w:rPr>
        <w:t>四川金顶维食品有限公司</w:t>
      </w:r>
      <w:r>
        <w:rPr>
          <w:b/>
          <w:color w:val="auto"/>
          <w:sz w:val="21"/>
          <w:szCs w:val="21"/>
        </w:rPr>
        <w:t xml:space="preserve">                 </w:t>
      </w:r>
      <w:r>
        <w:rPr>
          <w:rFonts w:hint="eastAsia"/>
          <w:b/>
          <w:color w:val="auto"/>
          <w:sz w:val="21"/>
          <w:szCs w:val="21"/>
        </w:rPr>
        <w:t>填表人（签字）：</w:t>
      </w:r>
      <w:r>
        <w:rPr>
          <w:b/>
          <w:color w:val="auto"/>
          <w:sz w:val="21"/>
          <w:szCs w:val="21"/>
        </w:rPr>
        <w:t xml:space="preserve">                              </w:t>
      </w:r>
      <w:r>
        <w:rPr>
          <w:rFonts w:hint="eastAsia"/>
          <w:b/>
          <w:color w:val="auto"/>
          <w:sz w:val="21"/>
          <w:szCs w:val="21"/>
        </w:rPr>
        <w:t>项目经办人（签字）：</w:t>
      </w:r>
    </w:p>
    <w:tbl>
      <w:tblPr>
        <w:tblStyle w:val="27"/>
        <w:tblW w:w="1587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68"/>
        <w:gridCol w:w="1099"/>
        <w:gridCol w:w="697"/>
        <w:gridCol w:w="828"/>
        <w:gridCol w:w="1379"/>
        <w:gridCol w:w="1036"/>
        <w:gridCol w:w="992"/>
        <w:gridCol w:w="142"/>
        <w:gridCol w:w="851"/>
        <w:gridCol w:w="1134"/>
        <w:gridCol w:w="992"/>
        <w:gridCol w:w="1984"/>
        <w:gridCol w:w="1004"/>
        <w:gridCol w:w="418"/>
        <w:gridCol w:w="826"/>
        <w:gridCol w:w="302"/>
        <w:gridCol w:w="800"/>
        <w:gridCol w:w="794"/>
      </w:tblGrid>
      <w:tr w14:paraId="36C690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restart"/>
            <w:tcBorders>
              <w:top w:val="single" w:color="auto" w:sz="8" w:space="0"/>
            </w:tcBorders>
            <w:tcMar>
              <w:left w:w="57" w:type="dxa"/>
              <w:right w:w="57" w:type="dxa"/>
            </w:tcMar>
            <w:textDirection w:val="tbRlV"/>
            <w:vAlign w:val="center"/>
          </w:tcPr>
          <w:p w14:paraId="150B73DA">
            <w:pPr>
              <w:keepNext w:val="0"/>
              <w:keepLines w:val="0"/>
              <w:widowControl/>
              <w:suppressLineNumbers w:val="0"/>
              <w:spacing w:before="0" w:beforeAutospacing="0" w:after="0" w:afterAutospacing="0" w:line="240" w:lineRule="auto"/>
              <w:ind w:left="113" w:right="113" w:firstLine="0" w:firstLineChars="0"/>
              <w:jc w:val="center"/>
              <w:rPr>
                <w:rFonts w:hint="default"/>
                <w:b/>
                <w:color w:val="auto"/>
                <w:kern w:val="2"/>
                <w:sz w:val="13"/>
                <w:szCs w:val="15"/>
              </w:rPr>
            </w:pPr>
            <w:r>
              <w:rPr>
                <w:rFonts w:hint="eastAsia"/>
                <w:b/>
                <w:color w:val="auto"/>
                <w:kern w:val="2"/>
                <w:sz w:val="13"/>
                <w:szCs w:val="15"/>
              </w:rPr>
              <w:t>建设项目</w:t>
            </w:r>
          </w:p>
        </w:tc>
        <w:tc>
          <w:tcPr>
            <w:tcW w:w="1964" w:type="dxa"/>
            <w:gridSpan w:val="3"/>
            <w:tcBorders>
              <w:top w:val="single" w:color="auto" w:sz="8" w:space="0"/>
            </w:tcBorders>
            <w:tcMar>
              <w:left w:w="57" w:type="dxa"/>
              <w:right w:w="57" w:type="dxa"/>
            </w:tcMar>
            <w:vAlign w:val="center"/>
          </w:tcPr>
          <w:p w14:paraId="0014617F">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项目名称</w:t>
            </w:r>
          </w:p>
        </w:tc>
        <w:tc>
          <w:tcPr>
            <w:tcW w:w="5228" w:type="dxa"/>
            <w:gridSpan w:val="6"/>
            <w:tcBorders>
              <w:top w:val="single" w:color="auto" w:sz="8" w:space="0"/>
            </w:tcBorders>
            <w:tcMar>
              <w:left w:w="57" w:type="dxa"/>
              <w:right w:w="57" w:type="dxa"/>
            </w:tcMar>
            <w:vAlign w:val="center"/>
          </w:tcPr>
          <w:p w14:paraId="7ABEF5FE">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eastAsia="zh-CN"/>
              </w:rPr>
              <w:t>餐佐料生产线扩建项目</w:t>
            </w:r>
          </w:p>
        </w:tc>
        <w:tc>
          <w:tcPr>
            <w:tcW w:w="2126" w:type="dxa"/>
            <w:gridSpan w:val="2"/>
            <w:tcBorders>
              <w:top w:val="single" w:color="auto" w:sz="8" w:space="0"/>
            </w:tcBorders>
            <w:tcMar>
              <w:left w:w="57" w:type="dxa"/>
              <w:right w:w="57" w:type="dxa"/>
            </w:tcMar>
            <w:vAlign w:val="center"/>
          </w:tcPr>
          <w:p w14:paraId="5F40B773">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项目代码</w:t>
            </w:r>
          </w:p>
        </w:tc>
        <w:tc>
          <w:tcPr>
            <w:tcW w:w="1984" w:type="dxa"/>
            <w:tcBorders>
              <w:top w:val="single" w:color="auto" w:sz="8" w:space="0"/>
            </w:tcBorders>
            <w:tcMar>
              <w:left w:w="57" w:type="dxa"/>
              <w:right w:w="57" w:type="dxa"/>
            </w:tcMar>
            <w:vAlign w:val="center"/>
          </w:tcPr>
          <w:p w14:paraId="7EF96F2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lang w:val="en-US" w:eastAsia="zh-CN"/>
              </w:rPr>
              <w:t>川投资备【2</w:t>
            </w:r>
            <w:r>
              <w:rPr>
                <w:rFonts w:hint="eastAsia"/>
                <w:b/>
                <w:color w:val="auto"/>
                <w:kern w:val="2"/>
                <w:sz w:val="13"/>
                <w:szCs w:val="15"/>
                <w:lang w:val="en-US" w:eastAsia="zh-CN"/>
              </w:rPr>
              <w:t>019</w:t>
            </w:r>
            <w:r>
              <w:rPr>
                <w:rFonts w:hint="default"/>
                <w:b/>
                <w:color w:val="auto"/>
                <w:kern w:val="2"/>
                <w:sz w:val="13"/>
                <w:szCs w:val="15"/>
                <w:lang w:val="en-US" w:eastAsia="zh-CN"/>
              </w:rPr>
              <w:t>-511402-</w:t>
            </w:r>
            <w:r>
              <w:rPr>
                <w:rFonts w:hint="eastAsia"/>
                <w:b/>
                <w:color w:val="auto"/>
                <w:kern w:val="2"/>
                <w:sz w:val="13"/>
                <w:szCs w:val="15"/>
                <w:lang w:val="en-US" w:eastAsia="zh-CN"/>
              </w:rPr>
              <w:t>14</w:t>
            </w:r>
            <w:r>
              <w:rPr>
                <w:rFonts w:hint="default"/>
                <w:b/>
                <w:color w:val="auto"/>
                <w:kern w:val="2"/>
                <w:sz w:val="13"/>
                <w:szCs w:val="15"/>
                <w:lang w:val="en-US" w:eastAsia="zh-CN"/>
              </w:rPr>
              <w:t>-0</w:t>
            </w:r>
            <w:r>
              <w:rPr>
                <w:rFonts w:hint="eastAsia"/>
                <w:b/>
                <w:color w:val="auto"/>
                <w:kern w:val="2"/>
                <w:sz w:val="13"/>
                <w:szCs w:val="15"/>
                <w:lang w:val="en-US" w:eastAsia="zh-CN"/>
              </w:rPr>
              <w:t>3</w:t>
            </w:r>
            <w:r>
              <w:rPr>
                <w:rFonts w:hint="default"/>
                <w:b/>
                <w:color w:val="auto"/>
                <w:kern w:val="2"/>
                <w:sz w:val="13"/>
                <w:szCs w:val="15"/>
                <w:lang w:val="en-US" w:eastAsia="zh-CN"/>
              </w:rPr>
              <w:t>-</w:t>
            </w:r>
            <w:r>
              <w:rPr>
                <w:rFonts w:hint="eastAsia"/>
                <w:b/>
                <w:color w:val="auto"/>
                <w:kern w:val="2"/>
                <w:sz w:val="13"/>
                <w:szCs w:val="15"/>
                <w:lang w:val="en-US" w:eastAsia="zh-CN"/>
              </w:rPr>
              <w:t>327511</w:t>
            </w:r>
            <w:r>
              <w:rPr>
                <w:rFonts w:hint="default"/>
                <w:b/>
                <w:color w:val="auto"/>
                <w:kern w:val="2"/>
                <w:sz w:val="13"/>
                <w:szCs w:val="15"/>
                <w:lang w:val="en-US" w:eastAsia="zh-CN"/>
              </w:rPr>
              <w:t>】</w:t>
            </w:r>
            <w:r>
              <w:rPr>
                <w:rFonts w:hint="eastAsia"/>
                <w:b/>
                <w:color w:val="auto"/>
                <w:kern w:val="2"/>
                <w:sz w:val="13"/>
                <w:szCs w:val="15"/>
                <w:lang w:val="en-US" w:eastAsia="zh-CN"/>
              </w:rPr>
              <w:t>JX</w:t>
            </w:r>
            <w:r>
              <w:rPr>
                <w:rFonts w:hint="default"/>
                <w:b/>
                <w:color w:val="auto"/>
                <w:kern w:val="2"/>
                <w:sz w:val="13"/>
                <w:szCs w:val="15"/>
                <w:lang w:val="en-US" w:eastAsia="zh-CN"/>
              </w:rPr>
              <w:t>QB-0</w:t>
            </w:r>
            <w:r>
              <w:rPr>
                <w:rFonts w:hint="eastAsia"/>
                <w:b/>
                <w:color w:val="auto"/>
                <w:kern w:val="2"/>
                <w:sz w:val="13"/>
                <w:szCs w:val="15"/>
                <w:lang w:val="en-US" w:eastAsia="zh-CN"/>
              </w:rPr>
              <w:t>012</w:t>
            </w:r>
            <w:r>
              <w:rPr>
                <w:rFonts w:hint="default"/>
                <w:b/>
                <w:color w:val="auto"/>
                <w:kern w:val="2"/>
                <w:sz w:val="13"/>
                <w:szCs w:val="15"/>
                <w:lang w:val="en-US" w:eastAsia="zh-CN"/>
              </w:rPr>
              <w:t>号</w:t>
            </w:r>
          </w:p>
        </w:tc>
        <w:tc>
          <w:tcPr>
            <w:tcW w:w="1422" w:type="dxa"/>
            <w:gridSpan w:val="2"/>
            <w:tcBorders>
              <w:top w:val="single" w:color="auto" w:sz="8" w:space="0"/>
            </w:tcBorders>
            <w:tcMar>
              <w:left w:w="57" w:type="dxa"/>
              <w:right w:w="57" w:type="dxa"/>
            </w:tcMar>
            <w:vAlign w:val="center"/>
          </w:tcPr>
          <w:p w14:paraId="12584B0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建设地点</w:t>
            </w:r>
          </w:p>
        </w:tc>
        <w:tc>
          <w:tcPr>
            <w:tcW w:w="2722" w:type="dxa"/>
            <w:gridSpan w:val="4"/>
            <w:tcBorders>
              <w:top w:val="single" w:color="auto" w:sz="8" w:space="0"/>
            </w:tcBorders>
            <w:tcMar>
              <w:left w:w="57" w:type="dxa"/>
              <w:right w:w="57" w:type="dxa"/>
            </w:tcMar>
            <w:vAlign w:val="center"/>
          </w:tcPr>
          <w:p w14:paraId="47311E94">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eastAsia="zh-CN"/>
              </w:rPr>
              <w:t>眉山市东坡区泡菜产业园区坛香路6号</w:t>
            </w:r>
          </w:p>
        </w:tc>
      </w:tr>
      <w:tr w14:paraId="19C37A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3F85A2B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51BE232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行业类别（分类管理名录）</w:t>
            </w:r>
          </w:p>
        </w:tc>
        <w:tc>
          <w:tcPr>
            <w:tcW w:w="5228" w:type="dxa"/>
            <w:gridSpan w:val="6"/>
            <w:tcMar>
              <w:left w:w="57" w:type="dxa"/>
              <w:right w:w="57" w:type="dxa"/>
            </w:tcMar>
            <w:vAlign w:val="center"/>
          </w:tcPr>
          <w:p w14:paraId="166746EE">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23 调味品、发酵品制造146*</w:t>
            </w:r>
          </w:p>
        </w:tc>
        <w:tc>
          <w:tcPr>
            <w:tcW w:w="2126" w:type="dxa"/>
            <w:gridSpan w:val="2"/>
            <w:tcMar>
              <w:left w:w="57" w:type="dxa"/>
              <w:right w:w="57" w:type="dxa"/>
            </w:tcMar>
            <w:vAlign w:val="center"/>
          </w:tcPr>
          <w:p w14:paraId="4E29DD5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建设性质</w:t>
            </w:r>
          </w:p>
        </w:tc>
        <w:tc>
          <w:tcPr>
            <w:tcW w:w="3406" w:type="dxa"/>
            <w:gridSpan w:val="3"/>
            <w:tcMar>
              <w:left w:w="57" w:type="dxa"/>
              <w:right w:w="57" w:type="dxa"/>
            </w:tcMar>
            <w:vAlign w:val="center"/>
          </w:tcPr>
          <w:p w14:paraId="79444CF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rPr>
              <w:fldChar w:fldCharType="begin"/>
            </w:r>
            <w:r>
              <w:rPr>
                <w:rFonts w:hint="default"/>
                <w:b/>
                <w:color w:val="auto"/>
                <w:kern w:val="2"/>
                <w:sz w:val="13"/>
                <w:szCs w:val="15"/>
              </w:rPr>
              <w:instrText xml:space="preserve"> eq \o\ac(</w:instrText>
            </w:r>
            <w:r>
              <w:rPr>
                <w:rFonts w:hint="eastAsia"/>
                <w:b/>
                <w:color w:val="auto"/>
                <w:kern w:val="2"/>
                <w:position w:val="-2"/>
                <w:sz w:val="13"/>
                <w:szCs w:val="15"/>
              </w:rPr>
              <w:instrText xml:space="preserve">□</w:instrText>
            </w:r>
            <w:r>
              <w:rPr>
                <w:rFonts w:hint="default"/>
                <w:b/>
                <w:color w:val="auto"/>
                <w:kern w:val="2"/>
                <w:sz w:val="13"/>
                <w:szCs w:val="15"/>
              </w:rPr>
              <w:instrText xml:space="preserve">,</w:instrText>
            </w:r>
            <w:r>
              <w:rPr>
                <w:rFonts w:hint="eastAsia"/>
                <w:b/>
                <w:color w:val="auto"/>
                <w:kern w:val="2"/>
                <w:sz w:val="13"/>
                <w:szCs w:val="15"/>
              </w:rPr>
              <w:instrText xml:space="preserve">√</w:instrText>
            </w:r>
            <w:r>
              <w:rPr>
                <w:rFonts w:hint="default"/>
                <w:b/>
                <w:color w:val="auto"/>
                <w:kern w:val="2"/>
                <w:sz w:val="13"/>
                <w:szCs w:val="15"/>
              </w:rPr>
              <w:instrText xml:space="preserve">)</w:instrText>
            </w:r>
            <w:r>
              <w:rPr>
                <w:rFonts w:hint="default"/>
                <w:b/>
                <w:color w:val="auto"/>
                <w:kern w:val="2"/>
                <w:sz w:val="13"/>
                <w:szCs w:val="15"/>
              </w:rPr>
              <w:fldChar w:fldCharType="end"/>
            </w:r>
            <w:r>
              <w:rPr>
                <w:rFonts w:hint="eastAsia"/>
                <w:b/>
                <w:color w:val="auto"/>
                <w:kern w:val="2"/>
                <w:sz w:val="13"/>
                <w:szCs w:val="15"/>
              </w:rPr>
              <w:t>新建</w:t>
            </w:r>
            <w:r>
              <w:rPr>
                <w:rFonts w:hint="default"/>
                <w:b/>
                <w:color w:val="auto"/>
                <w:kern w:val="2"/>
                <w:sz w:val="13"/>
                <w:szCs w:val="15"/>
              </w:rPr>
              <w:t xml:space="preserve">  □</w:t>
            </w:r>
            <w:r>
              <w:rPr>
                <w:rFonts w:hint="eastAsia"/>
                <w:b/>
                <w:color w:val="auto"/>
                <w:kern w:val="2"/>
                <w:sz w:val="13"/>
                <w:szCs w:val="15"/>
              </w:rPr>
              <w:t>改扩建</w:t>
            </w:r>
            <w:r>
              <w:rPr>
                <w:rFonts w:hint="default"/>
                <w:b/>
                <w:color w:val="auto"/>
                <w:kern w:val="2"/>
                <w:sz w:val="13"/>
                <w:szCs w:val="15"/>
              </w:rPr>
              <w:t xml:space="preserve">  □</w:t>
            </w:r>
            <w:r>
              <w:rPr>
                <w:rFonts w:hint="eastAsia"/>
                <w:b/>
                <w:color w:val="auto"/>
                <w:kern w:val="2"/>
                <w:sz w:val="13"/>
                <w:szCs w:val="15"/>
              </w:rPr>
              <w:t>技术改造</w:t>
            </w:r>
          </w:p>
        </w:tc>
        <w:tc>
          <w:tcPr>
            <w:tcW w:w="1128" w:type="dxa"/>
            <w:gridSpan w:val="2"/>
            <w:tcMar>
              <w:left w:w="57" w:type="dxa"/>
              <w:right w:w="57" w:type="dxa"/>
            </w:tcMar>
            <w:vAlign w:val="center"/>
          </w:tcPr>
          <w:p w14:paraId="3CBB1EC8">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项目厂区中心经度</w:t>
            </w:r>
            <w:r>
              <w:rPr>
                <w:rFonts w:hint="default"/>
                <w:b/>
                <w:color w:val="auto"/>
                <w:kern w:val="2"/>
                <w:sz w:val="13"/>
                <w:szCs w:val="15"/>
              </w:rPr>
              <w:t>/</w:t>
            </w:r>
            <w:r>
              <w:rPr>
                <w:rFonts w:hint="eastAsia"/>
                <w:b/>
                <w:color w:val="auto"/>
                <w:kern w:val="2"/>
                <w:sz w:val="13"/>
                <w:szCs w:val="15"/>
              </w:rPr>
              <w:t>纬度</w:t>
            </w:r>
          </w:p>
        </w:tc>
        <w:tc>
          <w:tcPr>
            <w:tcW w:w="1594" w:type="dxa"/>
            <w:gridSpan w:val="2"/>
            <w:tcMar>
              <w:left w:w="57" w:type="dxa"/>
              <w:right w:w="57" w:type="dxa"/>
            </w:tcMar>
            <w:vAlign w:val="center"/>
          </w:tcPr>
          <w:p w14:paraId="35A87165">
            <w:pPr>
              <w:keepNext w:val="0"/>
              <w:keepLines w:val="0"/>
              <w:widowControl/>
              <w:suppressLineNumbers w:val="0"/>
              <w:spacing w:before="0" w:beforeAutospacing="0" w:after="0" w:afterAutospacing="0" w:line="240" w:lineRule="auto"/>
              <w:ind w:left="0" w:right="0" w:firstLine="0" w:firstLineChars="0"/>
              <w:rPr>
                <w:rFonts w:hint="eastAsia"/>
                <w:b/>
                <w:color w:val="auto"/>
                <w:kern w:val="2"/>
                <w:sz w:val="13"/>
                <w:szCs w:val="15"/>
              </w:rPr>
            </w:pPr>
            <w:r>
              <w:rPr>
                <w:rFonts w:hint="eastAsia"/>
                <w:b/>
                <w:color w:val="auto"/>
                <w:kern w:val="2"/>
                <w:sz w:val="13"/>
                <w:szCs w:val="15"/>
              </w:rPr>
              <w:t>东经</w:t>
            </w:r>
            <w:r>
              <w:rPr>
                <w:rFonts w:hint="eastAsia"/>
                <w:b/>
                <w:color w:val="auto"/>
                <w:kern w:val="2"/>
                <w:sz w:val="13"/>
                <w:szCs w:val="15"/>
                <w:lang w:val="en-US" w:eastAsia="zh-CN"/>
              </w:rPr>
              <w:t>103</w:t>
            </w:r>
            <w:r>
              <w:rPr>
                <w:rFonts w:hint="eastAsia"/>
                <w:b/>
                <w:color w:val="auto"/>
                <w:kern w:val="2"/>
                <w:sz w:val="13"/>
                <w:szCs w:val="15"/>
              </w:rPr>
              <w:t>度</w:t>
            </w:r>
            <w:r>
              <w:rPr>
                <w:rFonts w:hint="eastAsia"/>
                <w:b/>
                <w:color w:val="auto"/>
                <w:kern w:val="2"/>
                <w:sz w:val="13"/>
                <w:szCs w:val="15"/>
                <w:lang w:val="en-US" w:eastAsia="zh-CN"/>
              </w:rPr>
              <w:t>50</w:t>
            </w:r>
            <w:r>
              <w:rPr>
                <w:rFonts w:hint="eastAsia"/>
                <w:b/>
                <w:color w:val="auto"/>
                <w:kern w:val="2"/>
                <w:sz w:val="13"/>
                <w:szCs w:val="15"/>
              </w:rPr>
              <w:t>分</w:t>
            </w:r>
            <w:r>
              <w:rPr>
                <w:rFonts w:hint="eastAsia"/>
                <w:b/>
                <w:color w:val="auto"/>
                <w:kern w:val="2"/>
                <w:sz w:val="13"/>
                <w:szCs w:val="15"/>
                <w:lang w:val="en-US" w:eastAsia="zh-CN"/>
              </w:rPr>
              <w:t>43.108</w:t>
            </w:r>
            <w:r>
              <w:rPr>
                <w:rFonts w:hint="eastAsia"/>
                <w:b/>
                <w:color w:val="auto"/>
                <w:kern w:val="2"/>
                <w:sz w:val="13"/>
                <w:szCs w:val="15"/>
              </w:rPr>
              <w:t>秒</w:t>
            </w:r>
          </w:p>
          <w:p w14:paraId="706D8E55">
            <w:pPr>
              <w:keepNext w:val="0"/>
              <w:keepLines w:val="0"/>
              <w:widowControl/>
              <w:suppressLineNumbers w:val="0"/>
              <w:spacing w:before="0" w:beforeAutospacing="0" w:after="0" w:afterAutospacing="0" w:line="240" w:lineRule="auto"/>
              <w:ind w:left="0" w:right="0" w:firstLine="0" w:firstLineChars="0"/>
              <w:rPr>
                <w:rFonts w:hint="default"/>
                <w:b/>
                <w:color w:val="auto"/>
                <w:kern w:val="2"/>
                <w:sz w:val="13"/>
                <w:szCs w:val="15"/>
              </w:rPr>
            </w:pPr>
            <w:r>
              <w:rPr>
                <w:rFonts w:hint="eastAsia"/>
                <w:b/>
                <w:color w:val="auto"/>
                <w:kern w:val="2"/>
                <w:sz w:val="13"/>
                <w:szCs w:val="15"/>
              </w:rPr>
              <w:t>北纬</w:t>
            </w:r>
            <w:r>
              <w:rPr>
                <w:rFonts w:hint="eastAsia"/>
                <w:b/>
                <w:color w:val="auto"/>
                <w:kern w:val="2"/>
                <w:sz w:val="13"/>
                <w:szCs w:val="15"/>
                <w:lang w:val="en-US" w:eastAsia="zh-CN"/>
              </w:rPr>
              <w:t>30</w:t>
            </w:r>
            <w:r>
              <w:rPr>
                <w:rFonts w:hint="eastAsia"/>
                <w:b/>
                <w:color w:val="auto"/>
                <w:kern w:val="2"/>
                <w:sz w:val="13"/>
                <w:szCs w:val="15"/>
              </w:rPr>
              <w:t>度</w:t>
            </w:r>
            <w:r>
              <w:rPr>
                <w:rFonts w:hint="eastAsia"/>
                <w:b/>
                <w:color w:val="auto"/>
                <w:kern w:val="2"/>
                <w:sz w:val="13"/>
                <w:szCs w:val="15"/>
                <w:lang w:val="en-US" w:eastAsia="zh-CN"/>
              </w:rPr>
              <w:t>0</w:t>
            </w:r>
            <w:r>
              <w:rPr>
                <w:rFonts w:hint="eastAsia"/>
                <w:b/>
                <w:color w:val="auto"/>
                <w:kern w:val="2"/>
                <w:sz w:val="13"/>
                <w:szCs w:val="15"/>
              </w:rPr>
              <w:t>分</w:t>
            </w:r>
            <w:r>
              <w:rPr>
                <w:rFonts w:hint="eastAsia"/>
                <w:b/>
                <w:color w:val="auto"/>
                <w:kern w:val="2"/>
                <w:sz w:val="13"/>
                <w:szCs w:val="15"/>
                <w:lang w:val="en-US" w:eastAsia="zh-CN"/>
              </w:rPr>
              <w:t>59.713</w:t>
            </w:r>
            <w:r>
              <w:rPr>
                <w:rFonts w:hint="eastAsia"/>
                <w:b/>
                <w:color w:val="auto"/>
                <w:kern w:val="2"/>
                <w:sz w:val="13"/>
                <w:szCs w:val="15"/>
              </w:rPr>
              <w:t>秒</w:t>
            </w:r>
          </w:p>
        </w:tc>
      </w:tr>
      <w:tr w14:paraId="3E5522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04824BC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5FC0D04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设计生产能力</w:t>
            </w:r>
          </w:p>
        </w:tc>
        <w:tc>
          <w:tcPr>
            <w:tcW w:w="5228" w:type="dxa"/>
            <w:gridSpan w:val="6"/>
            <w:tcMar>
              <w:left w:w="57" w:type="dxa"/>
              <w:right w:w="57" w:type="dxa"/>
            </w:tcMar>
            <w:vAlign w:val="center"/>
          </w:tcPr>
          <w:p w14:paraId="5657A38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lang w:val="en-US"/>
              </w:rPr>
            </w:pPr>
            <w:r>
              <w:rPr>
                <w:rFonts w:hint="default"/>
                <w:b/>
                <w:color w:val="auto"/>
                <w:kern w:val="2"/>
                <w:sz w:val="13"/>
                <w:szCs w:val="15"/>
                <w:lang w:val="en-US" w:eastAsia="zh-CN"/>
              </w:rPr>
              <w:t>年产</w:t>
            </w:r>
            <w:r>
              <w:rPr>
                <w:rFonts w:hint="eastAsia"/>
                <w:b/>
                <w:color w:val="auto"/>
                <w:kern w:val="2"/>
                <w:sz w:val="13"/>
                <w:szCs w:val="15"/>
                <w:lang w:val="en-US" w:eastAsia="zh-CN"/>
              </w:rPr>
              <w:t>餐佐料2000吨</w:t>
            </w:r>
          </w:p>
        </w:tc>
        <w:tc>
          <w:tcPr>
            <w:tcW w:w="2126" w:type="dxa"/>
            <w:gridSpan w:val="2"/>
            <w:tcMar>
              <w:left w:w="57" w:type="dxa"/>
              <w:right w:w="57" w:type="dxa"/>
            </w:tcMar>
            <w:vAlign w:val="center"/>
          </w:tcPr>
          <w:p w14:paraId="25350E6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实际生产能力</w:t>
            </w:r>
          </w:p>
        </w:tc>
        <w:tc>
          <w:tcPr>
            <w:tcW w:w="1984" w:type="dxa"/>
            <w:tcMar>
              <w:left w:w="57" w:type="dxa"/>
              <w:right w:w="57" w:type="dxa"/>
            </w:tcMar>
            <w:vAlign w:val="center"/>
          </w:tcPr>
          <w:p w14:paraId="3E3A7A55">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eastAsia="zh-CN"/>
              </w:rPr>
              <w:t>年产餐佐料</w:t>
            </w:r>
            <w:r>
              <w:rPr>
                <w:rFonts w:hint="eastAsia"/>
                <w:b/>
                <w:color w:val="auto"/>
                <w:kern w:val="2"/>
                <w:sz w:val="13"/>
                <w:szCs w:val="15"/>
                <w:lang w:val="en-US" w:eastAsia="zh-CN"/>
              </w:rPr>
              <w:t>2000吨</w:t>
            </w:r>
          </w:p>
        </w:tc>
        <w:tc>
          <w:tcPr>
            <w:tcW w:w="1422" w:type="dxa"/>
            <w:gridSpan w:val="2"/>
            <w:tcMar>
              <w:left w:w="57" w:type="dxa"/>
              <w:right w:w="57" w:type="dxa"/>
            </w:tcMar>
            <w:vAlign w:val="center"/>
          </w:tcPr>
          <w:p w14:paraId="5EDBBDF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环评单位</w:t>
            </w:r>
          </w:p>
        </w:tc>
        <w:tc>
          <w:tcPr>
            <w:tcW w:w="2722" w:type="dxa"/>
            <w:gridSpan w:val="4"/>
            <w:tcMar>
              <w:left w:w="57" w:type="dxa"/>
              <w:right w:w="57" w:type="dxa"/>
            </w:tcMar>
            <w:vAlign w:val="center"/>
          </w:tcPr>
          <w:p w14:paraId="48CBA607">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2"/>
                <w:sz w:val="13"/>
                <w:szCs w:val="15"/>
                <w:lang w:val="en-US" w:eastAsia="zh-CN"/>
              </w:rPr>
            </w:pPr>
            <w:r>
              <w:rPr>
                <w:rFonts w:hint="eastAsia" w:ascii="Times New Roman" w:hAnsi="Times New Roman" w:eastAsia="宋体" w:cs="Times New Roman"/>
                <w:b/>
                <w:color w:val="auto"/>
                <w:kern w:val="2"/>
                <w:sz w:val="13"/>
                <w:szCs w:val="15"/>
                <w:lang w:val="en-US" w:eastAsia="zh-CN"/>
              </w:rPr>
              <w:t>睿柯环境工程有限公司</w:t>
            </w:r>
          </w:p>
        </w:tc>
      </w:tr>
      <w:tr w14:paraId="50954A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451495D3">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274C478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环评文件审批机关</w:t>
            </w:r>
          </w:p>
        </w:tc>
        <w:tc>
          <w:tcPr>
            <w:tcW w:w="5228" w:type="dxa"/>
            <w:gridSpan w:val="6"/>
            <w:tcMar>
              <w:left w:w="57" w:type="dxa"/>
              <w:right w:w="57" w:type="dxa"/>
            </w:tcMar>
            <w:vAlign w:val="center"/>
          </w:tcPr>
          <w:p w14:paraId="51AF29E0">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rPr>
              <w:t>眉山市东坡生态环境局</w:t>
            </w:r>
          </w:p>
        </w:tc>
        <w:tc>
          <w:tcPr>
            <w:tcW w:w="2126" w:type="dxa"/>
            <w:gridSpan w:val="2"/>
            <w:tcMar>
              <w:left w:w="57" w:type="dxa"/>
              <w:right w:w="57" w:type="dxa"/>
            </w:tcMar>
            <w:vAlign w:val="center"/>
          </w:tcPr>
          <w:p w14:paraId="4CB4611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审批文号</w:t>
            </w:r>
          </w:p>
        </w:tc>
        <w:tc>
          <w:tcPr>
            <w:tcW w:w="1984" w:type="dxa"/>
            <w:tcMar>
              <w:left w:w="57" w:type="dxa"/>
              <w:right w:w="57" w:type="dxa"/>
            </w:tcMar>
            <w:vAlign w:val="center"/>
          </w:tcPr>
          <w:p w14:paraId="5A6EC23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lang w:eastAsia="zh-CN"/>
              </w:rPr>
              <w:t>眉</w:t>
            </w:r>
            <w:r>
              <w:rPr>
                <w:rFonts w:hint="eastAsia"/>
                <w:b/>
                <w:color w:val="auto"/>
                <w:kern w:val="2"/>
                <w:sz w:val="13"/>
                <w:szCs w:val="15"/>
                <w:lang w:eastAsia="zh-CN"/>
              </w:rPr>
              <w:t>东环建函</w:t>
            </w:r>
            <w:r>
              <w:rPr>
                <w:rFonts w:hint="default"/>
                <w:b/>
                <w:color w:val="auto"/>
                <w:kern w:val="2"/>
                <w:sz w:val="13"/>
                <w:szCs w:val="15"/>
                <w:lang w:eastAsia="zh-CN"/>
              </w:rPr>
              <w:t>【</w:t>
            </w:r>
            <w:r>
              <w:rPr>
                <w:rFonts w:hint="default"/>
                <w:b/>
                <w:color w:val="auto"/>
                <w:kern w:val="2"/>
                <w:sz w:val="13"/>
                <w:szCs w:val="15"/>
                <w:lang w:val="en-US" w:eastAsia="zh-CN"/>
              </w:rPr>
              <w:t>20</w:t>
            </w:r>
            <w:r>
              <w:rPr>
                <w:rFonts w:hint="eastAsia"/>
                <w:b/>
                <w:color w:val="auto"/>
                <w:kern w:val="2"/>
                <w:sz w:val="13"/>
                <w:szCs w:val="15"/>
                <w:lang w:val="en-US" w:eastAsia="zh-CN"/>
              </w:rPr>
              <w:t>19</w:t>
            </w:r>
            <w:r>
              <w:rPr>
                <w:rFonts w:hint="default"/>
                <w:b/>
                <w:color w:val="auto"/>
                <w:kern w:val="2"/>
                <w:sz w:val="13"/>
                <w:szCs w:val="15"/>
                <w:lang w:eastAsia="zh-CN"/>
              </w:rPr>
              <w:t>】</w:t>
            </w:r>
            <w:r>
              <w:rPr>
                <w:rFonts w:hint="eastAsia"/>
                <w:b/>
                <w:color w:val="auto"/>
                <w:kern w:val="2"/>
                <w:sz w:val="13"/>
                <w:szCs w:val="15"/>
                <w:lang w:val="en-US" w:eastAsia="zh-CN"/>
              </w:rPr>
              <w:t>36</w:t>
            </w:r>
            <w:r>
              <w:rPr>
                <w:rFonts w:hint="default"/>
                <w:b/>
                <w:color w:val="auto"/>
                <w:kern w:val="2"/>
                <w:sz w:val="13"/>
                <w:szCs w:val="15"/>
              </w:rPr>
              <w:t>号</w:t>
            </w:r>
          </w:p>
        </w:tc>
        <w:tc>
          <w:tcPr>
            <w:tcW w:w="1422" w:type="dxa"/>
            <w:gridSpan w:val="2"/>
            <w:tcMar>
              <w:left w:w="57" w:type="dxa"/>
              <w:right w:w="57" w:type="dxa"/>
            </w:tcMar>
            <w:vAlign w:val="center"/>
          </w:tcPr>
          <w:p w14:paraId="0C0B7E1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环评文件类型</w:t>
            </w:r>
          </w:p>
        </w:tc>
        <w:tc>
          <w:tcPr>
            <w:tcW w:w="2722" w:type="dxa"/>
            <w:gridSpan w:val="4"/>
            <w:tcMar>
              <w:left w:w="57" w:type="dxa"/>
              <w:right w:w="57" w:type="dxa"/>
            </w:tcMar>
            <w:vAlign w:val="center"/>
          </w:tcPr>
          <w:p w14:paraId="2B60594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报告表</w:t>
            </w:r>
          </w:p>
        </w:tc>
      </w:tr>
      <w:tr w14:paraId="2FD822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163F159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63CCC4A3">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开工日期</w:t>
            </w:r>
          </w:p>
        </w:tc>
        <w:tc>
          <w:tcPr>
            <w:tcW w:w="5228" w:type="dxa"/>
            <w:gridSpan w:val="6"/>
            <w:tcMar>
              <w:left w:w="57" w:type="dxa"/>
              <w:right w:w="57" w:type="dxa"/>
            </w:tcMar>
            <w:vAlign w:val="center"/>
          </w:tcPr>
          <w:p w14:paraId="2B00296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rPr>
              <w:t>202</w:t>
            </w:r>
            <w:r>
              <w:rPr>
                <w:rFonts w:hint="eastAsia"/>
                <w:b/>
                <w:color w:val="auto"/>
                <w:kern w:val="2"/>
                <w:sz w:val="13"/>
                <w:szCs w:val="15"/>
                <w:lang w:val="en-US" w:eastAsia="zh-CN"/>
              </w:rPr>
              <w:t>1</w:t>
            </w:r>
            <w:r>
              <w:rPr>
                <w:rFonts w:hint="eastAsia"/>
                <w:b/>
                <w:color w:val="auto"/>
                <w:kern w:val="2"/>
                <w:sz w:val="13"/>
                <w:szCs w:val="15"/>
              </w:rPr>
              <w:t>年</w:t>
            </w:r>
            <w:r>
              <w:rPr>
                <w:rFonts w:hint="eastAsia"/>
                <w:b/>
                <w:color w:val="auto"/>
                <w:kern w:val="2"/>
                <w:sz w:val="13"/>
                <w:szCs w:val="15"/>
                <w:lang w:val="en-US" w:eastAsia="zh-CN"/>
              </w:rPr>
              <w:t>3</w:t>
            </w:r>
            <w:r>
              <w:rPr>
                <w:rFonts w:hint="eastAsia"/>
                <w:b/>
                <w:color w:val="auto"/>
                <w:kern w:val="2"/>
                <w:sz w:val="13"/>
                <w:szCs w:val="15"/>
              </w:rPr>
              <w:t>月</w:t>
            </w:r>
          </w:p>
        </w:tc>
        <w:tc>
          <w:tcPr>
            <w:tcW w:w="2126" w:type="dxa"/>
            <w:gridSpan w:val="2"/>
            <w:tcMar>
              <w:left w:w="57" w:type="dxa"/>
              <w:right w:w="57" w:type="dxa"/>
            </w:tcMar>
            <w:vAlign w:val="center"/>
          </w:tcPr>
          <w:p w14:paraId="5147A9EF">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竣工日期</w:t>
            </w:r>
          </w:p>
        </w:tc>
        <w:tc>
          <w:tcPr>
            <w:tcW w:w="1984" w:type="dxa"/>
            <w:tcMar>
              <w:left w:w="57" w:type="dxa"/>
              <w:right w:w="57" w:type="dxa"/>
            </w:tcMar>
            <w:vAlign w:val="center"/>
          </w:tcPr>
          <w:p w14:paraId="601C0B3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rPr>
              <w:t>202</w:t>
            </w:r>
            <w:r>
              <w:rPr>
                <w:rFonts w:hint="eastAsia"/>
                <w:b/>
                <w:color w:val="auto"/>
                <w:kern w:val="2"/>
                <w:sz w:val="13"/>
                <w:szCs w:val="15"/>
                <w:lang w:val="en-US" w:eastAsia="zh-CN"/>
              </w:rPr>
              <w:t>4</w:t>
            </w:r>
            <w:r>
              <w:rPr>
                <w:rFonts w:hint="eastAsia"/>
                <w:b/>
                <w:color w:val="auto"/>
                <w:kern w:val="2"/>
                <w:sz w:val="13"/>
                <w:szCs w:val="15"/>
              </w:rPr>
              <w:t>年</w:t>
            </w:r>
            <w:r>
              <w:rPr>
                <w:rFonts w:hint="eastAsia"/>
                <w:b/>
                <w:color w:val="auto"/>
                <w:kern w:val="2"/>
                <w:sz w:val="13"/>
                <w:szCs w:val="15"/>
                <w:lang w:val="en-US" w:eastAsia="zh-CN"/>
              </w:rPr>
              <w:t>4</w:t>
            </w:r>
            <w:r>
              <w:rPr>
                <w:rFonts w:hint="eastAsia"/>
                <w:b/>
                <w:color w:val="auto"/>
                <w:kern w:val="2"/>
                <w:sz w:val="13"/>
                <w:szCs w:val="15"/>
              </w:rPr>
              <w:t>月</w:t>
            </w:r>
          </w:p>
        </w:tc>
        <w:tc>
          <w:tcPr>
            <w:tcW w:w="1422" w:type="dxa"/>
            <w:gridSpan w:val="2"/>
            <w:tcMar>
              <w:left w:w="57" w:type="dxa"/>
              <w:right w:w="57" w:type="dxa"/>
            </w:tcMar>
            <w:vAlign w:val="center"/>
          </w:tcPr>
          <w:p w14:paraId="4331C3E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排污许可证申领时间</w:t>
            </w:r>
          </w:p>
        </w:tc>
        <w:tc>
          <w:tcPr>
            <w:tcW w:w="2722" w:type="dxa"/>
            <w:gridSpan w:val="4"/>
            <w:tcMar>
              <w:left w:w="57" w:type="dxa"/>
              <w:right w:w="57" w:type="dxa"/>
            </w:tcMar>
            <w:vAlign w:val="center"/>
          </w:tcPr>
          <w:p w14:paraId="617D7E38">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w:t>
            </w:r>
          </w:p>
        </w:tc>
      </w:tr>
      <w:tr w14:paraId="1785CE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069629A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3850692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环保设施设计单位</w:t>
            </w:r>
          </w:p>
        </w:tc>
        <w:tc>
          <w:tcPr>
            <w:tcW w:w="5228" w:type="dxa"/>
            <w:gridSpan w:val="6"/>
            <w:tcMar>
              <w:left w:w="57" w:type="dxa"/>
              <w:right w:w="57" w:type="dxa"/>
            </w:tcMar>
            <w:vAlign w:val="center"/>
          </w:tcPr>
          <w:p w14:paraId="46BC4A35">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val="en-US" w:eastAsia="zh-CN"/>
              </w:rPr>
              <w:t>/</w:t>
            </w:r>
          </w:p>
        </w:tc>
        <w:tc>
          <w:tcPr>
            <w:tcW w:w="2126" w:type="dxa"/>
            <w:gridSpan w:val="2"/>
            <w:tcMar>
              <w:left w:w="57" w:type="dxa"/>
              <w:right w:w="57" w:type="dxa"/>
            </w:tcMar>
            <w:vAlign w:val="center"/>
          </w:tcPr>
          <w:p w14:paraId="1E133D2B">
            <w:pPr>
              <w:keepNext w:val="0"/>
              <w:keepLines w:val="0"/>
              <w:widowControl/>
              <w:suppressLineNumbers w:val="0"/>
              <w:spacing w:before="0" w:beforeAutospacing="0" w:after="0" w:afterAutospacing="0" w:line="240" w:lineRule="auto"/>
              <w:ind w:left="0" w:right="0" w:firstLine="0" w:firstLineChars="0"/>
              <w:jc w:val="center"/>
              <w:rPr>
                <w:rFonts w:hint="default"/>
                <w:b/>
                <w:color w:val="auto"/>
                <w:sz w:val="13"/>
                <w:szCs w:val="15"/>
              </w:rPr>
            </w:pPr>
            <w:r>
              <w:rPr>
                <w:rFonts w:hint="eastAsia"/>
                <w:b/>
                <w:color w:val="auto"/>
                <w:sz w:val="13"/>
                <w:szCs w:val="15"/>
              </w:rPr>
              <w:t>环保设施施工单位</w:t>
            </w:r>
          </w:p>
        </w:tc>
        <w:tc>
          <w:tcPr>
            <w:tcW w:w="1984" w:type="dxa"/>
            <w:tcMar>
              <w:left w:w="57" w:type="dxa"/>
              <w:right w:w="57" w:type="dxa"/>
            </w:tcMar>
            <w:vAlign w:val="center"/>
          </w:tcPr>
          <w:p w14:paraId="4A187E44">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val="en-US" w:eastAsia="zh-CN"/>
              </w:rPr>
              <w:t>/</w:t>
            </w:r>
          </w:p>
        </w:tc>
        <w:tc>
          <w:tcPr>
            <w:tcW w:w="1422" w:type="dxa"/>
            <w:gridSpan w:val="2"/>
            <w:tcMar>
              <w:left w:w="57" w:type="dxa"/>
              <w:right w:w="57" w:type="dxa"/>
            </w:tcMar>
            <w:vAlign w:val="center"/>
          </w:tcPr>
          <w:p w14:paraId="5EE2CC8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本工程排污许可证编号</w:t>
            </w:r>
          </w:p>
        </w:tc>
        <w:tc>
          <w:tcPr>
            <w:tcW w:w="2722" w:type="dxa"/>
            <w:gridSpan w:val="4"/>
            <w:tcMar>
              <w:left w:w="57" w:type="dxa"/>
              <w:right w:w="57" w:type="dxa"/>
            </w:tcMar>
            <w:vAlign w:val="center"/>
          </w:tcPr>
          <w:p w14:paraId="0AD2ABAB">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ascii="Times New Roman" w:hAnsi="Times New Roman" w:eastAsia="宋体" w:cs="Times New Roman"/>
                <w:b/>
                <w:color w:val="auto"/>
                <w:kern w:val="2"/>
                <w:sz w:val="13"/>
                <w:szCs w:val="15"/>
                <w:lang w:eastAsia="zh-CN"/>
              </w:rPr>
              <w:t>91511402098552144K001Q</w:t>
            </w:r>
          </w:p>
        </w:tc>
      </w:tr>
      <w:tr w14:paraId="28E19E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4735429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65D9FD1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验收单位</w:t>
            </w:r>
          </w:p>
        </w:tc>
        <w:tc>
          <w:tcPr>
            <w:tcW w:w="5228" w:type="dxa"/>
            <w:gridSpan w:val="6"/>
            <w:tcMar>
              <w:left w:w="57" w:type="dxa"/>
              <w:right w:w="57" w:type="dxa"/>
            </w:tcMar>
            <w:vAlign w:val="center"/>
          </w:tcPr>
          <w:p w14:paraId="3BAA2011">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eastAsia="zh-CN"/>
              </w:rPr>
              <w:t>四川金顶维食品有限公司</w:t>
            </w:r>
          </w:p>
        </w:tc>
        <w:tc>
          <w:tcPr>
            <w:tcW w:w="2126" w:type="dxa"/>
            <w:gridSpan w:val="2"/>
            <w:tcMar>
              <w:left w:w="57" w:type="dxa"/>
              <w:right w:w="57" w:type="dxa"/>
            </w:tcMar>
            <w:vAlign w:val="center"/>
          </w:tcPr>
          <w:p w14:paraId="09B9088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环保设施监测单位</w:t>
            </w:r>
          </w:p>
        </w:tc>
        <w:tc>
          <w:tcPr>
            <w:tcW w:w="1984" w:type="dxa"/>
            <w:tcMar>
              <w:left w:w="57" w:type="dxa"/>
              <w:right w:w="57" w:type="dxa"/>
            </w:tcMar>
            <w:vAlign w:val="center"/>
          </w:tcPr>
          <w:p w14:paraId="37F5A8A0">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eastAsia="zh-CN"/>
              </w:rPr>
              <w:t>成都风行绿洲科技有限公司</w:t>
            </w:r>
          </w:p>
        </w:tc>
        <w:tc>
          <w:tcPr>
            <w:tcW w:w="1422" w:type="dxa"/>
            <w:gridSpan w:val="2"/>
            <w:tcMar>
              <w:left w:w="57" w:type="dxa"/>
              <w:right w:w="57" w:type="dxa"/>
            </w:tcMar>
            <w:vAlign w:val="center"/>
          </w:tcPr>
          <w:p w14:paraId="1332E15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验收监测时工况</w:t>
            </w:r>
          </w:p>
        </w:tc>
        <w:tc>
          <w:tcPr>
            <w:tcW w:w="2722" w:type="dxa"/>
            <w:gridSpan w:val="4"/>
            <w:tcMar>
              <w:left w:w="57" w:type="dxa"/>
              <w:right w:w="57" w:type="dxa"/>
            </w:tcMar>
            <w:vAlign w:val="center"/>
          </w:tcPr>
          <w:p w14:paraId="6911028E">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w:t>
            </w:r>
          </w:p>
        </w:tc>
      </w:tr>
      <w:tr w14:paraId="59AFCB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613C6CDB">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5781316B">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投资总概算（万元）</w:t>
            </w:r>
          </w:p>
        </w:tc>
        <w:tc>
          <w:tcPr>
            <w:tcW w:w="5228" w:type="dxa"/>
            <w:gridSpan w:val="6"/>
            <w:tcMar>
              <w:left w:w="57" w:type="dxa"/>
              <w:right w:w="57" w:type="dxa"/>
            </w:tcMar>
            <w:vAlign w:val="center"/>
          </w:tcPr>
          <w:p w14:paraId="0C62728A">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2000</w:t>
            </w:r>
          </w:p>
        </w:tc>
        <w:tc>
          <w:tcPr>
            <w:tcW w:w="2126" w:type="dxa"/>
            <w:gridSpan w:val="2"/>
            <w:tcMar>
              <w:left w:w="57" w:type="dxa"/>
              <w:right w:w="57" w:type="dxa"/>
            </w:tcMar>
            <w:vAlign w:val="center"/>
          </w:tcPr>
          <w:p w14:paraId="73811EFC">
            <w:pPr>
              <w:keepNext w:val="0"/>
              <w:keepLines w:val="0"/>
              <w:widowControl/>
              <w:suppressLineNumbers w:val="0"/>
              <w:tabs>
                <w:tab w:val="left" w:pos="690"/>
              </w:tabs>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环保投资总概算（万元）</w:t>
            </w:r>
          </w:p>
        </w:tc>
        <w:tc>
          <w:tcPr>
            <w:tcW w:w="1984" w:type="dxa"/>
            <w:tcMar>
              <w:left w:w="57" w:type="dxa"/>
              <w:right w:w="57" w:type="dxa"/>
            </w:tcMar>
            <w:vAlign w:val="center"/>
          </w:tcPr>
          <w:p w14:paraId="0C648C76">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75.5</w:t>
            </w:r>
          </w:p>
        </w:tc>
        <w:tc>
          <w:tcPr>
            <w:tcW w:w="1422" w:type="dxa"/>
            <w:gridSpan w:val="2"/>
            <w:tcMar>
              <w:left w:w="57" w:type="dxa"/>
              <w:right w:w="57" w:type="dxa"/>
            </w:tcMar>
            <w:vAlign w:val="center"/>
          </w:tcPr>
          <w:p w14:paraId="46B7F6F1">
            <w:pPr>
              <w:keepNext w:val="0"/>
              <w:keepLines w:val="0"/>
              <w:widowControl/>
              <w:suppressLineNumbers w:val="0"/>
              <w:tabs>
                <w:tab w:val="left" w:pos="690"/>
              </w:tabs>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所占比例（</w:t>
            </w:r>
            <w:r>
              <w:rPr>
                <w:rFonts w:hint="default"/>
                <w:b/>
                <w:color w:val="auto"/>
                <w:kern w:val="2"/>
                <w:sz w:val="13"/>
                <w:szCs w:val="15"/>
              </w:rPr>
              <w:t>%</w:t>
            </w:r>
            <w:r>
              <w:rPr>
                <w:rFonts w:hint="eastAsia"/>
                <w:b/>
                <w:color w:val="auto"/>
                <w:kern w:val="2"/>
                <w:sz w:val="13"/>
                <w:szCs w:val="15"/>
              </w:rPr>
              <w:t>）</w:t>
            </w:r>
          </w:p>
        </w:tc>
        <w:tc>
          <w:tcPr>
            <w:tcW w:w="2722" w:type="dxa"/>
            <w:gridSpan w:val="4"/>
            <w:tcMar>
              <w:left w:w="57" w:type="dxa"/>
              <w:right w:w="57" w:type="dxa"/>
            </w:tcMar>
            <w:vAlign w:val="center"/>
          </w:tcPr>
          <w:p w14:paraId="48F5B209">
            <w:pPr>
              <w:keepNext w:val="0"/>
              <w:keepLines w:val="0"/>
              <w:widowControl/>
              <w:suppressLineNumbers w:val="0"/>
              <w:tabs>
                <w:tab w:val="left" w:pos="690"/>
              </w:tabs>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3.78</w:t>
            </w:r>
          </w:p>
        </w:tc>
      </w:tr>
      <w:tr w14:paraId="76337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750A18A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32B385C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实际总投资（万元）</w:t>
            </w:r>
          </w:p>
        </w:tc>
        <w:tc>
          <w:tcPr>
            <w:tcW w:w="5228" w:type="dxa"/>
            <w:gridSpan w:val="6"/>
            <w:tcMar>
              <w:left w:w="57" w:type="dxa"/>
              <w:right w:w="57" w:type="dxa"/>
            </w:tcMar>
            <w:vAlign w:val="center"/>
          </w:tcPr>
          <w:p w14:paraId="7CB004FF">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2000</w:t>
            </w:r>
          </w:p>
        </w:tc>
        <w:tc>
          <w:tcPr>
            <w:tcW w:w="2126" w:type="dxa"/>
            <w:gridSpan w:val="2"/>
            <w:tcMar>
              <w:left w:w="57" w:type="dxa"/>
              <w:right w:w="57" w:type="dxa"/>
            </w:tcMar>
            <w:vAlign w:val="center"/>
          </w:tcPr>
          <w:p w14:paraId="46A98758">
            <w:pPr>
              <w:keepNext w:val="0"/>
              <w:keepLines w:val="0"/>
              <w:widowControl/>
              <w:suppressLineNumbers w:val="0"/>
              <w:spacing w:before="0" w:beforeAutospacing="0" w:after="0" w:afterAutospacing="0" w:line="240" w:lineRule="auto"/>
              <w:ind w:left="0" w:right="300" w:firstLine="0" w:firstLineChars="0"/>
              <w:jc w:val="center"/>
              <w:rPr>
                <w:rFonts w:hint="default"/>
                <w:b/>
                <w:color w:val="auto"/>
                <w:kern w:val="2"/>
                <w:sz w:val="13"/>
                <w:szCs w:val="15"/>
              </w:rPr>
            </w:pPr>
            <w:r>
              <w:rPr>
                <w:rFonts w:hint="eastAsia"/>
                <w:b/>
                <w:color w:val="auto"/>
                <w:kern w:val="2"/>
                <w:sz w:val="13"/>
                <w:szCs w:val="15"/>
              </w:rPr>
              <w:t>实际环保投资（万元）</w:t>
            </w:r>
          </w:p>
        </w:tc>
        <w:tc>
          <w:tcPr>
            <w:tcW w:w="1984" w:type="dxa"/>
            <w:tcMar>
              <w:left w:w="57" w:type="dxa"/>
              <w:right w:w="57" w:type="dxa"/>
            </w:tcMar>
            <w:vAlign w:val="center"/>
          </w:tcPr>
          <w:p w14:paraId="42E25E7F">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70.5</w:t>
            </w:r>
          </w:p>
        </w:tc>
        <w:tc>
          <w:tcPr>
            <w:tcW w:w="1422" w:type="dxa"/>
            <w:gridSpan w:val="2"/>
            <w:tcMar>
              <w:left w:w="57" w:type="dxa"/>
              <w:right w:w="57" w:type="dxa"/>
            </w:tcMar>
            <w:vAlign w:val="center"/>
          </w:tcPr>
          <w:p w14:paraId="2BE7739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所占比例（</w:t>
            </w:r>
            <w:r>
              <w:rPr>
                <w:rFonts w:hint="default"/>
                <w:b/>
                <w:color w:val="auto"/>
                <w:kern w:val="2"/>
                <w:sz w:val="13"/>
                <w:szCs w:val="15"/>
              </w:rPr>
              <w:t>%</w:t>
            </w:r>
            <w:r>
              <w:rPr>
                <w:rFonts w:hint="eastAsia"/>
                <w:b/>
                <w:color w:val="auto"/>
                <w:kern w:val="2"/>
                <w:sz w:val="13"/>
                <w:szCs w:val="15"/>
              </w:rPr>
              <w:t>）</w:t>
            </w:r>
          </w:p>
        </w:tc>
        <w:tc>
          <w:tcPr>
            <w:tcW w:w="2722" w:type="dxa"/>
            <w:gridSpan w:val="4"/>
            <w:tcMar>
              <w:left w:w="57" w:type="dxa"/>
              <w:right w:w="57" w:type="dxa"/>
            </w:tcMar>
            <w:vAlign w:val="center"/>
          </w:tcPr>
          <w:p w14:paraId="6003DFDF">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3.525</w:t>
            </w:r>
          </w:p>
        </w:tc>
      </w:tr>
      <w:tr w14:paraId="4CE6C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14D0DBB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610F921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废水治理（万元）</w:t>
            </w:r>
          </w:p>
        </w:tc>
        <w:tc>
          <w:tcPr>
            <w:tcW w:w="828" w:type="dxa"/>
            <w:tcMar>
              <w:left w:w="57" w:type="dxa"/>
              <w:right w:w="57" w:type="dxa"/>
            </w:tcMar>
            <w:vAlign w:val="center"/>
          </w:tcPr>
          <w:p w14:paraId="1A4BE229">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21</w:t>
            </w:r>
          </w:p>
        </w:tc>
        <w:tc>
          <w:tcPr>
            <w:tcW w:w="1379" w:type="dxa"/>
            <w:tcMar>
              <w:left w:w="57" w:type="dxa"/>
              <w:right w:w="57" w:type="dxa"/>
            </w:tcMar>
            <w:vAlign w:val="center"/>
          </w:tcPr>
          <w:p w14:paraId="619B5F0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废气治理（万元）</w:t>
            </w:r>
          </w:p>
        </w:tc>
        <w:tc>
          <w:tcPr>
            <w:tcW w:w="1036" w:type="dxa"/>
            <w:tcMar>
              <w:left w:w="57" w:type="dxa"/>
              <w:right w:w="57" w:type="dxa"/>
            </w:tcMar>
            <w:vAlign w:val="center"/>
          </w:tcPr>
          <w:p w14:paraId="2E685085">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28</w:t>
            </w:r>
          </w:p>
        </w:tc>
        <w:tc>
          <w:tcPr>
            <w:tcW w:w="1134" w:type="dxa"/>
            <w:gridSpan w:val="2"/>
            <w:tcMar>
              <w:left w:w="57" w:type="dxa"/>
              <w:right w:w="57" w:type="dxa"/>
            </w:tcMar>
            <w:vAlign w:val="center"/>
          </w:tcPr>
          <w:p w14:paraId="3A60190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噪声治理（万元）</w:t>
            </w:r>
          </w:p>
        </w:tc>
        <w:tc>
          <w:tcPr>
            <w:tcW w:w="851" w:type="dxa"/>
            <w:tcMar>
              <w:left w:w="57" w:type="dxa"/>
              <w:right w:w="57" w:type="dxa"/>
            </w:tcMar>
            <w:vAlign w:val="center"/>
          </w:tcPr>
          <w:p w14:paraId="457A9119">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val="en-US" w:eastAsia="zh-CN"/>
              </w:rPr>
              <w:t>6</w:t>
            </w:r>
          </w:p>
        </w:tc>
        <w:tc>
          <w:tcPr>
            <w:tcW w:w="2126" w:type="dxa"/>
            <w:gridSpan w:val="2"/>
            <w:tcMar>
              <w:left w:w="57" w:type="dxa"/>
              <w:right w:w="57" w:type="dxa"/>
            </w:tcMar>
            <w:vAlign w:val="center"/>
          </w:tcPr>
          <w:p w14:paraId="789D6FE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固体废物治理（万元）</w:t>
            </w:r>
          </w:p>
        </w:tc>
        <w:tc>
          <w:tcPr>
            <w:tcW w:w="1984" w:type="dxa"/>
            <w:tcMar>
              <w:left w:w="57" w:type="dxa"/>
              <w:right w:w="57" w:type="dxa"/>
            </w:tcMar>
            <w:vAlign w:val="center"/>
          </w:tcPr>
          <w:p w14:paraId="1269F42F">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13.5</w:t>
            </w:r>
          </w:p>
        </w:tc>
        <w:tc>
          <w:tcPr>
            <w:tcW w:w="1422" w:type="dxa"/>
            <w:gridSpan w:val="2"/>
            <w:tcMar>
              <w:left w:w="57" w:type="dxa"/>
              <w:right w:w="57" w:type="dxa"/>
            </w:tcMar>
            <w:vAlign w:val="center"/>
          </w:tcPr>
          <w:p w14:paraId="5629CC2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绿化及生态（万元）</w:t>
            </w:r>
          </w:p>
        </w:tc>
        <w:tc>
          <w:tcPr>
            <w:tcW w:w="826" w:type="dxa"/>
            <w:tcMar>
              <w:left w:w="57" w:type="dxa"/>
              <w:right w:w="57" w:type="dxa"/>
            </w:tcMar>
            <w:vAlign w:val="center"/>
          </w:tcPr>
          <w:p w14:paraId="251610F6">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val="en-US" w:eastAsia="zh-CN"/>
              </w:rPr>
              <w:t>/</w:t>
            </w:r>
          </w:p>
        </w:tc>
        <w:tc>
          <w:tcPr>
            <w:tcW w:w="1102" w:type="dxa"/>
            <w:gridSpan w:val="2"/>
            <w:tcMar>
              <w:left w:w="57" w:type="dxa"/>
              <w:right w:w="57" w:type="dxa"/>
            </w:tcMar>
            <w:vAlign w:val="center"/>
          </w:tcPr>
          <w:p w14:paraId="56982DB8">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其他（万元）</w:t>
            </w:r>
          </w:p>
        </w:tc>
        <w:tc>
          <w:tcPr>
            <w:tcW w:w="794" w:type="dxa"/>
            <w:tcMar>
              <w:left w:w="57" w:type="dxa"/>
              <w:right w:w="57" w:type="dxa"/>
            </w:tcMar>
            <w:vAlign w:val="center"/>
          </w:tcPr>
          <w:p w14:paraId="43462336">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2</w:t>
            </w:r>
          </w:p>
        </w:tc>
      </w:tr>
      <w:tr w14:paraId="3C697F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430" w:type="dxa"/>
            <w:vMerge w:val="continue"/>
            <w:tcMar>
              <w:left w:w="57" w:type="dxa"/>
              <w:right w:w="57" w:type="dxa"/>
            </w:tcMar>
            <w:vAlign w:val="center"/>
          </w:tcPr>
          <w:p w14:paraId="14262AE3">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64" w:type="dxa"/>
            <w:gridSpan w:val="3"/>
            <w:tcMar>
              <w:left w:w="57" w:type="dxa"/>
              <w:right w:w="57" w:type="dxa"/>
            </w:tcMar>
            <w:vAlign w:val="center"/>
          </w:tcPr>
          <w:p w14:paraId="3BD9695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新增废水处理设施能力</w:t>
            </w:r>
          </w:p>
        </w:tc>
        <w:tc>
          <w:tcPr>
            <w:tcW w:w="5228" w:type="dxa"/>
            <w:gridSpan w:val="6"/>
            <w:tcMar>
              <w:left w:w="57" w:type="dxa"/>
              <w:right w:w="57" w:type="dxa"/>
            </w:tcMar>
            <w:vAlign w:val="center"/>
          </w:tcPr>
          <w:p w14:paraId="2F41563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rPr>
              <w:t>/</w:t>
            </w:r>
          </w:p>
        </w:tc>
        <w:tc>
          <w:tcPr>
            <w:tcW w:w="2126" w:type="dxa"/>
            <w:gridSpan w:val="2"/>
            <w:tcMar>
              <w:left w:w="57" w:type="dxa"/>
              <w:right w:w="57" w:type="dxa"/>
            </w:tcMar>
            <w:vAlign w:val="center"/>
          </w:tcPr>
          <w:p w14:paraId="4FE7F52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新增废气处理设施能力</w:t>
            </w:r>
          </w:p>
        </w:tc>
        <w:tc>
          <w:tcPr>
            <w:tcW w:w="1984" w:type="dxa"/>
            <w:tcMar>
              <w:left w:w="57" w:type="dxa"/>
              <w:right w:w="57" w:type="dxa"/>
            </w:tcMar>
            <w:vAlign w:val="center"/>
          </w:tcPr>
          <w:p w14:paraId="0D20BC8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rPr>
              <w:t>/</w:t>
            </w:r>
          </w:p>
        </w:tc>
        <w:tc>
          <w:tcPr>
            <w:tcW w:w="1422" w:type="dxa"/>
            <w:gridSpan w:val="2"/>
            <w:tcMar>
              <w:left w:w="57" w:type="dxa"/>
              <w:right w:w="57" w:type="dxa"/>
            </w:tcMar>
            <w:vAlign w:val="center"/>
          </w:tcPr>
          <w:p w14:paraId="0C6A2B1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年平均工作时间</w:t>
            </w:r>
          </w:p>
        </w:tc>
        <w:tc>
          <w:tcPr>
            <w:tcW w:w="2722" w:type="dxa"/>
            <w:gridSpan w:val="4"/>
            <w:tcMar>
              <w:left w:w="57" w:type="dxa"/>
              <w:right w:w="57" w:type="dxa"/>
            </w:tcMar>
            <w:vAlign w:val="center"/>
          </w:tcPr>
          <w:p w14:paraId="0B90D75E">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lang w:val="en-US" w:eastAsia="zh-CN"/>
              </w:rPr>
              <w:t>300</w:t>
            </w:r>
            <w:r>
              <w:rPr>
                <w:rFonts w:hint="eastAsia"/>
                <w:b/>
                <w:color w:val="auto"/>
                <w:kern w:val="2"/>
                <w:sz w:val="13"/>
                <w:szCs w:val="15"/>
              </w:rPr>
              <w:t>天</w:t>
            </w:r>
          </w:p>
        </w:tc>
      </w:tr>
      <w:tr w14:paraId="2A3305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2394" w:type="dxa"/>
            <w:gridSpan w:val="4"/>
            <w:tcMar>
              <w:left w:w="57" w:type="dxa"/>
              <w:right w:w="57" w:type="dxa"/>
            </w:tcMar>
            <w:vAlign w:val="center"/>
          </w:tcPr>
          <w:p w14:paraId="485EBB9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运营单位</w:t>
            </w:r>
          </w:p>
        </w:tc>
        <w:tc>
          <w:tcPr>
            <w:tcW w:w="4235" w:type="dxa"/>
            <w:gridSpan w:val="4"/>
            <w:tcMar>
              <w:left w:w="57" w:type="dxa"/>
              <w:right w:w="57" w:type="dxa"/>
            </w:tcMar>
            <w:vAlign w:val="center"/>
          </w:tcPr>
          <w:p w14:paraId="2C337ECC">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eastAsia="zh-CN"/>
              </w:rPr>
              <w:t>四川金顶维食品有限公司</w:t>
            </w:r>
          </w:p>
        </w:tc>
        <w:tc>
          <w:tcPr>
            <w:tcW w:w="3119" w:type="dxa"/>
            <w:gridSpan w:val="4"/>
            <w:tcMar>
              <w:left w:w="57" w:type="dxa"/>
              <w:right w:w="57" w:type="dxa"/>
            </w:tcMar>
            <w:vAlign w:val="center"/>
          </w:tcPr>
          <w:p w14:paraId="709890E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运营单位</w:t>
            </w:r>
            <w:r>
              <w:rPr>
                <w:rFonts w:hint="default"/>
                <w:b/>
                <w:color w:val="auto"/>
                <w:kern w:val="2"/>
                <w:sz w:val="13"/>
                <w:szCs w:val="15"/>
              </w:rPr>
              <w:t xml:space="preserve">  </w:t>
            </w:r>
            <w:r>
              <w:rPr>
                <w:rFonts w:hint="eastAsia"/>
                <w:b/>
                <w:color w:val="auto"/>
                <w:kern w:val="2"/>
                <w:sz w:val="13"/>
                <w:szCs w:val="15"/>
              </w:rPr>
              <w:t>社会统一信用代码（或组织机构代码）</w:t>
            </w:r>
          </w:p>
        </w:tc>
        <w:tc>
          <w:tcPr>
            <w:tcW w:w="1984" w:type="dxa"/>
            <w:tcMar>
              <w:left w:w="57" w:type="dxa"/>
              <w:right w:w="57" w:type="dxa"/>
            </w:tcMar>
            <w:vAlign w:val="center"/>
          </w:tcPr>
          <w:p w14:paraId="066B1529">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91511402098552144K</w:t>
            </w:r>
          </w:p>
        </w:tc>
        <w:tc>
          <w:tcPr>
            <w:tcW w:w="1422" w:type="dxa"/>
            <w:gridSpan w:val="2"/>
            <w:tcMar>
              <w:left w:w="57" w:type="dxa"/>
              <w:right w:w="57" w:type="dxa"/>
            </w:tcMar>
            <w:vAlign w:val="center"/>
          </w:tcPr>
          <w:p w14:paraId="5A7A5C03">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验收时间</w:t>
            </w:r>
          </w:p>
        </w:tc>
        <w:tc>
          <w:tcPr>
            <w:tcW w:w="2722" w:type="dxa"/>
            <w:gridSpan w:val="4"/>
            <w:tcMar>
              <w:left w:w="57" w:type="dxa"/>
              <w:right w:w="57" w:type="dxa"/>
            </w:tcMar>
            <w:vAlign w:val="center"/>
          </w:tcPr>
          <w:p w14:paraId="57ABDF5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default"/>
                <w:b/>
                <w:color w:val="auto"/>
                <w:kern w:val="2"/>
                <w:sz w:val="13"/>
                <w:szCs w:val="15"/>
              </w:rPr>
              <w:t>202</w:t>
            </w:r>
            <w:r>
              <w:rPr>
                <w:rFonts w:hint="eastAsia"/>
                <w:b/>
                <w:color w:val="auto"/>
                <w:kern w:val="2"/>
                <w:sz w:val="13"/>
                <w:szCs w:val="15"/>
                <w:lang w:val="en-US" w:eastAsia="zh-CN"/>
              </w:rPr>
              <w:t>4</w:t>
            </w:r>
            <w:r>
              <w:rPr>
                <w:rFonts w:hint="eastAsia"/>
                <w:b/>
                <w:color w:val="auto"/>
                <w:kern w:val="2"/>
                <w:sz w:val="13"/>
                <w:szCs w:val="15"/>
              </w:rPr>
              <w:t>年</w:t>
            </w:r>
            <w:r>
              <w:rPr>
                <w:rFonts w:hint="eastAsia"/>
                <w:b/>
                <w:color w:val="auto"/>
                <w:kern w:val="2"/>
                <w:sz w:val="13"/>
                <w:szCs w:val="15"/>
                <w:lang w:val="en-US" w:eastAsia="zh-CN"/>
              </w:rPr>
              <w:t>7</w:t>
            </w:r>
            <w:r>
              <w:rPr>
                <w:rFonts w:hint="eastAsia"/>
                <w:b/>
                <w:color w:val="auto"/>
                <w:kern w:val="2"/>
                <w:sz w:val="13"/>
                <w:szCs w:val="15"/>
              </w:rPr>
              <w:t>月</w:t>
            </w:r>
          </w:p>
        </w:tc>
      </w:tr>
      <w:tr w14:paraId="244811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restart"/>
            <w:tcMar>
              <w:left w:w="57" w:type="dxa"/>
              <w:right w:w="57" w:type="dxa"/>
            </w:tcMar>
            <w:vAlign w:val="center"/>
          </w:tcPr>
          <w:p w14:paraId="76D1F412">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污染</w:t>
            </w:r>
          </w:p>
          <w:p w14:paraId="2B32D69B">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物排</w:t>
            </w:r>
          </w:p>
          <w:p w14:paraId="0CFA6E8E">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放达</w:t>
            </w:r>
          </w:p>
          <w:p w14:paraId="028BA240">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标与</w:t>
            </w:r>
          </w:p>
          <w:p w14:paraId="09EAC351">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总量</w:t>
            </w:r>
          </w:p>
          <w:p w14:paraId="516B531B">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控制（工</w:t>
            </w:r>
          </w:p>
          <w:p w14:paraId="75930DA1">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业建</w:t>
            </w:r>
          </w:p>
          <w:p w14:paraId="5A31D8F9">
            <w:pPr>
              <w:keepNext w:val="0"/>
              <w:keepLines w:val="0"/>
              <w:widowControl/>
              <w:suppressLineNumbers w:val="0"/>
              <w:spacing w:before="0" w:beforeAutospacing="0" w:after="0" w:afterAutospacing="0" w:line="240" w:lineRule="auto"/>
              <w:ind w:left="0" w:right="0" w:firstLine="0" w:firstLineChars="0"/>
              <w:jc w:val="center"/>
              <w:rPr>
                <w:rFonts w:hint="default"/>
                <w:b/>
                <w:color w:val="auto"/>
                <w:spacing w:val="20"/>
                <w:kern w:val="2"/>
                <w:sz w:val="13"/>
                <w:szCs w:val="15"/>
              </w:rPr>
            </w:pPr>
            <w:r>
              <w:rPr>
                <w:rFonts w:hint="eastAsia"/>
                <w:b/>
                <w:color w:val="auto"/>
                <w:spacing w:val="20"/>
                <w:kern w:val="2"/>
                <w:sz w:val="13"/>
                <w:szCs w:val="15"/>
              </w:rPr>
              <w:t>设项</w:t>
            </w:r>
            <w:r>
              <w:rPr>
                <w:rFonts w:hint="eastAsia"/>
                <w:b/>
                <w:color w:val="auto"/>
                <w:spacing w:val="20"/>
                <w:kern w:val="2"/>
                <w:sz w:val="13"/>
                <w:szCs w:val="15"/>
                <w:lang w:eastAsia="zh-CN"/>
              </w:rPr>
              <w:t>（</w:t>
            </w:r>
            <w:r>
              <w:rPr>
                <w:rFonts w:hint="eastAsia"/>
                <w:b/>
                <w:color w:val="auto"/>
                <w:spacing w:val="20"/>
                <w:kern w:val="2"/>
                <w:sz w:val="13"/>
                <w:szCs w:val="15"/>
              </w:rPr>
              <w:t>目详填）</w:t>
            </w:r>
          </w:p>
        </w:tc>
        <w:tc>
          <w:tcPr>
            <w:tcW w:w="1796" w:type="dxa"/>
            <w:gridSpan w:val="2"/>
            <w:tcMar>
              <w:left w:w="57" w:type="dxa"/>
              <w:right w:w="57" w:type="dxa"/>
            </w:tcMar>
            <w:vAlign w:val="center"/>
          </w:tcPr>
          <w:p w14:paraId="736B6AE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污染物</w:t>
            </w:r>
          </w:p>
        </w:tc>
        <w:tc>
          <w:tcPr>
            <w:tcW w:w="828" w:type="dxa"/>
            <w:tcMar>
              <w:left w:w="57" w:type="dxa"/>
              <w:right w:w="57" w:type="dxa"/>
            </w:tcMar>
            <w:vAlign w:val="center"/>
          </w:tcPr>
          <w:p w14:paraId="378CF08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原有排</w:t>
            </w:r>
            <w:r>
              <w:rPr>
                <w:rFonts w:hint="eastAsia"/>
                <w:b/>
                <w:color w:val="auto"/>
                <w:kern w:val="2"/>
                <w:sz w:val="13"/>
                <w:szCs w:val="15"/>
                <w:lang w:val="en-US" w:eastAsia="zh-CN"/>
              </w:rPr>
              <w:t>放</w:t>
            </w:r>
            <w:r>
              <w:rPr>
                <w:rFonts w:hint="eastAsia"/>
                <w:b/>
                <w:color w:val="auto"/>
                <w:kern w:val="2"/>
                <w:sz w:val="13"/>
                <w:szCs w:val="15"/>
              </w:rPr>
              <w:t>量</w:t>
            </w:r>
            <w:r>
              <w:rPr>
                <w:rFonts w:hint="default"/>
                <w:b/>
                <w:color w:val="auto"/>
                <w:kern w:val="2"/>
                <w:sz w:val="13"/>
                <w:szCs w:val="15"/>
              </w:rPr>
              <w:t>(1)</w:t>
            </w:r>
          </w:p>
        </w:tc>
        <w:tc>
          <w:tcPr>
            <w:tcW w:w="1379" w:type="dxa"/>
            <w:tcMar>
              <w:left w:w="57" w:type="dxa"/>
              <w:right w:w="57" w:type="dxa"/>
            </w:tcMar>
            <w:vAlign w:val="center"/>
          </w:tcPr>
          <w:p w14:paraId="3BDB6B8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本期工程实际排放</w:t>
            </w:r>
            <w:r>
              <w:rPr>
                <w:rFonts w:hint="eastAsia"/>
                <w:b/>
                <w:color w:val="auto"/>
                <w:kern w:val="2"/>
                <w:sz w:val="13"/>
                <w:szCs w:val="15"/>
                <w:lang w:val="en-US" w:eastAsia="zh-CN"/>
              </w:rPr>
              <w:t>浓</w:t>
            </w:r>
            <w:r>
              <w:rPr>
                <w:rFonts w:hint="eastAsia"/>
                <w:b/>
                <w:color w:val="auto"/>
                <w:kern w:val="2"/>
                <w:sz w:val="13"/>
                <w:szCs w:val="15"/>
              </w:rPr>
              <w:t>度</w:t>
            </w:r>
            <w:r>
              <w:rPr>
                <w:rFonts w:hint="default"/>
                <w:b/>
                <w:color w:val="auto"/>
                <w:kern w:val="2"/>
                <w:sz w:val="13"/>
                <w:szCs w:val="15"/>
              </w:rPr>
              <w:t>(2)</w:t>
            </w:r>
          </w:p>
        </w:tc>
        <w:tc>
          <w:tcPr>
            <w:tcW w:w="1036" w:type="dxa"/>
            <w:tcMar>
              <w:left w:w="57" w:type="dxa"/>
              <w:right w:w="57" w:type="dxa"/>
            </w:tcMar>
            <w:vAlign w:val="center"/>
          </w:tcPr>
          <w:p w14:paraId="7FBD2818">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本期工程</w:t>
            </w:r>
            <w:r>
              <w:rPr>
                <w:rFonts w:hint="eastAsia"/>
                <w:b/>
                <w:color w:val="auto"/>
                <w:kern w:val="2"/>
                <w:sz w:val="13"/>
                <w:szCs w:val="15"/>
                <w:lang w:val="en-US" w:eastAsia="zh-CN"/>
              </w:rPr>
              <w:t>允许</w:t>
            </w:r>
            <w:r>
              <w:rPr>
                <w:rFonts w:hint="eastAsia"/>
                <w:b/>
                <w:color w:val="auto"/>
                <w:kern w:val="2"/>
                <w:sz w:val="13"/>
                <w:szCs w:val="15"/>
              </w:rPr>
              <w:t>排放浓度</w:t>
            </w:r>
            <w:r>
              <w:rPr>
                <w:rFonts w:hint="default"/>
                <w:b/>
                <w:color w:val="auto"/>
                <w:kern w:val="2"/>
                <w:sz w:val="13"/>
                <w:szCs w:val="15"/>
              </w:rPr>
              <w:t>(3)</w:t>
            </w:r>
          </w:p>
        </w:tc>
        <w:tc>
          <w:tcPr>
            <w:tcW w:w="992" w:type="dxa"/>
            <w:tcMar>
              <w:left w:w="57" w:type="dxa"/>
              <w:right w:w="57" w:type="dxa"/>
            </w:tcMar>
            <w:vAlign w:val="center"/>
          </w:tcPr>
          <w:p w14:paraId="064FCDD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本期工程</w:t>
            </w:r>
            <w:r>
              <w:rPr>
                <w:rFonts w:hint="eastAsia"/>
                <w:b/>
                <w:color w:val="auto"/>
                <w:kern w:val="2"/>
                <w:sz w:val="13"/>
                <w:szCs w:val="15"/>
                <w:lang w:val="en-US" w:eastAsia="zh-CN"/>
              </w:rPr>
              <w:t>产</w:t>
            </w:r>
            <w:r>
              <w:rPr>
                <w:rFonts w:hint="eastAsia"/>
                <w:b/>
                <w:color w:val="auto"/>
                <w:kern w:val="2"/>
                <w:sz w:val="13"/>
                <w:szCs w:val="15"/>
              </w:rPr>
              <w:t>生量</w:t>
            </w:r>
            <w:r>
              <w:rPr>
                <w:rFonts w:hint="default"/>
                <w:b/>
                <w:color w:val="auto"/>
                <w:kern w:val="2"/>
                <w:sz w:val="13"/>
                <w:szCs w:val="15"/>
              </w:rPr>
              <w:t>(4)</w:t>
            </w:r>
          </w:p>
        </w:tc>
        <w:tc>
          <w:tcPr>
            <w:tcW w:w="993" w:type="dxa"/>
            <w:gridSpan w:val="2"/>
            <w:tcMar>
              <w:left w:w="57" w:type="dxa"/>
              <w:right w:w="57" w:type="dxa"/>
            </w:tcMar>
            <w:vAlign w:val="center"/>
          </w:tcPr>
          <w:p w14:paraId="6EA3FAA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本期工程自身</w:t>
            </w:r>
            <w:r>
              <w:rPr>
                <w:rFonts w:hint="eastAsia"/>
                <w:b/>
                <w:color w:val="auto"/>
                <w:kern w:val="2"/>
                <w:sz w:val="13"/>
                <w:szCs w:val="15"/>
                <w:lang w:val="en-US" w:eastAsia="zh-CN"/>
              </w:rPr>
              <w:t>削</w:t>
            </w:r>
            <w:r>
              <w:rPr>
                <w:rFonts w:hint="eastAsia"/>
                <w:b/>
                <w:color w:val="auto"/>
                <w:kern w:val="2"/>
                <w:sz w:val="13"/>
                <w:szCs w:val="15"/>
              </w:rPr>
              <w:t>减量</w:t>
            </w:r>
            <w:r>
              <w:rPr>
                <w:rFonts w:hint="default"/>
                <w:b/>
                <w:color w:val="auto"/>
                <w:kern w:val="2"/>
                <w:sz w:val="13"/>
                <w:szCs w:val="15"/>
              </w:rPr>
              <w:t>(5)</w:t>
            </w:r>
          </w:p>
        </w:tc>
        <w:tc>
          <w:tcPr>
            <w:tcW w:w="1134" w:type="dxa"/>
            <w:tcMar>
              <w:left w:w="57" w:type="dxa"/>
              <w:right w:w="57" w:type="dxa"/>
            </w:tcMar>
            <w:vAlign w:val="center"/>
          </w:tcPr>
          <w:p w14:paraId="7BEA42D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本期工程实际排</w:t>
            </w:r>
            <w:r>
              <w:rPr>
                <w:rFonts w:hint="eastAsia"/>
                <w:b/>
                <w:color w:val="auto"/>
                <w:kern w:val="2"/>
                <w:sz w:val="13"/>
                <w:szCs w:val="15"/>
                <w:lang w:val="en-US" w:eastAsia="zh-CN"/>
              </w:rPr>
              <w:t>放</w:t>
            </w:r>
            <w:r>
              <w:rPr>
                <w:rFonts w:hint="eastAsia"/>
                <w:b/>
                <w:color w:val="auto"/>
                <w:kern w:val="2"/>
                <w:sz w:val="13"/>
                <w:szCs w:val="15"/>
              </w:rPr>
              <w:t>量</w:t>
            </w:r>
            <w:r>
              <w:rPr>
                <w:rFonts w:hint="default"/>
                <w:b/>
                <w:color w:val="auto"/>
                <w:kern w:val="2"/>
                <w:sz w:val="13"/>
                <w:szCs w:val="15"/>
              </w:rPr>
              <w:t>(6)</w:t>
            </w:r>
          </w:p>
        </w:tc>
        <w:tc>
          <w:tcPr>
            <w:tcW w:w="992" w:type="dxa"/>
            <w:tcMar>
              <w:left w:w="57" w:type="dxa"/>
              <w:right w:w="57" w:type="dxa"/>
            </w:tcMar>
            <w:vAlign w:val="center"/>
          </w:tcPr>
          <w:p w14:paraId="4F76ADB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本期工程核定排放总量</w:t>
            </w:r>
            <w:r>
              <w:rPr>
                <w:rFonts w:hint="default"/>
                <w:b/>
                <w:color w:val="auto"/>
                <w:kern w:val="2"/>
                <w:sz w:val="13"/>
                <w:szCs w:val="15"/>
              </w:rPr>
              <w:t>(</w:t>
            </w:r>
            <w:r>
              <w:rPr>
                <w:rFonts w:hint="eastAsia"/>
                <w:b/>
                <w:color w:val="auto"/>
                <w:kern w:val="2"/>
                <w:sz w:val="13"/>
                <w:szCs w:val="15"/>
                <w:lang w:val="en-US" w:eastAsia="zh-CN"/>
              </w:rPr>
              <w:t>7</w:t>
            </w:r>
            <w:r>
              <w:rPr>
                <w:rFonts w:hint="default"/>
                <w:b/>
                <w:color w:val="auto"/>
                <w:kern w:val="2"/>
                <w:sz w:val="13"/>
                <w:szCs w:val="15"/>
              </w:rPr>
              <w:t>)</w:t>
            </w:r>
          </w:p>
        </w:tc>
        <w:tc>
          <w:tcPr>
            <w:tcW w:w="1984" w:type="dxa"/>
            <w:tcMar>
              <w:left w:w="57" w:type="dxa"/>
              <w:right w:w="57" w:type="dxa"/>
            </w:tcMar>
            <w:vAlign w:val="center"/>
          </w:tcPr>
          <w:p w14:paraId="3C544C5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本期工程</w:t>
            </w:r>
            <w:r>
              <w:rPr>
                <w:rFonts w:hint="default"/>
                <w:b/>
                <w:color w:val="auto"/>
                <w:kern w:val="2"/>
                <w:sz w:val="13"/>
                <w:szCs w:val="15"/>
              </w:rPr>
              <w:t>“</w:t>
            </w:r>
            <w:r>
              <w:rPr>
                <w:rFonts w:hint="eastAsia"/>
                <w:b/>
                <w:color w:val="auto"/>
                <w:kern w:val="2"/>
                <w:sz w:val="13"/>
                <w:szCs w:val="15"/>
              </w:rPr>
              <w:t>以新带老削减量</w:t>
            </w:r>
            <w:r>
              <w:rPr>
                <w:rFonts w:hint="default"/>
                <w:b/>
                <w:color w:val="auto"/>
                <w:kern w:val="2"/>
                <w:sz w:val="13"/>
                <w:szCs w:val="15"/>
              </w:rPr>
              <w:t>(8)</w:t>
            </w:r>
          </w:p>
        </w:tc>
        <w:tc>
          <w:tcPr>
            <w:tcW w:w="1004" w:type="dxa"/>
            <w:tcMar>
              <w:left w:w="57" w:type="dxa"/>
              <w:right w:w="57" w:type="dxa"/>
            </w:tcMar>
            <w:vAlign w:val="center"/>
          </w:tcPr>
          <w:p w14:paraId="1D5071D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全厂实际</w:t>
            </w:r>
            <w:r>
              <w:rPr>
                <w:rFonts w:hint="eastAsia"/>
                <w:b/>
                <w:color w:val="auto"/>
                <w:kern w:val="2"/>
                <w:sz w:val="13"/>
                <w:szCs w:val="15"/>
                <w:lang w:val="en-US" w:eastAsia="zh-CN"/>
              </w:rPr>
              <w:t>排</w:t>
            </w:r>
            <w:r>
              <w:rPr>
                <w:rFonts w:hint="eastAsia"/>
                <w:b/>
                <w:color w:val="auto"/>
                <w:kern w:val="2"/>
                <w:sz w:val="13"/>
                <w:szCs w:val="15"/>
              </w:rPr>
              <w:t>放总量</w:t>
            </w:r>
            <w:r>
              <w:rPr>
                <w:rFonts w:hint="default"/>
                <w:b/>
                <w:color w:val="auto"/>
                <w:kern w:val="2"/>
                <w:sz w:val="13"/>
                <w:szCs w:val="15"/>
              </w:rPr>
              <w:t>(9)</w:t>
            </w:r>
          </w:p>
        </w:tc>
        <w:tc>
          <w:tcPr>
            <w:tcW w:w="1244" w:type="dxa"/>
            <w:gridSpan w:val="2"/>
            <w:tcMar>
              <w:left w:w="57" w:type="dxa"/>
              <w:right w:w="57" w:type="dxa"/>
            </w:tcMar>
            <w:vAlign w:val="center"/>
          </w:tcPr>
          <w:p w14:paraId="5144D3E8">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全厂核定排放</w:t>
            </w:r>
            <w:r>
              <w:rPr>
                <w:rFonts w:hint="eastAsia"/>
                <w:b/>
                <w:color w:val="auto"/>
                <w:kern w:val="2"/>
                <w:sz w:val="13"/>
                <w:szCs w:val="15"/>
                <w:lang w:val="en-US" w:eastAsia="zh-CN"/>
              </w:rPr>
              <w:t>总</w:t>
            </w:r>
            <w:r>
              <w:rPr>
                <w:rFonts w:hint="eastAsia"/>
                <w:b/>
                <w:color w:val="auto"/>
                <w:kern w:val="2"/>
                <w:sz w:val="13"/>
                <w:szCs w:val="15"/>
              </w:rPr>
              <w:t>量</w:t>
            </w:r>
            <w:r>
              <w:rPr>
                <w:rFonts w:hint="default"/>
                <w:b/>
                <w:color w:val="auto"/>
                <w:kern w:val="2"/>
                <w:sz w:val="13"/>
                <w:szCs w:val="15"/>
              </w:rPr>
              <w:t>(10)</w:t>
            </w:r>
          </w:p>
        </w:tc>
        <w:tc>
          <w:tcPr>
            <w:tcW w:w="1102" w:type="dxa"/>
            <w:gridSpan w:val="2"/>
            <w:tcMar>
              <w:left w:w="57" w:type="dxa"/>
              <w:right w:w="57" w:type="dxa"/>
            </w:tcMar>
            <w:vAlign w:val="center"/>
          </w:tcPr>
          <w:p w14:paraId="465367C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区域</w:t>
            </w:r>
            <w:r>
              <w:rPr>
                <w:rFonts w:hint="eastAsia"/>
                <w:b/>
                <w:color w:val="auto"/>
                <w:kern w:val="2"/>
                <w:sz w:val="13"/>
                <w:szCs w:val="15"/>
                <w:lang w:val="en-US" w:eastAsia="zh-CN"/>
              </w:rPr>
              <w:t>平衡</w:t>
            </w:r>
            <w:r>
              <w:rPr>
                <w:rFonts w:hint="eastAsia"/>
                <w:b/>
                <w:color w:val="auto"/>
                <w:kern w:val="2"/>
                <w:sz w:val="13"/>
                <w:szCs w:val="15"/>
              </w:rPr>
              <w:t>替代削减量</w:t>
            </w:r>
            <w:r>
              <w:rPr>
                <w:rFonts w:hint="default"/>
                <w:b/>
                <w:color w:val="auto"/>
                <w:kern w:val="2"/>
                <w:sz w:val="13"/>
                <w:szCs w:val="15"/>
              </w:rPr>
              <w:t>(11)</w:t>
            </w:r>
          </w:p>
        </w:tc>
        <w:tc>
          <w:tcPr>
            <w:tcW w:w="794" w:type="dxa"/>
            <w:tcMar>
              <w:left w:w="57" w:type="dxa"/>
              <w:right w:w="57" w:type="dxa"/>
            </w:tcMar>
            <w:vAlign w:val="center"/>
          </w:tcPr>
          <w:p w14:paraId="3305993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排放增减量</w:t>
            </w:r>
            <w:r>
              <w:rPr>
                <w:rFonts w:hint="default"/>
                <w:b/>
                <w:color w:val="auto"/>
                <w:kern w:val="2"/>
                <w:sz w:val="13"/>
                <w:szCs w:val="15"/>
              </w:rPr>
              <w:t>(12)</w:t>
            </w:r>
          </w:p>
        </w:tc>
      </w:tr>
      <w:tr w14:paraId="491C5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5613BFC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796" w:type="dxa"/>
            <w:gridSpan w:val="2"/>
            <w:tcMar>
              <w:left w:w="57" w:type="dxa"/>
              <w:right w:w="57" w:type="dxa"/>
            </w:tcMar>
            <w:vAlign w:val="center"/>
          </w:tcPr>
          <w:p w14:paraId="3DB9590E">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废水</w:t>
            </w:r>
          </w:p>
        </w:tc>
        <w:tc>
          <w:tcPr>
            <w:tcW w:w="828" w:type="dxa"/>
            <w:tcMar>
              <w:left w:w="57" w:type="dxa"/>
              <w:right w:w="57" w:type="dxa"/>
            </w:tcMar>
            <w:vAlign w:val="center"/>
          </w:tcPr>
          <w:p w14:paraId="7B12158F">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0.1956</w:t>
            </w:r>
          </w:p>
        </w:tc>
        <w:tc>
          <w:tcPr>
            <w:tcW w:w="1379" w:type="dxa"/>
            <w:tcMar>
              <w:left w:w="57" w:type="dxa"/>
              <w:right w:w="57" w:type="dxa"/>
            </w:tcMar>
            <w:vAlign w:val="center"/>
          </w:tcPr>
          <w:p w14:paraId="74997FEB">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36" w:type="dxa"/>
            <w:tcMar>
              <w:left w:w="57" w:type="dxa"/>
              <w:right w:w="57" w:type="dxa"/>
            </w:tcMar>
            <w:vAlign w:val="center"/>
          </w:tcPr>
          <w:p w14:paraId="18742A7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24BA34E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3" w:type="dxa"/>
            <w:gridSpan w:val="2"/>
            <w:tcMar>
              <w:left w:w="57" w:type="dxa"/>
              <w:right w:w="57" w:type="dxa"/>
            </w:tcMar>
            <w:vAlign w:val="center"/>
          </w:tcPr>
          <w:p w14:paraId="1EBE7A6F">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34" w:type="dxa"/>
            <w:tcMar>
              <w:left w:w="57" w:type="dxa"/>
              <w:right w:w="57" w:type="dxa"/>
            </w:tcMar>
            <w:vAlign w:val="center"/>
          </w:tcPr>
          <w:p w14:paraId="30F65F2E">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0.2526</w:t>
            </w:r>
          </w:p>
        </w:tc>
        <w:tc>
          <w:tcPr>
            <w:tcW w:w="992" w:type="dxa"/>
            <w:tcMar>
              <w:left w:w="57" w:type="dxa"/>
              <w:right w:w="57" w:type="dxa"/>
            </w:tcMar>
            <w:vAlign w:val="center"/>
          </w:tcPr>
          <w:p w14:paraId="0473B53D">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
                <w:sz w:val="13"/>
                <w:szCs w:val="15"/>
                <w:lang w:val="en-US" w:eastAsia="zh-CN" w:bidi="ar-SA"/>
              </w:rPr>
            </w:pPr>
            <w:r>
              <w:rPr>
                <w:rFonts w:hint="eastAsia" w:cs="Times New Roman"/>
                <w:b/>
                <w:color w:val="auto"/>
                <w:kern w:val="2"/>
                <w:sz w:val="13"/>
                <w:szCs w:val="15"/>
                <w:lang w:val="en-US" w:eastAsia="zh-CN" w:bidi="ar-SA"/>
              </w:rPr>
              <w:t>0.2526</w:t>
            </w:r>
          </w:p>
        </w:tc>
        <w:tc>
          <w:tcPr>
            <w:tcW w:w="1984" w:type="dxa"/>
            <w:tcMar>
              <w:left w:w="57" w:type="dxa"/>
              <w:right w:w="57" w:type="dxa"/>
            </w:tcMar>
            <w:vAlign w:val="center"/>
          </w:tcPr>
          <w:p w14:paraId="7B60E64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04" w:type="dxa"/>
            <w:tcMar>
              <w:left w:w="57" w:type="dxa"/>
              <w:right w:w="57" w:type="dxa"/>
            </w:tcMar>
            <w:vAlign w:val="center"/>
          </w:tcPr>
          <w:p w14:paraId="76008E5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244" w:type="dxa"/>
            <w:gridSpan w:val="2"/>
            <w:tcMar>
              <w:left w:w="57" w:type="dxa"/>
              <w:right w:w="57" w:type="dxa"/>
            </w:tcMar>
            <w:vAlign w:val="center"/>
          </w:tcPr>
          <w:p w14:paraId="2D4EC898">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b/>
                <w:color w:val="auto"/>
                <w:kern w:val="2"/>
                <w:sz w:val="13"/>
                <w:szCs w:val="15"/>
                <w:lang w:val="en-US"/>
              </w:rPr>
            </w:pPr>
            <w:r>
              <w:rPr>
                <w:rFonts w:hint="eastAsia"/>
                <w:b/>
                <w:color w:val="auto"/>
                <w:kern w:val="2"/>
                <w:sz w:val="13"/>
                <w:szCs w:val="15"/>
                <w:lang w:val="en-US" w:eastAsia="zh-CN"/>
              </w:rPr>
              <w:t>0.4482</w:t>
            </w:r>
          </w:p>
        </w:tc>
        <w:tc>
          <w:tcPr>
            <w:tcW w:w="1102" w:type="dxa"/>
            <w:gridSpan w:val="2"/>
            <w:tcMar>
              <w:left w:w="57" w:type="dxa"/>
              <w:right w:w="57" w:type="dxa"/>
            </w:tcMar>
            <w:vAlign w:val="center"/>
          </w:tcPr>
          <w:p w14:paraId="1DF0FFEF">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794" w:type="dxa"/>
            <w:tcMar>
              <w:left w:w="57" w:type="dxa"/>
              <w:right w:w="57" w:type="dxa"/>
            </w:tcMar>
            <w:vAlign w:val="center"/>
          </w:tcPr>
          <w:p w14:paraId="71DD258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r>
      <w:tr w14:paraId="76200B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07925D1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796" w:type="dxa"/>
            <w:gridSpan w:val="2"/>
            <w:tcMar>
              <w:left w:w="57" w:type="dxa"/>
              <w:right w:w="57" w:type="dxa"/>
            </w:tcMar>
            <w:vAlign w:val="center"/>
          </w:tcPr>
          <w:p w14:paraId="7E526BD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化学需氧量</w:t>
            </w:r>
          </w:p>
        </w:tc>
        <w:tc>
          <w:tcPr>
            <w:tcW w:w="828" w:type="dxa"/>
            <w:tcMar>
              <w:left w:w="57" w:type="dxa"/>
              <w:right w:w="57" w:type="dxa"/>
            </w:tcMar>
            <w:vAlign w:val="center"/>
          </w:tcPr>
          <w:p w14:paraId="08D000C0">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0.0978</w:t>
            </w:r>
          </w:p>
        </w:tc>
        <w:tc>
          <w:tcPr>
            <w:tcW w:w="1379" w:type="dxa"/>
            <w:tcMar>
              <w:left w:w="57" w:type="dxa"/>
              <w:right w:w="57" w:type="dxa"/>
            </w:tcMar>
            <w:vAlign w:val="center"/>
          </w:tcPr>
          <w:p w14:paraId="3BECCB1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36" w:type="dxa"/>
            <w:tcMar>
              <w:left w:w="57" w:type="dxa"/>
              <w:right w:w="57" w:type="dxa"/>
            </w:tcMar>
            <w:vAlign w:val="center"/>
          </w:tcPr>
          <w:p w14:paraId="79314F0B">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13B5363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3" w:type="dxa"/>
            <w:gridSpan w:val="2"/>
            <w:tcMar>
              <w:left w:w="57" w:type="dxa"/>
              <w:right w:w="57" w:type="dxa"/>
            </w:tcMar>
            <w:vAlign w:val="center"/>
          </w:tcPr>
          <w:p w14:paraId="3E358F7B">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34" w:type="dxa"/>
            <w:tcMar>
              <w:left w:w="57" w:type="dxa"/>
              <w:right w:w="57" w:type="dxa"/>
            </w:tcMar>
            <w:vAlign w:val="center"/>
          </w:tcPr>
          <w:p w14:paraId="3F6462D8">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0.101</w:t>
            </w:r>
          </w:p>
        </w:tc>
        <w:tc>
          <w:tcPr>
            <w:tcW w:w="992" w:type="dxa"/>
            <w:tcMar>
              <w:left w:w="57" w:type="dxa"/>
              <w:right w:w="57" w:type="dxa"/>
            </w:tcMar>
            <w:vAlign w:val="center"/>
          </w:tcPr>
          <w:p w14:paraId="0EBEB604">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color w:val="auto"/>
                <w:kern w:val="2"/>
                <w:sz w:val="13"/>
                <w:szCs w:val="15"/>
                <w:lang w:val="en-US" w:eastAsia="zh-CN" w:bidi="ar-SA"/>
              </w:rPr>
            </w:pPr>
            <w:r>
              <w:rPr>
                <w:rFonts w:hint="eastAsia"/>
                <w:b/>
                <w:color w:val="auto"/>
                <w:kern w:val="2"/>
                <w:sz w:val="13"/>
                <w:szCs w:val="15"/>
                <w:lang w:val="en-US" w:eastAsia="zh-CN"/>
              </w:rPr>
              <w:t>0.101</w:t>
            </w:r>
          </w:p>
        </w:tc>
        <w:tc>
          <w:tcPr>
            <w:tcW w:w="1984" w:type="dxa"/>
            <w:tcMar>
              <w:left w:w="57" w:type="dxa"/>
              <w:right w:w="57" w:type="dxa"/>
            </w:tcMar>
            <w:vAlign w:val="center"/>
          </w:tcPr>
          <w:p w14:paraId="50EC2B9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04" w:type="dxa"/>
            <w:tcMar>
              <w:left w:w="57" w:type="dxa"/>
              <w:right w:w="57" w:type="dxa"/>
            </w:tcMar>
            <w:vAlign w:val="center"/>
          </w:tcPr>
          <w:p w14:paraId="7B4F173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244" w:type="dxa"/>
            <w:gridSpan w:val="2"/>
            <w:tcMar>
              <w:left w:w="57" w:type="dxa"/>
              <w:right w:w="57" w:type="dxa"/>
            </w:tcMar>
            <w:vAlign w:val="center"/>
          </w:tcPr>
          <w:p w14:paraId="1D93AE22">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b/>
                <w:color w:val="auto"/>
                <w:kern w:val="2"/>
                <w:sz w:val="13"/>
                <w:szCs w:val="15"/>
                <w:lang w:val="en-US"/>
              </w:rPr>
            </w:pPr>
            <w:r>
              <w:rPr>
                <w:rFonts w:hint="eastAsia"/>
                <w:b/>
                <w:color w:val="auto"/>
                <w:kern w:val="2"/>
                <w:sz w:val="13"/>
                <w:szCs w:val="15"/>
                <w:lang w:val="en-US" w:eastAsia="zh-CN"/>
              </w:rPr>
              <w:t>0.1988</w:t>
            </w:r>
          </w:p>
        </w:tc>
        <w:tc>
          <w:tcPr>
            <w:tcW w:w="1102" w:type="dxa"/>
            <w:gridSpan w:val="2"/>
            <w:tcMar>
              <w:left w:w="57" w:type="dxa"/>
              <w:right w:w="57" w:type="dxa"/>
            </w:tcMar>
            <w:vAlign w:val="center"/>
          </w:tcPr>
          <w:p w14:paraId="448E083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794" w:type="dxa"/>
            <w:tcMar>
              <w:left w:w="57" w:type="dxa"/>
              <w:right w:w="57" w:type="dxa"/>
            </w:tcMar>
            <w:vAlign w:val="center"/>
          </w:tcPr>
          <w:p w14:paraId="63BAC5B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r>
      <w:tr w14:paraId="0361C7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05B3AF3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796" w:type="dxa"/>
            <w:gridSpan w:val="2"/>
            <w:tcMar>
              <w:left w:w="57" w:type="dxa"/>
              <w:right w:w="57" w:type="dxa"/>
            </w:tcMar>
            <w:vAlign w:val="center"/>
          </w:tcPr>
          <w:p w14:paraId="7B735FD8">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氨氮</w:t>
            </w:r>
          </w:p>
        </w:tc>
        <w:tc>
          <w:tcPr>
            <w:tcW w:w="828" w:type="dxa"/>
            <w:tcMar>
              <w:left w:w="57" w:type="dxa"/>
              <w:right w:w="57" w:type="dxa"/>
            </w:tcMar>
            <w:vAlign w:val="center"/>
          </w:tcPr>
          <w:p w14:paraId="26451F65">
            <w:pPr>
              <w:keepNext w:val="0"/>
              <w:keepLines w:val="0"/>
              <w:widowControl/>
              <w:suppressLineNumbers w:val="0"/>
              <w:spacing w:before="0" w:beforeAutospacing="0" w:after="0" w:afterAutospacing="0" w:line="240" w:lineRule="auto"/>
              <w:ind w:left="0" w:right="0" w:firstLine="0" w:firstLineChars="0"/>
              <w:jc w:val="center"/>
              <w:rPr>
                <w:rFonts w:hint="default" w:eastAsia="宋体"/>
                <w:color w:val="auto"/>
                <w:kern w:val="2"/>
                <w:sz w:val="13"/>
                <w:szCs w:val="15"/>
                <w:lang w:val="en-US" w:eastAsia="zh-CN"/>
              </w:rPr>
            </w:pPr>
            <w:r>
              <w:rPr>
                <w:rFonts w:hint="eastAsia"/>
                <w:color w:val="auto"/>
                <w:kern w:val="2"/>
                <w:sz w:val="13"/>
                <w:szCs w:val="15"/>
                <w:lang w:val="en-US" w:eastAsia="zh-CN"/>
              </w:rPr>
              <w:t>0.0098</w:t>
            </w:r>
          </w:p>
        </w:tc>
        <w:tc>
          <w:tcPr>
            <w:tcW w:w="1379" w:type="dxa"/>
            <w:tcMar>
              <w:left w:w="57" w:type="dxa"/>
              <w:right w:w="57" w:type="dxa"/>
            </w:tcMar>
            <w:vAlign w:val="center"/>
          </w:tcPr>
          <w:p w14:paraId="7FD50008">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036" w:type="dxa"/>
            <w:tcMar>
              <w:left w:w="57" w:type="dxa"/>
              <w:right w:w="57" w:type="dxa"/>
            </w:tcMar>
            <w:vAlign w:val="center"/>
          </w:tcPr>
          <w:p w14:paraId="1D78C191">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992" w:type="dxa"/>
            <w:tcMar>
              <w:left w:w="57" w:type="dxa"/>
              <w:right w:w="57" w:type="dxa"/>
            </w:tcMar>
            <w:vAlign w:val="center"/>
          </w:tcPr>
          <w:p w14:paraId="6C88B5ED">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993" w:type="dxa"/>
            <w:gridSpan w:val="2"/>
            <w:tcMar>
              <w:left w:w="57" w:type="dxa"/>
              <w:right w:w="57" w:type="dxa"/>
            </w:tcMar>
            <w:vAlign w:val="center"/>
          </w:tcPr>
          <w:p w14:paraId="12FA1322">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134" w:type="dxa"/>
            <w:tcMar>
              <w:left w:w="57" w:type="dxa"/>
              <w:right w:w="57" w:type="dxa"/>
            </w:tcMar>
            <w:vAlign w:val="center"/>
          </w:tcPr>
          <w:p w14:paraId="22A4C696">
            <w:pPr>
              <w:keepNext w:val="0"/>
              <w:keepLines w:val="0"/>
              <w:widowControl/>
              <w:suppressLineNumbers w:val="0"/>
              <w:spacing w:before="0" w:beforeAutospacing="0" w:after="0" w:afterAutospacing="0" w:line="240" w:lineRule="auto"/>
              <w:ind w:left="0" w:right="0" w:firstLine="0" w:firstLineChars="0"/>
              <w:jc w:val="center"/>
              <w:rPr>
                <w:rFonts w:hint="default" w:eastAsia="宋体"/>
                <w:b/>
                <w:bCs/>
                <w:color w:val="auto"/>
                <w:kern w:val="2"/>
                <w:sz w:val="13"/>
                <w:szCs w:val="15"/>
                <w:lang w:val="en-US" w:eastAsia="zh-CN"/>
              </w:rPr>
            </w:pPr>
            <w:r>
              <w:rPr>
                <w:rFonts w:hint="eastAsia"/>
                <w:b/>
                <w:bCs/>
                <w:color w:val="auto"/>
                <w:kern w:val="2"/>
                <w:sz w:val="13"/>
                <w:szCs w:val="15"/>
                <w:lang w:val="en-US" w:eastAsia="zh-CN"/>
              </w:rPr>
              <w:t>0.008</w:t>
            </w:r>
          </w:p>
        </w:tc>
        <w:tc>
          <w:tcPr>
            <w:tcW w:w="992" w:type="dxa"/>
            <w:tcMar>
              <w:left w:w="57" w:type="dxa"/>
              <w:right w:w="57" w:type="dxa"/>
            </w:tcMar>
            <w:vAlign w:val="center"/>
          </w:tcPr>
          <w:p w14:paraId="19744BA6">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r>
              <w:rPr>
                <w:rFonts w:hint="eastAsia"/>
                <w:b/>
                <w:bCs/>
                <w:color w:val="auto"/>
                <w:kern w:val="2"/>
                <w:sz w:val="13"/>
                <w:szCs w:val="15"/>
                <w:lang w:val="en-US" w:eastAsia="zh-CN"/>
              </w:rPr>
              <w:t>0.008</w:t>
            </w:r>
          </w:p>
        </w:tc>
        <w:tc>
          <w:tcPr>
            <w:tcW w:w="1984" w:type="dxa"/>
            <w:tcMar>
              <w:left w:w="57" w:type="dxa"/>
              <w:right w:w="57" w:type="dxa"/>
            </w:tcMar>
            <w:vAlign w:val="center"/>
          </w:tcPr>
          <w:p w14:paraId="3F0A2538">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004" w:type="dxa"/>
            <w:tcMar>
              <w:left w:w="57" w:type="dxa"/>
              <w:right w:w="57" w:type="dxa"/>
            </w:tcMar>
            <w:vAlign w:val="center"/>
          </w:tcPr>
          <w:p w14:paraId="60D2534B">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244" w:type="dxa"/>
            <w:gridSpan w:val="2"/>
            <w:tcMar>
              <w:left w:w="57" w:type="dxa"/>
              <w:right w:w="57" w:type="dxa"/>
            </w:tcMar>
            <w:vAlign w:val="center"/>
          </w:tcPr>
          <w:p w14:paraId="7D9F369E">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b/>
                <w:bCs/>
                <w:color w:val="auto"/>
                <w:kern w:val="2"/>
                <w:sz w:val="13"/>
                <w:szCs w:val="15"/>
                <w:lang w:val="en-US"/>
              </w:rPr>
            </w:pPr>
            <w:r>
              <w:rPr>
                <w:rFonts w:hint="eastAsia"/>
                <w:b/>
                <w:bCs/>
                <w:color w:val="auto"/>
                <w:kern w:val="2"/>
                <w:sz w:val="13"/>
                <w:szCs w:val="15"/>
                <w:lang w:val="en-US" w:eastAsia="zh-CN"/>
              </w:rPr>
              <w:t>0.0178</w:t>
            </w:r>
          </w:p>
        </w:tc>
        <w:tc>
          <w:tcPr>
            <w:tcW w:w="1102" w:type="dxa"/>
            <w:gridSpan w:val="2"/>
            <w:tcMar>
              <w:left w:w="57" w:type="dxa"/>
              <w:right w:w="57" w:type="dxa"/>
            </w:tcMar>
            <w:vAlign w:val="center"/>
          </w:tcPr>
          <w:p w14:paraId="2B3D47BC">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794" w:type="dxa"/>
            <w:tcMar>
              <w:left w:w="57" w:type="dxa"/>
              <w:right w:w="57" w:type="dxa"/>
            </w:tcMar>
            <w:vAlign w:val="center"/>
          </w:tcPr>
          <w:p w14:paraId="29CD4563">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r>
      <w:tr w14:paraId="268B3E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354F89E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796" w:type="dxa"/>
            <w:gridSpan w:val="2"/>
            <w:tcMar>
              <w:left w:w="57" w:type="dxa"/>
              <w:right w:w="57" w:type="dxa"/>
            </w:tcMar>
            <w:vAlign w:val="center"/>
          </w:tcPr>
          <w:p w14:paraId="378250E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废气</w:t>
            </w:r>
          </w:p>
        </w:tc>
        <w:tc>
          <w:tcPr>
            <w:tcW w:w="828" w:type="dxa"/>
            <w:tcMar>
              <w:left w:w="57" w:type="dxa"/>
              <w:right w:w="57" w:type="dxa"/>
            </w:tcMar>
            <w:vAlign w:val="center"/>
          </w:tcPr>
          <w:p w14:paraId="599FF46C">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379" w:type="dxa"/>
            <w:tcMar>
              <w:left w:w="57" w:type="dxa"/>
              <w:right w:w="57" w:type="dxa"/>
            </w:tcMar>
            <w:vAlign w:val="center"/>
          </w:tcPr>
          <w:p w14:paraId="34C67A83">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036" w:type="dxa"/>
            <w:tcMar>
              <w:left w:w="57" w:type="dxa"/>
              <w:right w:w="57" w:type="dxa"/>
            </w:tcMar>
            <w:vAlign w:val="center"/>
          </w:tcPr>
          <w:p w14:paraId="65D74F9C">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992" w:type="dxa"/>
            <w:tcMar>
              <w:left w:w="57" w:type="dxa"/>
              <w:right w:w="57" w:type="dxa"/>
            </w:tcMar>
            <w:vAlign w:val="center"/>
          </w:tcPr>
          <w:p w14:paraId="1B21892A">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993" w:type="dxa"/>
            <w:gridSpan w:val="2"/>
            <w:tcMar>
              <w:left w:w="57" w:type="dxa"/>
              <w:right w:w="57" w:type="dxa"/>
            </w:tcMar>
            <w:vAlign w:val="center"/>
          </w:tcPr>
          <w:p w14:paraId="7E967144">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134" w:type="dxa"/>
            <w:tcMar>
              <w:left w:w="57" w:type="dxa"/>
              <w:right w:w="57" w:type="dxa"/>
            </w:tcMar>
            <w:vAlign w:val="center"/>
          </w:tcPr>
          <w:p w14:paraId="5D286651">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992" w:type="dxa"/>
            <w:tcMar>
              <w:left w:w="57" w:type="dxa"/>
              <w:right w:w="57" w:type="dxa"/>
            </w:tcMar>
            <w:vAlign w:val="center"/>
          </w:tcPr>
          <w:p w14:paraId="0208DEBB">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p>
        </w:tc>
        <w:tc>
          <w:tcPr>
            <w:tcW w:w="1984" w:type="dxa"/>
            <w:tcMar>
              <w:left w:w="57" w:type="dxa"/>
              <w:right w:w="57" w:type="dxa"/>
            </w:tcMar>
            <w:vAlign w:val="center"/>
          </w:tcPr>
          <w:p w14:paraId="699C9373">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004" w:type="dxa"/>
            <w:tcMar>
              <w:left w:w="57" w:type="dxa"/>
              <w:right w:w="57" w:type="dxa"/>
            </w:tcMar>
            <w:vAlign w:val="center"/>
          </w:tcPr>
          <w:p w14:paraId="6A647002">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244" w:type="dxa"/>
            <w:gridSpan w:val="2"/>
            <w:tcMar>
              <w:left w:w="57" w:type="dxa"/>
              <w:right w:w="57" w:type="dxa"/>
            </w:tcMar>
            <w:vAlign w:val="center"/>
          </w:tcPr>
          <w:p w14:paraId="347DA9D0">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b/>
                <w:bCs/>
                <w:color w:val="auto"/>
                <w:kern w:val="2"/>
                <w:sz w:val="13"/>
                <w:szCs w:val="15"/>
              </w:rPr>
            </w:pPr>
          </w:p>
        </w:tc>
        <w:tc>
          <w:tcPr>
            <w:tcW w:w="1102" w:type="dxa"/>
            <w:gridSpan w:val="2"/>
            <w:tcMar>
              <w:left w:w="57" w:type="dxa"/>
              <w:right w:w="57" w:type="dxa"/>
            </w:tcMar>
            <w:vAlign w:val="center"/>
          </w:tcPr>
          <w:p w14:paraId="30AD6CE7">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794" w:type="dxa"/>
            <w:tcMar>
              <w:left w:w="57" w:type="dxa"/>
              <w:right w:w="57" w:type="dxa"/>
            </w:tcMar>
            <w:vAlign w:val="center"/>
          </w:tcPr>
          <w:p w14:paraId="33D51783">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r>
      <w:tr w14:paraId="13D9CC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703ED48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796" w:type="dxa"/>
            <w:gridSpan w:val="2"/>
            <w:tcMar>
              <w:left w:w="57" w:type="dxa"/>
              <w:right w:w="57" w:type="dxa"/>
            </w:tcMar>
            <w:vAlign w:val="center"/>
          </w:tcPr>
          <w:p w14:paraId="2AEE662F">
            <w:pPr>
              <w:keepNext w:val="0"/>
              <w:keepLines w:val="0"/>
              <w:widowControl/>
              <w:suppressLineNumbers w:val="0"/>
              <w:spacing w:before="0" w:beforeAutospacing="0" w:after="0" w:afterAutospacing="0" w:line="240" w:lineRule="auto"/>
              <w:ind w:left="0" w:right="0" w:firstLine="0" w:firstLineChars="0"/>
              <w:jc w:val="center"/>
              <w:rPr>
                <w:rFonts w:hint="eastAsia" w:eastAsia="宋体"/>
                <w:b/>
                <w:color w:val="auto"/>
                <w:kern w:val="2"/>
                <w:sz w:val="13"/>
                <w:szCs w:val="15"/>
                <w:lang w:eastAsia="zh-CN"/>
              </w:rPr>
            </w:pPr>
            <w:r>
              <w:rPr>
                <w:rFonts w:hint="eastAsia"/>
                <w:b/>
                <w:color w:val="auto"/>
                <w:kern w:val="2"/>
                <w:sz w:val="13"/>
                <w:szCs w:val="15"/>
                <w:lang w:eastAsia="zh-CN"/>
              </w:rPr>
              <w:t>颗粒物</w:t>
            </w:r>
          </w:p>
        </w:tc>
        <w:tc>
          <w:tcPr>
            <w:tcW w:w="828" w:type="dxa"/>
            <w:tcMar>
              <w:left w:w="57" w:type="dxa"/>
              <w:right w:w="57" w:type="dxa"/>
            </w:tcMar>
            <w:vAlign w:val="center"/>
          </w:tcPr>
          <w:p w14:paraId="2A5FF8B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379" w:type="dxa"/>
            <w:tcMar>
              <w:left w:w="57" w:type="dxa"/>
              <w:right w:w="57" w:type="dxa"/>
            </w:tcMar>
            <w:vAlign w:val="center"/>
          </w:tcPr>
          <w:p w14:paraId="27AD9D0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36" w:type="dxa"/>
            <w:tcMar>
              <w:left w:w="57" w:type="dxa"/>
              <w:right w:w="57" w:type="dxa"/>
            </w:tcMar>
            <w:vAlign w:val="center"/>
          </w:tcPr>
          <w:p w14:paraId="07167C6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5787130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3" w:type="dxa"/>
            <w:gridSpan w:val="2"/>
            <w:tcMar>
              <w:left w:w="57" w:type="dxa"/>
              <w:right w:w="57" w:type="dxa"/>
            </w:tcMar>
            <w:vAlign w:val="center"/>
          </w:tcPr>
          <w:p w14:paraId="65D590FB">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34" w:type="dxa"/>
            <w:tcMar>
              <w:left w:w="57" w:type="dxa"/>
              <w:right w:w="57" w:type="dxa"/>
            </w:tcMar>
            <w:vAlign w:val="center"/>
          </w:tcPr>
          <w:p w14:paraId="35E85839">
            <w:pPr>
              <w:keepNext w:val="0"/>
              <w:keepLines w:val="0"/>
              <w:widowControl/>
              <w:suppressLineNumbers w:val="0"/>
              <w:spacing w:before="0" w:beforeAutospacing="0" w:after="0" w:afterAutospacing="0" w:line="240" w:lineRule="auto"/>
              <w:ind w:left="0" w:right="0" w:firstLine="0" w:firstLineChars="0"/>
              <w:jc w:val="center"/>
              <w:rPr>
                <w:rFonts w:hint="default" w:eastAsia="宋体"/>
                <w:b/>
                <w:bCs/>
                <w:color w:val="auto"/>
                <w:kern w:val="2"/>
                <w:sz w:val="13"/>
                <w:szCs w:val="15"/>
                <w:lang w:val="en-US" w:eastAsia="zh-CN"/>
              </w:rPr>
            </w:pPr>
          </w:p>
        </w:tc>
        <w:tc>
          <w:tcPr>
            <w:tcW w:w="992" w:type="dxa"/>
            <w:tcMar>
              <w:left w:w="57" w:type="dxa"/>
              <w:right w:w="57" w:type="dxa"/>
            </w:tcMar>
            <w:vAlign w:val="center"/>
          </w:tcPr>
          <w:p w14:paraId="1A6A24C0">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p>
        </w:tc>
        <w:tc>
          <w:tcPr>
            <w:tcW w:w="1984" w:type="dxa"/>
            <w:tcMar>
              <w:left w:w="57" w:type="dxa"/>
              <w:right w:w="57" w:type="dxa"/>
            </w:tcMar>
            <w:vAlign w:val="center"/>
          </w:tcPr>
          <w:p w14:paraId="3C6E4F2D">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004" w:type="dxa"/>
            <w:tcMar>
              <w:left w:w="57" w:type="dxa"/>
              <w:right w:w="57" w:type="dxa"/>
            </w:tcMar>
            <w:vAlign w:val="center"/>
          </w:tcPr>
          <w:p w14:paraId="6FAE9511">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244" w:type="dxa"/>
            <w:gridSpan w:val="2"/>
            <w:tcMar>
              <w:left w:w="57" w:type="dxa"/>
              <w:right w:w="57" w:type="dxa"/>
            </w:tcMar>
            <w:vAlign w:val="center"/>
          </w:tcPr>
          <w:p w14:paraId="19A39CA5">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eastAsia="宋体"/>
                <w:b/>
                <w:bCs/>
                <w:color w:val="auto"/>
                <w:kern w:val="2"/>
                <w:sz w:val="13"/>
                <w:szCs w:val="15"/>
                <w:lang w:val="en-US" w:eastAsia="zh-CN"/>
              </w:rPr>
            </w:pPr>
          </w:p>
        </w:tc>
        <w:tc>
          <w:tcPr>
            <w:tcW w:w="1102" w:type="dxa"/>
            <w:gridSpan w:val="2"/>
            <w:tcMar>
              <w:left w:w="57" w:type="dxa"/>
              <w:right w:w="57" w:type="dxa"/>
            </w:tcMar>
            <w:vAlign w:val="center"/>
          </w:tcPr>
          <w:p w14:paraId="35A2BDE9">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b/>
                <w:color w:val="auto"/>
                <w:kern w:val="2"/>
                <w:sz w:val="13"/>
                <w:szCs w:val="15"/>
              </w:rPr>
            </w:pPr>
          </w:p>
        </w:tc>
        <w:tc>
          <w:tcPr>
            <w:tcW w:w="794" w:type="dxa"/>
            <w:tcMar>
              <w:left w:w="57" w:type="dxa"/>
              <w:right w:w="57" w:type="dxa"/>
            </w:tcMar>
            <w:vAlign w:val="center"/>
          </w:tcPr>
          <w:p w14:paraId="17506951">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b/>
                <w:color w:val="auto"/>
                <w:kern w:val="2"/>
                <w:sz w:val="13"/>
                <w:szCs w:val="15"/>
              </w:rPr>
            </w:pPr>
          </w:p>
        </w:tc>
      </w:tr>
      <w:tr w14:paraId="348C1E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7C2A784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796" w:type="dxa"/>
            <w:gridSpan w:val="2"/>
            <w:tcMar>
              <w:left w:w="57" w:type="dxa"/>
              <w:right w:w="57" w:type="dxa"/>
            </w:tcMar>
            <w:vAlign w:val="center"/>
          </w:tcPr>
          <w:p w14:paraId="42B0D99E">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SO</w:t>
            </w:r>
            <w:r>
              <w:rPr>
                <w:rFonts w:hint="eastAsia"/>
                <w:b/>
                <w:color w:val="auto"/>
                <w:kern w:val="2"/>
                <w:sz w:val="13"/>
                <w:szCs w:val="15"/>
                <w:vertAlign w:val="subscript"/>
                <w:lang w:val="en-US" w:eastAsia="zh-CN"/>
              </w:rPr>
              <w:t>2</w:t>
            </w:r>
          </w:p>
        </w:tc>
        <w:tc>
          <w:tcPr>
            <w:tcW w:w="828" w:type="dxa"/>
            <w:tcMar>
              <w:left w:w="57" w:type="dxa"/>
              <w:right w:w="57" w:type="dxa"/>
            </w:tcMar>
            <w:vAlign w:val="center"/>
          </w:tcPr>
          <w:p w14:paraId="7D8CDBA8">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0.002</w:t>
            </w:r>
          </w:p>
        </w:tc>
        <w:tc>
          <w:tcPr>
            <w:tcW w:w="1379" w:type="dxa"/>
            <w:tcMar>
              <w:left w:w="57" w:type="dxa"/>
              <w:right w:w="57" w:type="dxa"/>
            </w:tcMar>
            <w:vAlign w:val="center"/>
          </w:tcPr>
          <w:p w14:paraId="658D39FF">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36" w:type="dxa"/>
            <w:tcMar>
              <w:left w:w="57" w:type="dxa"/>
              <w:right w:w="57" w:type="dxa"/>
            </w:tcMar>
            <w:vAlign w:val="center"/>
          </w:tcPr>
          <w:p w14:paraId="4798F39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4F25D7C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3" w:type="dxa"/>
            <w:gridSpan w:val="2"/>
            <w:tcMar>
              <w:left w:w="57" w:type="dxa"/>
              <w:right w:w="57" w:type="dxa"/>
            </w:tcMar>
            <w:vAlign w:val="center"/>
          </w:tcPr>
          <w:p w14:paraId="6AB4DEDE">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34" w:type="dxa"/>
            <w:tcMar>
              <w:left w:w="57" w:type="dxa"/>
              <w:right w:w="57" w:type="dxa"/>
            </w:tcMar>
            <w:vAlign w:val="center"/>
          </w:tcPr>
          <w:p w14:paraId="40889DCE">
            <w:pPr>
              <w:keepNext w:val="0"/>
              <w:keepLines w:val="0"/>
              <w:widowControl/>
              <w:suppressLineNumbers w:val="0"/>
              <w:spacing w:before="0" w:beforeAutospacing="0" w:after="0" w:afterAutospacing="0" w:line="240" w:lineRule="auto"/>
              <w:ind w:left="0" w:right="0" w:firstLine="0" w:firstLineChars="0"/>
              <w:jc w:val="center"/>
              <w:rPr>
                <w:rFonts w:hint="default" w:eastAsia="宋体"/>
                <w:b/>
                <w:bCs/>
                <w:color w:val="auto"/>
                <w:kern w:val="2"/>
                <w:sz w:val="13"/>
                <w:szCs w:val="15"/>
                <w:lang w:val="en-US" w:eastAsia="zh-CN"/>
              </w:rPr>
            </w:pPr>
            <w:r>
              <w:rPr>
                <w:rFonts w:hint="eastAsia"/>
                <w:b/>
                <w:bCs/>
                <w:color w:val="auto"/>
                <w:kern w:val="2"/>
                <w:sz w:val="13"/>
                <w:szCs w:val="15"/>
                <w:lang w:val="en-US" w:eastAsia="zh-CN"/>
              </w:rPr>
              <w:t>0</w:t>
            </w:r>
          </w:p>
        </w:tc>
        <w:tc>
          <w:tcPr>
            <w:tcW w:w="992" w:type="dxa"/>
            <w:tcMar>
              <w:left w:w="57" w:type="dxa"/>
              <w:right w:w="57" w:type="dxa"/>
            </w:tcMar>
            <w:vAlign w:val="center"/>
          </w:tcPr>
          <w:p w14:paraId="58CACEBF">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r>
              <w:rPr>
                <w:rFonts w:hint="eastAsia" w:cs="Times New Roman"/>
                <w:b/>
                <w:bCs/>
                <w:color w:val="auto"/>
                <w:kern w:val="2"/>
                <w:sz w:val="13"/>
                <w:szCs w:val="15"/>
                <w:lang w:val="en-US" w:eastAsia="zh-CN" w:bidi="ar-SA"/>
              </w:rPr>
              <w:t>0</w:t>
            </w:r>
          </w:p>
        </w:tc>
        <w:tc>
          <w:tcPr>
            <w:tcW w:w="1984" w:type="dxa"/>
            <w:tcMar>
              <w:left w:w="57" w:type="dxa"/>
              <w:right w:w="57" w:type="dxa"/>
            </w:tcMar>
            <w:vAlign w:val="center"/>
          </w:tcPr>
          <w:p w14:paraId="34BCDE44">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004" w:type="dxa"/>
            <w:tcMar>
              <w:left w:w="57" w:type="dxa"/>
              <w:right w:w="57" w:type="dxa"/>
            </w:tcMar>
            <w:vAlign w:val="center"/>
          </w:tcPr>
          <w:p w14:paraId="010A7B19">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244" w:type="dxa"/>
            <w:gridSpan w:val="2"/>
            <w:tcMar>
              <w:left w:w="57" w:type="dxa"/>
              <w:right w:w="57" w:type="dxa"/>
            </w:tcMar>
            <w:vAlign w:val="center"/>
          </w:tcPr>
          <w:p w14:paraId="509CE927">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eastAsia="宋体"/>
                <w:b/>
                <w:bCs/>
                <w:color w:val="auto"/>
                <w:kern w:val="2"/>
                <w:sz w:val="13"/>
                <w:szCs w:val="15"/>
                <w:lang w:val="en-US" w:eastAsia="zh-CN"/>
              </w:rPr>
            </w:pPr>
            <w:r>
              <w:rPr>
                <w:rFonts w:hint="eastAsia"/>
                <w:b/>
                <w:bCs/>
                <w:color w:val="auto"/>
                <w:kern w:val="2"/>
                <w:sz w:val="13"/>
                <w:szCs w:val="15"/>
                <w:lang w:val="en-US" w:eastAsia="zh-CN"/>
              </w:rPr>
              <w:t>0.002</w:t>
            </w:r>
          </w:p>
        </w:tc>
        <w:tc>
          <w:tcPr>
            <w:tcW w:w="1102" w:type="dxa"/>
            <w:gridSpan w:val="2"/>
            <w:tcMar>
              <w:left w:w="57" w:type="dxa"/>
              <w:right w:w="57" w:type="dxa"/>
            </w:tcMar>
            <w:vAlign w:val="center"/>
          </w:tcPr>
          <w:p w14:paraId="0E558674">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b/>
                <w:color w:val="auto"/>
                <w:kern w:val="2"/>
                <w:sz w:val="13"/>
                <w:szCs w:val="15"/>
              </w:rPr>
            </w:pPr>
          </w:p>
        </w:tc>
        <w:tc>
          <w:tcPr>
            <w:tcW w:w="794" w:type="dxa"/>
            <w:tcMar>
              <w:left w:w="57" w:type="dxa"/>
              <w:right w:w="57" w:type="dxa"/>
            </w:tcMar>
            <w:vAlign w:val="center"/>
          </w:tcPr>
          <w:p w14:paraId="0E298A33">
            <w:pPr>
              <w:keepNext w:val="0"/>
              <w:keepLines w:val="0"/>
              <w:widowControl/>
              <w:suppressLineNumbers w:val="0"/>
              <w:spacing w:before="0" w:beforeAutospacing="0" w:after="0" w:afterAutospacing="0" w:line="240" w:lineRule="auto"/>
              <w:ind w:left="0" w:right="0" w:firstLine="0" w:firstLineChars="0"/>
              <w:jc w:val="center"/>
              <w:textAlignment w:val="center"/>
              <w:rPr>
                <w:rFonts w:hint="default"/>
                <w:b/>
                <w:color w:val="auto"/>
                <w:kern w:val="2"/>
                <w:sz w:val="13"/>
                <w:szCs w:val="15"/>
              </w:rPr>
            </w:pPr>
          </w:p>
        </w:tc>
      </w:tr>
      <w:tr w14:paraId="145ED2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4301DD7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796" w:type="dxa"/>
            <w:gridSpan w:val="2"/>
            <w:tcMar>
              <w:left w:w="57" w:type="dxa"/>
              <w:right w:w="57" w:type="dxa"/>
            </w:tcMar>
            <w:vAlign w:val="center"/>
          </w:tcPr>
          <w:p w14:paraId="0745215C">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NOx</w:t>
            </w:r>
          </w:p>
        </w:tc>
        <w:tc>
          <w:tcPr>
            <w:tcW w:w="828" w:type="dxa"/>
            <w:tcMar>
              <w:left w:w="57" w:type="dxa"/>
              <w:right w:w="57" w:type="dxa"/>
            </w:tcMar>
            <w:vAlign w:val="center"/>
          </w:tcPr>
          <w:p w14:paraId="4DCE2DCA">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r>
              <w:rPr>
                <w:rFonts w:hint="eastAsia"/>
                <w:b/>
                <w:color w:val="auto"/>
                <w:kern w:val="2"/>
                <w:sz w:val="13"/>
                <w:szCs w:val="15"/>
                <w:lang w:val="en-US" w:eastAsia="zh-CN"/>
              </w:rPr>
              <w:t>0.176</w:t>
            </w:r>
          </w:p>
        </w:tc>
        <w:tc>
          <w:tcPr>
            <w:tcW w:w="1379" w:type="dxa"/>
            <w:tcMar>
              <w:left w:w="57" w:type="dxa"/>
              <w:right w:w="57" w:type="dxa"/>
            </w:tcMar>
            <w:vAlign w:val="center"/>
          </w:tcPr>
          <w:p w14:paraId="2C43ED3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36" w:type="dxa"/>
            <w:tcMar>
              <w:left w:w="57" w:type="dxa"/>
              <w:right w:w="57" w:type="dxa"/>
            </w:tcMar>
            <w:vAlign w:val="center"/>
          </w:tcPr>
          <w:p w14:paraId="33634A1F">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355CBA8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3" w:type="dxa"/>
            <w:gridSpan w:val="2"/>
            <w:tcMar>
              <w:left w:w="57" w:type="dxa"/>
              <w:right w:w="57" w:type="dxa"/>
            </w:tcMar>
            <w:vAlign w:val="center"/>
          </w:tcPr>
          <w:p w14:paraId="6B8D492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34" w:type="dxa"/>
            <w:tcMar>
              <w:left w:w="57" w:type="dxa"/>
              <w:right w:w="57" w:type="dxa"/>
            </w:tcMar>
            <w:vAlign w:val="center"/>
          </w:tcPr>
          <w:p w14:paraId="3F42EB0C">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r>
              <w:rPr>
                <w:rFonts w:hint="eastAsia" w:cs="Times New Roman"/>
                <w:b/>
                <w:bCs/>
                <w:color w:val="auto"/>
                <w:kern w:val="2"/>
                <w:sz w:val="13"/>
                <w:szCs w:val="15"/>
                <w:lang w:val="en-US" w:eastAsia="zh-CN" w:bidi="ar-SA"/>
              </w:rPr>
              <w:t>0</w:t>
            </w:r>
          </w:p>
        </w:tc>
        <w:tc>
          <w:tcPr>
            <w:tcW w:w="992" w:type="dxa"/>
            <w:tcMar>
              <w:left w:w="57" w:type="dxa"/>
              <w:right w:w="57" w:type="dxa"/>
            </w:tcMar>
            <w:vAlign w:val="center"/>
          </w:tcPr>
          <w:p w14:paraId="3F26BD6B">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r>
              <w:rPr>
                <w:rFonts w:hint="eastAsia" w:cs="Times New Roman"/>
                <w:b/>
                <w:bCs/>
                <w:color w:val="auto"/>
                <w:kern w:val="2"/>
                <w:sz w:val="13"/>
                <w:szCs w:val="15"/>
                <w:lang w:val="en-US" w:eastAsia="zh-CN" w:bidi="ar-SA"/>
              </w:rPr>
              <w:t>0</w:t>
            </w:r>
          </w:p>
        </w:tc>
        <w:tc>
          <w:tcPr>
            <w:tcW w:w="1984" w:type="dxa"/>
            <w:tcMar>
              <w:left w:w="57" w:type="dxa"/>
              <w:right w:w="57" w:type="dxa"/>
            </w:tcMar>
            <w:vAlign w:val="center"/>
          </w:tcPr>
          <w:p w14:paraId="51CFA9E1">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p>
        </w:tc>
        <w:tc>
          <w:tcPr>
            <w:tcW w:w="1004" w:type="dxa"/>
            <w:tcMar>
              <w:left w:w="57" w:type="dxa"/>
              <w:right w:w="57" w:type="dxa"/>
            </w:tcMar>
            <w:vAlign w:val="center"/>
          </w:tcPr>
          <w:p w14:paraId="373EC6AD">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p>
        </w:tc>
        <w:tc>
          <w:tcPr>
            <w:tcW w:w="1244" w:type="dxa"/>
            <w:gridSpan w:val="2"/>
            <w:tcMar>
              <w:left w:w="57" w:type="dxa"/>
              <w:right w:w="57" w:type="dxa"/>
            </w:tcMar>
            <w:vAlign w:val="center"/>
          </w:tcPr>
          <w:p w14:paraId="218A8656">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r>
              <w:rPr>
                <w:rFonts w:hint="eastAsia"/>
                <w:b/>
                <w:bCs/>
                <w:color w:val="auto"/>
                <w:kern w:val="2"/>
                <w:sz w:val="13"/>
                <w:szCs w:val="15"/>
                <w:lang w:val="en-US" w:eastAsia="zh-CN"/>
              </w:rPr>
              <w:t>0.176</w:t>
            </w:r>
          </w:p>
        </w:tc>
        <w:tc>
          <w:tcPr>
            <w:tcW w:w="1102" w:type="dxa"/>
            <w:gridSpan w:val="2"/>
            <w:tcMar>
              <w:left w:w="57" w:type="dxa"/>
              <w:right w:w="57" w:type="dxa"/>
            </w:tcMar>
            <w:vAlign w:val="center"/>
          </w:tcPr>
          <w:p w14:paraId="6F30CE0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794" w:type="dxa"/>
            <w:tcMar>
              <w:left w:w="57" w:type="dxa"/>
              <w:right w:w="57" w:type="dxa"/>
            </w:tcMar>
            <w:vAlign w:val="center"/>
          </w:tcPr>
          <w:p w14:paraId="5200241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r>
      <w:tr w14:paraId="14B8A5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51AB425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99" w:type="dxa"/>
            <w:vMerge w:val="restart"/>
            <w:tcMar>
              <w:left w:w="57" w:type="dxa"/>
              <w:right w:w="57" w:type="dxa"/>
            </w:tcMar>
            <w:vAlign w:val="center"/>
          </w:tcPr>
          <w:p w14:paraId="2653C01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r>
              <w:rPr>
                <w:rFonts w:hint="eastAsia"/>
                <w:b/>
                <w:color w:val="auto"/>
                <w:kern w:val="2"/>
                <w:sz w:val="13"/>
                <w:szCs w:val="15"/>
              </w:rPr>
              <w:t>与项目有关的其他特征污染物</w:t>
            </w:r>
          </w:p>
        </w:tc>
        <w:tc>
          <w:tcPr>
            <w:tcW w:w="697" w:type="dxa"/>
            <w:tcMar>
              <w:left w:w="57" w:type="dxa"/>
              <w:right w:w="57" w:type="dxa"/>
            </w:tcMar>
            <w:vAlign w:val="center"/>
          </w:tcPr>
          <w:p w14:paraId="2145AFA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828" w:type="dxa"/>
            <w:tcMar>
              <w:left w:w="57" w:type="dxa"/>
              <w:right w:w="57" w:type="dxa"/>
            </w:tcMar>
            <w:vAlign w:val="center"/>
          </w:tcPr>
          <w:p w14:paraId="320F11D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379" w:type="dxa"/>
            <w:tcMar>
              <w:left w:w="57" w:type="dxa"/>
              <w:right w:w="57" w:type="dxa"/>
            </w:tcMar>
            <w:vAlign w:val="center"/>
          </w:tcPr>
          <w:p w14:paraId="6EC0E38E">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36" w:type="dxa"/>
            <w:tcMar>
              <w:left w:w="57" w:type="dxa"/>
              <w:right w:w="57" w:type="dxa"/>
            </w:tcMar>
            <w:vAlign w:val="center"/>
          </w:tcPr>
          <w:p w14:paraId="5DADF438">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63E4842C">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p>
        </w:tc>
        <w:tc>
          <w:tcPr>
            <w:tcW w:w="993" w:type="dxa"/>
            <w:gridSpan w:val="2"/>
            <w:tcMar>
              <w:left w:w="57" w:type="dxa"/>
              <w:right w:w="57" w:type="dxa"/>
            </w:tcMar>
            <w:vAlign w:val="center"/>
          </w:tcPr>
          <w:p w14:paraId="301EECB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34" w:type="dxa"/>
            <w:tcMar>
              <w:left w:w="57" w:type="dxa"/>
              <w:right w:w="57" w:type="dxa"/>
            </w:tcMar>
            <w:vAlign w:val="center"/>
          </w:tcPr>
          <w:p w14:paraId="55813E8D">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13"/>
                <w:szCs w:val="15"/>
                <w:lang w:val="en-US" w:eastAsia="zh-CN" w:bidi="ar-SA"/>
              </w:rPr>
            </w:pPr>
          </w:p>
        </w:tc>
        <w:tc>
          <w:tcPr>
            <w:tcW w:w="992" w:type="dxa"/>
            <w:tcMar>
              <w:left w:w="57" w:type="dxa"/>
              <w:right w:w="57" w:type="dxa"/>
            </w:tcMar>
            <w:vAlign w:val="center"/>
          </w:tcPr>
          <w:p w14:paraId="3A4C4DF4">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eastAsia="宋体"/>
                <w:b/>
                <w:bCs/>
                <w:color w:val="auto"/>
                <w:kern w:val="2"/>
                <w:sz w:val="13"/>
                <w:szCs w:val="15"/>
                <w:lang w:val="en-US" w:eastAsia="zh-CN"/>
              </w:rPr>
            </w:pPr>
          </w:p>
        </w:tc>
        <w:tc>
          <w:tcPr>
            <w:tcW w:w="1984" w:type="dxa"/>
            <w:tcMar>
              <w:left w:w="57" w:type="dxa"/>
              <w:right w:w="57" w:type="dxa"/>
            </w:tcMar>
            <w:vAlign w:val="center"/>
          </w:tcPr>
          <w:p w14:paraId="48EE9944">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004" w:type="dxa"/>
            <w:tcMar>
              <w:left w:w="57" w:type="dxa"/>
              <w:right w:w="57" w:type="dxa"/>
            </w:tcMar>
            <w:vAlign w:val="center"/>
          </w:tcPr>
          <w:p w14:paraId="311587FC">
            <w:pPr>
              <w:keepNext w:val="0"/>
              <w:keepLines w:val="0"/>
              <w:widowControl/>
              <w:suppressLineNumbers w:val="0"/>
              <w:spacing w:before="0" w:beforeAutospacing="0" w:after="0" w:afterAutospacing="0" w:line="240" w:lineRule="auto"/>
              <w:ind w:left="0" w:right="0" w:firstLine="0" w:firstLineChars="0"/>
              <w:jc w:val="center"/>
              <w:rPr>
                <w:rFonts w:hint="default"/>
                <w:b/>
                <w:bCs/>
                <w:color w:val="auto"/>
                <w:kern w:val="2"/>
                <w:sz w:val="13"/>
                <w:szCs w:val="15"/>
              </w:rPr>
            </w:pPr>
          </w:p>
        </w:tc>
        <w:tc>
          <w:tcPr>
            <w:tcW w:w="1244" w:type="dxa"/>
            <w:gridSpan w:val="2"/>
            <w:tcMar>
              <w:left w:w="57" w:type="dxa"/>
              <w:right w:w="57" w:type="dxa"/>
            </w:tcMar>
            <w:vAlign w:val="center"/>
          </w:tcPr>
          <w:p w14:paraId="6ACDB3CA">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eastAsia="宋体"/>
                <w:b/>
                <w:bCs/>
                <w:color w:val="auto"/>
                <w:kern w:val="2"/>
                <w:sz w:val="13"/>
                <w:szCs w:val="15"/>
                <w:lang w:val="en-US" w:eastAsia="zh-CN"/>
              </w:rPr>
            </w:pPr>
          </w:p>
        </w:tc>
        <w:tc>
          <w:tcPr>
            <w:tcW w:w="1102" w:type="dxa"/>
            <w:gridSpan w:val="2"/>
            <w:tcMar>
              <w:left w:w="57" w:type="dxa"/>
              <w:right w:w="57" w:type="dxa"/>
            </w:tcMar>
            <w:vAlign w:val="center"/>
          </w:tcPr>
          <w:p w14:paraId="36659A91">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794" w:type="dxa"/>
            <w:tcMar>
              <w:left w:w="57" w:type="dxa"/>
              <w:right w:w="57" w:type="dxa"/>
            </w:tcMar>
            <w:vAlign w:val="center"/>
          </w:tcPr>
          <w:p w14:paraId="09F3FE3E">
            <w:pPr>
              <w:keepNext w:val="0"/>
              <w:keepLines w:val="0"/>
              <w:widowControl/>
              <w:suppressLineNumbers w:val="0"/>
              <w:spacing w:before="0" w:beforeAutospacing="0" w:after="0" w:afterAutospacing="0" w:line="240" w:lineRule="auto"/>
              <w:ind w:left="0" w:right="0" w:firstLine="0" w:firstLineChars="0"/>
              <w:jc w:val="center"/>
              <w:rPr>
                <w:rFonts w:hint="default" w:eastAsia="宋体"/>
                <w:b/>
                <w:color w:val="auto"/>
                <w:kern w:val="2"/>
                <w:sz w:val="13"/>
                <w:szCs w:val="15"/>
                <w:lang w:val="en-US" w:eastAsia="zh-CN"/>
              </w:rPr>
            </w:pPr>
          </w:p>
        </w:tc>
      </w:tr>
      <w:tr w14:paraId="3DA667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Mar>
              <w:left w:w="57" w:type="dxa"/>
              <w:right w:w="57" w:type="dxa"/>
            </w:tcMar>
            <w:vAlign w:val="center"/>
          </w:tcPr>
          <w:p w14:paraId="1B4C934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99" w:type="dxa"/>
            <w:vMerge w:val="continue"/>
            <w:tcMar>
              <w:left w:w="57" w:type="dxa"/>
              <w:right w:w="57" w:type="dxa"/>
            </w:tcMar>
            <w:vAlign w:val="center"/>
          </w:tcPr>
          <w:p w14:paraId="551A696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697" w:type="dxa"/>
            <w:tcMar>
              <w:left w:w="57" w:type="dxa"/>
              <w:right w:w="57" w:type="dxa"/>
            </w:tcMar>
            <w:vAlign w:val="center"/>
          </w:tcPr>
          <w:p w14:paraId="5FC131C0">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828" w:type="dxa"/>
            <w:tcMar>
              <w:left w:w="57" w:type="dxa"/>
              <w:right w:w="57" w:type="dxa"/>
            </w:tcMar>
            <w:vAlign w:val="center"/>
          </w:tcPr>
          <w:p w14:paraId="3420946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379" w:type="dxa"/>
            <w:tcMar>
              <w:left w:w="57" w:type="dxa"/>
              <w:right w:w="57" w:type="dxa"/>
            </w:tcMar>
            <w:vAlign w:val="center"/>
          </w:tcPr>
          <w:p w14:paraId="19CAD6A9">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36" w:type="dxa"/>
            <w:tcMar>
              <w:left w:w="57" w:type="dxa"/>
              <w:right w:w="57" w:type="dxa"/>
            </w:tcMar>
            <w:vAlign w:val="center"/>
          </w:tcPr>
          <w:p w14:paraId="6112C2C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0F157E9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3" w:type="dxa"/>
            <w:gridSpan w:val="2"/>
            <w:tcMar>
              <w:left w:w="57" w:type="dxa"/>
              <w:right w:w="57" w:type="dxa"/>
            </w:tcMar>
            <w:vAlign w:val="center"/>
          </w:tcPr>
          <w:p w14:paraId="554E7ABE">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34" w:type="dxa"/>
            <w:tcMar>
              <w:left w:w="57" w:type="dxa"/>
              <w:right w:w="57" w:type="dxa"/>
            </w:tcMar>
            <w:vAlign w:val="center"/>
          </w:tcPr>
          <w:p w14:paraId="0449899A">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992" w:type="dxa"/>
            <w:tcMar>
              <w:left w:w="57" w:type="dxa"/>
              <w:right w:w="57" w:type="dxa"/>
            </w:tcMar>
            <w:vAlign w:val="center"/>
          </w:tcPr>
          <w:p w14:paraId="74591D1E">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984" w:type="dxa"/>
            <w:tcMar>
              <w:left w:w="57" w:type="dxa"/>
              <w:right w:w="57" w:type="dxa"/>
            </w:tcMar>
            <w:vAlign w:val="center"/>
          </w:tcPr>
          <w:p w14:paraId="4B39C2FC">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04" w:type="dxa"/>
            <w:tcMar>
              <w:left w:w="57" w:type="dxa"/>
              <w:right w:w="57" w:type="dxa"/>
            </w:tcMar>
            <w:vAlign w:val="center"/>
          </w:tcPr>
          <w:p w14:paraId="108E5BC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244" w:type="dxa"/>
            <w:gridSpan w:val="2"/>
            <w:tcMar>
              <w:left w:w="57" w:type="dxa"/>
              <w:right w:w="57" w:type="dxa"/>
            </w:tcMar>
            <w:vAlign w:val="center"/>
          </w:tcPr>
          <w:p w14:paraId="575F4F02">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102" w:type="dxa"/>
            <w:gridSpan w:val="2"/>
            <w:tcMar>
              <w:left w:w="57" w:type="dxa"/>
              <w:right w:w="57" w:type="dxa"/>
            </w:tcMar>
            <w:vAlign w:val="center"/>
          </w:tcPr>
          <w:p w14:paraId="524D8716">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794" w:type="dxa"/>
            <w:tcMar>
              <w:left w:w="57" w:type="dxa"/>
              <w:right w:w="57" w:type="dxa"/>
            </w:tcMar>
            <w:vAlign w:val="center"/>
          </w:tcPr>
          <w:p w14:paraId="44E6C7A7">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r>
      <w:tr w14:paraId="1056C1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98" w:type="dxa"/>
            <w:gridSpan w:val="2"/>
            <w:vMerge w:val="continue"/>
            <w:tcBorders>
              <w:bottom w:val="single" w:color="auto" w:sz="8" w:space="0"/>
            </w:tcBorders>
            <w:tcMar>
              <w:left w:w="57" w:type="dxa"/>
              <w:right w:w="57" w:type="dxa"/>
            </w:tcMar>
            <w:vAlign w:val="center"/>
          </w:tcPr>
          <w:p w14:paraId="29B8EDD4">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1099" w:type="dxa"/>
            <w:vMerge w:val="continue"/>
            <w:tcBorders>
              <w:bottom w:val="single" w:color="auto" w:sz="8" w:space="0"/>
            </w:tcBorders>
            <w:tcMar>
              <w:left w:w="57" w:type="dxa"/>
              <w:right w:w="57" w:type="dxa"/>
            </w:tcMar>
            <w:vAlign w:val="center"/>
          </w:tcPr>
          <w:p w14:paraId="7083EF1D">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697" w:type="dxa"/>
            <w:tcBorders>
              <w:bottom w:val="single" w:color="auto" w:sz="8" w:space="0"/>
            </w:tcBorders>
            <w:tcMar>
              <w:left w:w="57" w:type="dxa"/>
              <w:right w:w="57" w:type="dxa"/>
            </w:tcMar>
            <w:vAlign w:val="center"/>
          </w:tcPr>
          <w:p w14:paraId="72B39DA5">
            <w:pPr>
              <w:keepNext w:val="0"/>
              <w:keepLines w:val="0"/>
              <w:widowControl/>
              <w:suppressLineNumbers w:val="0"/>
              <w:spacing w:before="0" w:beforeAutospacing="0" w:after="0" w:afterAutospacing="0" w:line="240" w:lineRule="auto"/>
              <w:ind w:left="0" w:right="0" w:firstLine="0" w:firstLineChars="0"/>
              <w:jc w:val="center"/>
              <w:rPr>
                <w:rFonts w:hint="default"/>
                <w:b/>
                <w:color w:val="auto"/>
                <w:kern w:val="2"/>
                <w:sz w:val="13"/>
                <w:szCs w:val="15"/>
              </w:rPr>
            </w:pPr>
          </w:p>
        </w:tc>
        <w:tc>
          <w:tcPr>
            <w:tcW w:w="828" w:type="dxa"/>
            <w:tcBorders>
              <w:bottom w:val="single" w:color="auto" w:sz="8" w:space="0"/>
            </w:tcBorders>
            <w:tcMar>
              <w:left w:w="57" w:type="dxa"/>
              <w:right w:w="57" w:type="dxa"/>
            </w:tcMar>
            <w:vAlign w:val="center"/>
          </w:tcPr>
          <w:p w14:paraId="07CD8CFC">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379" w:type="dxa"/>
            <w:tcBorders>
              <w:bottom w:val="single" w:color="auto" w:sz="8" w:space="0"/>
            </w:tcBorders>
            <w:tcMar>
              <w:left w:w="57" w:type="dxa"/>
              <w:right w:w="57" w:type="dxa"/>
            </w:tcMar>
            <w:vAlign w:val="center"/>
          </w:tcPr>
          <w:p w14:paraId="2B7B6B8B">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036" w:type="dxa"/>
            <w:tcBorders>
              <w:bottom w:val="single" w:color="auto" w:sz="8" w:space="0"/>
            </w:tcBorders>
            <w:tcMar>
              <w:left w:w="57" w:type="dxa"/>
              <w:right w:w="57" w:type="dxa"/>
            </w:tcMar>
            <w:vAlign w:val="center"/>
          </w:tcPr>
          <w:p w14:paraId="54F22903">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992" w:type="dxa"/>
            <w:tcBorders>
              <w:bottom w:val="single" w:color="auto" w:sz="8" w:space="0"/>
            </w:tcBorders>
            <w:tcMar>
              <w:left w:w="57" w:type="dxa"/>
              <w:right w:w="57" w:type="dxa"/>
            </w:tcMar>
            <w:vAlign w:val="center"/>
          </w:tcPr>
          <w:p w14:paraId="08C2E045">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993" w:type="dxa"/>
            <w:gridSpan w:val="2"/>
            <w:tcBorders>
              <w:bottom w:val="single" w:color="auto" w:sz="8" w:space="0"/>
            </w:tcBorders>
            <w:tcMar>
              <w:left w:w="57" w:type="dxa"/>
              <w:right w:w="57" w:type="dxa"/>
            </w:tcMar>
            <w:vAlign w:val="center"/>
          </w:tcPr>
          <w:p w14:paraId="23456469">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134" w:type="dxa"/>
            <w:tcBorders>
              <w:bottom w:val="single" w:color="auto" w:sz="8" w:space="0"/>
            </w:tcBorders>
            <w:tcMar>
              <w:left w:w="57" w:type="dxa"/>
              <w:right w:w="57" w:type="dxa"/>
            </w:tcMar>
            <w:vAlign w:val="center"/>
          </w:tcPr>
          <w:p w14:paraId="29DCC145">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992" w:type="dxa"/>
            <w:tcBorders>
              <w:bottom w:val="single" w:color="auto" w:sz="8" w:space="0"/>
            </w:tcBorders>
            <w:tcMar>
              <w:left w:w="57" w:type="dxa"/>
              <w:right w:w="57" w:type="dxa"/>
            </w:tcMar>
            <w:vAlign w:val="center"/>
          </w:tcPr>
          <w:p w14:paraId="2FDDD6C7">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984" w:type="dxa"/>
            <w:tcBorders>
              <w:bottom w:val="single" w:color="auto" w:sz="8" w:space="0"/>
            </w:tcBorders>
            <w:tcMar>
              <w:left w:w="57" w:type="dxa"/>
              <w:right w:w="57" w:type="dxa"/>
            </w:tcMar>
            <w:vAlign w:val="center"/>
          </w:tcPr>
          <w:p w14:paraId="71D47F63">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004" w:type="dxa"/>
            <w:tcBorders>
              <w:bottom w:val="single" w:color="auto" w:sz="8" w:space="0"/>
            </w:tcBorders>
            <w:tcMar>
              <w:left w:w="57" w:type="dxa"/>
              <w:right w:w="57" w:type="dxa"/>
            </w:tcMar>
            <w:vAlign w:val="center"/>
          </w:tcPr>
          <w:p w14:paraId="77768268">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244" w:type="dxa"/>
            <w:gridSpan w:val="2"/>
            <w:tcBorders>
              <w:bottom w:val="single" w:color="auto" w:sz="8" w:space="0"/>
            </w:tcBorders>
            <w:tcMar>
              <w:left w:w="57" w:type="dxa"/>
              <w:right w:w="57" w:type="dxa"/>
            </w:tcMar>
            <w:vAlign w:val="center"/>
          </w:tcPr>
          <w:p w14:paraId="3E7E8657">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1102" w:type="dxa"/>
            <w:gridSpan w:val="2"/>
            <w:tcBorders>
              <w:bottom w:val="single" w:color="auto" w:sz="8" w:space="0"/>
            </w:tcBorders>
            <w:tcMar>
              <w:left w:w="57" w:type="dxa"/>
              <w:right w:w="57" w:type="dxa"/>
            </w:tcMar>
            <w:vAlign w:val="center"/>
          </w:tcPr>
          <w:p w14:paraId="06505FDF">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c>
          <w:tcPr>
            <w:tcW w:w="794" w:type="dxa"/>
            <w:tcBorders>
              <w:bottom w:val="single" w:color="auto" w:sz="8" w:space="0"/>
            </w:tcBorders>
            <w:tcMar>
              <w:left w:w="57" w:type="dxa"/>
              <w:right w:w="57" w:type="dxa"/>
            </w:tcMar>
            <w:vAlign w:val="center"/>
          </w:tcPr>
          <w:p w14:paraId="692CC05E">
            <w:pPr>
              <w:keepNext w:val="0"/>
              <w:keepLines w:val="0"/>
              <w:widowControl/>
              <w:suppressLineNumbers w:val="0"/>
              <w:spacing w:before="0" w:beforeAutospacing="0" w:after="0" w:afterAutospacing="0" w:line="240" w:lineRule="auto"/>
              <w:ind w:left="0" w:right="0" w:firstLine="0" w:firstLineChars="0"/>
              <w:jc w:val="center"/>
              <w:rPr>
                <w:rFonts w:hint="default"/>
                <w:color w:val="auto"/>
                <w:kern w:val="2"/>
                <w:sz w:val="13"/>
                <w:szCs w:val="15"/>
              </w:rPr>
            </w:pPr>
          </w:p>
        </w:tc>
      </w:tr>
    </w:tbl>
    <w:p w14:paraId="2C643C32">
      <w:pPr>
        <w:ind w:firstLine="301"/>
        <w:rPr>
          <w:rFonts w:eastAsia="仿宋"/>
          <w:b/>
          <w:color w:val="auto"/>
        </w:rPr>
      </w:pPr>
      <w:r>
        <w:rPr>
          <w:rFonts w:hint="eastAsia"/>
          <w:b/>
          <w:color w:val="auto"/>
          <w:sz w:val="15"/>
          <w:szCs w:val="15"/>
        </w:rPr>
        <w:t>注：</w:t>
      </w:r>
      <w:r>
        <w:rPr>
          <w:b/>
          <w:color w:val="auto"/>
          <w:sz w:val="15"/>
          <w:szCs w:val="15"/>
        </w:rPr>
        <w:t>1</w:t>
      </w:r>
      <w:r>
        <w:rPr>
          <w:rFonts w:hint="eastAsia"/>
          <w:b/>
          <w:color w:val="auto"/>
          <w:sz w:val="15"/>
          <w:szCs w:val="15"/>
        </w:rPr>
        <w:t>、</w:t>
      </w:r>
      <w:r>
        <w:rPr>
          <w:rFonts w:hint="eastAsia"/>
          <w:b/>
          <w:color w:val="auto"/>
          <w:spacing w:val="-4"/>
          <w:sz w:val="15"/>
          <w:szCs w:val="15"/>
        </w:rPr>
        <w:t>排放增减量：（</w:t>
      </w:r>
      <w:r>
        <w:rPr>
          <w:b/>
          <w:color w:val="auto"/>
          <w:spacing w:val="-4"/>
          <w:sz w:val="15"/>
          <w:szCs w:val="15"/>
        </w:rPr>
        <w:t>+</w:t>
      </w:r>
      <w:r>
        <w:rPr>
          <w:rFonts w:hint="eastAsia"/>
          <w:b/>
          <w:color w:val="auto"/>
          <w:spacing w:val="-4"/>
          <w:sz w:val="15"/>
          <w:szCs w:val="15"/>
        </w:rPr>
        <w:t>）表示增加，（</w:t>
      </w:r>
      <w:r>
        <w:rPr>
          <w:b/>
          <w:color w:val="auto"/>
          <w:spacing w:val="-4"/>
          <w:sz w:val="15"/>
          <w:szCs w:val="15"/>
        </w:rPr>
        <w:t>-</w:t>
      </w:r>
      <w:r>
        <w:rPr>
          <w:rFonts w:hint="eastAsia"/>
          <w:b/>
          <w:color w:val="auto"/>
          <w:spacing w:val="-4"/>
          <w:sz w:val="15"/>
          <w:szCs w:val="15"/>
        </w:rPr>
        <w:t>）表示减少。</w:t>
      </w:r>
      <w:r>
        <w:rPr>
          <w:b/>
          <w:color w:val="auto"/>
          <w:spacing w:val="-4"/>
          <w:sz w:val="15"/>
          <w:szCs w:val="15"/>
        </w:rPr>
        <w:t>2</w:t>
      </w:r>
      <w:r>
        <w:rPr>
          <w:rFonts w:hint="eastAsia"/>
          <w:b/>
          <w:color w:val="auto"/>
          <w:spacing w:val="-4"/>
          <w:sz w:val="15"/>
          <w:szCs w:val="15"/>
        </w:rPr>
        <w:t>、</w:t>
      </w:r>
      <w:r>
        <w:rPr>
          <w:b/>
          <w:color w:val="auto"/>
          <w:spacing w:val="-4"/>
          <w:sz w:val="15"/>
          <w:szCs w:val="15"/>
        </w:rPr>
        <w:t>(12)=(6)-(8)-(11)</w:t>
      </w:r>
      <w:r>
        <w:rPr>
          <w:rFonts w:hint="eastAsia"/>
          <w:b/>
          <w:color w:val="auto"/>
          <w:spacing w:val="-4"/>
          <w:sz w:val="15"/>
          <w:szCs w:val="15"/>
        </w:rPr>
        <w:t>，</w:t>
      </w:r>
      <w:r>
        <w:rPr>
          <w:b/>
          <w:color w:val="auto"/>
          <w:spacing w:val="-4"/>
          <w:sz w:val="15"/>
          <w:szCs w:val="15"/>
        </w:rPr>
        <w:t>(</w:t>
      </w:r>
      <w:r>
        <w:rPr>
          <w:rFonts w:hint="eastAsia"/>
          <w:b/>
          <w:color w:val="auto"/>
          <w:spacing w:val="-4"/>
          <w:sz w:val="15"/>
          <w:szCs w:val="15"/>
        </w:rPr>
        <w:t>9</w:t>
      </w:r>
      <w:r>
        <w:rPr>
          <w:b/>
          <w:color w:val="auto"/>
          <w:spacing w:val="-4"/>
          <w:sz w:val="15"/>
          <w:szCs w:val="15"/>
        </w:rPr>
        <w:t>)= (4)-(5)-(8)-(11)+(1)</w:t>
      </w:r>
      <w:r>
        <w:rPr>
          <w:rFonts w:hint="eastAsia"/>
          <w:b/>
          <w:color w:val="auto"/>
          <w:spacing w:val="-4"/>
          <w:sz w:val="15"/>
          <w:szCs w:val="15"/>
        </w:rPr>
        <w:t>。</w:t>
      </w:r>
      <w:r>
        <w:rPr>
          <w:b/>
          <w:color w:val="auto"/>
          <w:spacing w:val="-4"/>
          <w:sz w:val="15"/>
          <w:szCs w:val="15"/>
        </w:rPr>
        <w:t>3</w:t>
      </w:r>
      <w:r>
        <w:rPr>
          <w:rFonts w:hint="eastAsia"/>
          <w:b/>
          <w:color w:val="auto"/>
          <w:spacing w:val="-4"/>
          <w:sz w:val="15"/>
          <w:szCs w:val="15"/>
        </w:rPr>
        <w:t>、计量单位：废水排放量</w:t>
      </w:r>
      <w:r>
        <w:rPr>
          <w:b/>
          <w:color w:val="auto"/>
          <w:spacing w:val="-4"/>
          <w:sz w:val="15"/>
          <w:szCs w:val="15"/>
        </w:rPr>
        <w:t>——</w:t>
      </w:r>
      <w:r>
        <w:rPr>
          <w:rFonts w:hint="eastAsia"/>
          <w:b/>
          <w:color w:val="auto"/>
          <w:spacing w:val="-4"/>
          <w:sz w:val="15"/>
          <w:szCs w:val="15"/>
        </w:rPr>
        <w:t>万吨</w:t>
      </w:r>
      <w:r>
        <w:rPr>
          <w:b/>
          <w:color w:val="auto"/>
          <w:spacing w:val="-4"/>
          <w:sz w:val="15"/>
          <w:szCs w:val="15"/>
        </w:rPr>
        <w:t>/</w:t>
      </w:r>
      <w:r>
        <w:rPr>
          <w:rFonts w:hint="eastAsia"/>
          <w:b/>
          <w:color w:val="auto"/>
          <w:spacing w:val="-4"/>
          <w:sz w:val="15"/>
          <w:szCs w:val="15"/>
        </w:rPr>
        <w:t>年；废气排放量</w:t>
      </w:r>
      <w:r>
        <w:rPr>
          <w:b/>
          <w:color w:val="auto"/>
          <w:spacing w:val="-4"/>
          <w:sz w:val="15"/>
          <w:szCs w:val="15"/>
        </w:rPr>
        <w:t>——</w:t>
      </w:r>
      <w:r>
        <w:rPr>
          <w:rFonts w:hint="eastAsia"/>
          <w:b/>
          <w:color w:val="auto"/>
          <w:spacing w:val="-4"/>
          <w:sz w:val="15"/>
          <w:szCs w:val="15"/>
        </w:rPr>
        <w:t>万标立方米</w:t>
      </w:r>
      <w:r>
        <w:rPr>
          <w:b/>
          <w:color w:val="auto"/>
          <w:spacing w:val="-4"/>
          <w:sz w:val="15"/>
          <w:szCs w:val="15"/>
        </w:rPr>
        <w:t>/</w:t>
      </w:r>
      <w:r>
        <w:rPr>
          <w:rFonts w:hint="eastAsia"/>
          <w:b/>
          <w:color w:val="auto"/>
          <w:spacing w:val="-4"/>
          <w:sz w:val="15"/>
          <w:szCs w:val="15"/>
        </w:rPr>
        <w:t>年；工业固体废物排放</w:t>
      </w:r>
      <w:r>
        <w:rPr>
          <w:rFonts w:hint="eastAsia"/>
          <w:b/>
          <w:color w:val="auto"/>
          <w:sz w:val="15"/>
          <w:szCs w:val="15"/>
        </w:rPr>
        <w:t>量</w:t>
      </w:r>
      <w:r>
        <w:rPr>
          <w:b/>
          <w:color w:val="auto"/>
          <w:sz w:val="15"/>
          <w:szCs w:val="15"/>
        </w:rPr>
        <w:t>——</w:t>
      </w:r>
      <w:r>
        <w:rPr>
          <w:rFonts w:hint="eastAsia"/>
          <w:b/>
          <w:color w:val="auto"/>
          <w:sz w:val="15"/>
          <w:szCs w:val="15"/>
        </w:rPr>
        <w:t>万吨</w:t>
      </w:r>
      <w:r>
        <w:rPr>
          <w:b/>
          <w:color w:val="auto"/>
          <w:sz w:val="15"/>
          <w:szCs w:val="15"/>
        </w:rPr>
        <w:t>/</w:t>
      </w:r>
      <w:r>
        <w:rPr>
          <w:rFonts w:hint="eastAsia"/>
          <w:b/>
          <w:color w:val="auto"/>
          <w:sz w:val="15"/>
          <w:szCs w:val="15"/>
        </w:rPr>
        <w:t>年；水污染物排放浓度</w:t>
      </w:r>
      <w:r>
        <w:rPr>
          <w:b/>
          <w:color w:val="auto"/>
          <w:sz w:val="15"/>
          <w:szCs w:val="15"/>
        </w:rPr>
        <w:t>——</w:t>
      </w:r>
      <w:r>
        <w:rPr>
          <w:rFonts w:hint="eastAsia"/>
          <w:b/>
          <w:color w:val="auto"/>
          <w:sz w:val="15"/>
          <w:szCs w:val="15"/>
        </w:rPr>
        <w:t>毫克</w:t>
      </w:r>
      <w:r>
        <w:rPr>
          <w:b/>
          <w:color w:val="auto"/>
          <w:sz w:val="15"/>
          <w:szCs w:val="15"/>
        </w:rPr>
        <w:t>/</w:t>
      </w:r>
      <w:r>
        <w:rPr>
          <w:rFonts w:hint="eastAsia"/>
          <w:b/>
          <w:color w:val="auto"/>
          <w:sz w:val="15"/>
          <w:szCs w:val="15"/>
        </w:rPr>
        <w:t>升</w:t>
      </w:r>
    </w:p>
    <w:sectPr>
      <w:headerReference r:id="rId12" w:type="default"/>
      <w:footerReference r:id="rId13" w:type="default"/>
      <w:pgSz w:w="16838" w:h="11906" w:orient="landscape"/>
      <w:pgMar w:top="1803" w:right="1440" w:bottom="1418" w:left="1440" w:header="567" w:footer="567" w:gutter="0"/>
      <w:pgBorders>
        <w:top w:val="none" w:sz="0" w:space="0"/>
        <w:left w:val="none" w:sz="0" w:space="0"/>
        <w:bottom w:val="none" w:sz="0" w:space="0"/>
        <w:right w:val="none" w:sz="0" w:space="0"/>
      </w:pgBorders>
      <w:pgNumType w:start="1"/>
      <w:cols w:space="720" w:num="1"/>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9595F">
    <w:pPr>
      <w:pStyle w:val="19"/>
      <w:ind w:firstLine="360"/>
      <w:jc w:val="center"/>
    </w:pPr>
    <w:r>
      <w:t xml:space="preserve">     </w:t>
    </w:r>
  </w:p>
  <w:p w14:paraId="4AB5F6E5">
    <w:pPr>
      <w:pStyle w:val="1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32573">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E7975">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5BFDA">
    <w:pPr>
      <w:pStyle w:val="19"/>
      <w:ind w:firstLine="360"/>
      <w:jc w:val="center"/>
    </w:pPr>
    <w:r>
      <w:fldChar w:fldCharType="begin"/>
    </w:r>
    <w:r>
      <w:instrText xml:space="preserve">PAGE   \* MERGEFORMAT</w:instrText>
    </w:r>
    <w:r>
      <w:fldChar w:fldCharType="separate"/>
    </w:r>
    <w:r>
      <w:rPr>
        <w:lang w:val="zh-CN"/>
      </w:rPr>
      <w:t>15</w:t>
    </w:r>
    <w:r>
      <w:rPr>
        <w:lang w:val="zh-CN"/>
      </w:rPr>
      <w:fldChar w:fldCharType="end"/>
    </w:r>
  </w:p>
  <w:p w14:paraId="0E2E5200">
    <w:pPr>
      <w:pStyle w:val="1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C7F98">
    <w:pPr>
      <w:pStyle w:val="1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3FA48">
    <w:pPr>
      <w:pStyle w:val="20"/>
      <w:pBdr>
        <w:bottom w:val="none" w:color="auto" w:sz="0" w:space="0"/>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6C48F">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4D2C9">
    <w:pPr>
      <w:pStyle w:val="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84B3B">
    <w:pPr>
      <w:pStyle w:val="20"/>
      <w:pBdr>
        <w:bottom w:val="none" w:color="auto" w:sz="0" w:space="0"/>
      </w:pBdr>
      <w:ind w:firstLine="36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5CBEA"/>
    <w:multiLevelType w:val="singleLevel"/>
    <w:tmpl w:val="8E65CBEA"/>
    <w:lvl w:ilvl="0" w:tentative="0">
      <w:start w:val="2"/>
      <w:numFmt w:val="decimal"/>
      <w:suff w:val="nothing"/>
      <w:lvlText w:val="%1、"/>
      <w:lvlJc w:val="left"/>
    </w:lvl>
  </w:abstractNum>
  <w:abstractNum w:abstractNumId="1">
    <w:nsid w:val="931011A1"/>
    <w:multiLevelType w:val="singleLevel"/>
    <w:tmpl w:val="931011A1"/>
    <w:lvl w:ilvl="0" w:tentative="0">
      <w:start w:val="6"/>
      <w:numFmt w:val="decimal"/>
      <w:suff w:val="nothing"/>
      <w:lvlText w:val="（%1）"/>
      <w:lvlJc w:val="left"/>
    </w:lvl>
  </w:abstractNum>
  <w:abstractNum w:abstractNumId="2">
    <w:nsid w:val="B148FBD1"/>
    <w:multiLevelType w:val="singleLevel"/>
    <w:tmpl w:val="B148FBD1"/>
    <w:lvl w:ilvl="0" w:tentative="0">
      <w:start w:val="1"/>
      <w:numFmt w:val="decimal"/>
      <w:suff w:val="nothing"/>
      <w:lvlText w:val="（%1）"/>
      <w:lvlJc w:val="left"/>
    </w:lvl>
  </w:abstractNum>
  <w:abstractNum w:abstractNumId="3">
    <w:nsid w:val="09D46620"/>
    <w:multiLevelType w:val="singleLevel"/>
    <w:tmpl w:val="09D46620"/>
    <w:lvl w:ilvl="0" w:tentative="0">
      <w:start w:val="3"/>
      <w:numFmt w:val="chineseCounting"/>
      <w:suff w:val="space"/>
      <w:lvlText w:val="第%1篇"/>
      <w:lvlJc w:val="left"/>
      <w:rPr>
        <w:rFonts w:hint="eastAsia"/>
      </w:rPr>
    </w:lvl>
  </w:abstractNum>
  <w:abstractNum w:abstractNumId="4">
    <w:nsid w:val="4470E8FE"/>
    <w:multiLevelType w:val="singleLevel"/>
    <w:tmpl w:val="4470E8FE"/>
    <w:lvl w:ilvl="0" w:tentative="0">
      <w:start w:val="1"/>
      <w:numFmt w:val="decimal"/>
      <w:suff w:val="nothing"/>
      <w:lvlText w:val="（%1）"/>
      <w:lvlJc w:val="left"/>
    </w:lvl>
  </w:abstractNum>
  <w:abstractNum w:abstractNumId="5">
    <w:nsid w:val="78A37EAD"/>
    <w:multiLevelType w:val="singleLevel"/>
    <w:tmpl w:val="78A37EAD"/>
    <w:lvl w:ilvl="0" w:tentative="0">
      <w:start w:val="5"/>
      <w:numFmt w:val="chineseCounting"/>
      <w:suff w:val="nothing"/>
      <w:lvlText w:val="%1、"/>
      <w:lvlJc w:val="left"/>
      <w:rPr>
        <w:rFonts w:hint="eastAsia"/>
      </w:rPr>
    </w:lvl>
  </w:abstractNum>
  <w:num w:numId="1">
    <w:abstractNumId w:val="2"/>
  </w:num>
  <w:num w:numId="2">
    <w:abstractNumId w:val="5"/>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Q2YWI1MmEzYzJjZmM0MDM5ZDYxMDI3M2E3OGM1YTgifQ=="/>
  </w:docVars>
  <w:rsids>
    <w:rsidRoot w:val="00172A27"/>
    <w:rsid w:val="00001C6F"/>
    <w:rsid w:val="00002B05"/>
    <w:rsid w:val="000038E6"/>
    <w:rsid w:val="0000489E"/>
    <w:rsid w:val="00004BB7"/>
    <w:rsid w:val="00004C5C"/>
    <w:rsid w:val="00005F9C"/>
    <w:rsid w:val="00007C41"/>
    <w:rsid w:val="00010156"/>
    <w:rsid w:val="00010571"/>
    <w:rsid w:val="00010DD8"/>
    <w:rsid w:val="00011215"/>
    <w:rsid w:val="00013707"/>
    <w:rsid w:val="00013F71"/>
    <w:rsid w:val="000156FE"/>
    <w:rsid w:val="000160E5"/>
    <w:rsid w:val="00016821"/>
    <w:rsid w:val="00017564"/>
    <w:rsid w:val="000201CA"/>
    <w:rsid w:val="00020642"/>
    <w:rsid w:val="00020A93"/>
    <w:rsid w:val="00020CF9"/>
    <w:rsid w:val="00021373"/>
    <w:rsid w:val="00024A24"/>
    <w:rsid w:val="00025C17"/>
    <w:rsid w:val="00027213"/>
    <w:rsid w:val="000272A6"/>
    <w:rsid w:val="000278D8"/>
    <w:rsid w:val="00027A75"/>
    <w:rsid w:val="00027FF5"/>
    <w:rsid w:val="00030581"/>
    <w:rsid w:val="000306D5"/>
    <w:rsid w:val="00030772"/>
    <w:rsid w:val="0003088F"/>
    <w:rsid w:val="000313F7"/>
    <w:rsid w:val="0003164C"/>
    <w:rsid w:val="0003250C"/>
    <w:rsid w:val="00033BF4"/>
    <w:rsid w:val="00033D23"/>
    <w:rsid w:val="00034E32"/>
    <w:rsid w:val="00035315"/>
    <w:rsid w:val="000358BB"/>
    <w:rsid w:val="000366CA"/>
    <w:rsid w:val="00036DCA"/>
    <w:rsid w:val="00037392"/>
    <w:rsid w:val="00040BEE"/>
    <w:rsid w:val="00040EF6"/>
    <w:rsid w:val="00041D82"/>
    <w:rsid w:val="000426AE"/>
    <w:rsid w:val="00043730"/>
    <w:rsid w:val="00043E2F"/>
    <w:rsid w:val="00044B1B"/>
    <w:rsid w:val="00044DAE"/>
    <w:rsid w:val="00045F5F"/>
    <w:rsid w:val="00046E61"/>
    <w:rsid w:val="0004738E"/>
    <w:rsid w:val="000477DA"/>
    <w:rsid w:val="00047ABF"/>
    <w:rsid w:val="000505AA"/>
    <w:rsid w:val="00050834"/>
    <w:rsid w:val="00050A23"/>
    <w:rsid w:val="00051FF3"/>
    <w:rsid w:val="00052944"/>
    <w:rsid w:val="00052BEB"/>
    <w:rsid w:val="000533AD"/>
    <w:rsid w:val="00053892"/>
    <w:rsid w:val="00054468"/>
    <w:rsid w:val="00054F03"/>
    <w:rsid w:val="000551C1"/>
    <w:rsid w:val="000633B0"/>
    <w:rsid w:val="000635F6"/>
    <w:rsid w:val="00063A17"/>
    <w:rsid w:val="00063C5E"/>
    <w:rsid w:val="0006554D"/>
    <w:rsid w:val="00065B0A"/>
    <w:rsid w:val="00065D0A"/>
    <w:rsid w:val="00065FBF"/>
    <w:rsid w:val="000660EE"/>
    <w:rsid w:val="0006673F"/>
    <w:rsid w:val="00066D22"/>
    <w:rsid w:val="000670FD"/>
    <w:rsid w:val="0006745F"/>
    <w:rsid w:val="000674DA"/>
    <w:rsid w:val="00067B07"/>
    <w:rsid w:val="00067D9F"/>
    <w:rsid w:val="000703F8"/>
    <w:rsid w:val="0007048B"/>
    <w:rsid w:val="0007202B"/>
    <w:rsid w:val="00072116"/>
    <w:rsid w:val="000724AC"/>
    <w:rsid w:val="00073474"/>
    <w:rsid w:val="00073BAE"/>
    <w:rsid w:val="00074063"/>
    <w:rsid w:val="00074478"/>
    <w:rsid w:val="00074740"/>
    <w:rsid w:val="00074F48"/>
    <w:rsid w:val="00076DE1"/>
    <w:rsid w:val="000808D4"/>
    <w:rsid w:val="00081C0C"/>
    <w:rsid w:val="0008209F"/>
    <w:rsid w:val="0008389C"/>
    <w:rsid w:val="00083FAC"/>
    <w:rsid w:val="00085BE0"/>
    <w:rsid w:val="0008627E"/>
    <w:rsid w:val="000901C5"/>
    <w:rsid w:val="00092877"/>
    <w:rsid w:val="0009310F"/>
    <w:rsid w:val="0009525C"/>
    <w:rsid w:val="000964A1"/>
    <w:rsid w:val="00096661"/>
    <w:rsid w:val="000966FE"/>
    <w:rsid w:val="0009695A"/>
    <w:rsid w:val="00097BA5"/>
    <w:rsid w:val="00097D11"/>
    <w:rsid w:val="00097FC5"/>
    <w:rsid w:val="000A0848"/>
    <w:rsid w:val="000A092F"/>
    <w:rsid w:val="000A1198"/>
    <w:rsid w:val="000A27F8"/>
    <w:rsid w:val="000A3230"/>
    <w:rsid w:val="000A41ED"/>
    <w:rsid w:val="000A54B2"/>
    <w:rsid w:val="000A6120"/>
    <w:rsid w:val="000B23AB"/>
    <w:rsid w:val="000B2F22"/>
    <w:rsid w:val="000B4B34"/>
    <w:rsid w:val="000B531D"/>
    <w:rsid w:val="000B5DF4"/>
    <w:rsid w:val="000B6BCE"/>
    <w:rsid w:val="000C1432"/>
    <w:rsid w:val="000C3463"/>
    <w:rsid w:val="000C3E86"/>
    <w:rsid w:val="000C440C"/>
    <w:rsid w:val="000C463E"/>
    <w:rsid w:val="000C4AAA"/>
    <w:rsid w:val="000C4D2E"/>
    <w:rsid w:val="000C4D46"/>
    <w:rsid w:val="000C72EE"/>
    <w:rsid w:val="000D0BCD"/>
    <w:rsid w:val="000D2500"/>
    <w:rsid w:val="000D3338"/>
    <w:rsid w:val="000D3BFC"/>
    <w:rsid w:val="000D3C04"/>
    <w:rsid w:val="000D4BE0"/>
    <w:rsid w:val="000D4C93"/>
    <w:rsid w:val="000D5246"/>
    <w:rsid w:val="000E0952"/>
    <w:rsid w:val="000E0F2F"/>
    <w:rsid w:val="000E1B34"/>
    <w:rsid w:val="000E2166"/>
    <w:rsid w:val="000E31CF"/>
    <w:rsid w:val="000E43D8"/>
    <w:rsid w:val="000E45C7"/>
    <w:rsid w:val="000E4BE1"/>
    <w:rsid w:val="000E5DE9"/>
    <w:rsid w:val="000E6629"/>
    <w:rsid w:val="000E6755"/>
    <w:rsid w:val="000E6DC0"/>
    <w:rsid w:val="000E6E98"/>
    <w:rsid w:val="000E6EF8"/>
    <w:rsid w:val="000F06A0"/>
    <w:rsid w:val="000F1534"/>
    <w:rsid w:val="000F3555"/>
    <w:rsid w:val="000F5428"/>
    <w:rsid w:val="000F5492"/>
    <w:rsid w:val="000F6359"/>
    <w:rsid w:val="00102E7D"/>
    <w:rsid w:val="00103681"/>
    <w:rsid w:val="001042BB"/>
    <w:rsid w:val="001048C8"/>
    <w:rsid w:val="0010587E"/>
    <w:rsid w:val="00106308"/>
    <w:rsid w:val="00106370"/>
    <w:rsid w:val="0010649C"/>
    <w:rsid w:val="00106859"/>
    <w:rsid w:val="0010790F"/>
    <w:rsid w:val="0011095E"/>
    <w:rsid w:val="00110B45"/>
    <w:rsid w:val="00110D94"/>
    <w:rsid w:val="00110F4C"/>
    <w:rsid w:val="00111951"/>
    <w:rsid w:val="00111ABB"/>
    <w:rsid w:val="00111FE9"/>
    <w:rsid w:val="00112313"/>
    <w:rsid w:val="0011339D"/>
    <w:rsid w:val="001138CA"/>
    <w:rsid w:val="00113E49"/>
    <w:rsid w:val="00116E12"/>
    <w:rsid w:val="00120425"/>
    <w:rsid w:val="0012241D"/>
    <w:rsid w:val="00122FA9"/>
    <w:rsid w:val="001261BE"/>
    <w:rsid w:val="001262BB"/>
    <w:rsid w:val="0012635A"/>
    <w:rsid w:val="00127437"/>
    <w:rsid w:val="001307CA"/>
    <w:rsid w:val="001325FF"/>
    <w:rsid w:val="001326DC"/>
    <w:rsid w:val="00132A2F"/>
    <w:rsid w:val="00133056"/>
    <w:rsid w:val="001335D9"/>
    <w:rsid w:val="00134599"/>
    <w:rsid w:val="00137373"/>
    <w:rsid w:val="001419F0"/>
    <w:rsid w:val="00141DD1"/>
    <w:rsid w:val="001422AF"/>
    <w:rsid w:val="00144303"/>
    <w:rsid w:val="00145C8A"/>
    <w:rsid w:val="00146248"/>
    <w:rsid w:val="001466AA"/>
    <w:rsid w:val="001468D6"/>
    <w:rsid w:val="00146D33"/>
    <w:rsid w:val="001502F1"/>
    <w:rsid w:val="00150534"/>
    <w:rsid w:val="00151136"/>
    <w:rsid w:val="001524F4"/>
    <w:rsid w:val="00152EA9"/>
    <w:rsid w:val="00153828"/>
    <w:rsid w:val="001543A4"/>
    <w:rsid w:val="00154C01"/>
    <w:rsid w:val="00155887"/>
    <w:rsid w:val="00155FB3"/>
    <w:rsid w:val="00156003"/>
    <w:rsid w:val="00156657"/>
    <w:rsid w:val="00160204"/>
    <w:rsid w:val="00163F40"/>
    <w:rsid w:val="0016425B"/>
    <w:rsid w:val="00164B32"/>
    <w:rsid w:val="00164CDC"/>
    <w:rsid w:val="001653B5"/>
    <w:rsid w:val="00165953"/>
    <w:rsid w:val="0016616A"/>
    <w:rsid w:val="0016618A"/>
    <w:rsid w:val="001662BD"/>
    <w:rsid w:val="00166786"/>
    <w:rsid w:val="00166B3E"/>
    <w:rsid w:val="0016793A"/>
    <w:rsid w:val="00170231"/>
    <w:rsid w:val="00170E8B"/>
    <w:rsid w:val="0017120C"/>
    <w:rsid w:val="001723BE"/>
    <w:rsid w:val="00172702"/>
    <w:rsid w:val="00172A28"/>
    <w:rsid w:val="001732CA"/>
    <w:rsid w:val="001734DE"/>
    <w:rsid w:val="001735FC"/>
    <w:rsid w:val="00174545"/>
    <w:rsid w:val="00174BE6"/>
    <w:rsid w:val="0017514B"/>
    <w:rsid w:val="0017532F"/>
    <w:rsid w:val="0017657E"/>
    <w:rsid w:val="00176BFE"/>
    <w:rsid w:val="001803C7"/>
    <w:rsid w:val="001819A4"/>
    <w:rsid w:val="00181C3D"/>
    <w:rsid w:val="00183057"/>
    <w:rsid w:val="0018413D"/>
    <w:rsid w:val="00184E94"/>
    <w:rsid w:val="0018554F"/>
    <w:rsid w:val="001859E2"/>
    <w:rsid w:val="001859E7"/>
    <w:rsid w:val="00186BCE"/>
    <w:rsid w:val="001878D2"/>
    <w:rsid w:val="0019178A"/>
    <w:rsid w:val="00192250"/>
    <w:rsid w:val="00192769"/>
    <w:rsid w:val="00193E65"/>
    <w:rsid w:val="0019763D"/>
    <w:rsid w:val="00197D2F"/>
    <w:rsid w:val="001A0547"/>
    <w:rsid w:val="001A0E47"/>
    <w:rsid w:val="001A152F"/>
    <w:rsid w:val="001A174E"/>
    <w:rsid w:val="001A1C62"/>
    <w:rsid w:val="001A287B"/>
    <w:rsid w:val="001A2DB5"/>
    <w:rsid w:val="001A2E29"/>
    <w:rsid w:val="001A303B"/>
    <w:rsid w:val="001A406D"/>
    <w:rsid w:val="001A415D"/>
    <w:rsid w:val="001A41CF"/>
    <w:rsid w:val="001A4251"/>
    <w:rsid w:val="001A45D5"/>
    <w:rsid w:val="001A4687"/>
    <w:rsid w:val="001A6327"/>
    <w:rsid w:val="001A636B"/>
    <w:rsid w:val="001A7185"/>
    <w:rsid w:val="001A7CA2"/>
    <w:rsid w:val="001B007F"/>
    <w:rsid w:val="001B0A5B"/>
    <w:rsid w:val="001B2329"/>
    <w:rsid w:val="001B28E0"/>
    <w:rsid w:val="001B37D8"/>
    <w:rsid w:val="001B4005"/>
    <w:rsid w:val="001B47D0"/>
    <w:rsid w:val="001B50DE"/>
    <w:rsid w:val="001B5D3D"/>
    <w:rsid w:val="001C07B9"/>
    <w:rsid w:val="001C1407"/>
    <w:rsid w:val="001C22E7"/>
    <w:rsid w:val="001C275A"/>
    <w:rsid w:val="001C354D"/>
    <w:rsid w:val="001C46C8"/>
    <w:rsid w:val="001C5A03"/>
    <w:rsid w:val="001C5B1D"/>
    <w:rsid w:val="001C62B7"/>
    <w:rsid w:val="001C68B8"/>
    <w:rsid w:val="001C7EAA"/>
    <w:rsid w:val="001C7ECA"/>
    <w:rsid w:val="001D0B0A"/>
    <w:rsid w:val="001D1865"/>
    <w:rsid w:val="001D2B84"/>
    <w:rsid w:val="001D3D0C"/>
    <w:rsid w:val="001D4012"/>
    <w:rsid w:val="001D4118"/>
    <w:rsid w:val="001D5C4C"/>
    <w:rsid w:val="001D6DCA"/>
    <w:rsid w:val="001D75B7"/>
    <w:rsid w:val="001D7E66"/>
    <w:rsid w:val="001D7F70"/>
    <w:rsid w:val="001E1122"/>
    <w:rsid w:val="001E2AF7"/>
    <w:rsid w:val="001E2CC3"/>
    <w:rsid w:val="001E3440"/>
    <w:rsid w:val="001E3AA3"/>
    <w:rsid w:val="001E3E61"/>
    <w:rsid w:val="001E464F"/>
    <w:rsid w:val="001E4D46"/>
    <w:rsid w:val="001E5383"/>
    <w:rsid w:val="001E5767"/>
    <w:rsid w:val="001E5C56"/>
    <w:rsid w:val="001E5E5B"/>
    <w:rsid w:val="001E6394"/>
    <w:rsid w:val="001F001A"/>
    <w:rsid w:val="001F22C0"/>
    <w:rsid w:val="001F3969"/>
    <w:rsid w:val="001F39F2"/>
    <w:rsid w:val="001F3C96"/>
    <w:rsid w:val="001F3F4B"/>
    <w:rsid w:val="001F4D8C"/>
    <w:rsid w:val="001F5297"/>
    <w:rsid w:val="001F5518"/>
    <w:rsid w:val="001F5D26"/>
    <w:rsid w:val="00201466"/>
    <w:rsid w:val="00202DB4"/>
    <w:rsid w:val="00203162"/>
    <w:rsid w:val="00204723"/>
    <w:rsid w:val="00204D1D"/>
    <w:rsid w:val="00205780"/>
    <w:rsid w:val="00205A7D"/>
    <w:rsid w:val="00205F27"/>
    <w:rsid w:val="00206D1A"/>
    <w:rsid w:val="00210C7B"/>
    <w:rsid w:val="00211A1D"/>
    <w:rsid w:val="00211EA3"/>
    <w:rsid w:val="00213DD8"/>
    <w:rsid w:val="00214740"/>
    <w:rsid w:val="00214788"/>
    <w:rsid w:val="00216E25"/>
    <w:rsid w:val="00220240"/>
    <w:rsid w:val="002202EC"/>
    <w:rsid w:val="0022073A"/>
    <w:rsid w:val="0022148F"/>
    <w:rsid w:val="00221716"/>
    <w:rsid w:val="00222035"/>
    <w:rsid w:val="0022279F"/>
    <w:rsid w:val="00223705"/>
    <w:rsid w:val="00223F19"/>
    <w:rsid w:val="00224085"/>
    <w:rsid w:val="00225D92"/>
    <w:rsid w:val="002262DF"/>
    <w:rsid w:val="00226987"/>
    <w:rsid w:val="00226D28"/>
    <w:rsid w:val="00226D93"/>
    <w:rsid w:val="00227E73"/>
    <w:rsid w:val="0023266E"/>
    <w:rsid w:val="00232D38"/>
    <w:rsid w:val="00234085"/>
    <w:rsid w:val="0023497F"/>
    <w:rsid w:val="00235705"/>
    <w:rsid w:val="002359BA"/>
    <w:rsid w:val="00235C2B"/>
    <w:rsid w:val="00236149"/>
    <w:rsid w:val="0024051D"/>
    <w:rsid w:val="00241633"/>
    <w:rsid w:val="00243949"/>
    <w:rsid w:val="00244134"/>
    <w:rsid w:val="002443BA"/>
    <w:rsid w:val="002449C0"/>
    <w:rsid w:val="00245269"/>
    <w:rsid w:val="002454F9"/>
    <w:rsid w:val="002463B2"/>
    <w:rsid w:val="002467B9"/>
    <w:rsid w:val="00246B2B"/>
    <w:rsid w:val="00246CAD"/>
    <w:rsid w:val="00247BBD"/>
    <w:rsid w:val="002502FE"/>
    <w:rsid w:val="00253284"/>
    <w:rsid w:val="0025364E"/>
    <w:rsid w:val="00254487"/>
    <w:rsid w:val="00254F12"/>
    <w:rsid w:val="0025512E"/>
    <w:rsid w:val="0025598D"/>
    <w:rsid w:val="002577BF"/>
    <w:rsid w:val="00257D1E"/>
    <w:rsid w:val="002609A7"/>
    <w:rsid w:val="00262663"/>
    <w:rsid w:val="00262AA4"/>
    <w:rsid w:val="00262D57"/>
    <w:rsid w:val="00264642"/>
    <w:rsid w:val="00264D9A"/>
    <w:rsid w:val="00265504"/>
    <w:rsid w:val="00266536"/>
    <w:rsid w:val="0026677E"/>
    <w:rsid w:val="00267026"/>
    <w:rsid w:val="002703FC"/>
    <w:rsid w:val="00270758"/>
    <w:rsid w:val="002707B4"/>
    <w:rsid w:val="00272338"/>
    <w:rsid w:val="002727B1"/>
    <w:rsid w:val="002749E6"/>
    <w:rsid w:val="00274A24"/>
    <w:rsid w:val="00275040"/>
    <w:rsid w:val="00275171"/>
    <w:rsid w:val="00275182"/>
    <w:rsid w:val="0027545B"/>
    <w:rsid w:val="0027649A"/>
    <w:rsid w:val="002766E3"/>
    <w:rsid w:val="00277159"/>
    <w:rsid w:val="00277DD1"/>
    <w:rsid w:val="00277F59"/>
    <w:rsid w:val="0028111B"/>
    <w:rsid w:val="00282283"/>
    <w:rsid w:val="00282CF8"/>
    <w:rsid w:val="00283658"/>
    <w:rsid w:val="00284684"/>
    <w:rsid w:val="00284AA4"/>
    <w:rsid w:val="0028514C"/>
    <w:rsid w:val="00285430"/>
    <w:rsid w:val="00285F71"/>
    <w:rsid w:val="002863F4"/>
    <w:rsid w:val="00286FE5"/>
    <w:rsid w:val="00287464"/>
    <w:rsid w:val="00287C5C"/>
    <w:rsid w:val="00290131"/>
    <w:rsid w:val="0029020E"/>
    <w:rsid w:val="002903EF"/>
    <w:rsid w:val="002907E1"/>
    <w:rsid w:val="00291DDF"/>
    <w:rsid w:val="002924BA"/>
    <w:rsid w:val="00292DCB"/>
    <w:rsid w:val="00293AF3"/>
    <w:rsid w:val="00295F99"/>
    <w:rsid w:val="00296B00"/>
    <w:rsid w:val="002970D5"/>
    <w:rsid w:val="0029741B"/>
    <w:rsid w:val="002A0B7D"/>
    <w:rsid w:val="002A1188"/>
    <w:rsid w:val="002A2152"/>
    <w:rsid w:val="002A3576"/>
    <w:rsid w:val="002A39C9"/>
    <w:rsid w:val="002A4697"/>
    <w:rsid w:val="002A4B70"/>
    <w:rsid w:val="002A5439"/>
    <w:rsid w:val="002A62C5"/>
    <w:rsid w:val="002A63E0"/>
    <w:rsid w:val="002A66CD"/>
    <w:rsid w:val="002B132E"/>
    <w:rsid w:val="002B15B7"/>
    <w:rsid w:val="002B2580"/>
    <w:rsid w:val="002B4790"/>
    <w:rsid w:val="002B47CA"/>
    <w:rsid w:val="002B4834"/>
    <w:rsid w:val="002B5CD1"/>
    <w:rsid w:val="002B6141"/>
    <w:rsid w:val="002B6C76"/>
    <w:rsid w:val="002B7308"/>
    <w:rsid w:val="002C022E"/>
    <w:rsid w:val="002C060E"/>
    <w:rsid w:val="002C0929"/>
    <w:rsid w:val="002C12D7"/>
    <w:rsid w:val="002C3253"/>
    <w:rsid w:val="002C3553"/>
    <w:rsid w:val="002C3720"/>
    <w:rsid w:val="002C3979"/>
    <w:rsid w:val="002C547C"/>
    <w:rsid w:val="002C55AF"/>
    <w:rsid w:val="002C55FB"/>
    <w:rsid w:val="002C71B2"/>
    <w:rsid w:val="002C73B2"/>
    <w:rsid w:val="002D0401"/>
    <w:rsid w:val="002D09A8"/>
    <w:rsid w:val="002D1508"/>
    <w:rsid w:val="002D1AC8"/>
    <w:rsid w:val="002D24AC"/>
    <w:rsid w:val="002D33F7"/>
    <w:rsid w:val="002D395E"/>
    <w:rsid w:val="002D3F0D"/>
    <w:rsid w:val="002D43D3"/>
    <w:rsid w:val="002D54D0"/>
    <w:rsid w:val="002D58E2"/>
    <w:rsid w:val="002D5C1D"/>
    <w:rsid w:val="002D78EA"/>
    <w:rsid w:val="002E0C93"/>
    <w:rsid w:val="002E13E2"/>
    <w:rsid w:val="002E1968"/>
    <w:rsid w:val="002E2020"/>
    <w:rsid w:val="002E22F1"/>
    <w:rsid w:val="002E282D"/>
    <w:rsid w:val="002E3C44"/>
    <w:rsid w:val="002E4612"/>
    <w:rsid w:val="002E4F04"/>
    <w:rsid w:val="002E51A3"/>
    <w:rsid w:val="002E58A4"/>
    <w:rsid w:val="002E5B76"/>
    <w:rsid w:val="002E74A9"/>
    <w:rsid w:val="002E7E17"/>
    <w:rsid w:val="002F1202"/>
    <w:rsid w:val="002F1397"/>
    <w:rsid w:val="002F1DE7"/>
    <w:rsid w:val="002F2582"/>
    <w:rsid w:val="002F2BAE"/>
    <w:rsid w:val="002F3FD6"/>
    <w:rsid w:val="002F4FEB"/>
    <w:rsid w:val="002F5797"/>
    <w:rsid w:val="002F5C62"/>
    <w:rsid w:val="002F6169"/>
    <w:rsid w:val="002F6310"/>
    <w:rsid w:val="002F6D5D"/>
    <w:rsid w:val="003011BE"/>
    <w:rsid w:val="00301AAC"/>
    <w:rsid w:val="00301B9D"/>
    <w:rsid w:val="003033C6"/>
    <w:rsid w:val="00303784"/>
    <w:rsid w:val="00303970"/>
    <w:rsid w:val="003040AB"/>
    <w:rsid w:val="0030503B"/>
    <w:rsid w:val="00305C48"/>
    <w:rsid w:val="00306862"/>
    <w:rsid w:val="00307FBD"/>
    <w:rsid w:val="003108DF"/>
    <w:rsid w:val="00310F73"/>
    <w:rsid w:val="00311807"/>
    <w:rsid w:val="00312303"/>
    <w:rsid w:val="0031238E"/>
    <w:rsid w:val="00317617"/>
    <w:rsid w:val="0031761C"/>
    <w:rsid w:val="00317C04"/>
    <w:rsid w:val="00320657"/>
    <w:rsid w:val="003215A1"/>
    <w:rsid w:val="00322CE0"/>
    <w:rsid w:val="00324D8C"/>
    <w:rsid w:val="00324ED5"/>
    <w:rsid w:val="00325371"/>
    <w:rsid w:val="00325C85"/>
    <w:rsid w:val="00326718"/>
    <w:rsid w:val="00333A0F"/>
    <w:rsid w:val="003348FD"/>
    <w:rsid w:val="00334AB4"/>
    <w:rsid w:val="00335239"/>
    <w:rsid w:val="003359D5"/>
    <w:rsid w:val="0033648C"/>
    <w:rsid w:val="003408E6"/>
    <w:rsid w:val="00340950"/>
    <w:rsid w:val="003409F0"/>
    <w:rsid w:val="00342598"/>
    <w:rsid w:val="003429A3"/>
    <w:rsid w:val="00342F22"/>
    <w:rsid w:val="00342FCD"/>
    <w:rsid w:val="003436BA"/>
    <w:rsid w:val="00343887"/>
    <w:rsid w:val="0034393F"/>
    <w:rsid w:val="00343C57"/>
    <w:rsid w:val="00344151"/>
    <w:rsid w:val="00344519"/>
    <w:rsid w:val="003452F8"/>
    <w:rsid w:val="00346662"/>
    <w:rsid w:val="00350521"/>
    <w:rsid w:val="003508C9"/>
    <w:rsid w:val="003510F8"/>
    <w:rsid w:val="00351A92"/>
    <w:rsid w:val="00352406"/>
    <w:rsid w:val="00353211"/>
    <w:rsid w:val="0035406F"/>
    <w:rsid w:val="003561C3"/>
    <w:rsid w:val="003567AD"/>
    <w:rsid w:val="00357E14"/>
    <w:rsid w:val="003606A3"/>
    <w:rsid w:val="00360B43"/>
    <w:rsid w:val="00360EA1"/>
    <w:rsid w:val="00361548"/>
    <w:rsid w:val="00361DA4"/>
    <w:rsid w:val="003624DE"/>
    <w:rsid w:val="003629E3"/>
    <w:rsid w:val="00363763"/>
    <w:rsid w:val="00365313"/>
    <w:rsid w:val="003664AD"/>
    <w:rsid w:val="00367A25"/>
    <w:rsid w:val="00367DD4"/>
    <w:rsid w:val="00367F8A"/>
    <w:rsid w:val="003705A9"/>
    <w:rsid w:val="00370D8A"/>
    <w:rsid w:val="00371C53"/>
    <w:rsid w:val="0037374D"/>
    <w:rsid w:val="003739E9"/>
    <w:rsid w:val="0037427E"/>
    <w:rsid w:val="0037594C"/>
    <w:rsid w:val="00375EBA"/>
    <w:rsid w:val="003760A7"/>
    <w:rsid w:val="003761B1"/>
    <w:rsid w:val="0037662B"/>
    <w:rsid w:val="00377B1C"/>
    <w:rsid w:val="00377DE2"/>
    <w:rsid w:val="00380469"/>
    <w:rsid w:val="003812D2"/>
    <w:rsid w:val="003821DE"/>
    <w:rsid w:val="0038269A"/>
    <w:rsid w:val="00382F1F"/>
    <w:rsid w:val="0038442C"/>
    <w:rsid w:val="0038445E"/>
    <w:rsid w:val="00385BB5"/>
    <w:rsid w:val="00386FCE"/>
    <w:rsid w:val="00390260"/>
    <w:rsid w:val="0039080C"/>
    <w:rsid w:val="00390E71"/>
    <w:rsid w:val="00391006"/>
    <w:rsid w:val="0039257E"/>
    <w:rsid w:val="003944E9"/>
    <w:rsid w:val="00394825"/>
    <w:rsid w:val="00394BB5"/>
    <w:rsid w:val="00395FCE"/>
    <w:rsid w:val="00396396"/>
    <w:rsid w:val="00396CE6"/>
    <w:rsid w:val="003A0713"/>
    <w:rsid w:val="003A107F"/>
    <w:rsid w:val="003A267F"/>
    <w:rsid w:val="003A34DA"/>
    <w:rsid w:val="003A4518"/>
    <w:rsid w:val="003A485E"/>
    <w:rsid w:val="003A4BC5"/>
    <w:rsid w:val="003A4D2B"/>
    <w:rsid w:val="003A577E"/>
    <w:rsid w:val="003A6B4E"/>
    <w:rsid w:val="003B2636"/>
    <w:rsid w:val="003B2795"/>
    <w:rsid w:val="003B2951"/>
    <w:rsid w:val="003B3153"/>
    <w:rsid w:val="003B3470"/>
    <w:rsid w:val="003B35B3"/>
    <w:rsid w:val="003B390A"/>
    <w:rsid w:val="003B4267"/>
    <w:rsid w:val="003B6489"/>
    <w:rsid w:val="003B71CA"/>
    <w:rsid w:val="003B7722"/>
    <w:rsid w:val="003B7AF3"/>
    <w:rsid w:val="003C0333"/>
    <w:rsid w:val="003C0CCC"/>
    <w:rsid w:val="003C1A83"/>
    <w:rsid w:val="003C26FC"/>
    <w:rsid w:val="003C303E"/>
    <w:rsid w:val="003C49EF"/>
    <w:rsid w:val="003C4B75"/>
    <w:rsid w:val="003C5982"/>
    <w:rsid w:val="003C64B4"/>
    <w:rsid w:val="003C67A5"/>
    <w:rsid w:val="003C7335"/>
    <w:rsid w:val="003C76F0"/>
    <w:rsid w:val="003C77B4"/>
    <w:rsid w:val="003C7AC9"/>
    <w:rsid w:val="003C7E62"/>
    <w:rsid w:val="003C7F83"/>
    <w:rsid w:val="003D0341"/>
    <w:rsid w:val="003D0D1F"/>
    <w:rsid w:val="003D0D6D"/>
    <w:rsid w:val="003D242D"/>
    <w:rsid w:val="003D3397"/>
    <w:rsid w:val="003D3CFA"/>
    <w:rsid w:val="003D6888"/>
    <w:rsid w:val="003D7201"/>
    <w:rsid w:val="003D76C9"/>
    <w:rsid w:val="003E0065"/>
    <w:rsid w:val="003E07BD"/>
    <w:rsid w:val="003E09BC"/>
    <w:rsid w:val="003E18A1"/>
    <w:rsid w:val="003E1A11"/>
    <w:rsid w:val="003E3620"/>
    <w:rsid w:val="003E3F34"/>
    <w:rsid w:val="003E4157"/>
    <w:rsid w:val="003E416F"/>
    <w:rsid w:val="003E4597"/>
    <w:rsid w:val="003E4BCA"/>
    <w:rsid w:val="003E502E"/>
    <w:rsid w:val="003E6552"/>
    <w:rsid w:val="003E71E1"/>
    <w:rsid w:val="003E727D"/>
    <w:rsid w:val="003E7ABB"/>
    <w:rsid w:val="003F1833"/>
    <w:rsid w:val="003F2C3C"/>
    <w:rsid w:val="003F3065"/>
    <w:rsid w:val="003F389E"/>
    <w:rsid w:val="003F4AE7"/>
    <w:rsid w:val="003F5629"/>
    <w:rsid w:val="003F5806"/>
    <w:rsid w:val="00400B39"/>
    <w:rsid w:val="00400E66"/>
    <w:rsid w:val="00400F67"/>
    <w:rsid w:val="0040192E"/>
    <w:rsid w:val="004020EF"/>
    <w:rsid w:val="00402EE1"/>
    <w:rsid w:val="00405605"/>
    <w:rsid w:val="00405B9F"/>
    <w:rsid w:val="00406CD9"/>
    <w:rsid w:val="004100EC"/>
    <w:rsid w:val="00410E4A"/>
    <w:rsid w:val="004129B4"/>
    <w:rsid w:val="00412F56"/>
    <w:rsid w:val="0041401A"/>
    <w:rsid w:val="0041422E"/>
    <w:rsid w:val="00414F79"/>
    <w:rsid w:val="00417056"/>
    <w:rsid w:val="00420AEE"/>
    <w:rsid w:val="00422A25"/>
    <w:rsid w:val="00424A67"/>
    <w:rsid w:val="0042584B"/>
    <w:rsid w:val="0042637E"/>
    <w:rsid w:val="00426CB7"/>
    <w:rsid w:val="00427AE1"/>
    <w:rsid w:val="00430B84"/>
    <w:rsid w:val="00430BC4"/>
    <w:rsid w:val="00431C22"/>
    <w:rsid w:val="0043277B"/>
    <w:rsid w:val="00433058"/>
    <w:rsid w:val="004331E1"/>
    <w:rsid w:val="0043355E"/>
    <w:rsid w:val="00433CA8"/>
    <w:rsid w:val="004355D6"/>
    <w:rsid w:val="00437475"/>
    <w:rsid w:val="00437607"/>
    <w:rsid w:val="00437610"/>
    <w:rsid w:val="00440A8D"/>
    <w:rsid w:val="00440F3D"/>
    <w:rsid w:val="00441B0A"/>
    <w:rsid w:val="004422CA"/>
    <w:rsid w:val="004424B2"/>
    <w:rsid w:val="00442C17"/>
    <w:rsid w:val="00442E92"/>
    <w:rsid w:val="004438AC"/>
    <w:rsid w:val="00444F7A"/>
    <w:rsid w:val="00445C84"/>
    <w:rsid w:val="00447BBF"/>
    <w:rsid w:val="004504E5"/>
    <w:rsid w:val="0045143C"/>
    <w:rsid w:val="00451447"/>
    <w:rsid w:val="00452125"/>
    <w:rsid w:val="0045215E"/>
    <w:rsid w:val="00453534"/>
    <w:rsid w:val="00454AAF"/>
    <w:rsid w:val="00454FA0"/>
    <w:rsid w:val="0045677B"/>
    <w:rsid w:val="00460BD7"/>
    <w:rsid w:val="00461417"/>
    <w:rsid w:val="00461539"/>
    <w:rsid w:val="00461908"/>
    <w:rsid w:val="00461DE0"/>
    <w:rsid w:val="00461F82"/>
    <w:rsid w:val="00462994"/>
    <w:rsid w:val="0046309F"/>
    <w:rsid w:val="004657BA"/>
    <w:rsid w:val="0046596B"/>
    <w:rsid w:val="00465DEA"/>
    <w:rsid w:val="00466F68"/>
    <w:rsid w:val="0047051B"/>
    <w:rsid w:val="004718F4"/>
    <w:rsid w:val="00471FD6"/>
    <w:rsid w:val="004724D0"/>
    <w:rsid w:val="004729F5"/>
    <w:rsid w:val="004743CC"/>
    <w:rsid w:val="0047452A"/>
    <w:rsid w:val="00475AC3"/>
    <w:rsid w:val="00475DF3"/>
    <w:rsid w:val="00475E12"/>
    <w:rsid w:val="004760B1"/>
    <w:rsid w:val="00476123"/>
    <w:rsid w:val="0047652C"/>
    <w:rsid w:val="00476708"/>
    <w:rsid w:val="00477F2C"/>
    <w:rsid w:val="004806B9"/>
    <w:rsid w:val="004807D6"/>
    <w:rsid w:val="004807E4"/>
    <w:rsid w:val="00480E1C"/>
    <w:rsid w:val="00481314"/>
    <w:rsid w:val="00481C68"/>
    <w:rsid w:val="00482406"/>
    <w:rsid w:val="00482451"/>
    <w:rsid w:val="00482E26"/>
    <w:rsid w:val="004861B3"/>
    <w:rsid w:val="00486A68"/>
    <w:rsid w:val="00487475"/>
    <w:rsid w:val="0049231F"/>
    <w:rsid w:val="0049293D"/>
    <w:rsid w:val="00492B60"/>
    <w:rsid w:val="00492EE9"/>
    <w:rsid w:val="004937AA"/>
    <w:rsid w:val="00493D44"/>
    <w:rsid w:val="004943FE"/>
    <w:rsid w:val="004947AA"/>
    <w:rsid w:val="0049559A"/>
    <w:rsid w:val="00496059"/>
    <w:rsid w:val="00496241"/>
    <w:rsid w:val="00496496"/>
    <w:rsid w:val="004A036A"/>
    <w:rsid w:val="004A2059"/>
    <w:rsid w:val="004A2107"/>
    <w:rsid w:val="004A2E28"/>
    <w:rsid w:val="004A314E"/>
    <w:rsid w:val="004A45CD"/>
    <w:rsid w:val="004A467A"/>
    <w:rsid w:val="004A6169"/>
    <w:rsid w:val="004A709D"/>
    <w:rsid w:val="004A7549"/>
    <w:rsid w:val="004B03B8"/>
    <w:rsid w:val="004B046B"/>
    <w:rsid w:val="004B04FC"/>
    <w:rsid w:val="004B0B3B"/>
    <w:rsid w:val="004B19A1"/>
    <w:rsid w:val="004B3F0D"/>
    <w:rsid w:val="004B4D09"/>
    <w:rsid w:val="004B4E5D"/>
    <w:rsid w:val="004B545A"/>
    <w:rsid w:val="004B6B27"/>
    <w:rsid w:val="004C0197"/>
    <w:rsid w:val="004C425F"/>
    <w:rsid w:val="004C42D5"/>
    <w:rsid w:val="004C4A49"/>
    <w:rsid w:val="004C50D7"/>
    <w:rsid w:val="004C51B3"/>
    <w:rsid w:val="004C5C3E"/>
    <w:rsid w:val="004C5DC4"/>
    <w:rsid w:val="004C6441"/>
    <w:rsid w:val="004C6A42"/>
    <w:rsid w:val="004C6AB9"/>
    <w:rsid w:val="004C6B53"/>
    <w:rsid w:val="004D0360"/>
    <w:rsid w:val="004D239E"/>
    <w:rsid w:val="004D32CB"/>
    <w:rsid w:val="004D3438"/>
    <w:rsid w:val="004D3FCF"/>
    <w:rsid w:val="004D4EA2"/>
    <w:rsid w:val="004D57BB"/>
    <w:rsid w:val="004D67CD"/>
    <w:rsid w:val="004D72CA"/>
    <w:rsid w:val="004D7ABA"/>
    <w:rsid w:val="004E02C4"/>
    <w:rsid w:val="004E1D0F"/>
    <w:rsid w:val="004E326C"/>
    <w:rsid w:val="004E3E2C"/>
    <w:rsid w:val="004E4933"/>
    <w:rsid w:val="004E56D9"/>
    <w:rsid w:val="004E6FF1"/>
    <w:rsid w:val="004E71B0"/>
    <w:rsid w:val="004E78C0"/>
    <w:rsid w:val="004F1127"/>
    <w:rsid w:val="004F2143"/>
    <w:rsid w:val="004F2614"/>
    <w:rsid w:val="004F32B1"/>
    <w:rsid w:val="004F4CC4"/>
    <w:rsid w:val="004F4D77"/>
    <w:rsid w:val="004F4E9A"/>
    <w:rsid w:val="004F5004"/>
    <w:rsid w:val="004F57BE"/>
    <w:rsid w:val="004F6769"/>
    <w:rsid w:val="00500D7E"/>
    <w:rsid w:val="0050167B"/>
    <w:rsid w:val="005019E8"/>
    <w:rsid w:val="00502845"/>
    <w:rsid w:val="00502F42"/>
    <w:rsid w:val="0050429E"/>
    <w:rsid w:val="005042AA"/>
    <w:rsid w:val="00504DC6"/>
    <w:rsid w:val="005060C5"/>
    <w:rsid w:val="005064F8"/>
    <w:rsid w:val="00506858"/>
    <w:rsid w:val="00507816"/>
    <w:rsid w:val="0050790B"/>
    <w:rsid w:val="00510039"/>
    <w:rsid w:val="00510E63"/>
    <w:rsid w:val="0051179F"/>
    <w:rsid w:val="005121C3"/>
    <w:rsid w:val="00513E80"/>
    <w:rsid w:val="005148A6"/>
    <w:rsid w:val="005163CF"/>
    <w:rsid w:val="00516F6C"/>
    <w:rsid w:val="00517767"/>
    <w:rsid w:val="005177D8"/>
    <w:rsid w:val="00517980"/>
    <w:rsid w:val="00517BF5"/>
    <w:rsid w:val="00517F39"/>
    <w:rsid w:val="00521D0F"/>
    <w:rsid w:val="0052375C"/>
    <w:rsid w:val="0052544C"/>
    <w:rsid w:val="00525595"/>
    <w:rsid w:val="00525EE1"/>
    <w:rsid w:val="005261CE"/>
    <w:rsid w:val="00526363"/>
    <w:rsid w:val="0052748A"/>
    <w:rsid w:val="005279B7"/>
    <w:rsid w:val="00527F8B"/>
    <w:rsid w:val="00531817"/>
    <w:rsid w:val="00531924"/>
    <w:rsid w:val="0053197C"/>
    <w:rsid w:val="00531C49"/>
    <w:rsid w:val="00531E53"/>
    <w:rsid w:val="00533596"/>
    <w:rsid w:val="00534313"/>
    <w:rsid w:val="0053493E"/>
    <w:rsid w:val="00534964"/>
    <w:rsid w:val="00535002"/>
    <w:rsid w:val="0053704A"/>
    <w:rsid w:val="00537265"/>
    <w:rsid w:val="0053795A"/>
    <w:rsid w:val="00537C1D"/>
    <w:rsid w:val="00540636"/>
    <w:rsid w:val="0054201D"/>
    <w:rsid w:val="0054344F"/>
    <w:rsid w:val="005437B3"/>
    <w:rsid w:val="00544277"/>
    <w:rsid w:val="00544519"/>
    <w:rsid w:val="005451E9"/>
    <w:rsid w:val="00545AB3"/>
    <w:rsid w:val="0054722C"/>
    <w:rsid w:val="005476A5"/>
    <w:rsid w:val="00550852"/>
    <w:rsid w:val="00550AAC"/>
    <w:rsid w:val="00551CC8"/>
    <w:rsid w:val="0055300C"/>
    <w:rsid w:val="00553752"/>
    <w:rsid w:val="00555220"/>
    <w:rsid w:val="00555931"/>
    <w:rsid w:val="00555E96"/>
    <w:rsid w:val="005567A1"/>
    <w:rsid w:val="005568BE"/>
    <w:rsid w:val="00556A9B"/>
    <w:rsid w:val="00557061"/>
    <w:rsid w:val="00557AF2"/>
    <w:rsid w:val="00557BCA"/>
    <w:rsid w:val="005603DB"/>
    <w:rsid w:val="00560C6D"/>
    <w:rsid w:val="00561053"/>
    <w:rsid w:val="00561439"/>
    <w:rsid w:val="005616EB"/>
    <w:rsid w:val="00562297"/>
    <w:rsid w:val="005629EC"/>
    <w:rsid w:val="00562E34"/>
    <w:rsid w:val="00563540"/>
    <w:rsid w:val="00565129"/>
    <w:rsid w:val="005655E9"/>
    <w:rsid w:val="00565CA0"/>
    <w:rsid w:val="005661F0"/>
    <w:rsid w:val="00566B2B"/>
    <w:rsid w:val="00567E69"/>
    <w:rsid w:val="00570194"/>
    <w:rsid w:val="00570238"/>
    <w:rsid w:val="0057147C"/>
    <w:rsid w:val="005728D0"/>
    <w:rsid w:val="00573875"/>
    <w:rsid w:val="00573900"/>
    <w:rsid w:val="00573C55"/>
    <w:rsid w:val="005747F7"/>
    <w:rsid w:val="00574CD3"/>
    <w:rsid w:val="005750DF"/>
    <w:rsid w:val="005755EA"/>
    <w:rsid w:val="00576107"/>
    <w:rsid w:val="00576BDB"/>
    <w:rsid w:val="0057711B"/>
    <w:rsid w:val="005773ED"/>
    <w:rsid w:val="0058273A"/>
    <w:rsid w:val="005855D0"/>
    <w:rsid w:val="00587C44"/>
    <w:rsid w:val="00590822"/>
    <w:rsid w:val="0059084A"/>
    <w:rsid w:val="0059157B"/>
    <w:rsid w:val="00592779"/>
    <w:rsid w:val="005930F3"/>
    <w:rsid w:val="00593994"/>
    <w:rsid w:val="0059408F"/>
    <w:rsid w:val="00594D74"/>
    <w:rsid w:val="00594D86"/>
    <w:rsid w:val="00597A3B"/>
    <w:rsid w:val="005A060A"/>
    <w:rsid w:val="005A2375"/>
    <w:rsid w:val="005A2637"/>
    <w:rsid w:val="005A2AEA"/>
    <w:rsid w:val="005A4470"/>
    <w:rsid w:val="005A44E5"/>
    <w:rsid w:val="005A5277"/>
    <w:rsid w:val="005A71EB"/>
    <w:rsid w:val="005A7239"/>
    <w:rsid w:val="005A7A7D"/>
    <w:rsid w:val="005B01F8"/>
    <w:rsid w:val="005B1428"/>
    <w:rsid w:val="005B1A11"/>
    <w:rsid w:val="005B32A5"/>
    <w:rsid w:val="005B3565"/>
    <w:rsid w:val="005B3F96"/>
    <w:rsid w:val="005B419C"/>
    <w:rsid w:val="005B4668"/>
    <w:rsid w:val="005B58E4"/>
    <w:rsid w:val="005B6EB2"/>
    <w:rsid w:val="005C26FC"/>
    <w:rsid w:val="005C41BC"/>
    <w:rsid w:val="005C6B5F"/>
    <w:rsid w:val="005C6FBE"/>
    <w:rsid w:val="005C7158"/>
    <w:rsid w:val="005C71C7"/>
    <w:rsid w:val="005D0DCE"/>
    <w:rsid w:val="005D1AA4"/>
    <w:rsid w:val="005D2729"/>
    <w:rsid w:val="005D2762"/>
    <w:rsid w:val="005D3098"/>
    <w:rsid w:val="005D51BB"/>
    <w:rsid w:val="005D6A10"/>
    <w:rsid w:val="005D78E9"/>
    <w:rsid w:val="005E0E0E"/>
    <w:rsid w:val="005E11A6"/>
    <w:rsid w:val="005E201F"/>
    <w:rsid w:val="005E2421"/>
    <w:rsid w:val="005E2F1B"/>
    <w:rsid w:val="005E35D2"/>
    <w:rsid w:val="005E3ACA"/>
    <w:rsid w:val="005E42FA"/>
    <w:rsid w:val="005E635B"/>
    <w:rsid w:val="005E77FC"/>
    <w:rsid w:val="005F252A"/>
    <w:rsid w:val="005F3104"/>
    <w:rsid w:val="005F3215"/>
    <w:rsid w:val="005F5522"/>
    <w:rsid w:val="005F5A59"/>
    <w:rsid w:val="005F61FA"/>
    <w:rsid w:val="005F689B"/>
    <w:rsid w:val="005F75A9"/>
    <w:rsid w:val="005F7898"/>
    <w:rsid w:val="00600000"/>
    <w:rsid w:val="00600167"/>
    <w:rsid w:val="00601AF6"/>
    <w:rsid w:val="00603383"/>
    <w:rsid w:val="00603389"/>
    <w:rsid w:val="00603832"/>
    <w:rsid w:val="00604B67"/>
    <w:rsid w:val="006054AA"/>
    <w:rsid w:val="006055BE"/>
    <w:rsid w:val="00605F6F"/>
    <w:rsid w:val="006068C4"/>
    <w:rsid w:val="00606FB1"/>
    <w:rsid w:val="00610D95"/>
    <w:rsid w:val="0061120F"/>
    <w:rsid w:val="00611EB4"/>
    <w:rsid w:val="00612D27"/>
    <w:rsid w:val="00613286"/>
    <w:rsid w:val="00614E05"/>
    <w:rsid w:val="00616EF7"/>
    <w:rsid w:val="00617464"/>
    <w:rsid w:val="006215BE"/>
    <w:rsid w:val="006216E9"/>
    <w:rsid w:val="0062179C"/>
    <w:rsid w:val="00621AAD"/>
    <w:rsid w:val="00622A68"/>
    <w:rsid w:val="00624D8F"/>
    <w:rsid w:val="0062526E"/>
    <w:rsid w:val="00625934"/>
    <w:rsid w:val="00625D2C"/>
    <w:rsid w:val="0062688E"/>
    <w:rsid w:val="00626AB9"/>
    <w:rsid w:val="00626E78"/>
    <w:rsid w:val="00626F80"/>
    <w:rsid w:val="006309A6"/>
    <w:rsid w:val="00631A9A"/>
    <w:rsid w:val="00631CD4"/>
    <w:rsid w:val="00632E03"/>
    <w:rsid w:val="00633472"/>
    <w:rsid w:val="00634DC8"/>
    <w:rsid w:val="00635103"/>
    <w:rsid w:val="0063752D"/>
    <w:rsid w:val="00640607"/>
    <w:rsid w:val="00640C48"/>
    <w:rsid w:val="00642082"/>
    <w:rsid w:val="0064289B"/>
    <w:rsid w:val="00645B12"/>
    <w:rsid w:val="00647A63"/>
    <w:rsid w:val="00647B82"/>
    <w:rsid w:val="00647EAA"/>
    <w:rsid w:val="00650059"/>
    <w:rsid w:val="006504E9"/>
    <w:rsid w:val="00652D4F"/>
    <w:rsid w:val="006531E1"/>
    <w:rsid w:val="0065461E"/>
    <w:rsid w:val="00654AF2"/>
    <w:rsid w:val="0065543D"/>
    <w:rsid w:val="00655E56"/>
    <w:rsid w:val="00657789"/>
    <w:rsid w:val="0066098B"/>
    <w:rsid w:val="00662C95"/>
    <w:rsid w:val="0066359C"/>
    <w:rsid w:val="00663789"/>
    <w:rsid w:val="00663A19"/>
    <w:rsid w:val="006644BF"/>
    <w:rsid w:val="00664714"/>
    <w:rsid w:val="00665BD0"/>
    <w:rsid w:val="006679B5"/>
    <w:rsid w:val="006702B0"/>
    <w:rsid w:val="006708C9"/>
    <w:rsid w:val="00671E06"/>
    <w:rsid w:val="00672F5E"/>
    <w:rsid w:val="00675470"/>
    <w:rsid w:val="00675E78"/>
    <w:rsid w:val="00676A27"/>
    <w:rsid w:val="00676B12"/>
    <w:rsid w:val="006771AD"/>
    <w:rsid w:val="00680D93"/>
    <w:rsid w:val="00681FE0"/>
    <w:rsid w:val="00682615"/>
    <w:rsid w:val="006826A8"/>
    <w:rsid w:val="00682DBB"/>
    <w:rsid w:val="00683217"/>
    <w:rsid w:val="0068505E"/>
    <w:rsid w:val="00687423"/>
    <w:rsid w:val="00690ED6"/>
    <w:rsid w:val="006914E0"/>
    <w:rsid w:val="00691759"/>
    <w:rsid w:val="006919AC"/>
    <w:rsid w:val="006928E7"/>
    <w:rsid w:val="0069389C"/>
    <w:rsid w:val="00697A98"/>
    <w:rsid w:val="006A096A"/>
    <w:rsid w:val="006A30F3"/>
    <w:rsid w:val="006A37F5"/>
    <w:rsid w:val="006A3C6C"/>
    <w:rsid w:val="006A3DD2"/>
    <w:rsid w:val="006A4BD0"/>
    <w:rsid w:val="006A668E"/>
    <w:rsid w:val="006B048E"/>
    <w:rsid w:val="006B0B85"/>
    <w:rsid w:val="006B0DE2"/>
    <w:rsid w:val="006B1197"/>
    <w:rsid w:val="006B14B4"/>
    <w:rsid w:val="006B14E3"/>
    <w:rsid w:val="006B16B1"/>
    <w:rsid w:val="006B1FFF"/>
    <w:rsid w:val="006B32C1"/>
    <w:rsid w:val="006B548D"/>
    <w:rsid w:val="006B578E"/>
    <w:rsid w:val="006B57CE"/>
    <w:rsid w:val="006B7067"/>
    <w:rsid w:val="006B73E8"/>
    <w:rsid w:val="006B7718"/>
    <w:rsid w:val="006B7F01"/>
    <w:rsid w:val="006C1BC7"/>
    <w:rsid w:val="006C1E2B"/>
    <w:rsid w:val="006C2494"/>
    <w:rsid w:val="006C4E07"/>
    <w:rsid w:val="006C5B88"/>
    <w:rsid w:val="006C6D17"/>
    <w:rsid w:val="006C6F38"/>
    <w:rsid w:val="006C7112"/>
    <w:rsid w:val="006C7F89"/>
    <w:rsid w:val="006D0DBD"/>
    <w:rsid w:val="006D1656"/>
    <w:rsid w:val="006D40A5"/>
    <w:rsid w:val="006D434F"/>
    <w:rsid w:val="006D5D7E"/>
    <w:rsid w:val="006D661A"/>
    <w:rsid w:val="006D6B6C"/>
    <w:rsid w:val="006D6E44"/>
    <w:rsid w:val="006D7179"/>
    <w:rsid w:val="006D74C4"/>
    <w:rsid w:val="006D7ED1"/>
    <w:rsid w:val="006E019A"/>
    <w:rsid w:val="006E0FDB"/>
    <w:rsid w:val="006E2893"/>
    <w:rsid w:val="006E318A"/>
    <w:rsid w:val="006E326F"/>
    <w:rsid w:val="006E34D5"/>
    <w:rsid w:val="006E34ED"/>
    <w:rsid w:val="006E35AC"/>
    <w:rsid w:val="006E44AB"/>
    <w:rsid w:val="006E5E56"/>
    <w:rsid w:val="006E6406"/>
    <w:rsid w:val="006E6452"/>
    <w:rsid w:val="006E7030"/>
    <w:rsid w:val="006E7D3A"/>
    <w:rsid w:val="006F0154"/>
    <w:rsid w:val="006F0771"/>
    <w:rsid w:val="006F18A3"/>
    <w:rsid w:val="006F27D0"/>
    <w:rsid w:val="006F3564"/>
    <w:rsid w:val="006F3E7C"/>
    <w:rsid w:val="006F4E1B"/>
    <w:rsid w:val="006F6A89"/>
    <w:rsid w:val="006F720A"/>
    <w:rsid w:val="006F78CA"/>
    <w:rsid w:val="007000FD"/>
    <w:rsid w:val="0070285E"/>
    <w:rsid w:val="007033C5"/>
    <w:rsid w:val="007036BA"/>
    <w:rsid w:val="00703C2B"/>
    <w:rsid w:val="007046BD"/>
    <w:rsid w:val="007046E7"/>
    <w:rsid w:val="00705DAE"/>
    <w:rsid w:val="00706406"/>
    <w:rsid w:val="007102C5"/>
    <w:rsid w:val="00710A5B"/>
    <w:rsid w:val="00711D83"/>
    <w:rsid w:val="00713009"/>
    <w:rsid w:val="0071364F"/>
    <w:rsid w:val="0071374D"/>
    <w:rsid w:val="00716908"/>
    <w:rsid w:val="00716C5C"/>
    <w:rsid w:val="00716F07"/>
    <w:rsid w:val="00720C0D"/>
    <w:rsid w:val="007217EB"/>
    <w:rsid w:val="00722611"/>
    <w:rsid w:val="00722E4E"/>
    <w:rsid w:val="00722EDE"/>
    <w:rsid w:val="007237FE"/>
    <w:rsid w:val="007243BB"/>
    <w:rsid w:val="00725C63"/>
    <w:rsid w:val="007269DE"/>
    <w:rsid w:val="00726A93"/>
    <w:rsid w:val="00727D0D"/>
    <w:rsid w:val="007305A7"/>
    <w:rsid w:val="00733214"/>
    <w:rsid w:val="00733728"/>
    <w:rsid w:val="0073374C"/>
    <w:rsid w:val="00734213"/>
    <w:rsid w:val="007350DD"/>
    <w:rsid w:val="00735239"/>
    <w:rsid w:val="007354A3"/>
    <w:rsid w:val="00735A57"/>
    <w:rsid w:val="00735C29"/>
    <w:rsid w:val="00735C80"/>
    <w:rsid w:val="007365B1"/>
    <w:rsid w:val="00736D96"/>
    <w:rsid w:val="00736E30"/>
    <w:rsid w:val="007372F8"/>
    <w:rsid w:val="00737C2D"/>
    <w:rsid w:val="007412A3"/>
    <w:rsid w:val="00741CC2"/>
    <w:rsid w:val="00741DC1"/>
    <w:rsid w:val="00743874"/>
    <w:rsid w:val="00744E3C"/>
    <w:rsid w:val="00745042"/>
    <w:rsid w:val="0074581A"/>
    <w:rsid w:val="0074673B"/>
    <w:rsid w:val="00746EDB"/>
    <w:rsid w:val="00747815"/>
    <w:rsid w:val="00750110"/>
    <w:rsid w:val="00750653"/>
    <w:rsid w:val="00750B56"/>
    <w:rsid w:val="00751941"/>
    <w:rsid w:val="00752189"/>
    <w:rsid w:val="007523BC"/>
    <w:rsid w:val="00753A98"/>
    <w:rsid w:val="00753E73"/>
    <w:rsid w:val="00754892"/>
    <w:rsid w:val="00754EC9"/>
    <w:rsid w:val="0075598F"/>
    <w:rsid w:val="00755D7E"/>
    <w:rsid w:val="00756EF5"/>
    <w:rsid w:val="007575FF"/>
    <w:rsid w:val="00757E8C"/>
    <w:rsid w:val="00760657"/>
    <w:rsid w:val="0076093C"/>
    <w:rsid w:val="00761452"/>
    <w:rsid w:val="007615D5"/>
    <w:rsid w:val="007618F3"/>
    <w:rsid w:val="00761D7A"/>
    <w:rsid w:val="0076251F"/>
    <w:rsid w:val="007642DA"/>
    <w:rsid w:val="00764A45"/>
    <w:rsid w:val="0076510E"/>
    <w:rsid w:val="0076557A"/>
    <w:rsid w:val="007662DF"/>
    <w:rsid w:val="0077030C"/>
    <w:rsid w:val="0077046C"/>
    <w:rsid w:val="0077081B"/>
    <w:rsid w:val="00770D24"/>
    <w:rsid w:val="0077214E"/>
    <w:rsid w:val="0077315E"/>
    <w:rsid w:val="00773B83"/>
    <w:rsid w:val="0077519A"/>
    <w:rsid w:val="007755A8"/>
    <w:rsid w:val="00776C83"/>
    <w:rsid w:val="00781E30"/>
    <w:rsid w:val="0078373C"/>
    <w:rsid w:val="00783878"/>
    <w:rsid w:val="00785403"/>
    <w:rsid w:val="007855A5"/>
    <w:rsid w:val="007864B4"/>
    <w:rsid w:val="00786E91"/>
    <w:rsid w:val="00787140"/>
    <w:rsid w:val="007873CA"/>
    <w:rsid w:val="00787BAB"/>
    <w:rsid w:val="007904F9"/>
    <w:rsid w:val="007911A8"/>
    <w:rsid w:val="0079158E"/>
    <w:rsid w:val="007928FF"/>
    <w:rsid w:val="00794A9F"/>
    <w:rsid w:val="007959FD"/>
    <w:rsid w:val="00797EE5"/>
    <w:rsid w:val="007A0F5D"/>
    <w:rsid w:val="007A0F62"/>
    <w:rsid w:val="007A132C"/>
    <w:rsid w:val="007A1F43"/>
    <w:rsid w:val="007A206D"/>
    <w:rsid w:val="007A2F53"/>
    <w:rsid w:val="007A33F0"/>
    <w:rsid w:val="007A3D73"/>
    <w:rsid w:val="007A46B0"/>
    <w:rsid w:val="007A626E"/>
    <w:rsid w:val="007A64F1"/>
    <w:rsid w:val="007A7ECF"/>
    <w:rsid w:val="007B1834"/>
    <w:rsid w:val="007B3564"/>
    <w:rsid w:val="007B4BDA"/>
    <w:rsid w:val="007B4F5D"/>
    <w:rsid w:val="007B5B44"/>
    <w:rsid w:val="007B60F9"/>
    <w:rsid w:val="007B6B57"/>
    <w:rsid w:val="007B76F5"/>
    <w:rsid w:val="007B791E"/>
    <w:rsid w:val="007B7EBA"/>
    <w:rsid w:val="007C0857"/>
    <w:rsid w:val="007C1DB9"/>
    <w:rsid w:val="007C1FBC"/>
    <w:rsid w:val="007C1FEC"/>
    <w:rsid w:val="007C2272"/>
    <w:rsid w:val="007C2DDE"/>
    <w:rsid w:val="007C2F19"/>
    <w:rsid w:val="007C4078"/>
    <w:rsid w:val="007C466D"/>
    <w:rsid w:val="007C646D"/>
    <w:rsid w:val="007C6A41"/>
    <w:rsid w:val="007C6E62"/>
    <w:rsid w:val="007C7AB3"/>
    <w:rsid w:val="007D0779"/>
    <w:rsid w:val="007D13CE"/>
    <w:rsid w:val="007D3008"/>
    <w:rsid w:val="007D3F31"/>
    <w:rsid w:val="007D4EAA"/>
    <w:rsid w:val="007D7DD6"/>
    <w:rsid w:val="007E134C"/>
    <w:rsid w:val="007E1638"/>
    <w:rsid w:val="007E2151"/>
    <w:rsid w:val="007E4463"/>
    <w:rsid w:val="007E5764"/>
    <w:rsid w:val="007E7295"/>
    <w:rsid w:val="007F01F5"/>
    <w:rsid w:val="007F0A41"/>
    <w:rsid w:val="007F13F4"/>
    <w:rsid w:val="007F1CA1"/>
    <w:rsid w:val="007F1E70"/>
    <w:rsid w:val="007F2CFE"/>
    <w:rsid w:val="007F35EC"/>
    <w:rsid w:val="007F36FC"/>
    <w:rsid w:val="007F6E94"/>
    <w:rsid w:val="007F7DC9"/>
    <w:rsid w:val="0080032A"/>
    <w:rsid w:val="00800904"/>
    <w:rsid w:val="008023DE"/>
    <w:rsid w:val="00802462"/>
    <w:rsid w:val="00803EBE"/>
    <w:rsid w:val="00803FBF"/>
    <w:rsid w:val="00804B44"/>
    <w:rsid w:val="00805F1C"/>
    <w:rsid w:val="00806051"/>
    <w:rsid w:val="008114E9"/>
    <w:rsid w:val="00812074"/>
    <w:rsid w:val="00812E0B"/>
    <w:rsid w:val="00812E3A"/>
    <w:rsid w:val="0081331D"/>
    <w:rsid w:val="008133CA"/>
    <w:rsid w:val="00813482"/>
    <w:rsid w:val="00816497"/>
    <w:rsid w:val="008177F4"/>
    <w:rsid w:val="00822066"/>
    <w:rsid w:val="00822753"/>
    <w:rsid w:val="00822E03"/>
    <w:rsid w:val="00822E7F"/>
    <w:rsid w:val="00822EAF"/>
    <w:rsid w:val="00823316"/>
    <w:rsid w:val="00823EAC"/>
    <w:rsid w:val="008253CF"/>
    <w:rsid w:val="008259D1"/>
    <w:rsid w:val="00825B87"/>
    <w:rsid w:val="008265F1"/>
    <w:rsid w:val="00826A76"/>
    <w:rsid w:val="00827F91"/>
    <w:rsid w:val="00830A9D"/>
    <w:rsid w:val="00831418"/>
    <w:rsid w:val="0083162E"/>
    <w:rsid w:val="00832A5A"/>
    <w:rsid w:val="0083448D"/>
    <w:rsid w:val="00834F04"/>
    <w:rsid w:val="00836CD1"/>
    <w:rsid w:val="008374C0"/>
    <w:rsid w:val="00837665"/>
    <w:rsid w:val="00837971"/>
    <w:rsid w:val="00840155"/>
    <w:rsid w:val="00840728"/>
    <w:rsid w:val="00840797"/>
    <w:rsid w:val="0084083B"/>
    <w:rsid w:val="008417CD"/>
    <w:rsid w:val="008421D0"/>
    <w:rsid w:val="00846CD7"/>
    <w:rsid w:val="00846D37"/>
    <w:rsid w:val="00846D4E"/>
    <w:rsid w:val="00847EFD"/>
    <w:rsid w:val="00850702"/>
    <w:rsid w:val="00851249"/>
    <w:rsid w:val="00851781"/>
    <w:rsid w:val="00851BB3"/>
    <w:rsid w:val="00853056"/>
    <w:rsid w:val="0085399E"/>
    <w:rsid w:val="00853A73"/>
    <w:rsid w:val="00853C9B"/>
    <w:rsid w:val="00855CA6"/>
    <w:rsid w:val="00855D74"/>
    <w:rsid w:val="00855E6E"/>
    <w:rsid w:val="00855F1E"/>
    <w:rsid w:val="00856562"/>
    <w:rsid w:val="00856811"/>
    <w:rsid w:val="0085754C"/>
    <w:rsid w:val="00857F85"/>
    <w:rsid w:val="00860921"/>
    <w:rsid w:val="008614B6"/>
    <w:rsid w:val="00863694"/>
    <w:rsid w:val="008648B2"/>
    <w:rsid w:val="00864EE2"/>
    <w:rsid w:val="008656D5"/>
    <w:rsid w:val="00866498"/>
    <w:rsid w:val="00867FF6"/>
    <w:rsid w:val="00870109"/>
    <w:rsid w:val="0087043B"/>
    <w:rsid w:val="00870CCB"/>
    <w:rsid w:val="00871161"/>
    <w:rsid w:val="0087162F"/>
    <w:rsid w:val="008718D4"/>
    <w:rsid w:val="00871F24"/>
    <w:rsid w:val="008722E2"/>
    <w:rsid w:val="00872757"/>
    <w:rsid w:val="00873348"/>
    <w:rsid w:val="008735B6"/>
    <w:rsid w:val="008735D2"/>
    <w:rsid w:val="00873CEF"/>
    <w:rsid w:val="00874EC6"/>
    <w:rsid w:val="00876596"/>
    <w:rsid w:val="00876DEA"/>
    <w:rsid w:val="00877F0F"/>
    <w:rsid w:val="00880A6C"/>
    <w:rsid w:val="00881047"/>
    <w:rsid w:val="00881C35"/>
    <w:rsid w:val="0088273E"/>
    <w:rsid w:val="00885570"/>
    <w:rsid w:val="00886C46"/>
    <w:rsid w:val="00887213"/>
    <w:rsid w:val="008901B9"/>
    <w:rsid w:val="008911C9"/>
    <w:rsid w:val="0089255B"/>
    <w:rsid w:val="00892B7E"/>
    <w:rsid w:val="00892CA5"/>
    <w:rsid w:val="008935FB"/>
    <w:rsid w:val="00893B78"/>
    <w:rsid w:val="00896084"/>
    <w:rsid w:val="008964A0"/>
    <w:rsid w:val="0089691E"/>
    <w:rsid w:val="00896ACE"/>
    <w:rsid w:val="008977EF"/>
    <w:rsid w:val="0089795D"/>
    <w:rsid w:val="008A18A0"/>
    <w:rsid w:val="008A2D87"/>
    <w:rsid w:val="008A3742"/>
    <w:rsid w:val="008A3E82"/>
    <w:rsid w:val="008A40E6"/>
    <w:rsid w:val="008A420E"/>
    <w:rsid w:val="008A4E58"/>
    <w:rsid w:val="008A64EF"/>
    <w:rsid w:val="008A7631"/>
    <w:rsid w:val="008B036E"/>
    <w:rsid w:val="008B095C"/>
    <w:rsid w:val="008B1500"/>
    <w:rsid w:val="008B208A"/>
    <w:rsid w:val="008B3658"/>
    <w:rsid w:val="008B37AB"/>
    <w:rsid w:val="008B415B"/>
    <w:rsid w:val="008B5B95"/>
    <w:rsid w:val="008C1C23"/>
    <w:rsid w:val="008C1E04"/>
    <w:rsid w:val="008C3130"/>
    <w:rsid w:val="008C3F38"/>
    <w:rsid w:val="008C42B8"/>
    <w:rsid w:val="008C454B"/>
    <w:rsid w:val="008C47E8"/>
    <w:rsid w:val="008C5BB2"/>
    <w:rsid w:val="008C61D4"/>
    <w:rsid w:val="008C6240"/>
    <w:rsid w:val="008C737B"/>
    <w:rsid w:val="008D11B1"/>
    <w:rsid w:val="008D453F"/>
    <w:rsid w:val="008D4D6D"/>
    <w:rsid w:val="008D52F3"/>
    <w:rsid w:val="008D666B"/>
    <w:rsid w:val="008D6720"/>
    <w:rsid w:val="008D6861"/>
    <w:rsid w:val="008D73C7"/>
    <w:rsid w:val="008D76AC"/>
    <w:rsid w:val="008D7CC7"/>
    <w:rsid w:val="008E0B87"/>
    <w:rsid w:val="008E0CE3"/>
    <w:rsid w:val="008E1075"/>
    <w:rsid w:val="008E18BD"/>
    <w:rsid w:val="008E2876"/>
    <w:rsid w:val="008E4E58"/>
    <w:rsid w:val="008E6558"/>
    <w:rsid w:val="008E6E4F"/>
    <w:rsid w:val="008F071C"/>
    <w:rsid w:val="008F0841"/>
    <w:rsid w:val="008F1C11"/>
    <w:rsid w:val="008F2405"/>
    <w:rsid w:val="008F245B"/>
    <w:rsid w:val="008F2EF0"/>
    <w:rsid w:val="008F330C"/>
    <w:rsid w:val="008F362F"/>
    <w:rsid w:val="008F36B7"/>
    <w:rsid w:val="008F43C6"/>
    <w:rsid w:val="008F4F07"/>
    <w:rsid w:val="008F69A6"/>
    <w:rsid w:val="008F6C8D"/>
    <w:rsid w:val="009001D9"/>
    <w:rsid w:val="0090078C"/>
    <w:rsid w:val="00900CC1"/>
    <w:rsid w:val="00900E7F"/>
    <w:rsid w:val="009016E7"/>
    <w:rsid w:val="00901DA8"/>
    <w:rsid w:val="00902147"/>
    <w:rsid w:val="00902358"/>
    <w:rsid w:val="009025D4"/>
    <w:rsid w:val="00903435"/>
    <w:rsid w:val="00903BC0"/>
    <w:rsid w:val="00904080"/>
    <w:rsid w:val="0090551B"/>
    <w:rsid w:val="00906E59"/>
    <w:rsid w:val="00906FF3"/>
    <w:rsid w:val="0090760D"/>
    <w:rsid w:val="00907FF5"/>
    <w:rsid w:val="0091066E"/>
    <w:rsid w:val="00910BE0"/>
    <w:rsid w:val="00911DC9"/>
    <w:rsid w:val="0091384E"/>
    <w:rsid w:val="0091388A"/>
    <w:rsid w:val="00914914"/>
    <w:rsid w:val="00914D21"/>
    <w:rsid w:val="00914E51"/>
    <w:rsid w:val="009157D4"/>
    <w:rsid w:val="009172AF"/>
    <w:rsid w:val="009175C8"/>
    <w:rsid w:val="00917DF5"/>
    <w:rsid w:val="00920389"/>
    <w:rsid w:val="0092061D"/>
    <w:rsid w:val="00921C97"/>
    <w:rsid w:val="00922654"/>
    <w:rsid w:val="00922761"/>
    <w:rsid w:val="00922F7C"/>
    <w:rsid w:val="00923768"/>
    <w:rsid w:val="00923842"/>
    <w:rsid w:val="00925B74"/>
    <w:rsid w:val="00926F0F"/>
    <w:rsid w:val="00927002"/>
    <w:rsid w:val="0092772B"/>
    <w:rsid w:val="00927897"/>
    <w:rsid w:val="00930F98"/>
    <w:rsid w:val="0093189F"/>
    <w:rsid w:val="00931E1C"/>
    <w:rsid w:val="009330B6"/>
    <w:rsid w:val="00935E4C"/>
    <w:rsid w:val="00940B79"/>
    <w:rsid w:val="00941167"/>
    <w:rsid w:val="00942154"/>
    <w:rsid w:val="009427EF"/>
    <w:rsid w:val="009436B9"/>
    <w:rsid w:val="00943A1D"/>
    <w:rsid w:val="00945336"/>
    <w:rsid w:val="00945837"/>
    <w:rsid w:val="00945D1E"/>
    <w:rsid w:val="00946B69"/>
    <w:rsid w:val="00947411"/>
    <w:rsid w:val="00947520"/>
    <w:rsid w:val="00947C88"/>
    <w:rsid w:val="00947ECB"/>
    <w:rsid w:val="009503CE"/>
    <w:rsid w:val="00951182"/>
    <w:rsid w:val="00951508"/>
    <w:rsid w:val="00952808"/>
    <w:rsid w:val="0095339A"/>
    <w:rsid w:val="00955069"/>
    <w:rsid w:val="009550A5"/>
    <w:rsid w:val="00956C4C"/>
    <w:rsid w:val="00956D3F"/>
    <w:rsid w:val="00961775"/>
    <w:rsid w:val="009617D4"/>
    <w:rsid w:val="00961949"/>
    <w:rsid w:val="00961C99"/>
    <w:rsid w:val="00961CBC"/>
    <w:rsid w:val="00962094"/>
    <w:rsid w:val="0096296B"/>
    <w:rsid w:val="0096338F"/>
    <w:rsid w:val="009634D5"/>
    <w:rsid w:val="0096449C"/>
    <w:rsid w:val="009647C1"/>
    <w:rsid w:val="00964E1C"/>
    <w:rsid w:val="009650BF"/>
    <w:rsid w:val="00965789"/>
    <w:rsid w:val="0096632E"/>
    <w:rsid w:val="00967DCA"/>
    <w:rsid w:val="00970281"/>
    <w:rsid w:val="00970CAF"/>
    <w:rsid w:val="009719AC"/>
    <w:rsid w:val="009722F4"/>
    <w:rsid w:val="0097267B"/>
    <w:rsid w:val="00972AB8"/>
    <w:rsid w:val="00973397"/>
    <w:rsid w:val="00973725"/>
    <w:rsid w:val="0097379B"/>
    <w:rsid w:val="00975752"/>
    <w:rsid w:val="009775D3"/>
    <w:rsid w:val="00977A1D"/>
    <w:rsid w:val="00981082"/>
    <w:rsid w:val="00982929"/>
    <w:rsid w:val="00982B5F"/>
    <w:rsid w:val="00982F22"/>
    <w:rsid w:val="00983520"/>
    <w:rsid w:val="00984526"/>
    <w:rsid w:val="009856FB"/>
    <w:rsid w:val="009862EB"/>
    <w:rsid w:val="009865A8"/>
    <w:rsid w:val="009869D1"/>
    <w:rsid w:val="00986FCF"/>
    <w:rsid w:val="0098716E"/>
    <w:rsid w:val="009879AD"/>
    <w:rsid w:val="00987F45"/>
    <w:rsid w:val="00992696"/>
    <w:rsid w:val="009934CC"/>
    <w:rsid w:val="00995242"/>
    <w:rsid w:val="00996C2C"/>
    <w:rsid w:val="00997075"/>
    <w:rsid w:val="009979F4"/>
    <w:rsid w:val="00997A4E"/>
    <w:rsid w:val="00997E82"/>
    <w:rsid w:val="009A0831"/>
    <w:rsid w:val="009A29A5"/>
    <w:rsid w:val="009A42B4"/>
    <w:rsid w:val="009A5774"/>
    <w:rsid w:val="009A7463"/>
    <w:rsid w:val="009B01A1"/>
    <w:rsid w:val="009B0322"/>
    <w:rsid w:val="009B33F7"/>
    <w:rsid w:val="009B4E0E"/>
    <w:rsid w:val="009B54F6"/>
    <w:rsid w:val="009B597C"/>
    <w:rsid w:val="009B59FA"/>
    <w:rsid w:val="009B632D"/>
    <w:rsid w:val="009B7384"/>
    <w:rsid w:val="009C121B"/>
    <w:rsid w:val="009C19E5"/>
    <w:rsid w:val="009C1E92"/>
    <w:rsid w:val="009C2208"/>
    <w:rsid w:val="009C4EA0"/>
    <w:rsid w:val="009C5973"/>
    <w:rsid w:val="009C5AA5"/>
    <w:rsid w:val="009C5B79"/>
    <w:rsid w:val="009C6329"/>
    <w:rsid w:val="009C7205"/>
    <w:rsid w:val="009C72C0"/>
    <w:rsid w:val="009C761A"/>
    <w:rsid w:val="009D173C"/>
    <w:rsid w:val="009D1D59"/>
    <w:rsid w:val="009D243C"/>
    <w:rsid w:val="009D4B2C"/>
    <w:rsid w:val="009D5502"/>
    <w:rsid w:val="009D5FAE"/>
    <w:rsid w:val="009D60CE"/>
    <w:rsid w:val="009D6818"/>
    <w:rsid w:val="009D6B1D"/>
    <w:rsid w:val="009D7D87"/>
    <w:rsid w:val="009E0006"/>
    <w:rsid w:val="009E0FD6"/>
    <w:rsid w:val="009E15D9"/>
    <w:rsid w:val="009E1689"/>
    <w:rsid w:val="009E2E53"/>
    <w:rsid w:val="009E32ED"/>
    <w:rsid w:val="009E46F2"/>
    <w:rsid w:val="009E4AF9"/>
    <w:rsid w:val="009E4CC9"/>
    <w:rsid w:val="009E5279"/>
    <w:rsid w:val="009E579C"/>
    <w:rsid w:val="009E5860"/>
    <w:rsid w:val="009E769D"/>
    <w:rsid w:val="009F17D1"/>
    <w:rsid w:val="009F19BD"/>
    <w:rsid w:val="009F25D5"/>
    <w:rsid w:val="009F2B52"/>
    <w:rsid w:val="009F2CD0"/>
    <w:rsid w:val="009F314B"/>
    <w:rsid w:val="009F33ED"/>
    <w:rsid w:val="009F3DD4"/>
    <w:rsid w:val="009F499B"/>
    <w:rsid w:val="009F4E02"/>
    <w:rsid w:val="009F50A3"/>
    <w:rsid w:val="009F5DFF"/>
    <w:rsid w:val="009F7097"/>
    <w:rsid w:val="009F789A"/>
    <w:rsid w:val="00A022A2"/>
    <w:rsid w:val="00A02DA9"/>
    <w:rsid w:val="00A033E6"/>
    <w:rsid w:val="00A04C58"/>
    <w:rsid w:val="00A04EFA"/>
    <w:rsid w:val="00A052C2"/>
    <w:rsid w:val="00A05587"/>
    <w:rsid w:val="00A06394"/>
    <w:rsid w:val="00A06E81"/>
    <w:rsid w:val="00A079C0"/>
    <w:rsid w:val="00A1010F"/>
    <w:rsid w:val="00A105DA"/>
    <w:rsid w:val="00A10C02"/>
    <w:rsid w:val="00A10CCB"/>
    <w:rsid w:val="00A11376"/>
    <w:rsid w:val="00A12201"/>
    <w:rsid w:val="00A126A0"/>
    <w:rsid w:val="00A137BA"/>
    <w:rsid w:val="00A13BA6"/>
    <w:rsid w:val="00A1540E"/>
    <w:rsid w:val="00A16A2C"/>
    <w:rsid w:val="00A177CD"/>
    <w:rsid w:val="00A203AD"/>
    <w:rsid w:val="00A219F0"/>
    <w:rsid w:val="00A21C04"/>
    <w:rsid w:val="00A23444"/>
    <w:rsid w:val="00A2465E"/>
    <w:rsid w:val="00A24863"/>
    <w:rsid w:val="00A2625A"/>
    <w:rsid w:val="00A268E6"/>
    <w:rsid w:val="00A26F77"/>
    <w:rsid w:val="00A273A4"/>
    <w:rsid w:val="00A27CA9"/>
    <w:rsid w:val="00A27E95"/>
    <w:rsid w:val="00A30518"/>
    <w:rsid w:val="00A3055A"/>
    <w:rsid w:val="00A3062E"/>
    <w:rsid w:val="00A31CB5"/>
    <w:rsid w:val="00A31F9D"/>
    <w:rsid w:val="00A33B5C"/>
    <w:rsid w:val="00A351EB"/>
    <w:rsid w:val="00A35B28"/>
    <w:rsid w:val="00A368EF"/>
    <w:rsid w:val="00A36D9F"/>
    <w:rsid w:val="00A36DAC"/>
    <w:rsid w:val="00A372B3"/>
    <w:rsid w:val="00A377C0"/>
    <w:rsid w:val="00A37F23"/>
    <w:rsid w:val="00A4004F"/>
    <w:rsid w:val="00A40192"/>
    <w:rsid w:val="00A42BA4"/>
    <w:rsid w:val="00A42DDB"/>
    <w:rsid w:val="00A437F8"/>
    <w:rsid w:val="00A43964"/>
    <w:rsid w:val="00A44021"/>
    <w:rsid w:val="00A45CFE"/>
    <w:rsid w:val="00A50313"/>
    <w:rsid w:val="00A52166"/>
    <w:rsid w:val="00A52D6D"/>
    <w:rsid w:val="00A5328B"/>
    <w:rsid w:val="00A53C4A"/>
    <w:rsid w:val="00A55485"/>
    <w:rsid w:val="00A565E2"/>
    <w:rsid w:val="00A57573"/>
    <w:rsid w:val="00A57E80"/>
    <w:rsid w:val="00A601DB"/>
    <w:rsid w:val="00A6049C"/>
    <w:rsid w:val="00A609D8"/>
    <w:rsid w:val="00A60A22"/>
    <w:rsid w:val="00A6185D"/>
    <w:rsid w:val="00A64A13"/>
    <w:rsid w:val="00A65CFA"/>
    <w:rsid w:val="00A65F82"/>
    <w:rsid w:val="00A662E9"/>
    <w:rsid w:val="00A66830"/>
    <w:rsid w:val="00A66FC4"/>
    <w:rsid w:val="00A716BE"/>
    <w:rsid w:val="00A71D70"/>
    <w:rsid w:val="00A726BF"/>
    <w:rsid w:val="00A729FF"/>
    <w:rsid w:val="00A733A6"/>
    <w:rsid w:val="00A73871"/>
    <w:rsid w:val="00A73C69"/>
    <w:rsid w:val="00A73FC9"/>
    <w:rsid w:val="00A74540"/>
    <w:rsid w:val="00A74C15"/>
    <w:rsid w:val="00A74EBB"/>
    <w:rsid w:val="00A80C5A"/>
    <w:rsid w:val="00A84645"/>
    <w:rsid w:val="00A85C9C"/>
    <w:rsid w:val="00A860DC"/>
    <w:rsid w:val="00A867C5"/>
    <w:rsid w:val="00A86A9B"/>
    <w:rsid w:val="00A86CEB"/>
    <w:rsid w:val="00A90E5D"/>
    <w:rsid w:val="00A90F03"/>
    <w:rsid w:val="00A9324C"/>
    <w:rsid w:val="00A9379D"/>
    <w:rsid w:val="00A9443E"/>
    <w:rsid w:val="00A94485"/>
    <w:rsid w:val="00A945A8"/>
    <w:rsid w:val="00A94666"/>
    <w:rsid w:val="00A95190"/>
    <w:rsid w:val="00A95607"/>
    <w:rsid w:val="00A96587"/>
    <w:rsid w:val="00A97141"/>
    <w:rsid w:val="00AA005F"/>
    <w:rsid w:val="00AA0320"/>
    <w:rsid w:val="00AA0BF1"/>
    <w:rsid w:val="00AA129D"/>
    <w:rsid w:val="00AA17CE"/>
    <w:rsid w:val="00AA30C9"/>
    <w:rsid w:val="00AA424E"/>
    <w:rsid w:val="00AA5091"/>
    <w:rsid w:val="00AA5ED7"/>
    <w:rsid w:val="00AA6A7E"/>
    <w:rsid w:val="00AA6F8A"/>
    <w:rsid w:val="00AA70D7"/>
    <w:rsid w:val="00AA7E69"/>
    <w:rsid w:val="00AB06B8"/>
    <w:rsid w:val="00AB3F0F"/>
    <w:rsid w:val="00AB46A0"/>
    <w:rsid w:val="00AB4AFB"/>
    <w:rsid w:val="00AB4D3A"/>
    <w:rsid w:val="00AB4EEE"/>
    <w:rsid w:val="00AB5FC7"/>
    <w:rsid w:val="00AB605B"/>
    <w:rsid w:val="00AB63DA"/>
    <w:rsid w:val="00AB7817"/>
    <w:rsid w:val="00AC093D"/>
    <w:rsid w:val="00AC259F"/>
    <w:rsid w:val="00AC2A1E"/>
    <w:rsid w:val="00AC31D2"/>
    <w:rsid w:val="00AC3629"/>
    <w:rsid w:val="00AC3DC5"/>
    <w:rsid w:val="00AC42EF"/>
    <w:rsid w:val="00AC45A9"/>
    <w:rsid w:val="00AC4CBF"/>
    <w:rsid w:val="00AC4EC3"/>
    <w:rsid w:val="00AC500F"/>
    <w:rsid w:val="00AC5E20"/>
    <w:rsid w:val="00AC6F31"/>
    <w:rsid w:val="00AD076C"/>
    <w:rsid w:val="00AD16BF"/>
    <w:rsid w:val="00AD179B"/>
    <w:rsid w:val="00AD31C0"/>
    <w:rsid w:val="00AD47EB"/>
    <w:rsid w:val="00AD637A"/>
    <w:rsid w:val="00AD700D"/>
    <w:rsid w:val="00AD77D6"/>
    <w:rsid w:val="00AD7C26"/>
    <w:rsid w:val="00AE0345"/>
    <w:rsid w:val="00AE0472"/>
    <w:rsid w:val="00AE0ED1"/>
    <w:rsid w:val="00AE143C"/>
    <w:rsid w:val="00AE161D"/>
    <w:rsid w:val="00AE1763"/>
    <w:rsid w:val="00AE4232"/>
    <w:rsid w:val="00AE4EAD"/>
    <w:rsid w:val="00AE5E8C"/>
    <w:rsid w:val="00AE749B"/>
    <w:rsid w:val="00AF082A"/>
    <w:rsid w:val="00AF0876"/>
    <w:rsid w:val="00AF1545"/>
    <w:rsid w:val="00AF1D47"/>
    <w:rsid w:val="00AF24D3"/>
    <w:rsid w:val="00AF4E98"/>
    <w:rsid w:val="00AF55D1"/>
    <w:rsid w:val="00AF78C5"/>
    <w:rsid w:val="00AF7CBC"/>
    <w:rsid w:val="00B010A7"/>
    <w:rsid w:val="00B01FCE"/>
    <w:rsid w:val="00B03245"/>
    <w:rsid w:val="00B044D4"/>
    <w:rsid w:val="00B04B3B"/>
    <w:rsid w:val="00B05F78"/>
    <w:rsid w:val="00B0697A"/>
    <w:rsid w:val="00B0745D"/>
    <w:rsid w:val="00B076BA"/>
    <w:rsid w:val="00B10183"/>
    <w:rsid w:val="00B125EA"/>
    <w:rsid w:val="00B12640"/>
    <w:rsid w:val="00B12857"/>
    <w:rsid w:val="00B1427F"/>
    <w:rsid w:val="00B14763"/>
    <w:rsid w:val="00B14FC4"/>
    <w:rsid w:val="00B15CD1"/>
    <w:rsid w:val="00B16733"/>
    <w:rsid w:val="00B173EB"/>
    <w:rsid w:val="00B17586"/>
    <w:rsid w:val="00B17974"/>
    <w:rsid w:val="00B2203A"/>
    <w:rsid w:val="00B2206D"/>
    <w:rsid w:val="00B22A9B"/>
    <w:rsid w:val="00B23AA5"/>
    <w:rsid w:val="00B248E2"/>
    <w:rsid w:val="00B25744"/>
    <w:rsid w:val="00B260B9"/>
    <w:rsid w:val="00B27250"/>
    <w:rsid w:val="00B32076"/>
    <w:rsid w:val="00B32BBF"/>
    <w:rsid w:val="00B32F70"/>
    <w:rsid w:val="00B33214"/>
    <w:rsid w:val="00B342DE"/>
    <w:rsid w:val="00B3468F"/>
    <w:rsid w:val="00B3704D"/>
    <w:rsid w:val="00B37B6C"/>
    <w:rsid w:val="00B37FA4"/>
    <w:rsid w:val="00B426FF"/>
    <w:rsid w:val="00B43E01"/>
    <w:rsid w:val="00B441C9"/>
    <w:rsid w:val="00B44767"/>
    <w:rsid w:val="00B4651E"/>
    <w:rsid w:val="00B46A3E"/>
    <w:rsid w:val="00B46A54"/>
    <w:rsid w:val="00B46E06"/>
    <w:rsid w:val="00B513B1"/>
    <w:rsid w:val="00B51EC8"/>
    <w:rsid w:val="00B53B5B"/>
    <w:rsid w:val="00B54182"/>
    <w:rsid w:val="00B548D5"/>
    <w:rsid w:val="00B551D6"/>
    <w:rsid w:val="00B55596"/>
    <w:rsid w:val="00B60D90"/>
    <w:rsid w:val="00B620A1"/>
    <w:rsid w:val="00B63044"/>
    <w:rsid w:val="00B635A9"/>
    <w:rsid w:val="00B63718"/>
    <w:rsid w:val="00B6380A"/>
    <w:rsid w:val="00B6403B"/>
    <w:rsid w:val="00B64CF3"/>
    <w:rsid w:val="00B6522E"/>
    <w:rsid w:val="00B7005E"/>
    <w:rsid w:val="00B705A9"/>
    <w:rsid w:val="00B706D0"/>
    <w:rsid w:val="00B71527"/>
    <w:rsid w:val="00B71568"/>
    <w:rsid w:val="00B721CA"/>
    <w:rsid w:val="00B73275"/>
    <w:rsid w:val="00B735BE"/>
    <w:rsid w:val="00B7365A"/>
    <w:rsid w:val="00B73B38"/>
    <w:rsid w:val="00B77626"/>
    <w:rsid w:val="00B8015A"/>
    <w:rsid w:val="00B829CB"/>
    <w:rsid w:val="00B8355D"/>
    <w:rsid w:val="00B83BBA"/>
    <w:rsid w:val="00B841E8"/>
    <w:rsid w:val="00B84E66"/>
    <w:rsid w:val="00B853BF"/>
    <w:rsid w:val="00B854D0"/>
    <w:rsid w:val="00B858FC"/>
    <w:rsid w:val="00B87B73"/>
    <w:rsid w:val="00B918D0"/>
    <w:rsid w:val="00B924BC"/>
    <w:rsid w:val="00B927E6"/>
    <w:rsid w:val="00B953D5"/>
    <w:rsid w:val="00B95D13"/>
    <w:rsid w:val="00B9607B"/>
    <w:rsid w:val="00B9652D"/>
    <w:rsid w:val="00B971F2"/>
    <w:rsid w:val="00B97659"/>
    <w:rsid w:val="00B97880"/>
    <w:rsid w:val="00BA2AE6"/>
    <w:rsid w:val="00BA301E"/>
    <w:rsid w:val="00BA401A"/>
    <w:rsid w:val="00BA451B"/>
    <w:rsid w:val="00BB023F"/>
    <w:rsid w:val="00BB13F3"/>
    <w:rsid w:val="00BB301F"/>
    <w:rsid w:val="00BB31A8"/>
    <w:rsid w:val="00BB552B"/>
    <w:rsid w:val="00BB5F6C"/>
    <w:rsid w:val="00BB60BA"/>
    <w:rsid w:val="00BB67C7"/>
    <w:rsid w:val="00BB7BD7"/>
    <w:rsid w:val="00BC1934"/>
    <w:rsid w:val="00BC196F"/>
    <w:rsid w:val="00BC2069"/>
    <w:rsid w:val="00BC2A20"/>
    <w:rsid w:val="00BC51C4"/>
    <w:rsid w:val="00BC5C37"/>
    <w:rsid w:val="00BC6496"/>
    <w:rsid w:val="00BC7E92"/>
    <w:rsid w:val="00BC7FA7"/>
    <w:rsid w:val="00BD28A8"/>
    <w:rsid w:val="00BD3304"/>
    <w:rsid w:val="00BD35CB"/>
    <w:rsid w:val="00BD55D0"/>
    <w:rsid w:val="00BD61D7"/>
    <w:rsid w:val="00BD663C"/>
    <w:rsid w:val="00BD6711"/>
    <w:rsid w:val="00BD7B5B"/>
    <w:rsid w:val="00BE094B"/>
    <w:rsid w:val="00BE0987"/>
    <w:rsid w:val="00BE0FD7"/>
    <w:rsid w:val="00BE1F7A"/>
    <w:rsid w:val="00BE2981"/>
    <w:rsid w:val="00BE2DA9"/>
    <w:rsid w:val="00BE3277"/>
    <w:rsid w:val="00BE32B1"/>
    <w:rsid w:val="00BE338C"/>
    <w:rsid w:val="00BE398F"/>
    <w:rsid w:val="00BE63A8"/>
    <w:rsid w:val="00BE7F1E"/>
    <w:rsid w:val="00BF243C"/>
    <w:rsid w:val="00BF263E"/>
    <w:rsid w:val="00BF3D43"/>
    <w:rsid w:val="00BF4A23"/>
    <w:rsid w:val="00C004F0"/>
    <w:rsid w:val="00C006C5"/>
    <w:rsid w:val="00C007F4"/>
    <w:rsid w:val="00C01A50"/>
    <w:rsid w:val="00C024AD"/>
    <w:rsid w:val="00C03037"/>
    <w:rsid w:val="00C037B6"/>
    <w:rsid w:val="00C03E5B"/>
    <w:rsid w:val="00C040D6"/>
    <w:rsid w:val="00C06DD4"/>
    <w:rsid w:val="00C07145"/>
    <w:rsid w:val="00C102A6"/>
    <w:rsid w:val="00C1161F"/>
    <w:rsid w:val="00C1258C"/>
    <w:rsid w:val="00C17DFC"/>
    <w:rsid w:val="00C209B4"/>
    <w:rsid w:val="00C20A2B"/>
    <w:rsid w:val="00C21FFE"/>
    <w:rsid w:val="00C22AEF"/>
    <w:rsid w:val="00C23594"/>
    <w:rsid w:val="00C2688A"/>
    <w:rsid w:val="00C26FD7"/>
    <w:rsid w:val="00C27088"/>
    <w:rsid w:val="00C27A2B"/>
    <w:rsid w:val="00C27DB0"/>
    <w:rsid w:val="00C30A30"/>
    <w:rsid w:val="00C30BFF"/>
    <w:rsid w:val="00C316B5"/>
    <w:rsid w:val="00C321DA"/>
    <w:rsid w:val="00C32BC0"/>
    <w:rsid w:val="00C33AD5"/>
    <w:rsid w:val="00C33B86"/>
    <w:rsid w:val="00C34450"/>
    <w:rsid w:val="00C347AD"/>
    <w:rsid w:val="00C36D30"/>
    <w:rsid w:val="00C37712"/>
    <w:rsid w:val="00C42482"/>
    <w:rsid w:val="00C42ACB"/>
    <w:rsid w:val="00C44124"/>
    <w:rsid w:val="00C446AC"/>
    <w:rsid w:val="00C44F26"/>
    <w:rsid w:val="00C4510C"/>
    <w:rsid w:val="00C458D7"/>
    <w:rsid w:val="00C458DE"/>
    <w:rsid w:val="00C51211"/>
    <w:rsid w:val="00C51460"/>
    <w:rsid w:val="00C5171D"/>
    <w:rsid w:val="00C52468"/>
    <w:rsid w:val="00C5253D"/>
    <w:rsid w:val="00C52E77"/>
    <w:rsid w:val="00C5506E"/>
    <w:rsid w:val="00C5590C"/>
    <w:rsid w:val="00C55C4F"/>
    <w:rsid w:val="00C5642A"/>
    <w:rsid w:val="00C56EDC"/>
    <w:rsid w:val="00C57050"/>
    <w:rsid w:val="00C57F6C"/>
    <w:rsid w:val="00C57FAE"/>
    <w:rsid w:val="00C638CB"/>
    <w:rsid w:val="00C640F4"/>
    <w:rsid w:val="00C64D00"/>
    <w:rsid w:val="00C66D79"/>
    <w:rsid w:val="00C72ABD"/>
    <w:rsid w:val="00C72BFC"/>
    <w:rsid w:val="00C74985"/>
    <w:rsid w:val="00C76076"/>
    <w:rsid w:val="00C77F76"/>
    <w:rsid w:val="00C80A61"/>
    <w:rsid w:val="00C80DB5"/>
    <w:rsid w:val="00C81726"/>
    <w:rsid w:val="00C81F06"/>
    <w:rsid w:val="00C822F3"/>
    <w:rsid w:val="00C823CA"/>
    <w:rsid w:val="00C8347B"/>
    <w:rsid w:val="00C851E6"/>
    <w:rsid w:val="00C876EC"/>
    <w:rsid w:val="00C901B4"/>
    <w:rsid w:val="00C9199D"/>
    <w:rsid w:val="00C92011"/>
    <w:rsid w:val="00C9382A"/>
    <w:rsid w:val="00C94EC1"/>
    <w:rsid w:val="00C95024"/>
    <w:rsid w:val="00C97810"/>
    <w:rsid w:val="00CA18C9"/>
    <w:rsid w:val="00CA24DF"/>
    <w:rsid w:val="00CA26A7"/>
    <w:rsid w:val="00CA2F33"/>
    <w:rsid w:val="00CA4801"/>
    <w:rsid w:val="00CA49FC"/>
    <w:rsid w:val="00CA5157"/>
    <w:rsid w:val="00CA5605"/>
    <w:rsid w:val="00CA5E8B"/>
    <w:rsid w:val="00CA6217"/>
    <w:rsid w:val="00CA6DB9"/>
    <w:rsid w:val="00CA6EC9"/>
    <w:rsid w:val="00CB23BC"/>
    <w:rsid w:val="00CB2D2F"/>
    <w:rsid w:val="00CB348A"/>
    <w:rsid w:val="00CB3E95"/>
    <w:rsid w:val="00CB5E8C"/>
    <w:rsid w:val="00CB7410"/>
    <w:rsid w:val="00CB7F76"/>
    <w:rsid w:val="00CC01BA"/>
    <w:rsid w:val="00CC0682"/>
    <w:rsid w:val="00CC077A"/>
    <w:rsid w:val="00CC1350"/>
    <w:rsid w:val="00CC17C2"/>
    <w:rsid w:val="00CC31C9"/>
    <w:rsid w:val="00CC398C"/>
    <w:rsid w:val="00CC3A9E"/>
    <w:rsid w:val="00CC3E4A"/>
    <w:rsid w:val="00CC44AF"/>
    <w:rsid w:val="00CC59C6"/>
    <w:rsid w:val="00CC5B60"/>
    <w:rsid w:val="00CC67D9"/>
    <w:rsid w:val="00CC7DD7"/>
    <w:rsid w:val="00CD1531"/>
    <w:rsid w:val="00CD1D9B"/>
    <w:rsid w:val="00CD2073"/>
    <w:rsid w:val="00CD3A6D"/>
    <w:rsid w:val="00CD4B1A"/>
    <w:rsid w:val="00CD4F2C"/>
    <w:rsid w:val="00CD534D"/>
    <w:rsid w:val="00CE0117"/>
    <w:rsid w:val="00CE0335"/>
    <w:rsid w:val="00CE13FC"/>
    <w:rsid w:val="00CE2167"/>
    <w:rsid w:val="00CE22D3"/>
    <w:rsid w:val="00CE2B9C"/>
    <w:rsid w:val="00CE30BA"/>
    <w:rsid w:val="00CE31C5"/>
    <w:rsid w:val="00CE3B66"/>
    <w:rsid w:val="00CE4511"/>
    <w:rsid w:val="00CE49C0"/>
    <w:rsid w:val="00CE53F3"/>
    <w:rsid w:val="00CE609B"/>
    <w:rsid w:val="00CE627C"/>
    <w:rsid w:val="00CE6A83"/>
    <w:rsid w:val="00CE6AF3"/>
    <w:rsid w:val="00CE71F1"/>
    <w:rsid w:val="00CE7389"/>
    <w:rsid w:val="00CE7C64"/>
    <w:rsid w:val="00CF0B97"/>
    <w:rsid w:val="00CF0E86"/>
    <w:rsid w:val="00CF0E95"/>
    <w:rsid w:val="00CF11FD"/>
    <w:rsid w:val="00CF34D2"/>
    <w:rsid w:val="00CF3B2F"/>
    <w:rsid w:val="00CF45A4"/>
    <w:rsid w:val="00CF5272"/>
    <w:rsid w:val="00CF6A8D"/>
    <w:rsid w:val="00CF6C15"/>
    <w:rsid w:val="00CF7477"/>
    <w:rsid w:val="00CF77A8"/>
    <w:rsid w:val="00D01D49"/>
    <w:rsid w:val="00D0316A"/>
    <w:rsid w:val="00D03D04"/>
    <w:rsid w:val="00D0407C"/>
    <w:rsid w:val="00D0476A"/>
    <w:rsid w:val="00D04D17"/>
    <w:rsid w:val="00D05856"/>
    <w:rsid w:val="00D0614B"/>
    <w:rsid w:val="00D06707"/>
    <w:rsid w:val="00D109DF"/>
    <w:rsid w:val="00D10C6E"/>
    <w:rsid w:val="00D110A7"/>
    <w:rsid w:val="00D119F4"/>
    <w:rsid w:val="00D1201E"/>
    <w:rsid w:val="00D133BB"/>
    <w:rsid w:val="00D154F0"/>
    <w:rsid w:val="00D166B1"/>
    <w:rsid w:val="00D166F2"/>
    <w:rsid w:val="00D16DD3"/>
    <w:rsid w:val="00D16DFC"/>
    <w:rsid w:val="00D171F3"/>
    <w:rsid w:val="00D211F2"/>
    <w:rsid w:val="00D21DEF"/>
    <w:rsid w:val="00D22286"/>
    <w:rsid w:val="00D223E6"/>
    <w:rsid w:val="00D231F9"/>
    <w:rsid w:val="00D237EE"/>
    <w:rsid w:val="00D24379"/>
    <w:rsid w:val="00D24B61"/>
    <w:rsid w:val="00D27BA5"/>
    <w:rsid w:val="00D308E9"/>
    <w:rsid w:val="00D317C7"/>
    <w:rsid w:val="00D336C7"/>
    <w:rsid w:val="00D34425"/>
    <w:rsid w:val="00D346FF"/>
    <w:rsid w:val="00D3639F"/>
    <w:rsid w:val="00D37290"/>
    <w:rsid w:val="00D37B15"/>
    <w:rsid w:val="00D402FB"/>
    <w:rsid w:val="00D409A3"/>
    <w:rsid w:val="00D41B54"/>
    <w:rsid w:val="00D435A7"/>
    <w:rsid w:val="00D43AFF"/>
    <w:rsid w:val="00D440C5"/>
    <w:rsid w:val="00D451FE"/>
    <w:rsid w:val="00D46133"/>
    <w:rsid w:val="00D47F46"/>
    <w:rsid w:val="00D50ED5"/>
    <w:rsid w:val="00D5161A"/>
    <w:rsid w:val="00D51EC7"/>
    <w:rsid w:val="00D52CA6"/>
    <w:rsid w:val="00D5330D"/>
    <w:rsid w:val="00D54568"/>
    <w:rsid w:val="00D55BD9"/>
    <w:rsid w:val="00D56018"/>
    <w:rsid w:val="00D60A7D"/>
    <w:rsid w:val="00D60B2D"/>
    <w:rsid w:val="00D61251"/>
    <w:rsid w:val="00D61263"/>
    <w:rsid w:val="00D6251D"/>
    <w:rsid w:val="00D62995"/>
    <w:rsid w:val="00D63282"/>
    <w:rsid w:val="00D63906"/>
    <w:rsid w:val="00D64439"/>
    <w:rsid w:val="00D66791"/>
    <w:rsid w:val="00D66A39"/>
    <w:rsid w:val="00D67862"/>
    <w:rsid w:val="00D679C3"/>
    <w:rsid w:val="00D70135"/>
    <w:rsid w:val="00D7338F"/>
    <w:rsid w:val="00D7373D"/>
    <w:rsid w:val="00D73CC8"/>
    <w:rsid w:val="00D742DB"/>
    <w:rsid w:val="00D75032"/>
    <w:rsid w:val="00D75170"/>
    <w:rsid w:val="00D76052"/>
    <w:rsid w:val="00D767C1"/>
    <w:rsid w:val="00D80C8E"/>
    <w:rsid w:val="00D81E52"/>
    <w:rsid w:val="00D82B5E"/>
    <w:rsid w:val="00D838A0"/>
    <w:rsid w:val="00D8482C"/>
    <w:rsid w:val="00D86B70"/>
    <w:rsid w:val="00D875BE"/>
    <w:rsid w:val="00D87BF1"/>
    <w:rsid w:val="00D87CD1"/>
    <w:rsid w:val="00D912A8"/>
    <w:rsid w:val="00D914AD"/>
    <w:rsid w:val="00D923E0"/>
    <w:rsid w:val="00D9430B"/>
    <w:rsid w:val="00D94380"/>
    <w:rsid w:val="00D94DC1"/>
    <w:rsid w:val="00D94ED8"/>
    <w:rsid w:val="00D95E06"/>
    <w:rsid w:val="00D962C3"/>
    <w:rsid w:val="00D96901"/>
    <w:rsid w:val="00D97F78"/>
    <w:rsid w:val="00DA2A01"/>
    <w:rsid w:val="00DA338F"/>
    <w:rsid w:val="00DA3AF8"/>
    <w:rsid w:val="00DA59F8"/>
    <w:rsid w:val="00DA5DDE"/>
    <w:rsid w:val="00DA66A7"/>
    <w:rsid w:val="00DA685E"/>
    <w:rsid w:val="00DA6F3F"/>
    <w:rsid w:val="00DA743F"/>
    <w:rsid w:val="00DA7A5A"/>
    <w:rsid w:val="00DA7F7A"/>
    <w:rsid w:val="00DB0355"/>
    <w:rsid w:val="00DB0DB0"/>
    <w:rsid w:val="00DB1345"/>
    <w:rsid w:val="00DB1742"/>
    <w:rsid w:val="00DB17D7"/>
    <w:rsid w:val="00DB57E8"/>
    <w:rsid w:val="00DB6B83"/>
    <w:rsid w:val="00DC01E4"/>
    <w:rsid w:val="00DC1402"/>
    <w:rsid w:val="00DC3448"/>
    <w:rsid w:val="00DC3F7E"/>
    <w:rsid w:val="00DC6451"/>
    <w:rsid w:val="00DC7D0B"/>
    <w:rsid w:val="00DD03A9"/>
    <w:rsid w:val="00DD0DCB"/>
    <w:rsid w:val="00DD18D2"/>
    <w:rsid w:val="00DD4CD8"/>
    <w:rsid w:val="00DD4D0A"/>
    <w:rsid w:val="00DD52B4"/>
    <w:rsid w:val="00DD71BD"/>
    <w:rsid w:val="00DE1D92"/>
    <w:rsid w:val="00DE284A"/>
    <w:rsid w:val="00DE2920"/>
    <w:rsid w:val="00DE3E12"/>
    <w:rsid w:val="00DE4C15"/>
    <w:rsid w:val="00DE5DD3"/>
    <w:rsid w:val="00DE6292"/>
    <w:rsid w:val="00DE7D90"/>
    <w:rsid w:val="00DF01D7"/>
    <w:rsid w:val="00DF07E7"/>
    <w:rsid w:val="00DF1071"/>
    <w:rsid w:val="00DF1253"/>
    <w:rsid w:val="00DF125C"/>
    <w:rsid w:val="00DF26AE"/>
    <w:rsid w:val="00DF2806"/>
    <w:rsid w:val="00DF36C1"/>
    <w:rsid w:val="00DF4266"/>
    <w:rsid w:val="00DF4678"/>
    <w:rsid w:val="00DF4A28"/>
    <w:rsid w:val="00DF4A2E"/>
    <w:rsid w:val="00DF59BF"/>
    <w:rsid w:val="00DF5C85"/>
    <w:rsid w:val="00DF7C45"/>
    <w:rsid w:val="00E0024A"/>
    <w:rsid w:val="00E0126E"/>
    <w:rsid w:val="00E026D5"/>
    <w:rsid w:val="00E02E59"/>
    <w:rsid w:val="00E02E8C"/>
    <w:rsid w:val="00E036D6"/>
    <w:rsid w:val="00E0385B"/>
    <w:rsid w:val="00E043D5"/>
    <w:rsid w:val="00E04408"/>
    <w:rsid w:val="00E0535C"/>
    <w:rsid w:val="00E05391"/>
    <w:rsid w:val="00E06C6C"/>
    <w:rsid w:val="00E06C87"/>
    <w:rsid w:val="00E1002D"/>
    <w:rsid w:val="00E1118A"/>
    <w:rsid w:val="00E123BC"/>
    <w:rsid w:val="00E15663"/>
    <w:rsid w:val="00E17530"/>
    <w:rsid w:val="00E17B4A"/>
    <w:rsid w:val="00E205E9"/>
    <w:rsid w:val="00E20963"/>
    <w:rsid w:val="00E20F73"/>
    <w:rsid w:val="00E21506"/>
    <w:rsid w:val="00E22D08"/>
    <w:rsid w:val="00E22FE2"/>
    <w:rsid w:val="00E2307E"/>
    <w:rsid w:val="00E2380C"/>
    <w:rsid w:val="00E241EE"/>
    <w:rsid w:val="00E242FB"/>
    <w:rsid w:val="00E24A9B"/>
    <w:rsid w:val="00E2549C"/>
    <w:rsid w:val="00E254DE"/>
    <w:rsid w:val="00E2647C"/>
    <w:rsid w:val="00E26BA5"/>
    <w:rsid w:val="00E272A4"/>
    <w:rsid w:val="00E279AA"/>
    <w:rsid w:val="00E27DFE"/>
    <w:rsid w:val="00E30054"/>
    <w:rsid w:val="00E30742"/>
    <w:rsid w:val="00E31400"/>
    <w:rsid w:val="00E33CF2"/>
    <w:rsid w:val="00E34611"/>
    <w:rsid w:val="00E351E7"/>
    <w:rsid w:val="00E35990"/>
    <w:rsid w:val="00E3611A"/>
    <w:rsid w:val="00E361A2"/>
    <w:rsid w:val="00E363B1"/>
    <w:rsid w:val="00E36527"/>
    <w:rsid w:val="00E3668D"/>
    <w:rsid w:val="00E3727A"/>
    <w:rsid w:val="00E37E70"/>
    <w:rsid w:val="00E41173"/>
    <w:rsid w:val="00E42E29"/>
    <w:rsid w:val="00E439CF"/>
    <w:rsid w:val="00E441C5"/>
    <w:rsid w:val="00E457EE"/>
    <w:rsid w:val="00E4626E"/>
    <w:rsid w:val="00E50551"/>
    <w:rsid w:val="00E50D13"/>
    <w:rsid w:val="00E519D2"/>
    <w:rsid w:val="00E527FC"/>
    <w:rsid w:val="00E52991"/>
    <w:rsid w:val="00E52B4A"/>
    <w:rsid w:val="00E52E5F"/>
    <w:rsid w:val="00E52F27"/>
    <w:rsid w:val="00E55C5A"/>
    <w:rsid w:val="00E56359"/>
    <w:rsid w:val="00E56C58"/>
    <w:rsid w:val="00E56D19"/>
    <w:rsid w:val="00E5743E"/>
    <w:rsid w:val="00E5770F"/>
    <w:rsid w:val="00E57B18"/>
    <w:rsid w:val="00E602EF"/>
    <w:rsid w:val="00E64709"/>
    <w:rsid w:val="00E64A4D"/>
    <w:rsid w:val="00E666B4"/>
    <w:rsid w:val="00E66787"/>
    <w:rsid w:val="00E672A9"/>
    <w:rsid w:val="00E6772D"/>
    <w:rsid w:val="00E67A0B"/>
    <w:rsid w:val="00E67BB4"/>
    <w:rsid w:val="00E70908"/>
    <w:rsid w:val="00E70A32"/>
    <w:rsid w:val="00E72716"/>
    <w:rsid w:val="00E72A35"/>
    <w:rsid w:val="00E72C68"/>
    <w:rsid w:val="00E73194"/>
    <w:rsid w:val="00E74872"/>
    <w:rsid w:val="00E74F82"/>
    <w:rsid w:val="00E75E7B"/>
    <w:rsid w:val="00E75EAF"/>
    <w:rsid w:val="00E760C7"/>
    <w:rsid w:val="00E76C4B"/>
    <w:rsid w:val="00E76C9C"/>
    <w:rsid w:val="00E76E69"/>
    <w:rsid w:val="00E7769D"/>
    <w:rsid w:val="00E77B4C"/>
    <w:rsid w:val="00E8083F"/>
    <w:rsid w:val="00E81795"/>
    <w:rsid w:val="00E824B1"/>
    <w:rsid w:val="00E82A3D"/>
    <w:rsid w:val="00E82C4C"/>
    <w:rsid w:val="00E83398"/>
    <w:rsid w:val="00E833DE"/>
    <w:rsid w:val="00E84631"/>
    <w:rsid w:val="00E87167"/>
    <w:rsid w:val="00E87938"/>
    <w:rsid w:val="00E87A3F"/>
    <w:rsid w:val="00E9162C"/>
    <w:rsid w:val="00E92148"/>
    <w:rsid w:val="00E92EF9"/>
    <w:rsid w:val="00E94FCA"/>
    <w:rsid w:val="00E9514D"/>
    <w:rsid w:val="00E9671C"/>
    <w:rsid w:val="00E969E4"/>
    <w:rsid w:val="00E97D42"/>
    <w:rsid w:val="00E97DEF"/>
    <w:rsid w:val="00EA08E6"/>
    <w:rsid w:val="00EA2CCF"/>
    <w:rsid w:val="00EA37BB"/>
    <w:rsid w:val="00EA5FB8"/>
    <w:rsid w:val="00EA6418"/>
    <w:rsid w:val="00EA6B53"/>
    <w:rsid w:val="00EA7768"/>
    <w:rsid w:val="00EB046D"/>
    <w:rsid w:val="00EB1389"/>
    <w:rsid w:val="00EB1CF5"/>
    <w:rsid w:val="00EB1F0E"/>
    <w:rsid w:val="00EB28BE"/>
    <w:rsid w:val="00EB2EC2"/>
    <w:rsid w:val="00EB378A"/>
    <w:rsid w:val="00EB456A"/>
    <w:rsid w:val="00EB49A6"/>
    <w:rsid w:val="00EB558F"/>
    <w:rsid w:val="00EB59E2"/>
    <w:rsid w:val="00EB5C18"/>
    <w:rsid w:val="00EB72E3"/>
    <w:rsid w:val="00EC0E07"/>
    <w:rsid w:val="00EC0F00"/>
    <w:rsid w:val="00EC1323"/>
    <w:rsid w:val="00EC19D0"/>
    <w:rsid w:val="00EC2048"/>
    <w:rsid w:val="00EC25E7"/>
    <w:rsid w:val="00EC2C0F"/>
    <w:rsid w:val="00EC3155"/>
    <w:rsid w:val="00EC4C8D"/>
    <w:rsid w:val="00EC56A1"/>
    <w:rsid w:val="00EC5C05"/>
    <w:rsid w:val="00EC62B6"/>
    <w:rsid w:val="00EC741E"/>
    <w:rsid w:val="00ED0012"/>
    <w:rsid w:val="00ED1C03"/>
    <w:rsid w:val="00ED217B"/>
    <w:rsid w:val="00ED2D90"/>
    <w:rsid w:val="00ED33F5"/>
    <w:rsid w:val="00ED3CAC"/>
    <w:rsid w:val="00ED3DDC"/>
    <w:rsid w:val="00ED4328"/>
    <w:rsid w:val="00ED49A4"/>
    <w:rsid w:val="00ED5D0F"/>
    <w:rsid w:val="00ED6BE1"/>
    <w:rsid w:val="00ED70A8"/>
    <w:rsid w:val="00ED7EAC"/>
    <w:rsid w:val="00EE140F"/>
    <w:rsid w:val="00EE164A"/>
    <w:rsid w:val="00EE1BDA"/>
    <w:rsid w:val="00EE2623"/>
    <w:rsid w:val="00EE40BA"/>
    <w:rsid w:val="00EE43BD"/>
    <w:rsid w:val="00EE453B"/>
    <w:rsid w:val="00EE5102"/>
    <w:rsid w:val="00EE5A30"/>
    <w:rsid w:val="00EE688C"/>
    <w:rsid w:val="00EE6F76"/>
    <w:rsid w:val="00EE723C"/>
    <w:rsid w:val="00EE7390"/>
    <w:rsid w:val="00EE7ED7"/>
    <w:rsid w:val="00EF2B3F"/>
    <w:rsid w:val="00EF2BF8"/>
    <w:rsid w:val="00EF4B50"/>
    <w:rsid w:val="00EF4EDA"/>
    <w:rsid w:val="00EF5F66"/>
    <w:rsid w:val="00F01F3A"/>
    <w:rsid w:val="00F02A93"/>
    <w:rsid w:val="00F02B3C"/>
    <w:rsid w:val="00F051B5"/>
    <w:rsid w:val="00F06260"/>
    <w:rsid w:val="00F063C5"/>
    <w:rsid w:val="00F06F89"/>
    <w:rsid w:val="00F074F8"/>
    <w:rsid w:val="00F10D9B"/>
    <w:rsid w:val="00F12112"/>
    <w:rsid w:val="00F12DB7"/>
    <w:rsid w:val="00F1352D"/>
    <w:rsid w:val="00F1395F"/>
    <w:rsid w:val="00F16B73"/>
    <w:rsid w:val="00F16ECF"/>
    <w:rsid w:val="00F17565"/>
    <w:rsid w:val="00F17888"/>
    <w:rsid w:val="00F17991"/>
    <w:rsid w:val="00F17DDD"/>
    <w:rsid w:val="00F17F38"/>
    <w:rsid w:val="00F20BAC"/>
    <w:rsid w:val="00F20E95"/>
    <w:rsid w:val="00F21FA0"/>
    <w:rsid w:val="00F23AD8"/>
    <w:rsid w:val="00F24651"/>
    <w:rsid w:val="00F25F2F"/>
    <w:rsid w:val="00F275CE"/>
    <w:rsid w:val="00F30805"/>
    <w:rsid w:val="00F30C55"/>
    <w:rsid w:val="00F3232B"/>
    <w:rsid w:val="00F32781"/>
    <w:rsid w:val="00F33D61"/>
    <w:rsid w:val="00F344DE"/>
    <w:rsid w:val="00F35FB0"/>
    <w:rsid w:val="00F369B2"/>
    <w:rsid w:val="00F419A8"/>
    <w:rsid w:val="00F43ED6"/>
    <w:rsid w:val="00F44022"/>
    <w:rsid w:val="00F442C1"/>
    <w:rsid w:val="00F456C8"/>
    <w:rsid w:val="00F458CB"/>
    <w:rsid w:val="00F45B7D"/>
    <w:rsid w:val="00F462CA"/>
    <w:rsid w:val="00F46C84"/>
    <w:rsid w:val="00F46E3A"/>
    <w:rsid w:val="00F50D2F"/>
    <w:rsid w:val="00F519D3"/>
    <w:rsid w:val="00F562B9"/>
    <w:rsid w:val="00F56339"/>
    <w:rsid w:val="00F56F18"/>
    <w:rsid w:val="00F57183"/>
    <w:rsid w:val="00F6027F"/>
    <w:rsid w:val="00F60465"/>
    <w:rsid w:val="00F606BD"/>
    <w:rsid w:val="00F60C99"/>
    <w:rsid w:val="00F60EB5"/>
    <w:rsid w:val="00F616D1"/>
    <w:rsid w:val="00F624B0"/>
    <w:rsid w:val="00F64FD5"/>
    <w:rsid w:val="00F650ED"/>
    <w:rsid w:val="00F65A86"/>
    <w:rsid w:val="00F672FF"/>
    <w:rsid w:val="00F7088A"/>
    <w:rsid w:val="00F708CC"/>
    <w:rsid w:val="00F71639"/>
    <w:rsid w:val="00F71B6A"/>
    <w:rsid w:val="00F72DCE"/>
    <w:rsid w:val="00F72E02"/>
    <w:rsid w:val="00F7341D"/>
    <w:rsid w:val="00F74186"/>
    <w:rsid w:val="00F76811"/>
    <w:rsid w:val="00F770E4"/>
    <w:rsid w:val="00F77F36"/>
    <w:rsid w:val="00F826C9"/>
    <w:rsid w:val="00F84956"/>
    <w:rsid w:val="00F852FD"/>
    <w:rsid w:val="00F8554F"/>
    <w:rsid w:val="00F858AE"/>
    <w:rsid w:val="00F86584"/>
    <w:rsid w:val="00F8676D"/>
    <w:rsid w:val="00F86B78"/>
    <w:rsid w:val="00F87379"/>
    <w:rsid w:val="00F9037F"/>
    <w:rsid w:val="00F9083F"/>
    <w:rsid w:val="00F909ED"/>
    <w:rsid w:val="00F916F2"/>
    <w:rsid w:val="00F92BE1"/>
    <w:rsid w:val="00F93010"/>
    <w:rsid w:val="00F93D43"/>
    <w:rsid w:val="00F94AE0"/>
    <w:rsid w:val="00F94DA0"/>
    <w:rsid w:val="00F94FCF"/>
    <w:rsid w:val="00F95E88"/>
    <w:rsid w:val="00F974EB"/>
    <w:rsid w:val="00F9761D"/>
    <w:rsid w:val="00FA1233"/>
    <w:rsid w:val="00FA128E"/>
    <w:rsid w:val="00FA360A"/>
    <w:rsid w:val="00FA37C9"/>
    <w:rsid w:val="00FA4766"/>
    <w:rsid w:val="00FA49B1"/>
    <w:rsid w:val="00FA50BB"/>
    <w:rsid w:val="00FA56DA"/>
    <w:rsid w:val="00FA586F"/>
    <w:rsid w:val="00FA6C41"/>
    <w:rsid w:val="00FB13C7"/>
    <w:rsid w:val="00FB2545"/>
    <w:rsid w:val="00FB288F"/>
    <w:rsid w:val="00FB34B3"/>
    <w:rsid w:val="00FB7C60"/>
    <w:rsid w:val="00FB7F67"/>
    <w:rsid w:val="00FC2126"/>
    <w:rsid w:val="00FC2B1A"/>
    <w:rsid w:val="00FC36EB"/>
    <w:rsid w:val="00FC3F10"/>
    <w:rsid w:val="00FC495D"/>
    <w:rsid w:val="00FC4FC2"/>
    <w:rsid w:val="00FC5639"/>
    <w:rsid w:val="00FC591B"/>
    <w:rsid w:val="00FC7971"/>
    <w:rsid w:val="00FC7AFC"/>
    <w:rsid w:val="00FD1205"/>
    <w:rsid w:val="00FD1598"/>
    <w:rsid w:val="00FD15E3"/>
    <w:rsid w:val="00FD2745"/>
    <w:rsid w:val="00FD4CA5"/>
    <w:rsid w:val="00FD6205"/>
    <w:rsid w:val="00FD63D9"/>
    <w:rsid w:val="00FD75A0"/>
    <w:rsid w:val="00FE05EC"/>
    <w:rsid w:val="00FE3B73"/>
    <w:rsid w:val="00FE41F4"/>
    <w:rsid w:val="00FE5755"/>
    <w:rsid w:val="00FE5A81"/>
    <w:rsid w:val="00FE6286"/>
    <w:rsid w:val="00FE689C"/>
    <w:rsid w:val="00FE7C87"/>
    <w:rsid w:val="00FF0F57"/>
    <w:rsid w:val="00FF1529"/>
    <w:rsid w:val="00FF364F"/>
    <w:rsid w:val="00FF3CE7"/>
    <w:rsid w:val="00FF48B0"/>
    <w:rsid w:val="00FF55F8"/>
    <w:rsid w:val="00FF5F3A"/>
    <w:rsid w:val="00FF61D5"/>
    <w:rsid w:val="00FF6309"/>
    <w:rsid w:val="00FF7474"/>
    <w:rsid w:val="00FF764A"/>
    <w:rsid w:val="00FF7E47"/>
    <w:rsid w:val="00FF7F07"/>
    <w:rsid w:val="01006BCA"/>
    <w:rsid w:val="0134605C"/>
    <w:rsid w:val="015239DA"/>
    <w:rsid w:val="01A53160"/>
    <w:rsid w:val="01C3497D"/>
    <w:rsid w:val="01F30842"/>
    <w:rsid w:val="01F84E50"/>
    <w:rsid w:val="02F52C79"/>
    <w:rsid w:val="039946B2"/>
    <w:rsid w:val="03DE5BFE"/>
    <w:rsid w:val="04892032"/>
    <w:rsid w:val="04C15A67"/>
    <w:rsid w:val="04E03108"/>
    <w:rsid w:val="05763B6E"/>
    <w:rsid w:val="06A4281D"/>
    <w:rsid w:val="079B0973"/>
    <w:rsid w:val="07A00A49"/>
    <w:rsid w:val="07B017CD"/>
    <w:rsid w:val="0887020B"/>
    <w:rsid w:val="08897E4E"/>
    <w:rsid w:val="08A72A75"/>
    <w:rsid w:val="08B54635"/>
    <w:rsid w:val="09625DDA"/>
    <w:rsid w:val="09CE3AC3"/>
    <w:rsid w:val="0B435483"/>
    <w:rsid w:val="0B5D1B3B"/>
    <w:rsid w:val="0C242B9E"/>
    <w:rsid w:val="0C3B7084"/>
    <w:rsid w:val="0CF250B5"/>
    <w:rsid w:val="0D147778"/>
    <w:rsid w:val="0D43242F"/>
    <w:rsid w:val="0D501040"/>
    <w:rsid w:val="0DEA1BCB"/>
    <w:rsid w:val="0E4E6F98"/>
    <w:rsid w:val="0E5E4D4F"/>
    <w:rsid w:val="0EEF73FC"/>
    <w:rsid w:val="0F501E74"/>
    <w:rsid w:val="100F6958"/>
    <w:rsid w:val="1028470E"/>
    <w:rsid w:val="102E0414"/>
    <w:rsid w:val="10B739AF"/>
    <w:rsid w:val="10D931DC"/>
    <w:rsid w:val="12535865"/>
    <w:rsid w:val="135234A1"/>
    <w:rsid w:val="13673B1E"/>
    <w:rsid w:val="14366FBC"/>
    <w:rsid w:val="144A0D34"/>
    <w:rsid w:val="14C20C72"/>
    <w:rsid w:val="1586675F"/>
    <w:rsid w:val="15C80049"/>
    <w:rsid w:val="15DD3760"/>
    <w:rsid w:val="15E24766"/>
    <w:rsid w:val="179A7972"/>
    <w:rsid w:val="183E7B4A"/>
    <w:rsid w:val="18722FB7"/>
    <w:rsid w:val="189C7832"/>
    <w:rsid w:val="18ED50E2"/>
    <w:rsid w:val="1902782B"/>
    <w:rsid w:val="19415E23"/>
    <w:rsid w:val="194B6B1D"/>
    <w:rsid w:val="19AF74B4"/>
    <w:rsid w:val="19B05915"/>
    <w:rsid w:val="19EE05BA"/>
    <w:rsid w:val="19FD25CF"/>
    <w:rsid w:val="1A3313E8"/>
    <w:rsid w:val="1BD74BC2"/>
    <w:rsid w:val="1C321B20"/>
    <w:rsid w:val="1C8C3918"/>
    <w:rsid w:val="1D026DF0"/>
    <w:rsid w:val="1D177CEC"/>
    <w:rsid w:val="1D512863"/>
    <w:rsid w:val="1DE94C2F"/>
    <w:rsid w:val="1E652798"/>
    <w:rsid w:val="1E984216"/>
    <w:rsid w:val="1EEB7551"/>
    <w:rsid w:val="1F41444D"/>
    <w:rsid w:val="1FD41632"/>
    <w:rsid w:val="20586E69"/>
    <w:rsid w:val="20A459DC"/>
    <w:rsid w:val="21034474"/>
    <w:rsid w:val="215132B7"/>
    <w:rsid w:val="21CE2E4A"/>
    <w:rsid w:val="21E247A0"/>
    <w:rsid w:val="21E86D85"/>
    <w:rsid w:val="233C502F"/>
    <w:rsid w:val="234D1792"/>
    <w:rsid w:val="237A0EA4"/>
    <w:rsid w:val="23A10B7C"/>
    <w:rsid w:val="23D11B37"/>
    <w:rsid w:val="249E1844"/>
    <w:rsid w:val="24CC2537"/>
    <w:rsid w:val="25182455"/>
    <w:rsid w:val="252A2169"/>
    <w:rsid w:val="25315B29"/>
    <w:rsid w:val="260267E0"/>
    <w:rsid w:val="2644268B"/>
    <w:rsid w:val="269C10E8"/>
    <w:rsid w:val="26A74AE3"/>
    <w:rsid w:val="2745572B"/>
    <w:rsid w:val="277029AB"/>
    <w:rsid w:val="27A56988"/>
    <w:rsid w:val="281713B7"/>
    <w:rsid w:val="28306F6A"/>
    <w:rsid w:val="28BA1000"/>
    <w:rsid w:val="29345751"/>
    <w:rsid w:val="294E7204"/>
    <w:rsid w:val="29530517"/>
    <w:rsid w:val="29540E7C"/>
    <w:rsid w:val="29920BE6"/>
    <w:rsid w:val="29DC6DB5"/>
    <w:rsid w:val="29F14408"/>
    <w:rsid w:val="29F7132F"/>
    <w:rsid w:val="29F907C5"/>
    <w:rsid w:val="2A070925"/>
    <w:rsid w:val="2A4E3A99"/>
    <w:rsid w:val="2A7D2C0E"/>
    <w:rsid w:val="2ADD1695"/>
    <w:rsid w:val="2B7743F3"/>
    <w:rsid w:val="2BA10EB2"/>
    <w:rsid w:val="2C950B60"/>
    <w:rsid w:val="2CB94E8F"/>
    <w:rsid w:val="2CDC3462"/>
    <w:rsid w:val="2D243DC0"/>
    <w:rsid w:val="2D545CED"/>
    <w:rsid w:val="2D872225"/>
    <w:rsid w:val="2EE27171"/>
    <w:rsid w:val="2EE52D62"/>
    <w:rsid w:val="2EFF632E"/>
    <w:rsid w:val="302E049A"/>
    <w:rsid w:val="30C3696F"/>
    <w:rsid w:val="320245A3"/>
    <w:rsid w:val="32842C0D"/>
    <w:rsid w:val="334C3142"/>
    <w:rsid w:val="33D254A9"/>
    <w:rsid w:val="34E14200"/>
    <w:rsid w:val="3545318E"/>
    <w:rsid w:val="35595C0B"/>
    <w:rsid w:val="35A31693"/>
    <w:rsid w:val="35F50411"/>
    <w:rsid w:val="36477DE8"/>
    <w:rsid w:val="36642BB0"/>
    <w:rsid w:val="36C30B1A"/>
    <w:rsid w:val="37197136"/>
    <w:rsid w:val="377F3760"/>
    <w:rsid w:val="380970A7"/>
    <w:rsid w:val="382C6FA6"/>
    <w:rsid w:val="38507AB9"/>
    <w:rsid w:val="38EE314A"/>
    <w:rsid w:val="396B64DD"/>
    <w:rsid w:val="39895B1B"/>
    <w:rsid w:val="3A160CBE"/>
    <w:rsid w:val="3A4E49DC"/>
    <w:rsid w:val="3A5F3590"/>
    <w:rsid w:val="3BA822CF"/>
    <w:rsid w:val="3BAC12FA"/>
    <w:rsid w:val="3BD453C8"/>
    <w:rsid w:val="3BE2387A"/>
    <w:rsid w:val="3C016A2A"/>
    <w:rsid w:val="3C197FB3"/>
    <w:rsid w:val="3C9C4FEC"/>
    <w:rsid w:val="3CBB743A"/>
    <w:rsid w:val="3D7C7E2D"/>
    <w:rsid w:val="3D7D6D2C"/>
    <w:rsid w:val="3EE8317B"/>
    <w:rsid w:val="3F0B0769"/>
    <w:rsid w:val="3F1E7809"/>
    <w:rsid w:val="3F3D319D"/>
    <w:rsid w:val="3FDD305C"/>
    <w:rsid w:val="3FF76E9C"/>
    <w:rsid w:val="40A01950"/>
    <w:rsid w:val="40CD5BA5"/>
    <w:rsid w:val="40E26DC1"/>
    <w:rsid w:val="41CC409E"/>
    <w:rsid w:val="41E1191A"/>
    <w:rsid w:val="436E5A3A"/>
    <w:rsid w:val="437A2D06"/>
    <w:rsid w:val="454A5DC2"/>
    <w:rsid w:val="456843C5"/>
    <w:rsid w:val="45B63310"/>
    <w:rsid w:val="462175BA"/>
    <w:rsid w:val="46CD28F4"/>
    <w:rsid w:val="47922103"/>
    <w:rsid w:val="47F44E6A"/>
    <w:rsid w:val="48136A4B"/>
    <w:rsid w:val="481B347D"/>
    <w:rsid w:val="485C5460"/>
    <w:rsid w:val="48CC7DFC"/>
    <w:rsid w:val="49075CBA"/>
    <w:rsid w:val="49AA3868"/>
    <w:rsid w:val="49DF246B"/>
    <w:rsid w:val="4A0C5C4A"/>
    <w:rsid w:val="4A9C1CA6"/>
    <w:rsid w:val="4ACD281F"/>
    <w:rsid w:val="4CB35EBB"/>
    <w:rsid w:val="4D8D2197"/>
    <w:rsid w:val="4EB07F01"/>
    <w:rsid w:val="4F0E056F"/>
    <w:rsid w:val="4F9A1D1B"/>
    <w:rsid w:val="500376C4"/>
    <w:rsid w:val="503404A9"/>
    <w:rsid w:val="51291B55"/>
    <w:rsid w:val="512F2E04"/>
    <w:rsid w:val="51AE134D"/>
    <w:rsid w:val="51B87A2E"/>
    <w:rsid w:val="51F057B0"/>
    <w:rsid w:val="521D56AD"/>
    <w:rsid w:val="521D67DC"/>
    <w:rsid w:val="541E3C18"/>
    <w:rsid w:val="5590341D"/>
    <w:rsid w:val="55D82474"/>
    <w:rsid w:val="560B10B7"/>
    <w:rsid w:val="56104031"/>
    <w:rsid w:val="5685165B"/>
    <w:rsid w:val="568B143F"/>
    <w:rsid w:val="56FF21D8"/>
    <w:rsid w:val="57014D5B"/>
    <w:rsid w:val="5742685B"/>
    <w:rsid w:val="577371D8"/>
    <w:rsid w:val="57852965"/>
    <w:rsid w:val="57912D58"/>
    <w:rsid w:val="58426FDA"/>
    <w:rsid w:val="58670932"/>
    <w:rsid w:val="59785531"/>
    <w:rsid w:val="5A35190E"/>
    <w:rsid w:val="5A543C0A"/>
    <w:rsid w:val="5B4E5C79"/>
    <w:rsid w:val="5BC32735"/>
    <w:rsid w:val="5BCC1123"/>
    <w:rsid w:val="5C632DCF"/>
    <w:rsid w:val="5C6C3A12"/>
    <w:rsid w:val="5CC04F34"/>
    <w:rsid w:val="5D653882"/>
    <w:rsid w:val="5D7D073A"/>
    <w:rsid w:val="5D990648"/>
    <w:rsid w:val="5DA214FF"/>
    <w:rsid w:val="5DDD6928"/>
    <w:rsid w:val="5DF431C2"/>
    <w:rsid w:val="5E683D0E"/>
    <w:rsid w:val="5E7946AF"/>
    <w:rsid w:val="5EC16736"/>
    <w:rsid w:val="5F1A6E4D"/>
    <w:rsid w:val="5F5A18F2"/>
    <w:rsid w:val="5FAF7BF3"/>
    <w:rsid w:val="60082CCF"/>
    <w:rsid w:val="60C825F5"/>
    <w:rsid w:val="624504AF"/>
    <w:rsid w:val="62933E7A"/>
    <w:rsid w:val="62B46A76"/>
    <w:rsid w:val="62CF0732"/>
    <w:rsid w:val="62E8436C"/>
    <w:rsid w:val="62EF057B"/>
    <w:rsid w:val="63193EEC"/>
    <w:rsid w:val="652A7B7B"/>
    <w:rsid w:val="6530528B"/>
    <w:rsid w:val="656D0948"/>
    <w:rsid w:val="65ED1915"/>
    <w:rsid w:val="66171FEA"/>
    <w:rsid w:val="668F41BE"/>
    <w:rsid w:val="67150F94"/>
    <w:rsid w:val="6724407D"/>
    <w:rsid w:val="677F6807"/>
    <w:rsid w:val="67F32BBA"/>
    <w:rsid w:val="681769A0"/>
    <w:rsid w:val="68D14ED9"/>
    <w:rsid w:val="692C5D69"/>
    <w:rsid w:val="69434840"/>
    <w:rsid w:val="698E3526"/>
    <w:rsid w:val="69A46042"/>
    <w:rsid w:val="69CB2F30"/>
    <w:rsid w:val="6A204298"/>
    <w:rsid w:val="6A29718A"/>
    <w:rsid w:val="6A6767F4"/>
    <w:rsid w:val="6A8F43E4"/>
    <w:rsid w:val="6A956820"/>
    <w:rsid w:val="6BAF1A1E"/>
    <w:rsid w:val="6BEC2EDB"/>
    <w:rsid w:val="6C1E4028"/>
    <w:rsid w:val="6C293447"/>
    <w:rsid w:val="6C3311BC"/>
    <w:rsid w:val="6C3C20F0"/>
    <w:rsid w:val="6C5D35A0"/>
    <w:rsid w:val="6C6F16DC"/>
    <w:rsid w:val="6D4666BA"/>
    <w:rsid w:val="6F4B3212"/>
    <w:rsid w:val="6F701BEC"/>
    <w:rsid w:val="6FA53B98"/>
    <w:rsid w:val="703D1B07"/>
    <w:rsid w:val="704D1A5F"/>
    <w:rsid w:val="70717EC7"/>
    <w:rsid w:val="70EC4612"/>
    <w:rsid w:val="71475E36"/>
    <w:rsid w:val="71CA7985"/>
    <w:rsid w:val="71D974AC"/>
    <w:rsid w:val="71DF6CB0"/>
    <w:rsid w:val="72466B65"/>
    <w:rsid w:val="72795AFD"/>
    <w:rsid w:val="72DC2046"/>
    <w:rsid w:val="735538C2"/>
    <w:rsid w:val="735F154B"/>
    <w:rsid w:val="738067E0"/>
    <w:rsid w:val="73A02010"/>
    <w:rsid w:val="73BB20F5"/>
    <w:rsid w:val="73DB0AB8"/>
    <w:rsid w:val="73E9798B"/>
    <w:rsid w:val="74154063"/>
    <w:rsid w:val="75332530"/>
    <w:rsid w:val="759924A8"/>
    <w:rsid w:val="772C4E26"/>
    <w:rsid w:val="775D359A"/>
    <w:rsid w:val="77810212"/>
    <w:rsid w:val="77907A24"/>
    <w:rsid w:val="77B212EF"/>
    <w:rsid w:val="78DF5314"/>
    <w:rsid w:val="796C0BE7"/>
    <w:rsid w:val="7979158D"/>
    <w:rsid w:val="7A6B4218"/>
    <w:rsid w:val="7B29035B"/>
    <w:rsid w:val="7B6B6D66"/>
    <w:rsid w:val="7BFB6DAE"/>
    <w:rsid w:val="7C210DDF"/>
    <w:rsid w:val="7D5A326C"/>
    <w:rsid w:val="7E2136C3"/>
    <w:rsid w:val="7EA26C79"/>
    <w:rsid w:val="7ED42C43"/>
    <w:rsid w:val="7EF60C03"/>
    <w:rsid w:val="7F0E304D"/>
    <w:rsid w:val="7F185CA9"/>
    <w:rsid w:val="7FBC7566"/>
    <w:rsid w:val="7FEE055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247"/>
        <o:r id="V:Rule2" type="connector" idref="#_x0000_s2250"/>
        <o:r id="V:Rule3" type="connector" idref="#_x0000_s2264"/>
        <o:r id="V:Rule4" type="connector" idref="#_x0000_s2272"/>
        <o:r id="V:Rule5" type="connector" idref="#_x0000_s2286"/>
        <o:r id="V:Rule6" type="connector" idref="#_x0000_s2287"/>
        <o:r id="V:Rule7" type="connector" idref="#_x0000_s2330"/>
        <o:r id="V:Rule8" type="connector" idref="#_x0000_s233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iPriority="0" w:name="heading 6" w:locked="1"/>
    <w:lsdException w:qFormat="1" w:unhideWhenUsed="0" w:uiPriority="99" w:semiHidden="0" w:name="heading 7"/>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0" w:name="toc 2" w:locked="1"/>
    <w:lsdException w:qFormat="1" w:unhideWhenUsed="0" w:uiPriority="99" w:semiHidden="0" w:name="toc 3"/>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semiHidden="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nhideWhenUsed="0" w:uiPriority="99" w:name="Body Text First Indent"/>
    <w:lsdException w:uiPriority="99" w:name="Body Text First Indent 2"/>
    <w:lsdException w:uiPriority="99" w:name="Note Heading"/>
    <w:lsdException w:qFormat="1"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qFormat="1" w:unhideWhenUsed="0" w:uiPriority="99" w:semiHidden="0" w:name="Placeholder Text"/>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line="360" w:lineRule="auto"/>
      <w:ind w:firstLine="200" w:firstLineChars="200"/>
      <w:jc w:val="both"/>
    </w:pPr>
    <w:rPr>
      <w:rFonts w:ascii="Times New Roman" w:hAnsi="Times New Roman" w:eastAsia="宋体" w:cs="Times New Roman"/>
      <w:sz w:val="24"/>
      <w:szCs w:val="22"/>
      <w:lang w:val="en-US" w:eastAsia="zh-CN" w:bidi="ar-SA"/>
    </w:rPr>
  </w:style>
  <w:style w:type="paragraph" w:styleId="3">
    <w:name w:val="heading 1"/>
    <w:basedOn w:val="1"/>
    <w:next w:val="1"/>
    <w:link w:val="39"/>
    <w:autoRedefine/>
    <w:qFormat/>
    <w:uiPriority w:val="99"/>
    <w:pPr>
      <w:widowControl w:val="0"/>
      <w:ind w:firstLine="0" w:firstLineChars="0"/>
      <w:outlineLvl w:val="0"/>
    </w:pPr>
    <w:rPr>
      <w:rFonts w:eastAsia="仿宋"/>
      <w:b/>
      <w:bCs/>
      <w:kern w:val="44"/>
      <w:sz w:val="30"/>
      <w:szCs w:val="30"/>
    </w:rPr>
  </w:style>
  <w:style w:type="paragraph" w:styleId="4">
    <w:name w:val="heading 2"/>
    <w:basedOn w:val="1"/>
    <w:next w:val="1"/>
    <w:link w:val="40"/>
    <w:autoRedefine/>
    <w:qFormat/>
    <w:uiPriority w:val="99"/>
    <w:pPr>
      <w:widowControl w:val="0"/>
      <w:ind w:firstLine="0" w:firstLineChars="0"/>
      <w:outlineLvl w:val="1"/>
    </w:pPr>
    <w:rPr>
      <w:b/>
      <w:bCs/>
      <w:sz w:val="32"/>
      <w:szCs w:val="32"/>
    </w:rPr>
  </w:style>
  <w:style w:type="paragraph" w:styleId="5">
    <w:name w:val="heading 3"/>
    <w:basedOn w:val="1"/>
    <w:next w:val="1"/>
    <w:link w:val="41"/>
    <w:autoRedefine/>
    <w:qFormat/>
    <w:uiPriority w:val="99"/>
    <w:pPr>
      <w:widowControl w:val="0"/>
      <w:ind w:firstLine="0" w:firstLineChars="0"/>
      <w:outlineLvl w:val="2"/>
    </w:pPr>
    <w:rPr>
      <w:b/>
      <w:bCs/>
      <w:sz w:val="30"/>
      <w:szCs w:val="32"/>
    </w:rPr>
  </w:style>
  <w:style w:type="paragraph" w:styleId="6">
    <w:name w:val="heading 4"/>
    <w:basedOn w:val="1"/>
    <w:next w:val="1"/>
    <w:link w:val="42"/>
    <w:autoRedefine/>
    <w:qFormat/>
    <w:uiPriority w:val="99"/>
    <w:pPr>
      <w:keepNext/>
      <w:keepLines/>
      <w:ind w:firstLine="0" w:firstLineChars="0"/>
      <w:outlineLvl w:val="3"/>
    </w:pPr>
    <w:rPr>
      <w:b/>
      <w:bCs/>
      <w:sz w:val="28"/>
      <w:szCs w:val="28"/>
    </w:rPr>
  </w:style>
  <w:style w:type="paragraph" w:styleId="7">
    <w:name w:val="heading 5"/>
    <w:basedOn w:val="1"/>
    <w:next w:val="1"/>
    <w:link w:val="43"/>
    <w:autoRedefine/>
    <w:qFormat/>
    <w:uiPriority w:val="99"/>
    <w:pPr>
      <w:keepNext/>
      <w:keepLines/>
      <w:spacing w:before="280" w:after="290" w:line="376" w:lineRule="auto"/>
      <w:outlineLvl w:val="4"/>
    </w:pPr>
    <w:rPr>
      <w:b/>
      <w:bCs/>
      <w:sz w:val="28"/>
      <w:szCs w:val="28"/>
    </w:rPr>
  </w:style>
  <w:style w:type="paragraph" w:styleId="8">
    <w:name w:val="heading 7"/>
    <w:basedOn w:val="1"/>
    <w:next w:val="1"/>
    <w:link w:val="44"/>
    <w:autoRedefine/>
    <w:qFormat/>
    <w:uiPriority w:val="99"/>
    <w:pPr>
      <w:keepNext/>
      <w:keepLines/>
      <w:spacing w:before="240" w:after="64" w:line="320" w:lineRule="auto"/>
      <w:outlineLvl w:val="6"/>
    </w:pPr>
    <w:rPr>
      <w:b/>
      <w:bCs/>
      <w:szCs w:val="24"/>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caption"/>
    <w:basedOn w:val="1"/>
    <w:next w:val="1"/>
    <w:autoRedefine/>
    <w:unhideWhenUsed/>
    <w:qFormat/>
    <w:locked/>
    <w:uiPriority w:val="0"/>
    <w:pPr>
      <w:keepNext/>
      <w:adjustRightInd w:val="0"/>
      <w:snapToGrid w:val="0"/>
      <w:jc w:val="center"/>
    </w:pPr>
    <w:rPr>
      <w:rFonts w:hint="default"/>
      <w:b/>
      <w:color w:val="000000"/>
      <w:sz w:val="21"/>
      <w:szCs w:val="20"/>
    </w:rPr>
  </w:style>
  <w:style w:type="paragraph" w:styleId="10">
    <w:name w:val="Document Map"/>
    <w:basedOn w:val="1"/>
    <w:link w:val="45"/>
    <w:autoRedefine/>
    <w:semiHidden/>
    <w:qFormat/>
    <w:uiPriority w:val="99"/>
    <w:rPr>
      <w:rFonts w:ascii="宋体"/>
      <w:sz w:val="18"/>
      <w:szCs w:val="18"/>
    </w:rPr>
  </w:style>
  <w:style w:type="paragraph" w:styleId="11">
    <w:name w:val="annotation text"/>
    <w:basedOn w:val="1"/>
    <w:link w:val="46"/>
    <w:autoRedefine/>
    <w:qFormat/>
    <w:uiPriority w:val="99"/>
    <w:pPr>
      <w:jc w:val="left"/>
    </w:pPr>
  </w:style>
  <w:style w:type="paragraph" w:styleId="12">
    <w:name w:val="Body Text"/>
    <w:basedOn w:val="1"/>
    <w:next w:val="1"/>
    <w:link w:val="47"/>
    <w:autoRedefine/>
    <w:qFormat/>
    <w:uiPriority w:val="99"/>
    <w:pPr>
      <w:spacing w:after="120"/>
    </w:pPr>
  </w:style>
  <w:style w:type="paragraph" w:styleId="13">
    <w:name w:val="Block Text"/>
    <w:basedOn w:val="1"/>
    <w:autoRedefine/>
    <w:qFormat/>
    <w:uiPriority w:val="99"/>
    <w:pPr>
      <w:spacing w:after="200" w:line="240" w:lineRule="auto"/>
      <w:ind w:left="480" w:right="-1414" w:firstLine="0" w:firstLineChars="0"/>
      <w:jc w:val="left"/>
    </w:pPr>
    <w:rPr>
      <w:rFonts w:ascii="仿宋_GB2312" w:hAnsi="Tahoma" w:eastAsia="微软雅黑"/>
      <w:sz w:val="22"/>
    </w:rPr>
  </w:style>
  <w:style w:type="paragraph" w:styleId="14">
    <w:name w:val="toc 3"/>
    <w:basedOn w:val="1"/>
    <w:next w:val="1"/>
    <w:autoRedefine/>
    <w:qFormat/>
    <w:uiPriority w:val="99"/>
    <w:pPr>
      <w:ind w:left="840" w:leftChars="400"/>
    </w:pPr>
  </w:style>
  <w:style w:type="paragraph" w:styleId="15">
    <w:name w:val="Plain Text"/>
    <w:basedOn w:val="1"/>
    <w:link w:val="91"/>
    <w:autoRedefine/>
    <w:qFormat/>
    <w:uiPriority w:val="0"/>
    <w:pPr>
      <w:widowControl w:val="0"/>
      <w:adjustRightInd/>
      <w:snapToGrid/>
      <w:spacing w:line="240" w:lineRule="auto"/>
      <w:ind w:firstLine="0" w:firstLineChars="0"/>
    </w:pPr>
    <w:rPr>
      <w:rFonts w:ascii="宋体" w:hAnsi="Courier New" w:cs="Courier New"/>
      <w:kern w:val="2"/>
      <w:sz w:val="21"/>
      <w:szCs w:val="21"/>
    </w:rPr>
  </w:style>
  <w:style w:type="paragraph" w:styleId="16">
    <w:name w:val="Date"/>
    <w:basedOn w:val="1"/>
    <w:next w:val="1"/>
    <w:link w:val="48"/>
    <w:autoRedefine/>
    <w:qFormat/>
    <w:uiPriority w:val="99"/>
    <w:pPr>
      <w:widowControl w:val="0"/>
      <w:adjustRightInd/>
      <w:snapToGrid/>
      <w:spacing w:line="240" w:lineRule="auto"/>
      <w:ind w:firstLine="0" w:firstLineChars="0"/>
    </w:pPr>
    <w:rPr>
      <w:kern w:val="2"/>
      <w:szCs w:val="20"/>
    </w:rPr>
  </w:style>
  <w:style w:type="paragraph" w:styleId="17">
    <w:name w:val="Body Text Indent 2"/>
    <w:basedOn w:val="1"/>
    <w:link w:val="49"/>
    <w:autoRedefine/>
    <w:qFormat/>
    <w:uiPriority w:val="99"/>
    <w:pPr>
      <w:widowControl w:val="0"/>
      <w:adjustRightInd/>
      <w:snapToGrid/>
      <w:spacing w:after="120" w:line="480" w:lineRule="auto"/>
      <w:ind w:left="420" w:leftChars="200" w:firstLine="0" w:firstLineChars="0"/>
    </w:pPr>
    <w:rPr>
      <w:rFonts w:ascii="Calibri" w:hAnsi="Calibri"/>
      <w:kern w:val="2"/>
      <w:sz w:val="21"/>
      <w:szCs w:val="24"/>
    </w:rPr>
  </w:style>
  <w:style w:type="paragraph" w:styleId="18">
    <w:name w:val="Balloon Text"/>
    <w:basedOn w:val="1"/>
    <w:link w:val="50"/>
    <w:autoRedefine/>
    <w:semiHidden/>
    <w:qFormat/>
    <w:uiPriority w:val="99"/>
    <w:pPr>
      <w:spacing w:line="240" w:lineRule="auto"/>
    </w:pPr>
    <w:rPr>
      <w:sz w:val="18"/>
      <w:szCs w:val="18"/>
    </w:rPr>
  </w:style>
  <w:style w:type="paragraph" w:styleId="19">
    <w:name w:val="footer"/>
    <w:basedOn w:val="1"/>
    <w:link w:val="51"/>
    <w:autoRedefine/>
    <w:qFormat/>
    <w:uiPriority w:val="99"/>
    <w:pPr>
      <w:tabs>
        <w:tab w:val="center" w:pos="4153"/>
        <w:tab w:val="right" w:pos="8306"/>
      </w:tabs>
    </w:pPr>
    <w:rPr>
      <w:sz w:val="18"/>
      <w:szCs w:val="18"/>
    </w:rPr>
  </w:style>
  <w:style w:type="paragraph" w:styleId="20">
    <w:name w:val="header"/>
    <w:basedOn w:val="1"/>
    <w:link w:val="52"/>
    <w:autoRedefine/>
    <w:qFormat/>
    <w:uiPriority w:val="99"/>
    <w:pPr>
      <w:pBdr>
        <w:bottom w:val="single" w:color="auto" w:sz="6" w:space="1"/>
      </w:pBdr>
      <w:tabs>
        <w:tab w:val="center" w:pos="4153"/>
        <w:tab w:val="right" w:pos="8306"/>
      </w:tabs>
      <w:jc w:val="center"/>
    </w:pPr>
    <w:rPr>
      <w:sz w:val="18"/>
      <w:szCs w:val="18"/>
    </w:rPr>
  </w:style>
  <w:style w:type="paragraph" w:styleId="21">
    <w:name w:val="toc 1"/>
    <w:basedOn w:val="1"/>
    <w:next w:val="1"/>
    <w:autoRedefine/>
    <w:qFormat/>
    <w:uiPriority w:val="39"/>
    <w:pPr>
      <w:tabs>
        <w:tab w:val="right" w:leader="dot" w:pos="8296"/>
      </w:tabs>
      <w:ind w:firstLine="0" w:firstLineChars="0"/>
      <w:jc w:val="left"/>
    </w:pPr>
  </w:style>
  <w:style w:type="paragraph" w:styleId="22">
    <w:name w:val="Body Text Indent 3"/>
    <w:basedOn w:val="1"/>
    <w:link w:val="53"/>
    <w:autoRedefine/>
    <w:qFormat/>
    <w:uiPriority w:val="99"/>
    <w:pPr>
      <w:widowControl w:val="0"/>
      <w:adjustRightInd/>
      <w:snapToGrid/>
      <w:spacing w:line="460" w:lineRule="exact"/>
      <w:ind w:left="479" w:leftChars="228" w:firstLine="360" w:firstLineChars="150"/>
    </w:pPr>
    <w:rPr>
      <w:kern w:val="2"/>
      <w:szCs w:val="20"/>
    </w:rPr>
  </w:style>
  <w:style w:type="paragraph" w:styleId="23">
    <w:name w:val="Body Text 2"/>
    <w:basedOn w:val="1"/>
    <w:autoRedefine/>
    <w:unhideWhenUsed/>
    <w:qFormat/>
    <w:uiPriority w:val="99"/>
    <w:pPr>
      <w:spacing w:beforeLines="0" w:after="120" w:afterLines="0" w:line="480" w:lineRule="auto"/>
    </w:pPr>
    <w:rPr>
      <w:rFonts w:hint="default"/>
      <w:sz w:val="21"/>
      <w:szCs w:val="24"/>
    </w:rPr>
  </w:style>
  <w:style w:type="paragraph" w:styleId="24">
    <w:name w:val="Normal (Web)"/>
    <w:basedOn w:val="1"/>
    <w:autoRedefine/>
    <w:qFormat/>
    <w:uiPriority w:val="99"/>
    <w:pPr>
      <w:adjustRightInd/>
      <w:snapToGrid/>
      <w:spacing w:before="100" w:beforeAutospacing="1" w:after="100" w:afterAutospacing="1" w:line="240" w:lineRule="auto"/>
      <w:ind w:firstLine="0" w:firstLineChars="0"/>
      <w:jc w:val="left"/>
    </w:pPr>
    <w:rPr>
      <w:rFonts w:ascii="宋体" w:hAnsi="宋体" w:cs="宋体"/>
      <w:szCs w:val="24"/>
    </w:rPr>
  </w:style>
  <w:style w:type="paragraph" w:styleId="25">
    <w:name w:val="annotation subject"/>
    <w:basedOn w:val="11"/>
    <w:next w:val="11"/>
    <w:link w:val="54"/>
    <w:autoRedefine/>
    <w:semiHidden/>
    <w:qFormat/>
    <w:uiPriority w:val="99"/>
    <w:rPr>
      <w:b/>
      <w:bCs/>
    </w:rPr>
  </w:style>
  <w:style w:type="paragraph" w:styleId="26">
    <w:name w:val="Body Text First Indent"/>
    <w:basedOn w:val="12"/>
    <w:link w:val="55"/>
    <w:autoRedefine/>
    <w:semiHidden/>
    <w:qFormat/>
    <w:uiPriority w:val="99"/>
    <w:pPr>
      <w:ind w:firstLine="420" w:firstLineChars="100"/>
    </w:pPr>
  </w:style>
  <w:style w:type="table" w:styleId="28">
    <w:name w:val="Table Grid"/>
    <w:basedOn w:val="27"/>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autoRedefine/>
    <w:qFormat/>
    <w:uiPriority w:val="99"/>
    <w:rPr>
      <w:rFonts w:cs="Times New Roman"/>
    </w:rPr>
  </w:style>
  <w:style w:type="character" w:styleId="31">
    <w:name w:val="Hyperlink"/>
    <w:autoRedefine/>
    <w:qFormat/>
    <w:uiPriority w:val="99"/>
    <w:rPr>
      <w:rFonts w:cs="Times New Roman"/>
      <w:color w:val="0268CD"/>
      <w:u w:val="none"/>
    </w:rPr>
  </w:style>
  <w:style w:type="character" w:styleId="32">
    <w:name w:val="annotation reference"/>
    <w:autoRedefine/>
    <w:semiHidden/>
    <w:qFormat/>
    <w:uiPriority w:val="99"/>
    <w:rPr>
      <w:rFonts w:cs="Times New Roman"/>
      <w:sz w:val="21"/>
      <w:szCs w:val="21"/>
    </w:rPr>
  </w:style>
  <w:style w:type="paragraph" w:customStyle="1" w:styleId="33">
    <w:name w:val="Default"/>
    <w:basedOn w:val="34"/>
    <w:next w:val="1"/>
    <w:autoRedefine/>
    <w:unhideWhenUsed/>
    <w:qFormat/>
    <w:uiPriority w:val="0"/>
    <w:pPr>
      <w:widowControl w:val="0"/>
      <w:autoSpaceDE w:val="0"/>
      <w:autoSpaceDN w:val="0"/>
      <w:adjustRightInd w:val="0"/>
      <w:spacing w:beforeLines="0" w:afterLines="0"/>
    </w:pPr>
    <w:rPr>
      <w:rFonts w:hint="eastAsia" w:ascii="宋体" w:hAnsi="Calibri" w:eastAsia="宋体" w:cs="宋体"/>
      <w:color w:val="000000"/>
      <w:sz w:val="24"/>
      <w:szCs w:val="24"/>
      <w:lang w:val="en-US" w:eastAsia="zh-CN" w:bidi="ar-SA"/>
    </w:rPr>
  </w:style>
  <w:style w:type="paragraph" w:customStyle="1" w:styleId="34">
    <w:name w:val="纯文本1"/>
    <w:basedOn w:val="1"/>
    <w:autoRedefine/>
    <w:qFormat/>
    <w:uiPriority w:val="0"/>
    <w:rPr>
      <w:rFonts w:ascii="宋体" w:hAnsi="Courier New"/>
      <w:kern w:val="0"/>
      <w:sz w:val="20"/>
      <w:szCs w:val="21"/>
    </w:rPr>
  </w:style>
  <w:style w:type="paragraph" w:customStyle="1" w:styleId="35">
    <w:name w:val="正文样式"/>
    <w:basedOn w:val="1"/>
    <w:qFormat/>
    <w:uiPriority w:val="0"/>
    <w:pPr>
      <w:adjustRightInd w:val="0"/>
      <w:snapToGrid w:val="0"/>
      <w:spacing w:line="360" w:lineRule="auto"/>
      <w:ind w:firstLine="542" w:firstLineChars="225"/>
      <w:jc w:val="center"/>
    </w:pPr>
    <w:rPr>
      <w:b/>
      <w:color w:val="FF0000"/>
    </w:rPr>
  </w:style>
  <w:style w:type="paragraph" w:customStyle="1" w:styleId="36">
    <w:name w:val="简单回函地址"/>
    <w:next w:val="37"/>
    <w:autoRedefine/>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paragraph" w:customStyle="1" w:styleId="37">
    <w:name w:val="正文2"/>
    <w:basedOn w:val="1"/>
    <w:autoRedefine/>
    <w:unhideWhenUsed/>
    <w:qFormat/>
    <w:uiPriority w:val="0"/>
    <w:pPr>
      <w:spacing w:beforeLines="0" w:afterLines="0" w:line="360" w:lineRule="auto"/>
      <w:ind w:firstLine="200" w:firstLineChars="200"/>
    </w:pPr>
    <w:rPr>
      <w:rFonts w:hint="default"/>
      <w:sz w:val="24"/>
      <w:szCs w:val="24"/>
    </w:rPr>
  </w:style>
  <w:style w:type="paragraph" w:customStyle="1" w:styleId="38">
    <w:name w:val="表格内"/>
    <w:basedOn w:val="1"/>
    <w:autoRedefine/>
    <w:unhideWhenUsed/>
    <w:qFormat/>
    <w:uiPriority w:val="0"/>
    <w:pPr>
      <w:widowControl/>
      <w:adjustRightInd w:val="0"/>
      <w:snapToGrid w:val="0"/>
      <w:spacing w:beforeLines="0" w:after="200" w:afterLines="0" w:line="360" w:lineRule="exact"/>
      <w:jc w:val="center"/>
    </w:pPr>
    <w:rPr>
      <w:rFonts w:hint="default" w:ascii="Times New Roman" w:hAnsi="Times New Roman" w:eastAsia="微软雅黑"/>
      <w:snapToGrid w:val="0"/>
      <w:kern w:val="0"/>
      <w:sz w:val="22"/>
      <w:szCs w:val="24"/>
    </w:rPr>
  </w:style>
  <w:style w:type="character" w:customStyle="1" w:styleId="39">
    <w:name w:val="标题 1 字符"/>
    <w:link w:val="3"/>
    <w:autoRedefine/>
    <w:qFormat/>
    <w:locked/>
    <w:uiPriority w:val="99"/>
    <w:rPr>
      <w:rFonts w:ascii="Times New Roman" w:hAnsi="Times New Roman" w:eastAsia="仿宋" w:cs="Times New Roman"/>
      <w:b/>
      <w:bCs/>
      <w:kern w:val="44"/>
      <w:sz w:val="30"/>
      <w:szCs w:val="30"/>
    </w:rPr>
  </w:style>
  <w:style w:type="character" w:customStyle="1" w:styleId="40">
    <w:name w:val="标题 2 字符"/>
    <w:link w:val="4"/>
    <w:autoRedefine/>
    <w:qFormat/>
    <w:locked/>
    <w:uiPriority w:val="99"/>
    <w:rPr>
      <w:rFonts w:ascii="Times New Roman" w:hAnsi="Times New Roman" w:eastAsia="宋体" w:cs="Times New Roman"/>
      <w:b/>
      <w:bCs/>
      <w:sz w:val="32"/>
      <w:szCs w:val="32"/>
    </w:rPr>
  </w:style>
  <w:style w:type="character" w:customStyle="1" w:styleId="41">
    <w:name w:val="标题 3 字符"/>
    <w:link w:val="5"/>
    <w:autoRedefine/>
    <w:qFormat/>
    <w:locked/>
    <w:uiPriority w:val="99"/>
    <w:rPr>
      <w:rFonts w:ascii="Times New Roman" w:hAnsi="Times New Roman" w:cs="Times New Roman"/>
      <w:b/>
      <w:bCs/>
      <w:sz w:val="32"/>
      <w:szCs w:val="32"/>
    </w:rPr>
  </w:style>
  <w:style w:type="character" w:customStyle="1" w:styleId="42">
    <w:name w:val="标题 4 字符"/>
    <w:link w:val="6"/>
    <w:autoRedefine/>
    <w:qFormat/>
    <w:locked/>
    <w:uiPriority w:val="99"/>
    <w:rPr>
      <w:rFonts w:ascii="Times New Roman" w:hAnsi="Times New Roman" w:cs="Times New Roman"/>
      <w:b/>
      <w:bCs/>
      <w:sz w:val="28"/>
      <w:szCs w:val="28"/>
    </w:rPr>
  </w:style>
  <w:style w:type="character" w:customStyle="1" w:styleId="43">
    <w:name w:val="标题 5 字符"/>
    <w:link w:val="7"/>
    <w:autoRedefine/>
    <w:qFormat/>
    <w:locked/>
    <w:uiPriority w:val="99"/>
    <w:rPr>
      <w:rFonts w:ascii="Times New Roman" w:hAnsi="Times New Roman" w:cs="Times New Roman"/>
      <w:b/>
      <w:bCs/>
      <w:sz w:val="28"/>
      <w:szCs w:val="28"/>
    </w:rPr>
  </w:style>
  <w:style w:type="character" w:customStyle="1" w:styleId="44">
    <w:name w:val="标题 7 字符"/>
    <w:link w:val="8"/>
    <w:autoRedefine/>
    <w:semiHidden/>
    <w:qFormat/>
    <w:locked/>
    <w:uiPriority w:val="99"/>
    <w:rPr>
      <w:rFonts w:ascii="Times New Roman" w:hAnsi="Times New Roman" w:cs="Times New Roman"/>
      <w:b/>
      <w:bCs/>
      <w:sz w:val="24"/>
      <w:szCs w:val="24"/>
    </w:rPr>
  </w:style>
  <w:style w:type="character" w:customStyle="1" w:styleId="45">
    <w:name w:val="文档结构图 字符"/>
    <w:link w:val="10"/>
    <w:autoRedefine/>
    <w:semiHidden/>
    <w:qFormat/>
    <w:locked/>
    <w:uiPriority w:val="99"/>
    <w:rPr>
      <w:rFonts w:ascii="宋体" w:hAnsi="Times New Roman" w:eastAsia="宋体" w:cs="Times New Roman"/>
      <w:kern w:val="0"/>
      <w:sz w:val="18"/>
      <w:szCs w:val="18"/>
    </w:rPr>
  </w:style>
  <w:style w:type="character" w:customStyle="1" w:styleId="46">
    <w:name w:val="批注文字 字符"/>
    <w:link w:val="11"/>
    <w:autoRedefine/>
    <w:semiHidden/>
    <w:qFormat/>
    <w:locked/>
    <w:uiPriority w:val="99"/>
    <w:rPr>
      <w:rFonts w:ascii="Times New Roman" w:hAnsi="Times New Roman" w:eastAsia="宋体" w:cs="Times New Roman"/>
      <w:kern w:val="0"/>
      <w:sz w:val="24"/>
    </w:rPr>
  </w:style>
  <w:style w:type="character" w:customStyle="1" w:styleId="47">
    <w:name w:val="正文文本 字符"/>
    <w:link w:val="12"/>
    <w:autoRedefine/>
    <w:semiHidden/>
    <w:qFormat/>
    <w:locked/>
    <w:uiPriority w:val="99"/>
    <w:rPr>
      <w:rFonts w:ascii="Times New Roman" w:hAnsi="Times New Roman" w:eastAsia="宋体" w:cs="Times New Roman"/>
      <w:kern w:val="0"/>
      <w:sz w:val="24"/>
    </w:rPr>
  </w:style>
  <w:style w:type="character" w:customStyle="1" w:styleId="48">
    <w:name w:val="日期 字符"/>
    <w:link w:val="16"/>
    <w:autoRedefine/>
    <w:qFormat/>
    <w:locked/>
    <w:uiPriority w:val="99"/>
    <w:rPr>
      <w:rFonts w:ascii="Times New Roman" w:hAnsi="Times New Roman" w:eastAsia="宋体" w:cs="Times New Roman"/>
      <w:sz w:val="20"/>
      <w:szCs w:val="20"/>
    </w:rPr>
  </w:style>
  <w:style w:type="character" w:customStyle="1" w:styleId="49">
    <w:name w:val="正文文本缩进 2 字符"/>
    <w:link w:val="17"/>
    <w:autoRedefine/>
    <w:qFormat/>
    <w:locked/>
    <w:uiPriority w:val="99"/>
    <w:rPr>
      <w:rFonts w:cs="Times New Roman"/>
      <w:kern w:val="2"/>
      <w:sz w:val="24"/>
      <w:szCs w:val="24"/>
    </w:rPr>
  </w:style>
  <w:style w:type="character" w:customStyle="1" w:styleId="50">
    <w:name w:val="批注框文本 字符"/>
    <w:link w:val="18"/>
    <w:autoRedefine/>
    <w:semiHidden/>
    <w:qFormat/>
    <w:locked/>
    <w:uiPriority w:val="99"/>
    <w:rPr>
      <w:rFonts w:ascii="Times New Roman" w:hAnsi="Times New Roman" w:eastAsia="宋体" w:cs="Times New Roman"/>
      <w:kern w:val="0"/>
      <w:sz w:val="18"/>
      <w:szCs w:val="18"/>
    </w:rPr>
  </w:style>
  <w:style w:type="character" w:customStyle="1" w:styleId="51">
    <w:name w:val="页脚 字符"/>
    <w:link w:val="19"/>
    <w:autoRedefine/>
    <w:qFormat/>
    <w:locked/>
    <w:uiPriority w:val="99"/>
    <w:rPr>
      <w:rFonts w:ascii="Tahoma" w:hAnsi="Tahoma" w:eastAsia="微软雅黑" w:cs="Times New Roman"/>
      <w:kern w:val="0"/>
      <w:sz w:val="18"/>
      <w:szCs w:val="18"/>
    </w:rPr>
  </w:style>
  <w:style w:type="character" w:customStyle="1" w:styleId="52">
    <w:name w:val="页眉 字符"/>
    <w:link w:val="20"/>
    <w:autoRedefine/>
    <w:qFormat/>
    <w:locked/>
    <w:uiPriority w:val="99"/>
    <w:rPr>
      <w:rFonts w:ascii="Tahoma" w:hAnsi="Tahoma" w:eastAsia="微软雅黑" w:cs="Times New Roman"/>
      <w:kern w:val="0"/>
      <w:sz w:val="18"/>
      <w:szCs w:val="18"/>
    </w:rPr>
  </w:style>
  <w:style w:type="character" w:customStyle="1" w:styleId="53">
    <w:name w:val="正文文本缩进 3 字符"/>
    <w:link w:val="22"/>
    <w:autoRedefine/>
    <w:qFormat/>
    <w:locked/>
    <w:uiPriority w:val="99"/>
    <w:rPr>
      <w:rFonts w:ascii="Times New Roman" w:hAnsi="Times New Roman" w:eastAsia="宋体" w:cs="Times New Roman"/>
      <w:sz w:val="20"/>
      <w:szCs w:val="20"/>
    </w:rPr>
  </w:style>
  <w:style w:type="character" w:customStyle="1" w:styleId="54">
    <w:name w:val="批注主题 字符"/>
    <w:link w:val="25"/>
    <w:autoRedefine/>
    <w:semiHidden/>
    <w:qFormat/>
    <w:locked/>
    <w:uiPriority w:val="99"/>
    <w:rPr>
      <w:rFonts w:ascii="Times New Roman" w:hAnsi="Times New Roman" w:eastAsia="宋体" w:cs="Times New Roman"/>
      <w:b/>
      <w:bCs/>
      <w:kern w:val="0"/>
      <w:sz w:val="24"/>
    </w:rPr>
  </w:style>
  <w:style w:type="character" w:customStyle="1" w:styleId="55">
    <w:name w:val="正文文本首行缩进 字符"/>
    <w:link w:val="26"/>
    <w:autoRedefine/>
    <w:semiHidden/>
    <w:qFormat/>
    <w:locked/>
    <w:uiPriority w:val="99"/>
    <w:rPr>
      <w:rFonts w:ascii="Times New Roman" w:hAnsi="Times New Roman" w:eastAsia="宋体" w:cs="Times New Roman"/>
      <w:kern w:val="0"/>
      <w:sz w:val="24"/>
    </w:rPr>
  </w:style>
  <w:style w:type="character" w:customStyle="1" w:styleId="56">
    <w:name w:val="正文文本缩进 Char"/>
    <w:link w:val="57"/>
    <w:autoRedefine/>
    <w:qFormat/>
    <w:locked/>
    <w:uiPriority w:val="99"/>
    <w:rPr>
      <w:rFonts w:ascii="仿宋_GB2312" w:hAnsi="Times New Roman" w:eastAsia="仿宋_GB2312" w:cs="Times New Roman"/>
      <w:sz w:val="20"/>
      <w:szCs w:val="20"/>
    </w:rPr>
  </w:style>
  <w:style w:type="paragraph" w:customStyle="1" w:styleId="57">
    <w:name w:val="正文文本缩进1"/>
    <w:basedOn w:val="1"/>
    <w:link w:val="56"/>
    <w:autoRedefine/>
    <w:qFormat/>
    <w:uiPriority w:val="99"/>
    <w:pPr>
      <w:widowControl w:val="0"/>
      <w:snapToGrid/>
      <w:spacing w:line="233" w:lineRule="auto"/>
      <w:ind w:firstLine="570"/>
      <w:textAlignment w:val="baseline"/>
    </w:pPr>
    <w:rPr>
      <w:rFonts w:ascii="仿宋_GB2312" w:eastAsia="仿宋_GB2312"/>
      <w:kern w:val="2"/>
      <w:sz w:val="28"/>
      <w:szCs w:val="20"/>
    </w:rPr>
  </w:style>
  <w:style w:type="character" w:customStyle="1" w:styleId="58">
    <w:name w:val="正文文本缩进 2 Char"/>
    <w:link w:val="59"/>
    <w:autoRedefine/>
    <w:qFormat/>
    <w:locked/>
    <w:uiPriority w:val="99"/>
    <w:rPr>
      <w:rFonts w:ascii="Times New Roman" w:hAnsi="Times New Roman" w:eastAsia="仿宋_GB2312" w:cs="Times New Roman"/>
      <w:sz w:val="20"/>
      <w:szCs w:val="20"/>
    </w:rPr>
  </w:style>
  <w:style w:type="paragraph" w:customStyle="1" w:styleId="59">
    <w:name w:val="正文文本缩进 21"/>
    <w:basedOn w:val="1"/>
    <w:link w:val="58"/>
    <w:autoRedefine/>
    <w:qFormat/>
    <w:uiPriority w:val="99"/>
    <w:pPr>
      <w:widowControl w:val="0"/>
      <w:snapToGrid/>
      <w:spacing w:line="312" w:lineRule="atLeast"/>
      <w:ind w:firstLine="570"/>
      <w:jc w:val="distribute"/>
      <w:textAlignment w:val="baseline"/>
    </w:pPr>
    <w:rPr>
      <w:rFonts w:eastAsia="仿宋_GB2312"/>
      <w:kern w:val="2"/>
      <w:sz w:val="28"/>
      <w:szCs w:val="20"/>
    </w:rPr>
  </w:style>
  <w:style w:type="character" w:customStyle="1" w:styleId="60">
    <w:name w:val="表格标题 Char"/>
    <w:link w:val="61"/>
    <w:autoRedefine/>
    <w:qFormat/>
    <w:locked/>
    <w:uiPriority w:val="99"/>
    <w:rPr>
      <w:rFonts w:ascii="Times New Roman" w:hAnsi="Times New Roman"/>
      <w:b/>
      <w:kern w:val="2"/>
      <w:sz w:val="24"/>
    </w:rPr>
  </w:style>
  <w:style w:type="paragraph" w:customStyle="1" w:styleId="61">
    <w:name w:val="表格标题"/>
    <w:basedOn w:val="9"/>
    <w:link w:val="60"/>
    <w:autoRedefine/>
    <w:qFormat/>
    <w:uiPriority w:val="99"/>
    <w:pPr>
      <w:widowControl w:val="0"/>
      <w:adjustRightInd/>
      <w:snapToGrid/>
      <w:ind w:firstLine="0" w:firstLineChars="0"/>
      <w:jc w:val="center"/>
    </w:pPr>
    <w:rPr>
      <w:kern w:val="2"/>
      <w:szCs w:val="20"/>
    </w:rPr>
  </w:style>
  <w:style w:type="paragraph" w:customStyle="1" w:styleId="62">
    <w:name w:val="普通(网站)1"/>
    <w:basedOn w:val="1"/>
    <w:autoRedefine/>
    <w:qFormat/>
    <w:uiPriority w:val="99"/>
    <w:pPr>
      <w:adjustRightInd/>
      <w:snapToGrid/>
      <w:spacing w:before="100" w:beforeAutospacing="1" w:after="100" w:afterAutospacing="1"/>
    </w:pPr>
    <w:rPr>
      <w:rFonts w:ascii="宋体" w:hAnsi="宋体" w:cs="宋体"/>
      <w:szCs w:val="24"/>
    </w:rPr>
  </w:style>
  <w:style w:type="paragraph" w:styleId="63">
    <w:name w:val="List Paragraph"/>
    <w:basedOn w:val="1"/>
    <w:autoRedefine/>
    <w:qFormat/>
    <w:uiPriority w:val="99"/>
    <w:pPr>
      <w:ind w:firstLine="420"/>
    </w:pPr>
  </w:style>
  <w:style w:type="paragraph" w:customStyle="1" w:styleId="64">
    <w:name w:val="表格文字"/>
    <w:basedOn w:val="1"/>
    <w:link w:val="65"/>
    <w:autoRedefine/>
    <w:qFormat/>
    <w:uiPriority w:val="99"/>
    <w:pPr>
      <w:widowControl w:val="0"/>
      <w:autoSpaceDE w:val="0"/>
      <w:autoSpaceDN w:val="0"/>
      <w:snapToGrid/>
      <w:spacing w:line="240" w:lineRule="auto"/>
      <w:ind w:firstLine="0" w:firstLineChars="0"/>
      <w:jc w:val="center"/>
      <w:textAlignment w:val="bottom"/>
    </w:pPr>
    <w:rPr>
      <w:sz w:val="21"/>
      <w:szCs w:val="20"/>
    </w:rPr>
  </w:style>
  <w:style w:type="character" w:customStyle="1" w:styleId="65">
    <w:name w:val="表格文字 Char Char"/>
    <w:link w:val="64"/>
    <w:autoRedefine/>
    <w:qFormat/>
    <w:locked/>
    <w:uiPriority w:val="99"/>
    <w:rPr>
      <w:rFonts w:ascii="Times New Roman" w:hAnsi="Times New Roman"/>
      <w:sz w:val="21"/>
    </w:rPr>
  </w:style>
  <w:style w:type="paragraph" w:styleId="66">
    <w:name w:val="No Spacing"/>
    <w:basedOn w:val="1"/>
    <w:autoRedefine/>
    <w:qFormat/>
    <w:uiPriority w:val="99"/>
    <w:pPr>
      <w:adjustRightInd w:val="0"/>
      <w:snapToGrid w:val="0"/>
      <w:jc w:val="center"/>
    </w:pPr>
    <w:rPr>
      <w:rFonts w:ascii="Times New Roman" w:hAnsi="Times New Roman" w:eastAsia="宋体" w:cs="Times New Roman"/>
      <w:sz w:val="21"/>
      <w:szCs w:val="22"/>
      <w:lang w:val="en-US" w:eastAsia="zh-CN" w:bidi="ar-SA"/>
    </w:rPr>
  </w:style>
  <w:style w:type="character" w:customStyle="1" w:styleId="67">
    <w:name w:val="正文-1 Char"/>
    <w:link w:val="68"/>
    <w:autoRedefine/>
    <w:qFormat/>
    <w:locked/>
    <w:uiPriority w:val="0"/>
    <w:rPr>
      <w:rFonts w:ascii="Times New Roman" w:hAnsi="Times New Roman" w:eastAsia="宋体"/>
      <w:b/>
      <w:kern w:val="2"/>
      <w:sz w:val="22"/>
      <w:lang w:val="en-US" w:eastAsia="zh-CN"/>
    </w:rPr>
  </w:style>
  <w:style w:type="paragraph" w:customStyle="1" w:styleId="68">
    <w:name w:val="正文-1"/>
    <w:link w:val="67"/>
    <w:autoRedefine/>
    <w:qFormat/>
    <w:uiPriority w:val="0"/>
    <w:pPr>
      <w:spacing w:line="360" w:lineRule="auto"/>
    </w:pPr>
    <w:rPr>
      <w:rFonts w:ascii="Times New Roman" w:hAnsi="Times New Roman" w:eastAsia="宋体" w:cs="宋体"/>
      <w:b/>
      <w:kern w:val="2"/>
      <w:sz w:val="24"/>
      <w:szCs w:val="22"/>
      <w:lang w:val="en-US" w:eastAsia="zh-CN" w:bidi="ar-SA"/>
    </w:rPr>
  </w:style>
  <w:style w:type="paragraph" w:customStyle="1" w:styleId="69">
    <w:name w:val="TOC 标题1"/>
    <w:basedOn w:val="3"/>
    <w:next w:val="1"/>
    <w:autoRedefine/>
    <w:qFormat/>
    <w:uiPriority w:val="99"/>
    <w:pPr>
      <w:adjustRightInd/>
      <w:snapToGrid/>
      <w:spacing w:before="240" w:line="259" w:lineRule="auto"/>
      <w:jc w:val="left"/>
      <w:outlineLvl w:val="9"/>
    </w:pPr>
    <w:rPr>
      <w:rFonts w:ascii="Cambria" w:hAnsi="Cambria" w:eastAsia="宋体"/>
      <w:b w:val="0"/>
      <w:bCs w:val="0"/>
      <w:color w:val="365F91"/>
      <w:kern w:val="0"/>
      <w:sz w:val="32"/>
      <w:szCs w:val="32"/>
    </w:rPr>
  </w:style>
  <w:style w:type="paragraph" w:customStyle="1" w:styleId="70">
    <w:name w:val="样式 正文四号 + 首行缩进:  1.92 字符1"/>
    <w:basedOn w:val="1"/>
    <w:autoRedefine/>
    <w:qFormat/>
    <w:uiPriority w:val="99"/>
    <w:pPr>
      <w:widowControl w:val="0"/>
      <w:adjustRightInd/>
      <w:snapToGrid/>
      <w:spacing w:line="520" w:lineRule="exact"/>
      <w:ind w:firstLine="192" w:firstLineChars="192"/>
    </w:pPr>
    <w:rPr>
      <w:rFonts w:cs="宋体"/>
      <w:kern w:val="2"/>
      <w:sz w:val="28"/>
      <w:szCs w:val="20"/>
    </w:rPr>
  </w:style>
  <w:style w:type="character" w:customStyle="1" w:styleId="71">
    <w:name w:val="正文文本 Char1"/>
    <w:autoRedefine/>
    <w:semiHidden/>
    <w:qFormat/>
    <w:uiPriority w:val="99"/>
    <w:rPr>
      <w:rFonts w:ascii="Tahoma" w:hAnsi="Tahoma"/>
    </w:rPr>
  </w:style>
  <w:style w:type="paragraph" w:customStyle="1" w:styleId="72">
    <w:name w:val="表格内容"/>
    <w:basedOn w:val="61"/>
    <w:next w:val="1"/>
    <w:autoRedefine/>
    <w:qFormat/>
    <w:uiPriority w:val="99"/>
    <w:pPr>
      <w:widowControl w:val="0"/>
      <w:adjustRightInd/>
      <w:snapToGrid/>
      <w:spacing w:line="240" w:lineRule="auto"/>
      <w:ind w:firstLine="0" w:firstLineChars="0"/>
      <w:jc w:val="center"/>
      <w:textAlignment w:val="center"/>
    </w:pPr>
    <w:rPr>
      <w:kern w:val="2"/>
      <w:sz w:val="21"/>
      <w:szCs w:val="21"/>
      <w:lang w:val="zh-CN"/>
    </w:rPr>
  </w:style>
  <w:style w:type="character" w:customStyle="1" w:styleId="73">
    <w:name w:val="font11"/>
    <w:autoRedefine/>
    <w:qFormat/>
    <w:uiPriority w:val="99"/>
    <w:rPr>
      <w:rFonts w:ascii="Times New Roman" w:hAnsi="Times New Roman" w:cs="Times New Roman"/>
      <w:color w:val="000000"/>
      <w:sz w:val="21"/>
      <w:szCs w:val="21"/>
      <w:u w:val="none"/>
    </w:rPr>
  </w:style>
  <w:style w:type="character" w:customStyle="1" w:styleId="74">
    <w:name w:val="font21"/>
    <w:basedOn w:val="29"/>
    <w:autoRedefine/>
    <w:qFormat/>
    <w:uiPriority w:val="99"/>
    <w:rPr>
      <w:rFonts w:ascii="宋体" w:hAnsi="宋体" w:eastAsia="宋体" w:cs="Times New Roman"/>
      <w:color w:val="000000"/>
      <w:sz w:val="21"/>
      <w:szCs w:val="21"/>
      <w:u w:val="none"/>
    </w:rPr>
  </w:style>
  <w:style w:type="paragraph" w:customStyle="1" w:styleId="75">
    <w:name w:val="表格文字居中"/>
    <w:basedOn w:val="1"/>
    <w:link w:val="76"/>
    <w:autoRedefine/>
    <w:qFormat/>
    <w:uiPriority w:val="99"/>
    <w:pPr>
      <w:widowControl w:val="0"/>
      <w:autoSpaceDE w:val="0"/>
      <w:autoSpaceDN w:val="0"/>
      <w:snapToGrid/>
      <w:spacing w:line="240" w:lineRule="auto"/>
      <w:ind w:firstLine="0" w:firstLineChars="0"/>
      <w:jc w:val="center"/>
      <w:textAlignment w:val="bottom"/>
    </w:pPr>
    <w:rPr>
      <w:sz w:val="21"/>
      <w:szCs w:val="20"/>
    </w:rPr>
  </w:style>
  <w:style w:type="character" w:customStyle="1" w:styleId="76">
    <w:name w:val="表格文字居中 Char"/>
    <w:link w:val="75"/>
    <w:autoRedefine/>
    <w:qFormat/>
    <w:locked/>
    <w:uiPriority w:val="99"/>
    <w:rPr>
      <w:rFonts w:ascii="Times New Roman" w:hAnsi="Times New Roman"/>
      <w:sz w:val="21"/>
    </w:rPr>
  </w:style>
  <w:style w:type="character" w:customStyle="1" w:styleId="77">
    <w:name w:val="正文00 Char"/>
    <w:link w:val="78"/>
    <w:autoRedefine/>
    <w:qFormat/>
    <w:locked/>
    <w:uiPriority w:val="99"/>
    <w:rPr>
      <w:color w:val="0000FF"/>
      <w:kern w:val="2"/>
      <w:sz w:val="24"/>
      <w:lang w:val="en-US" w:eastAsia="zh-CN"/>
    </w:rPr>
  </w:style>
  <w:style w:type="paragraph" w:customStyle="1" w:styleId="78">
    <w:name w:val="正文00"/>
    <w:link w:val="77"/>
    <w:autoRedefine/>
    <w:qFormat/>
    <w:uiPriority w:val="99"/>
    <w:pPr>
      <w:overflowPunct w:val="0"/>
      <w:topLinePunct/>
      <w:adjustRightInd w:val="0"/>
      <w:snapToGrid w:val="0"/>
      <w:spacing w:line="460" w:lineRule="exact"/>
      <w:ind w:firstLine="200" w:firstLineChars="200"/>
      <w:jc w:val="both"/>
    </w:pPr>
    <w:rPr>
      <w:rFonts w:ascii="Calibri" w:hAnsi="Calibri" w:eastAsia="宋体" w:cs="Times New Roman"/>
      <w:color w:val="0000FF"/>
      <w:kern w:val="2"/>
      <w:sz w:val="24"/>
      <w:szCs w:val="24"/>
      <w:lang w:val="en-US" w:eastAsia="zh-CN" w:bidi="ar-SA"/>
    </w:rPr>
  </w:style>
  <w:style w:type="character" w:customStyle="1" w:styleId="79">
    <w:name w:val="批注文字 Char"/>
    <w:autoRedefine/>
    <w:qFormat/>
    <w:uiPriority w:val="99"/>
    <w:rPr>
      <w:kern w:val="2"/>
      <w:sz w:val="24"/>
    </w:rPr>
  </w:style>
  <w:style w:type="paragraph" w:customStyle="1" w:styleId="80">
    <w:name w:val="p0"/>
    <w:basedOn w:val="1"/>
    <w:autoRedefine/>
    <w:qFormat/>
    <w:uiPriority w:val="99"/>
    <w:pPr>
      <w:adjustRightInd/>
      <w:snapToGrid/>
      <w:spacing w:line="240" w:lineRule="auto"/>
      <w:ind w:firstLine="0" w:firstLineChars="0"/>
    </w:pPr>
    <w:rPr>
      <w:kern w:val="2"/>
      <w:sz w:val="21"/>
      <w:szCs w:val="20"/>
    </w:rPr>
  </w:style>
  <w:style w:type="character" w:customStyle="1" w:styleId="81">
    <w:name w:val="unnamed31"/>
    <w:autoRedefine/>
    <w:qFormat/>
    <w:uiPriority w:val="99"/>
    <w:rPr>
      <w:rFonts w:cs="Times New Roman"/>
    </w:rPr>
  </w:style>
  <w:style w:type="character" w:customStyle="1" w:styleId="82">
    <w:name w:val="单晶硅项目正文 Char"/>
    <w:link w:val="83"/>
    <w:autoRedefine/>
    <w:qFormat/>
    <w:locked/>
    <w:uiPriority w:val="99"/>
    <w:rPr>
      <w:rFonts w:ascii="宋体" w:eastAsia="宋体" w:cs="Times New Roman"/>
      <w:color w:val="000000"/>
      <w:sz w:val="24"/>
      <w:szCs w:val="24"/>
    </w:rPr>
  </w:style>
  <w:style w:type="paragraph" w:customStyle="1" w:styleId="83">
    <w:name w:val="单晶硅项目正文"/>
    <w:basedOn w:val="1"/>
    <w:link w:val="82"/>
    <w:autoRedefine/>
    <w:qFormat/>
    <w:uiPriority w:val="99"/>
    <w:pPr>
      <w:widowControl w:val="0"/>
      <w:adjustRightInd/>
      <w:snapToGrid/>
      <w:spacing w:line="560" w:lineRule="exact"/>
      <w:ind w:firstLine="480"/>
    </w:pPr>
    <w:rPr>
      <w:rFonts w:ascii="宋体" w:hAnsi="宋体"/>
      <w:color w:val="000000"/>
      <w:szCs w:val="24"/>
    </w:rPr>
  </w:style>
  <w:style w:type="paragraph" w:customStyle="1" w:styleId="84">
    <w:name w:val="Table Paragraph"/>
    <w:basedOn w:val="1"/>
    <w:autoRedefine/>
    <w:qFormat/>
    <w:uiPriority w:val="99"/>
    <w:pPr>
      <w:widowControl w:val="0"/>
      <w:adjustRightInd/>
      <w:snapToGrid/>
      <w:spacing w:line="240" w:lineRule="auto"/>
      <w:ind w:firstLine="0" w:firstLineChars="0"/>
      <w:jc w:val="left"/>
    </w:pPr>
    <w:rPr>
      <w:rFonts w:ascii="Calibri" w:hAnsi="Calibri"/>
      <w:sz w:val="22"/>
      <w:lang w:eastAsia="en-US"/>
    </w:rPr>
  </w:style>
  <w:style w:type="character" w:customStyle="1" w:styleId="85">
    <w:name w:val="正文(康健城) Char"/>
    <w:link w:val="86"/>
    <w:autoRedefine/>
    <w:qFormat/>
    <w:locked/>
    <w:uiPriority w:val="99"/>
    <w:rPr>
      <w:sz w:val="24"/>
    </w:rPr>
  </w:style>
  <w:style w:type="paragraph" w:customStyle="1" w:styleId="86">
    <w:name w:val="正文(康健城)"/>
    <w:basedOn w:val="1"/>
    <w:link w:val="85"/>
    <w:autoRedefine/>
    <w:qFormat/>
    <w:uiPriority w:val="99"/>
    <w:pPr>
      <w:widowControl w:val="0"/>
      <w:ind w:firstLine="480"/>
      <w:textAlignment w:val="baseline"/>
    </w:pPr>
    <w:rPr>
      <w:rFonts w:ascii="Calibri" w:hAnsi="Calibri"/>
      <w:szCs w:val="20"/>
    </w:rPr>
  </w:style>
  <w:style w:type="paragraph" w:customStyle="1" w:styleId="87">
    <w:name w:val="表格1"/>
    <w:basedOn w:val="1"/>
    <w:autoRedefine/>
    <w:qFormat/>
    <w:uiPriority w:val="99"/>
    <w:pPr>
      <w:widowControl w:val="0"/>
      <w:snapToGrid/>
      <w:spacing w:line="20" w:lineRule="atLeast"/>
      <w:ind w:firstLine="0" w:firstLineChars="0"/>
      <w:jc w:val="center"/>
      <w:textAlignment w:val="center"/>
    </w:pPr>
    <w:rPr>
      <w:sz w:val="21"/>
      <w:szCs w:val="20"/>
    </w:rPr>
  </w:style>
  <w:style w:type="character" w:customStyle="1" w:styleId="88">
    <w:name w:val="p141"/>
    <w:autoRedefine/>
    <w:qFormat/>
    <w:uiPriority w:val="99"/>
    <w:rPr>
      <w:rFonts w:ascii="宋体" w:hAnsi="宋体" w:eastAsia="宋体"/>
      <w:sz w:val="21"/>
    </w:rPr>
  </w:style>
  <w:style w:type="character" w:styleId="89">
    <w:name w:val="Placeholder Text"/>
    <w:autoRedefine/>
    <w:qFormat/>
    <w:uiPriority w:val="99"/>
    <w:rPr>
      <w:rFonts w:cs="Times New Roman"/>
      <w:color w:val="808080"/>
    </w:rPr>
  </w:style>
  <w:style w:type="character" w:customStyle="1" w:styleId="90">
    <w:name w:val="showhidemsg1"/>
    <w:autoRedefine/>
    <w:qFormat/>
    <w:uiPriority w:val="99"/>
    <w:rPr>
      <w:rFonts w:cs="Times New Roman"/>
    </w:rPr>
  </w:style>
  <w:style w:type="character" w:customStyle="1" w:styleId="91">
    <w:name w:val="纯文本 字符"/>
    <w:link w:val="15"/>
    <w:autoRedefine/>
    <w:qFormat/>
    <w:uiPriority w:val="0"/>
    <w:rPr>
      <w:rFonts w:ascii="宋体" w:hAnsi="Courier New" w:cs="Courier New"/>
      <w:kern w:val="2"/>
      <w:sz w:val="21"/>
      <w:szCs w:val="21"/>
    </w:rPr>
  </w:style>
  <w:style w:type="character" w:customStyle="1" w:styleId="92">
    <w:name w:val="纯文本 Char1"/>
    <w:autoRedefine/>
    <w:semiHidden/>
    <w:qFormat/>
    <w:uiPriority w:val="99"/>
    <w:rPr>
      <w:rFonts w:ascii="宋体" w:hAnsi="Courier New" w:cs="Courier New"/>
      <w:sz w:val="21"/>
      <w:szCs w:val="21"/>
    </w:rPr>
  </w:style>
  <w:style w:type="paragraph" w:customStyle="1" w:styleId="93">
    <w:name w:val="列出段落1"/>
    <w:basedOn w:val="1"/>
    <w:autoRedefine/>
    <w:qFormat/>
    <w:uiPriority w:val="34"/>
    <w:pPr>
      <w:widowControl w:val="0"/>
      <w:adjustRightInd/>
      <w:snapToGrid/>
      <w:spacing w:line="240" w:lineRule="auto"/>
      <w:ind w:firstLine="420"/>
    </w:pPr>
    <w:rPr>
      <w:kern w:val="2"/>
      <w:sz w:val="21"/>
      <w:szCs w:val="24"/>
    </w:rPr>
  </w:style>
  <w:style w:type="paragraph" w:customStyle="1" w:styleId="94">
    <w:name w:val="表头"/>
    <w:basedOn w:val="1"/>
    <w:next w:val="1"/>
    <w:autoRedefine/>
    <w:unhideWhenUsed/>
    <w:qFormat/>
    <w:uiPriority w:val="0"/>
    <w:pPr>
      <w:spacing w:beforeLines="0" w:afterLines="0" w:line="360" w:lineRule="auto"/>
      <w:ind w:firstLine="1044" w:firstLineChars="200"/>
      <w:jc w:val="center"/>
    </w:pPr>
    <w:rPr>
      <w:rFonts w:hint="default"/>
      <w:b/>
      <w:sz w:val="24"/>
      <w:szCs w:val="24"/>
    </w:rPr>
  </w:style>
  <w:style w:type="character" w:customStyle="1" w:styleId="95">
    <w:name w:val="10"/>
    <w:basedOn w:val="29"/>
    <w:autoRedefine/>
    <w:qFormat/>
    <w:uiPriority w:val="0"/>
    <w:rPr>
      <w:rFonts w:hint="default" w:ascii="Calibri" w:hAnsi="Calibri" w:cs="Calibri"/>
    </w:rPr>
  </w:style>
  <w:style w:type="character" w:customStyle="1" w:styleId="96">
    <w:name w:val="15"/>
    <w:basedOn w:val="29"/>
    <w:autoRedefine/>
    <w:qFormat/>
    <w:uiPriority w:val="0"/>
    <w:rPr>
      <w:rFonts w:hint="default" w:ascii="Calibri" w:hAnsi="Calibri" w:cs="Calibri"/>
    </w:rPr>
  </w:style>
  <w:style w:type="paragraph" w:customStyle="1" w:styleId="97">
    <w:name w:val="-正文"/>
    <w:basedOn w:val="1"/>
    <w:autoRedefine/>
    <w:qFormat/>
    <w:uiPriority w:val="0"/>
    <w:pPr>
      <w:spacing w:line="480" w:lineRule="exact"/>
      <w:ind w:firstLine="480" w:firstLineChars="200"/>
    </w:pPr>
    <w:rPr>
      <w:rFonts w:cs="宋体"/>
      <w:sz w:val="24"/>
      <w:szCs w:val="20"/>
    </w:rPr>
  </w:style>
  <w:style w:type="paragraph" w:customStyle="1" w:styleId="98">
    <w:name w:val="图表格式"/>
    <w:basedOn w:val="1"/>
    <w:autoRedefine/>
    <w:qFormat/>
    <w:uiPriority w:val="0"/>
    <w:pPr>
      <w:adjustRightInd w:val="0"/>
      <w:snapToGrid w:val="0"/>
      <w:spacing w:line="240" w:lineRule="auto"/>
      <w:ind w:firstLine="0" w:firstLineChars="0"/>
      <w:jc w:val="center"/>
    </w:pPr>
    <w:rPr>
      <w:rFonts w:hint="eastAsia" w:ascii="Times New Roman" w:hAnsi="Times New Roman" w:cs="宋体"/>
      <w:b/>
      <w:bCs/>
      <w:sz w:val="21"/>
      <w:szCs w:val="21"/>
    </w:rPr>
  </w:style>
  <w:style w:type="paragraph" w:customStyle="1" w:styleId="99">
    <w:name w:val="Table Text"/>
    <w:basedOn w:val="1"/>
    <w:autoRedefine/>
    <w:semiHidden/>
    <w:qFormat/>
    <w:uiPriority w:val="0"/>
    <w:rPr>
      <w:rFonts w:ascii="宋体" w:hAnsi="宋体" w:eastAsia="宋体" w:cs="宋体"/>
      <w:sz w:val="20"/>
      <w:szCs w:val="20"/>
      <w:lang w:val="en-US" w:eastAsia="en-US" w:bidi="ar-SA"/>
    </w:rPr>
  </w:style>
  <w:style w:type="table" w:customStyle="1" w:styleId="100">
    <w:name w:val="Table Normal"/>
    <w:autoRedefine/>
    <w:semiHidden/>
    <w:unhideWhenUsed/>
    <w:qFormat/>
    <w:uiPriority w:val="0"/>
    <w:tblPr>
      <w:tblCellMar>
        <w:top w:w="0" w:type="dxa"/>
        <w:left w:w="0" w:type="dxa"/>
        <w:bottom w:w="0" w:type="dxa"/>
        <w:right w:w="0" w:type="dxa"/>
      </w:tblCellMar>
    </w:tblPr>
  </w:style>
  <w:style w:type="paragraph" w:customStyle="1" w:styleId="101">
    <w:name w:val="书正文"/>
    <w:basedOn w:val="1"/>
    <w:autoRedefine/>
    <w:qFormat/>
    <w:uiPriority w:val="0"/>
    <w:pPr>
      <w:spacing w:line="360" w:lineRule="auto"/>
      <w:ind w:firstLine="480" w:firstLineChars="200"/>
    </w:pPr>
    <w:rPr>
      <w:color w:val="000000" w:themeColor="text1"/>
      <w:shd w:val="clear" w:color="auto" w:fill="FFFFFF"/>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254"/>
    <customShpInfo spid="_x0000_s2255"/>
    <customShpInfo spid="_x0000_s2257"/>
    <customShpInfo spid="_x0000_s2258"/>
    <customShpInfo spid="_x0000_s2259"/>
    <customShpInfo spid="_x0000_s2260"/>
    <customShpInfo spid="_x0000_s2262"/>
    <customShpInfo spid="_x0000_s2263"/>
    <customShpInfo spid="_x0000_s2264"/>
    <customShpInfo spid="_x0000_s2265"/>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253"/>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68"/>
    <customShpInfo spid="_x0000_s2269"/>
    <customShpInfo spid="_x0000_s2270"/>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23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671BE3-9E65-48B9-BEFB-CD8EFDE5EA1B}">
  <ds:schemaRefs/>
</ds:datastoreItem>
</file>

<file path=docProps/app.xml><?xml version="1.0" encoding="utf-8"?>
<Properties xmlns="http://schemas.openxmlformats.org/officeDocument/2006/extended-properties" xmlns:vt="http://schemas.openxmlformats.org/officeDocument/2006/docPropsVTypes">
  <Template>Normal</Template>
  <Company>mycomputer</Company>
  <Pages>52</Pages>
  <Words>27466</Words>
  <Characters>33908</Characters>
  <Lines>1</Lines>
  <Paragraphs>1</Paragraphs>
  <TotalTime>46</TotalTime>
  <ScaleCrop>false</ScaleCrop>
  <LinksUpToDate>false</LinksUpToDate>
  <CharactersWithSpaces>34214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2020-10-15T04:30:00Z</dcterms:created>
  <dc:creator>lenovo</dc:creator>
  <cp:lastModifiedBy>自在</cp:lastModifiedBy>
  <cp:lastPrinted>2023-07-17T01:08:00Z</cp:lastPrinted>
  <dcterms:modified xsi:type="dcterms:W3CDTF">2024-09-04T08:18:35Z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_DocHome">
    <vt:i4>-1517488606</vt:i4>
  </property>
  <property fmtid="{D5CDD505-2E9C-101B-9397-08002B2CF9AE}" pid="4" name="ICV">
    <vt:lpwstr>58FE48CD1A1D4F2A86837D60355ED715</vt:lpwstr>
  </property>
</Properties>
</file>