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080123">
      <w:pPr>
        <w:widowControl/>
        <w:spacing w:line="450" w:lineRule="atLeast"/>
        <w:jc w:val="center"/>
        <w:rPr>
          <w:rFonts w:hint="eastAsia" w:ascii="t" w:hAnsi="t"/>
          <w:bCs/>
          <w:color w:val="auto"/>
          <w:sz w:val="28"/>
          <w:szCs w:val="24"/>
        </w:rPr>
      </w:pPr>
      <w:bookmarkStart w:id="0" w:name="_GoBack"/>
      <w:bookmarkEnd w:id="0"/>
      <w:r>
        <w:rPr>
          <w:rFonts w:hint="eastAsia" w:ascii="t" w:hAnsi="t"/>
          <w:bCs/>
          <w:color w:val="auto"/>
          <w:sz w:val="28"/>
          <w:szCs w:val="24"/>
        </w:rPr>
        <w:t>四川辑喆新能源材料总部及中试项目</w:t>
      </w:r>
    </w:p>
    <w:p w14:paraId="1CCDECB6">
      <w:pPr>
        <w:widowControl/>
        <w:spacing w:line="450" w:lineRule="atLeast"/>
        <w:jc w:val="center"/>
        <w:rPr>
          <w:rFonts w:hint="eastAsia" w:ascii="t" w:hAnsi="t"/>
          <w:color w:val="auto"/>
          <w:kern w:val="0"/>
          <w:sz w:val="24"/>
          <w:szCs w:val="24"/>
        </w:rPr>
      </w:pPr>
      <w:r>
        <w:rPr>
          <w:rFonts w:hint="eastAsia" w:ascii="t" w:hAnsi="t"/>
          <w:color w:val="auto"/>
          <w:sz w:val="28"/>
          <w:szCs w:val="24"/>
        </w:rPr>
        <w:t>环境影响评价报告书征求意见稿</w:t>
      </w:r>
    </w:p>
    <w:p w14:paraId="55B7F66A">
      <w:pPr>
        <w:widowControl/>
        <w:spacing w:line="432" w:lineRule="auto"/>
        <w:ind w:firstLine="480" w:firstLineChars="200"/>
        <w:jc w:val="left"/>
        <w:rPr>
          <w:rFonts w:hint="eastAsia" w:ascii="t" w:hAnsi="t"/>
          <w:color w:val="auto"/>
          <w:kern w:val="0"/>
          <w:sz w:val="24"/>
          <w:szCs w:val="24"/>
        </w:rPr>
      </w:pPr>
      <w:r>
        <w:rPr>
          <w:rFonts w:hint="eastAsia" w:ascii="t" w:hAnsi="t"/>
          <w:bCs/>
          <w:color w:val="auto"/>
          <w:sz w:val="24"/>
          <w:szCs w:val="24"/>
        </w:rPr>
        <w:t>四川辑喆新能源有限公司</w:t>
      </w:r>
      <w:r>
        <w:rPr>
          <w:rFonts w:ascii="t" w:hAnsi="宋体"/>
          <w:color w:val="auto"/>
          <w:kern w:val="0"/>
          <w:sz w:val="24"/>
          <w:szCs w:val="24"/>
        </w:rPr>
        <w:t>委托</w:t>
      </w:r>
      <w:r>
        <w:rPr>
          <w:rFonts w:hint="eastAsia" w:ascii="t" w:hAnsi="宋体"/>
          <w:color w:val="auto"/>
          <w:kern w:val="0"/>
          <w:sz w:val="24"/>
          <w:szCs w:val="24"/>
          <w:lang w:val="en-US" w:eastAsia="zh-CN"/>
        </w:rPr>
        <w:t>眉山宏德环境技术有限公司</w:t>
      </w:r>
      <w:r>
        <w:rPr>
          <w:rFonts w:ascii="t" w:hAnsi="宋体"/>
          <w:color w:val="auto"/>
          <w:kern w:val="0"/>
          <w:sz w:val="24"/>
          <w:szCs w:val="24"/>
        </w:rPr>
        <w:t>承担《</w:t>
      </w:r>
      <w:r>
        <w:rPr>
          <w:rFonts w:hint="eastAsia" w:ascii="Times New Roman" w:hAnsi="Times New Roman" w:cs="Times New Roman"/>
          <w:color w:val="auto"/>
          <w:kern w:val="0"/>
          <w:sz w:val="24"/>
        </w:rPr>
        <w:t>四川辑喆新能源材料总部及中试项目</w:t>
      </w:r>
      <w:r>
        <w:rPr>
          <w:rFonts w:ascii="t" w:hAnsi="宋体"/>
          <w:color w:val="auto"/>
          <w:kern w:val="0"/>
          <w:sz w:val="24"/>
          <w:szCs w:val="24"/>
        </w:rPr>
        <w:t>》的环境影响评价工作，根据《环境影响评价公众参与暂行办法》（</w:t>
      </w:r>
      <w:r>
        <w:rPr>
          <w:rFonts w:hint="eastAsia" w:ascii="t" w:hAnsi="宋体"/>
          <w:color w:val="auto"/>
          <w:kern w:val="0"/>
          <w:sz w:val="24"/>
          <w:szCs w:val="24"/>
        </w:rPr>
        <w:t>环保部令第</w:t>
      </w:r>
      <w:r>
        <w:rPr>
          <w:rFonts w:hint="eastAsia" w:ascii="t" w:hAnsi="t"/>
          <w:color w:val="auto"/>
          <w:kern w:val="0"/>
          <w:sz w:val="24"/>
          <w:szCs w:val="24"/>
        </w:rPr>
        <w:t>4</w:t>
      </w:r>
      <w:r>
        <w:rPr>
          <w:rFonts w:hint="eastAsia" w:ascii="t" w:hAnsi="宋体"/>
          <w:color w:val="auto"/>
          <w:kern w:val="0"/>
          <w:sz w:val="24"/>
          <w:szCs w:val="24"/>
        </w:rPr>
        <w:t>号</w:t>
      </w:r>
      <w:r>
        <w:rPr>
          <w:rFonts w:ascii="t" w:hAnsi="宋体"/>
          <w:color w:val="auto"/>
          <w:kern w:val="0"/>
          <w:sz w:val="24"/>
          <w:szCs w:val="24"/>
        </w:rPr>
        <w:t>）规定，现将环境影响评价工作的相关信息公示如下：</w:t>
      </w:r>
      <w:r>
        <w:rPr>
          <w:rFonts w:ascii="t" w:hAnsi="t"/>
          <w:color w:val="auto"/>
          <w:kern w:val="0"/>
          <w:sz w:val="24"/>
          <w:szCs w:val="24"/>
        </w:rPr>
        <w:t xml:space="preserve"> </w:t>
      </w:r>
    </w:p>
    <w:p w14:paraId="3A66F442">
      <w:pPr>
        <w:widowControl/>
        <w:spacing w:line="432" w:lineRule="auto"/>
        <w:jc w:val="left"/>
        <w:outlineLvl w:val="0"/>
        <w:rPr>
          <w:rFonts w:hint="eastAsia" w:ascii="t" w:hAnsi="t"/>
          <w:b/>
          <w:color w:val="auto"/>
          <w:kern w:val="0"/>
          <w:sz w:val="24"/>
          <w:szCs w:val="24"/>
        </w:rPr>
      </w:pPr>
      <w:r>
        <w:rPr>
          <w:rFonts w:ascii="t" w:hAnsi="宋体"/>
          <w:b/>
          <w:color w:val="auto"/>
          <w:kern w:val="0"/>
          <w:sz w:val="24"/>
          <w:szCs w:val="24"/>
        </w:rPr>
        <w:t>一、建设项目概况</w:t>
      </w:r>
      <w:r>
        <w:rPr>
          <w:rFonts w:ascii="t" w:hAnsi="t"/>
          <w:b/>
          <w:color w:val="auto"/>
          <w:kern w:val="0"/>
          <w:sz w:val="24"/>
          <w:szCs w:val="24"/>
        </w:rPr>
        <w:t xml:space="preserve"> </w:t>
      </w:r>
    </w:p>
    <w:p w14:paraId="6A87E3D3">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项目名称：</w:t>
      </w:r>
      <w:r>
        <w:rPr>
          <w:rFonts w:hint="eastAsia" w:ascii="Times New Roman" w:hAnsi="Times New Roman" w:cs="Times New Roman"/>
          <w:bCs/>
          <w:color w:val="auto"/>
          <w:sz w:val="24"/>
        </w:rPr>
        <w:t>四川辑喆新能源材料总部及中试项目</w:t>
      </w:r>
    </w:p>
    <w:p w14:paraId="184B63C9">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建设单位：</w:t>
      </w:r>
      <w:r>
        <w:rPr>
          <w:rFonts w:hint="eastAsia" w:ascii="t" w:hAnsi="t"/>
          <w:bCs/>
          <w:color w:val="auto"/>
          <w:sz w:val="24"/>
          <w:szCs w:val="24"/>
        </w:rPr>
        <w:t>四川辑喆新能源有限公司</w:t>
      </w:r>
    </w:p>
    <w:p w14:paraId="708AEC50">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建设地点</w:t>
      </w:r>
      <w:r>
        <w:rPr>
          <w:rFonts w:hint="eastAsia" w:ascii="t" w:hAnsi="宋体"/>
          <w:color w:val="auto"/>
          <w:kern w:val="0"/>
          <w:sz w:val="24"/>
          <w:szCs w:val="24"/>
          <w:lang w:eastAsia="zh-CN"/>
        </w:rPr>
        <w:t>：</w:t>
      </w:r>
      <w:r>
        <w:rPr>
          <w:rFonts w:hint="eastAsia" w:ascii="Times New Roman" w:hAnsi="Times New Roman" w:cs="Times New Roman"/>
          <w:bCs/>
          <w:color w:val="auto"/>
          <w:sz w:val="24"/>
          <w:highlight w:val="none"/>
        </w:rPr>
        <w:t>四川省眉山市彭山区经济开发区成眉石化园区</w:t>
      </w:r>
    </w:p>
    <w:p w14:paraId="7E2EE47E">
      <w:pPr>
        <w:widowControl/>
        <w:spacing w:line="432" w:lineRule="auto"/>
        <w:jc w:val="left"/>
        <w:rPr>
          <w:rFonts w:hint="eastAsia" w:ascii="t" w:hAnsi="t" w:eastAsia="宋体"/>
          <w:color w:val="auto"/>
          <w:kern w:val="0"/>
          <w:sz w:val="24"/>
          <w:szCs w:val="24"/>
          <w:lang w:eastAsia="zh-CN"/>
        </w:rPr>
      </w:pPr>
      <w:r>
        <w:rPr>
          <w:rFonts w:hint="eastAsia" w:ascii="t" w:hAnsi="宋体"/>
          <w:color w:val="auto"/>
          <w:kern w:val="0"/>
          <w:sz w:val="24"/>
          <w:szCs w:val="24"/>
        </w:rPr>
        <w:t>建设性质：</w:t>
      </w:r>
      <w:r>
        <w:rPr>
          <w:rFonts w:hint="eastAsia" w:ascii="t" w:hAnsi="宋体"/>
          <w:color w:val="auto"/>
          <w:kern w:val="0"/>
          <w:sz w:val="24"/>
          <w:szCs w:val="24"/>
          <w:lang w:val="en-US" w:eastAsia="zh-CN"/>
        </w:rPr>
        <w:t>新建</w:t>
      </w:r>
    </w:p>
    <w:p w14:paraId="5569E1E9">
      <w:pPr>
        <w:widowControl/>
        <w:spacing w:line="432" w:lineRule="auto"/>
        <w:jc w:val="left"/>
        <w:rPr>
          <w:rFonts w:hint="eastAsia" w:ascii="t" w:hAnsi="t"/>
          <w:color w:val="auto"/>
          <w:kern w:val="0"/>
          <w:sz w:val="24"/>
          <w:szCs w:val="24"/>
        </w:rPr>
      </w:pPr>
      <w:r>
        <w:rPr>
          <w:rFonts w:hint="eastAsia" w:ascii="t" w:hAnsi="宋体"/>
          <w:color w:val="auto"/>
          <w:kern w:val="0"/>
          <w:sz w:val="24"/>
          <w:szCs w:val="24"/>
        </w:rPr>
        <w:t>审批部门：四川省</w:t>
      </w:r>
      <w:r>
        <w:rPr>
          <w:rFonts w:hint="eastAsia" w:ascii="t" w:hAnsi="宋体"/>
          <w:color w:val="auto"/>
          <w:kern w:val="0"/>
          <w:sz w:val="24"/>
          <w:szCs w:val="24"/>
          <w:lang w:val="en-US" w:eastAsia="zh-CN"/>
        </w:rPr>
        <w:t>眉山</w:t>
      </w:r>
      <w:r>
        <w:rPr>
          <w:rFonts w:hint="eastAsia" w:ascii="t" w:hAnsi="宋体"/>
          <w:color w:val="auto"/>
          <w:kern w:val="0"/>
          <w:sz w:val="24"/>
          <w:szCs w:val="24"/>
        </w:rPr>
        <w:t>市生态环境局</w:t>
      </w:r>
    </w:p>
    <w:p w14:paraId="65BA13DC">
      <w:pPr>
        <w:widowControl/>
        <w:spacing w:line="432" w:lineRule="auto"/>
        <w:jc w:val="left"/>
        <w:rPr>
          <w:rFonts w:hint="eastAsia" w:ascii="t" w:hAnsi="t" w:eastAsia="宋体"/>
          <w:color w:val="FF0000"/>
          <w:kern w:val="0"/>
          <w:sz w:val="24"/>
          <w:szCs w:val="24"/>
          <w:lang w:eastAsia="zh-CN"/>
        </w:rPr>
      </w:pPr>
      <w:r>
        <w:rPr>
          <w:rFonts w:hint="eastAsia" w:ascii="t" w:hAnsi="宋体"/>
          <w:color w:val="auto"/>
          <w:kern w:val="0"/>
          <w:sz w:val="24"/>
          <w:szCs w:val="24"/>
        </w:rPr>
        <w:t>总投资：项目总投资为</w:t>
      </w:r>
      <w:r>
        <w:rPr>
          <w:rFonts w:hint="eastAsia" w:ascii="t" w:hAnsi="t"/>
          <w:color w:val="auto"/>
          <w:kern w:val="0"/>
          <w:sz w:val="24"/>
          <w:szCs w:val="24"/>
          <w:lang w:val="en-US" w:eastAsia="zh-CN"/>
        </w:rPr>
        <w:t>6000</w:t>
      </w:r>
      <w:r>
        <w:rPr>
          <w:rFonts w:hint="eastAsia" w:ascii="t" w:hAnsi="宋体"/>
          <w:color w:val="auto"/>
          <w:kern w:val="0"/>
          <w:sz w:val="24"/>
          <w:szCs w:val="24"/>
        </w:rPr>
        <w:t>万元</w:t>
      </w:r>
      <w:r>
        <w:rPr>
          <w:rFonts w:hint="eastAsia" w:ascii="t" w:hAnsi="宋体"/>
          <w:color w:val="auto"/>
          <w:kern w:val="0"/>
          <w:sz w:val="24"/>
          <w:szCs w:val="24"/>
          <w:lang w:eastAsia="zh-CN"/>
        </w:rPr>
        <w:t>。</w:t>
      </w:r>
    </w:p>
    <w:p w14:paraId="1A959CF1">
      <w:pPr>
        <w:widowControl/>
        <w:spacing w:line="432" w:lineRule="auto"/>
        <w:jc w:val="left"/>
        <w:rPr>
          <w:rFonts w:hint="eastAsia" w:ascii="t" w:hAnsi="宋体" w:eastAsia="宋体"/>
          <w:color w:val="auto"/>
          <w:kern w:val="0"/>
          <w:sz w:val="24"/>
          <w:szCs w:val="24"/>
          <w:lang w:val="en-US" w:eastAsia="zh-CN"/>
        </w:rPr>
      </w:pPr>
      <w:r>
        <w:rPr>
          <w:rFonts w:hint="eastAsia" w:ascii="t" w:hAnsi="宋体"/>
          <w:color w:val="auto"/>
          <w:kern w:val="0"/>
          <w:sz w:val="24"/>
          <w:szCs w:val="24"/>
        </w:rPr>
        <w:t>建设内容及产品规模：</w:t>
      </w:r>
      <w:r>
        <w:rPr>
          <w:rFonts w:hint="eastAsia" w:ascii="Times New Roman" w:hAnsi="Times New Roman" w:cs="Times New Roman"/>
          <w:bCs/>
          <w:color w:val="auto"/>
          <w:sz w:val="24"/>
        </w:rPr>
        <w:t>本项目不新建厂房，在租赁厂房内进行布置，设置了一条无机盐生产线和一个甲类库房。</w:t>
      </w:r>
    </w:p>
    <w:p w14:paraId="11A81A7B">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建设项目主要污染物排放及治理措施</w:t>
      </w:r>
    </w:p>
    <w:p w14:paraId="34CB17E0">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1</w:t>
      </w:r>
      <w:r>
        <w:rPr>
          <w:rFonts w:hint="eastAsia" w:ascii="t" w:hAnsi="宋体"/>
          <w:b/>
          <w:bCs/>
          <w:color w:val="auto"/>
          <w:kern w:val="0"/>
          <w:sz w:val="24"/>
          <w:szCs w:val="24"/>
        </w:rPr>
        <w:t>、大气污染物治理及排放</w:t>
      </w:r>
    </w:p>
    <w:p w14:paraId="64E683E6">
      <w:pPr>
        <w:widowControl/>
        <w:spacing w:line="432" w:lineRule="auto"/>
        <w:ind w:firstLine="480" w:firstLineChars="200"/>
        <w:jc w:val="left"/>
        <w:rPr>
          <w:rFonts w:hint="default" w:ascii="t" w:hAnsi="t" w:eastAsia="宋体"/>
          <w:bCs/>
          <w:color w:val="auto"/>
          <w:kern w:val="0"/>
          <w:sz w:val="24"/>
          <w:szCs w:val="24"/>
          <w:lang w:val="en-US" w:eastAsia="zh-CN"/>
        </w:rPr>
      </w:pPr>
      <w:r>
        <w:rPr>
          <w:rFonts w:hint="eastAsia" w:ascii="t" w:hAnsi="宋体"/>
          <w:bCs/>
          <w:color w:val="auto"/>
          <w:kern w:val="0"/>
          <w:sz w:val="24"/>
          <w:szCs w:val="24"/>
        </w:rPr>
        <w:t>本项目大气污染物主要分为有组织废气和无组织废气。</w:t>
      </w:r>
      <w:r>
        <w:rPr>
          <w:rFonts w:hint="eastAsia" w:ascii="t" w:hAnsi="宋体"/>
          <w:bCs/>
          <w:color w:val="auto"/>
          <w:kern w:val="0"/>
          <w:sz w:val="24"/>
          <w:szCs w:val="24"/>
          <w:lang w:val="en-US" w:eastAsia="zh-CN"/>
        </w:rPr>
        <w:t>其中有组织废气</w:t>
      </w:r>
      <w:r>
        <w:rPr>
          <w:rFonts w:hint="eastAsia" w:ascii="t" w:hAnsi="宋体"/>
          <w:bCs/>
          <w:color w:val="auto"/>
          <w:kern w:val="0"/>
          <w:sz w:val="24"/>
          <w:szCs w:val="24"/>
        </w:rPr>
        <w:t>为酸浸反应釜、蒸发釜蒸发浓缩、结晶时产生的NOx，酸浸反应釜、蒸发浓缩、结晶以及各储槽蒸发的硫酸雾以及萃取过程中蒸发的少量盐酸。</w:t>
      </w:r>
      <w:r>
        <w:rPr>
          <w:rFonts w:hint="eastAsia" w:ascii="t" w:hAnsi="宋体"/>
          <w:bCs/>
          <w:color w:val="auto"/>
          <w:kern w:val="0"/>
          <w:sz w:val="24"/>
          <w:szCs w:val="24"/>
          <w:lang w:val="en-US" w:eastAsia="zh-CN"/>
        </w:rPr>
        <w:t>无组织废气为储罐呼吸废气。</w:t>
      </w:r>
    </w:p>
    <w:p w14:paraId="070BD363">
      <w:pPr>
        <w:pStyle w:val="15"/>
        <w:spacing w:line="500" w:lineRule="exact"/>
        <w:ind w:firstLine="480" w:firstLineChars="200"/>
        <w:rPr>
          <w:rFonts w:hint="default" w:ascii="t" w:hAnsi="宋体" w:eastAsia="宋体" w:cs="宋体"/>
          <w:bCs/>
          <w:color w:val="auto"/>
          <w:kern w:val="0"/>
          <w:sz w:val="24"/>
          <w:szCs w:val="24"/>
          <w:lang w:val="en-US" w:eastAsia="zh-CN" w:bidi="ar-SA"/>
        </w:rPr>
      </w:pPr>
      <w:r>
        <w:rPr>
          <w:rFonts w:hint="eastAsia" w:ascii="t" w:hAnsi="宋体" w:eastAsia="宋体" w:cs="宋体"/>
          <w:bCs/>
          <w:color w:val="auto"/>
          <w:kern w:val="0"/>
          <w:sz w:val="24"/>
          <w:szCs w:val="24"/>
          <w:lang w:val="zh-CN" w:eastAsia="zh-CN" w:bidi="ar-SA"/>
        </w:rPr>
        <w:t>①</w:t>
      </w:r>
      <w:r>
        <w:rPr>
          <w:rFonts w:hint="eastAsia" w:ascii="t" w:hAnsi="宋体"/>
          <w:bCs/>
          <w:color w:val="auto"/>
          <w:kern w:val="0"/>
          <w:sz w:val="24"/>
          <w:szCs w:val="24"/>
          <w:lang w:val="en-US" w:eastAsia="zh-CN"/>
        </w:rPr>
        <w:t>NOx、硫酸雾、HCl废气</w:t>
      </w:r>
    </w:p>
    <w:p w14:paraId="7172BD8C">
      <w:pPr>
        <w:widowControl/>
        <w:spacing w:line="432" w:lineRule="auto"/>
        <w:ind w:firstLine="480" w:firstLineChars="200"/>
        <w:jc w:val="left"/>
        <w:rPr>
          <w:rFonts w:hint="default" w:ascii="t" w:hAnsi="宋体" w:eastAsia="宋体"/>
          <w:bCs/>
          <w:color w:val="auto"/>
          <w:kern w:val="0"/>
          <w:sz w:val="24"/>
          <w:szCs w:val="24"/>
          <w:lang w:val="en-US" w:eastAsia="zh-CN"/>
        </w:rPr>
      </w:pPr>
      <w:r>
        <w:rPr>
          <w:rFonts w:hint="eastAsia" w:ascii="t" w:hAnsi="宋体"/>
          <w:bCs/>
          <w:color w:val="auto"/>
          <w:kern w:val="0"/>
          <w:sz w:val="24"/>
          <w:szCs w:val="24"/>
          <w:lang w:val="en-US" w:eastAsia="zh-CN"/>
        </w:rPr>
        <w:t>本项目NOx产生主要来源于酸浸反应釜、蒸发釜蒸发凝缩以及结晶时产生的</w:t>
      </w:r>
      <w:r>
        <w:rPr>
          <w:rFonts w:hint="eastAsia" w:ascii="t" w:hAnsi="宋体"/>
          <w:bCs/>
          <w:color w:val="auto"/>
          <w:kern w:val="0"/>
          <w:sz w:val="24"/>
          <w:szCs w:val="24"/>
          <w:lang w:eastAsia="zh-CN"/>
        </w:rPr>
        <w:t>，</w:t>
      </w:r>
      <w:r>
        <w:rPr>
          <w:rFonts w:hint="eastAsia" w:ascii="t" w:hAnsi="宋体"/>
          <w:bCs/>
          <w:color w:val="auto"/>
          <w:kern w:val="0"/>
          <w:sz w:val="24"/>
          <w:szCs w:val="24"/>
          <w:lang w:val="en-US" w:eastAsia="zh-CN"/>
        </w:rPr>
        <w:t>氮氧化物废气进入氮氧化物吸收装置，生成稀硝酸后返回生产使用，吸收率能达到99.5%，剩余未吸收的进入酸雾吸收塔进行处理后经15m高排气筒排放。本项目硫酸雾的产生主要来源于酸浸反应釜、蒸发浓缩、结晶以及各储槽蒸发，硫酸雾进入酸雾吸收塔进行处理后经15m高排气筒排放。本项目HCl的产生主要来源于萃取过程中蒸发的少量盐酸，HCl进入酸雾吸收塔进行处理后经15m高排气筒排放。</w:t>
      </w:r>
    </w:p>
    <w:p w14:paraId="2889E8F8">
      <w:pPr>
        <w:widowControl/>
        <w:spacing w:line="432" w:lineRule="auto"/>
        <w:ind w:firstLine="480" w:firstLineChars="200"/>
        <w:jc w:val="left"/>
        <w:rPr>
          <w:rFonts w:hint="eastAsia" w:ascii="t" w:hAnsi="t"/>
          <w:bCs/>
          <w:color w:val="auto"/>
          <w:kern w:val="0"/>
          <w:sz w:val="24"/>
          <w:szCs w:val="24"/>
        </w:rPr>
      </w:pPr>
      <w:r>
        <w:rPr>
          <w:rFonts w:hint="eastAsia" w:ascii="t" w:hAnsi="宋体"/>
          <w:bCs/>
          <w:color w:val="auto"/>
          <w:kern w:val="0"/>
          <w:sz w:val="24"/>
          <w:szCs w:val="24"/>
        </w:rPr>
        <w:t>②项目无组织排放气体</w:t>
      </w:r>
    </w:p>
    <w:p w14:paraId="467745E6">
      <w:pPr>
        <w:widowControl/>
        <w:spacing w:line="432" w:lineRule="auto"/>
        <w:ind w:firstLine="480" w:firstLineChars="200"/>
        <w:jc w:val="left"/>
        <w:rPr>
          <w:rFonts w:ascii="t" w:hAnsi="宋体"/>
          <w:bCs/>
          <w:color w:val="auto"/>
          <w:kern w:val="0"/>
          <w:sz w:val="24"/>
          <w:szCs w:val="24"/>
        </w:rPr>
      </w:pPr>
      <w:r>
        <w:rPr>
          <w:rFonts w:hint="eastAsia" w:ascii="t" w:hAnsi="宋体"/>
          <w:bCs/>
          <w:color w:val="auto"/>
          <w:kern w:val="0"/>
          <w:sz w:val="24"/>
          <w:szCs w:val="24"/>
          <w:lang w:val="en-US" w:eastAsia="zh-CN"/>
        </w:rPr>
        <w:t>硝酸和硫酸储罐储存过程中会产生大小呼吸废气，由于量比较少，因此无组织排放</w:t>
      </w:r>
      <w:r>
        <w:rPr>
          <w:rFonts w:hint="eastAsia" w:ascii="t" w:hAnsi="宋体"/>
          <w:bCs/>
          <w:color w:val="auto"/>
          <w:kern w:val="0"/>
          <w:sz w:val="24"/>
          <w:szCs w:val="24"/>
        </w:rPr>
        <w:t>。</w:t>
      </w:r>
    </w:p>
    <w:p w14:paraId="0216A6BB">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2</w:t>
      </w:r>
      <w:r>
        <w:rPr>
          <w:rFonts w:hint="eastAsia" w:ascii="t" w:hAnsi="宋体"/>
          <w:b/>
          <w:bCs/>
          <w:color w:val="auto"/>
          <w:kern w:val="0"/>
          <w:sz w:val="24"/>
          <w:szCs w:val="24"/>
        </w:rPr>
        <w:t>、水污染物治理及排放</w:t>
      </w:r>
    </w:p>
    <w:p w14:paraId="148EE932">
      <w:pPr>
        <w:adjustRightInd w:val="0"/>
        <w:snapToGrid w:val="0"/>
        <w:spacing w:line="560" w:lineRule="exact"/>
        <w:ind w:firstLine="480"/>
        <w:rPr>
          <w:rFonts w:hint="default" w:ascii="Times New Roman" w:hAnsi="Times New Roman" w:cs="Times New Roman"/>
          <w:bCs/>
          <w:sz w:val="24"/>
        </w:rPr>
      </w:pPr>
      <w:r>
        <w:rPr>
          <w:rFonts w:hint="default" w:ascii="Times New Roman" w:hAnsi="Times New Roman" w:cs="Times New Roman"/>
          <w:bCs/>
          <w:color w:val="auto"/>
          <w:sz w:val="24"/>
        </w:rPr>
        <w:t>拟建项目废水按照“雨污分流”原则进行分类处理。</w:t>
      </w:r>
      <w:r>
        <w:rPr>
          <w:rFonts w:hint="eastAsia" w:ascii="Times New Roman" w:hAnsi="Times New Roman" w:cs="Times New Roman"/>
          <w:bCs/>
          <w:color w:val="auto"/>
          <w:sz w:val="24"/>
          <w:lang w:val="en-US" w:eastAsia="zh-CN"/>
        </w:rPr>
        <w:t>蒸汽冷凝水全部回用至生产中使用</w:t>
      </w:r>
      <w:r>
        <w:rPr>
          <w:rFonts w:hint="default" w:ascii="Times New Roman" w:hAnsi="Times New Roman" w:cs="Times New Roman"/>
          <w:color w:val="auto"/>
          <w:sz w:val="24"/>
        </w:rPr>
        <w:t>，不外排；生活废水</w:t>
      </w:r>
      <w:r>
        <w:rPr>
          <w:rFonts w:hint="eastAsia" w:ascii="Times New Roman" w:hAnsi="Times New Roman" w:cs="Times New Roman"/>
          <w:color w:val="auto"/>
          <w:sz w:val="24"/>
          <w:lang w:val="en-US" w:eastAsia="zh-CN"/>
        </w:rPr>
        <w:t>和</w:t>
      </w:r>
      <w:r>
        <w:rPr>
          <w:rFonts w:hint="eastAsia" w:ascii="Times New Roman" w:hAnsi="Times New Roman" w:cs="Times New Roman"/>
          <w:sz w:val="24"/>
          <w:lang w:val="en-US" w:eastAsia="zh-CN"/>
        </w:rPr>
        <w:t>酸雾吸收塔废水</w:t>
      </w:r>
      <w:r>
        <w:rPr>
          <w:rFonts w:hint="default" w:ascii="Times New Roman" w:hAnsi="Times New Roman" w:cs="Times New Roman"/>
          <w:sz w:val="24"/>
        </w:rPr>
        <w:t>达《污水综合排放标准》（GB8978-1996）三级标准后，排入总排口进入污水管网直接排入</w:t>
      </w:r>
      <w:r>
        <w:rPr>
          <w:rFonts w:ascii="宋体" w:hAnsi="宋体" w:eastAsia="宋体" w:cs="宋体"/>
          <w:b w:val="0"/>
          <w:bCs w:val="0"/>
          <w:color w:val="auto"/>
          <w:spacing w:val="1"/>
          <w:sz w:val="24"/>
          <w:szCs w:val="24"/>
        </w:rPr>
        <w:t>成眉石</w:t>
      </w:r>
      <w:r>
        <w:rPr>
          <w:rFonts w:ascii="宋体" w:hAnsi="宋体" w:eastAsia="宋体" w:cs="宋体"/>
          <w:b w:val="0"/>
          <w:bCs w:val="0"/>
          <w:color w:val="auto"/>
          <w:sz w:val="24"/>
          <w:szCs w:val="24"/>
        </w:rPr>
        <w:t>化园区污水处理厂</w:t>
      </w:r>
      <w:r>
        <w:rPr>
          <w:rFonts w:hint="eastAsia" w:ascii="宋体" w:hAnsi="宋体" w:eastAsia="宋体" w:cs="宋体"/>
          <w:b w:val="0"/>
          <w:bCs w:val="0"/>
          <w:color w:val="auto"/>
          <w:sz w:val="24"/>
          <w:szCs w:val="24"/>
          <w:lang w:val="en-US" w:eastAsia="zh-CN"/>
        </w:rPr>
        <w:t>进行处理</w:t>
      </w:r>
      <w:r>
        <w:rPr>
          <w:rFonts w:hint="eastAsia" w:ascii="Times New Roman" w:hAnsi="Times New Roman" w:eastAsia="宋体" w:cs="Times New Roman"/>
          <w:sz w:val="24"/>
          <w:lang w:val="en-US" w:eastAsia="zh-CN"/>
        </w:rPr>
        <w:t>车间地坪清洗水回用至绿化浇洒</w:t>
      </w:r>
      <w:r>
        <w:rPr>
          <w:rFonts w:hint="default" w:ascii="Times New Roman" w:hAnsi="Times New Roman" w:cs="Times New Roman"/>
          <w:sz w:val="24"/>
        </w:rPr>
        <w:t>，不外排。本项目产生及治理具体如下：</w:t>
      </w:r>
    </w:p>
    <w:p w14:paraId="00123BD2">
      <w:pPr>
        <w:adjustRightInd w:val="0"/>
        <w:snapToGrid w:val="0"/>
        <w:spacing w:line="560" w:lineRule="exact"/>
        <w:ind w:firstLine="480" w:firstLineChars="200"/>
        <w:rPr>
          <w:rFonts w:hint="default" w:ascii="Times New Roman" w:hAnsi="Times New Roman" w:eastAsia="宋体" w:cs="Times New Roman"/>
          <w:bCs/>
          <w:sz w:val="24"/>
          <w:lang w:val="en-US" w:eastAsia="zh-CN"/>
        </w:rPr>
      </w:pPr>
      <w:r>
        <w:rPr>
          <w:rFonts w:hint="default" w:ascii="Times New Roman" w:hAnsi="Times New Roman" w:cs="Times New Roman"/>
          <w:bCs/>
          <w:sz w:val="24"/>
        </w:rPr>
        <w:t>（1）</w:t>
      </w:r>
      <w:r>
        <w:rPr>
          <w:rFonts w:hint="eastAsia" w:ascii="Times New Roman" w:hAnsi="Times New Roman" w:cs="Times New Roman"/>
          <w:bCs/>
          <w:sz w:val="24"/>
          <w:lang w:val="en-US" w:eastAsia="zh-CN"/>
        </w:rPr>
        <w:t>蒸汽冷凝水</w:t>
      </w:r>
    </w:p>
    <w:p w14:paraId="30F8C543">
      <w:pPr>
        <w:adjustRightInd w:val="0"/>
        <w:snapToGrid w:val="0"/>
        <w:spacing w:line="560" w:lineRule="exact"/>
        <w:ind w:firstLine="470" w:firstLineChars="196"/>
        <w:rPr>
          <w:rFonts w:hint="default" w:ascii="Times New Roman" w:hAnsi="Times New Roman" w:cs="Times New Roman"/>
          <w:bCs/>
          <w:sz w:val="24"/>
        </w:rPr>
      </w:pPr>
      <w:r>
        <w:rPr>
          <w:rFonts w:hint="default" w:ascii="Times New Roman" w:hAnsi="Times New Roman" w:cs="Times New Roman"/>
          <w:sz w:val="24"/>
        </w:rPr>
        <w:t>蒸汽冷凝水主要来源于各产品生产过程中需要蒸汽加热的反应工序，均为间接 加热。本项目各类产品蒸汽使用量合计约1800t/a，蒸汽冷凝效率按 90%算，则蒸汽 冷凝水约1620t/a，回用到生产过程中使用。</w:t>
      </w:r>
    </w:p>
    <w:p w14:paraId="5CFC21B2">
      <w:pPr>
        <w:adjustRightInd w:val="0"/>
        <w:snapToGrid w:val="0"/>
        <w:spacing w:line="560" w:lineRule="exact"/>
        <w:ind w:firstLine="437"/>
        <w:rPr>
          <w:rFonts w:hint="default" w:ascii="Times New Roman" w:hAnsi="Times New Roman" w:eastAsia="宋体" w:cs="Times New Roman"/>
          <w:bCs/>
          <w:sz w:val="24"/>
          <w:lang w:val="en-US" w:eastAsia="zh-CN"/>
        </w:rPr>
      </w:pPr>
      <w:r>
        <w:rPr>
          <w:rFonts w:hint="default" w:ascii="Times New Roman" w:hAnsi="Times New Roman" w:cs="Times New Roman"/>
          <w:bCs/>
          <w:sz w:val="24"/>
        </w:rPr>
        <w:t>（2）</w:t>
      </w:r>
      <w:r>
        <w:rPr>
          <w:rFonts w:hint="eastAsia" w:ascii="Times New Roman" w:hAnsi="Times New Roman" w:cs="Times New Roman"/>
          <w:bCs/>
          <w:sz w:val="24"/>
          <w:lang w:val="en-US" w:eastAsia="zh-CN"/>
        </w:rPr>
        <w:t>酸雾吸收塔废水</w:t>
      </w:r>
    </w:p>
    <w:p w14:paraId="344FF6A2">
      <w:pPr>
        <w:adjustRightInd w:val="0"/>
        <w:snapToGrid w:val="0"/>
        <w:spacing w:line="560" w:lineRule="exact"/>
        <w:ind w:firstLine="470" w:firstLineChars="196"/>
        <w:rPr>
          <w:rFonts w:hint="default" w:ascii="Times New Roman" w:hAnsi="Times New Roman" w:cs="Times New Roman"/>
          <w:bCs/>
          <w:sz w:val="24"/>
        </w:rPr>
      </w:pPr>
      <w:r>
        <w:rPr>
          <w:rFonts w:hint="default" w:ascii="Times New Roman" w:hAnsi="Times New Roman" w:cs="Times New Roman"/>
          <w:sz w:val="24"/>
        </w:rPr>
        <w:t>酸雾吸收塔仅有少量吸收了酸雾后的废水，约15m3/a（0.05m3/d），经收集后排放到成眉石化园区污水处理厂进行处理</w:t>
      </w:r>
      <w:r>
        <w:rPr>
          <w:rFonts w:hint="default" w:ascii="Times New Roman" w:hAnsi="Times New Roman" w:cs="Times New Roman"/>
          <w:bCs/>
          <w:sz w:val="24"/>
        </w:rPr>
        <w:t>。</w:t>
      </w:r>
    </w:p>
    <w:p w14:paraId="0BF2637D">
      <w:pPr>
        <w:adjustRightInd w:val="0"/>
        <w:snapToGrid w:val="0"/>
        <w:spacing w:line="520" w:lineRule="exact"/>
        <w:ind w:firstLine="480" w:firstLineChars="200"/>
        <w:rPr>
          <w:rFonts w:hint="default" w:ascii="Times New Roman" w:hAnsi="Times New Roman" w:eastAsia="宋体" w:cs="Times New Roman"/>
          <w:sz w:val="24"/>
          <w:lang w:val="en-US" w:eastAsia="zh-CN"/>
        </w:rPr>
      </w:pPr>
      <w:r>
        <w:rPr>
          <w:rFonts w:hint="default" w:ascii="Times New Roman" w:hAnsi="Times New Roman" w:cs="Times New Roman"/>
          <w:bCs/>
          <w:sz w:val="24"/>
        </w:rPr>
        <w:t>（3）</w:t>
      </w:r>
      <w:r>
        <w:rPr>
          <w:rFonts w:hint="eastAsia" w:ascii="Times New Roman" w:hAnsi="Times New Roman" w:cs="Times New Roman"/>
          <w:sz w:val="24"/>
          <w:lang w:val="en-US" w:eastAsia="zh-CN"/>
        </w:rPr>
        <w:t>车间地坪清洁水</w:t>
      </w:r>
    </w:p>
    <w:p w14:paraId="2B1C05D8">
      <w:pPr>
        <w:adjustRightInd w:val="0"/>
        <w:snapToGrid w:val="0"/>
        <w:spacing w:line="520" w:lineRule="exact"/>
        <w:ind w:firstLine="470" w:firstLineChars="196"/>
        <w:rPr>
          <w:rFonts w:hint="default" w:ascii="Times New Roman" w:hAnsi="Times New Roman" w:cs="Times New Roman"/>
          <w:bCs/>
          <w:sz w:val="24"/>
        </w:rPr>
      </w:pPr>
      <w:r>
        <w:rPr>
          <w:rFonts w:hint="default" w:ascii="Times New Roman" w:hAnsi="Times New Roman" w:cs="Times New Roman"/>
          <w:sz w:val="24"/>
        </w:rPr>
        <w:t>厂区需每周采用清水对厂区地坪进行冲洗，以保持厂区整洁，同时厂区需进行绿化浇洒，地坪清洗及绿化平均用水约0.5m3/d，全部消耗</w:t>
      </w:r>
      <w:r>
        <w:rPr>
          <w:rFonts w:hint="default" w:ascii="Times New Roman" w:hAnsi="Times New Roman" w:cs="Times New Roman"/>
          <w:bCs/>
          <w:sz w:val="24"/>
        </w:rPr>
        <w:t>。</w:t>
      </w:r>
    </w:p>
    <w:p w14:paraId="56515E9A">
      <w:pPr>
        <w:adjustRightInd w:val="0"/>
        <w:snapToGrid w:val="0"/>
        <w:spacing w:line="520" w:lineRule="exact"/>
        <w:ind w:firstLine="480"/>
        <w:rPr>
          <w:rFonts w:hint="default" w:ascii="Times New Roman" w:hAnsi="Times New Roman" w:cs="Times New Roman"/>
          <w:sz w:val="24"/>
        </w:rPr>
      </w:pPr>
      <w:r>
        <w:rPr>
          <w:rFonts w:hint="default" w:ascii="Times New Roman" w:hAnsi="Times New Roman" w:cs="Times New Roman"/>
          <w:sz w:val="24"/>
        </w:rPr>
        <w:t>（</w:t>
      </w:r>
      <w:r>
        <w:rPr>
          <w:rFonts w:hint="eastAsia" w:ascii="Times New Roman" w:hAnsi="Times New Roman" w:cs="Times New Roman"/>
          <w:sz w:val="24"/>
          <w:lang w:val="en-US" w:eastAsia="zh-CN"/>
        </w:rPr>
        <w:t>4</w:t>
      </w:r>
      <w:r>
        <w:rPr>
          <w:rFonts w:hint="default" w:ascii="Times New Roman" w:hAnsi="Times New Roman" w:cs="Times New Roman"/>
          <w:sz w:val="24"/>
        </w:rPr>
        <w:t>）生活污水</w:t>
      </w:r>
    </w:p>
    <w:p w14:paraId="0AD257B1">
      <w:pPr>
        <w:pStyle w:val="17"/>
        <w:adjustRightInd w:val="0"/>
        <w:snapToGrid w:val="0"/>
        <w:spacing w:line="520" w:lineRule="exact"/>
        <w:rPr>
          <w:rFonts w:hint="default" w:ascii="Times New Roman" w:hAnsi="Times New Roman" w:cs="Times New Roman"/>
          <w:kern w:val="0"/>
          <w:szCs w:val="21"/>
          <w:lang w:val="zh-CN"/>
        </w:rPr>
      </w:pPr>
      <w:r>
        <w:rPr>
          <w:rFonts w:hint="default" w:ascii="Times New Roman" w:hAnsi="Times New Roman" w:cs="Times New Roman"/>
        </w:rPr>
        <w:t>本项目劳动定员20人，员工用水定额以150L/人·天计，排放系数以0.85计，生活污水产生量为2.55m3/d（765m3/a），其主要污染物为CODCr、BOD5、SS、NH3-N，经收集后排放到成眉石化园区污水处理厂进行处理</w:t>
      </w:r>
      <w:r>
        <w:rPr>
          <w:rFonts w:hint="default" w:ascii="Times New Roman" w:hAnsi="Times New Roman" w:cs="Times New Roman"/>
          <w:kern w:val="0"/>
          <w:szCs w:val="21"/>
        </w:rPr>
        <w:t>。</w:t>
      </w:r>
    </w:p>
    <w:p w14:paraId="7209EC42">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3</w:t>
      </w:r>
      <w:r>
        <w:rPr>
          <w:rFonts w:hint="eastAsia" w:ascii="t" w:hAnsi="宋体"/>
          <w:b/>
          <w:bCs/>
          <w:color w:val="auto"/>
          <w:kern w:val="0"/>
          <w:sz w:val="24"/>
          <w:szCs w:val="24"/>
        </w:rPr>
        <w:t>、</w:t>
      </w:r>
      <w:r>
        <w:rPr>
          <w:rFonts w:hint="eastAsia" w:ascii="t" w:hAnsi="宋体"/>
          <w:b/>
          <w:bCs/>
          <w:color w:val="auto"/>
          <w:kern w:val="0"/>
          <w:sz w:val="24"/>
          <w:szCs w:val="24"/>
          <w:lang w:val="de-DE"/>
        </w:rPr>
        <w:t>固体废弃物处置措施</w:t>
      </w:r>
    </w:p>
    <w:p w14:paraId="1244F855">
      <w:pPr>
        <w:spacing w:line="560" w:lineRule="atLeast"/>
        <w:ind w:firstLine="480"/>
        <w:rPr>
          <w:rFonts w:ascii="Times New Roman" w:hAnsi="Times New Roman" w:cs="Times New Roman"/>
          <w:color w:val="auto"/>
          <w:sz w:val="24"/>
        </w:rPr>
      </w:pPr>
      <w:r>
        <w:rPr>
          <w:rFonts w:ascii="Times New Roman" w:hAnsi="Times New Roman" w:cs="Times New Roman"/>
          <w:color w:val="auto"/>
          <w:sz w:val="24"/>
        </w:rPr>
        <w:t>本项目固废分工业固废、生活办公垃圾等，其中工业固废包括</w:t>
      </w:r>
      <w:r>
        <w:rPr>
          <w:rFonts w:hint="eastAsia" w:ascii="Times New Roman" w:hAnsi="Times New Roman" w:cs="Times New Roman"/>
          <w:color w:val="auto"/>
          <w:sz w:val="24"/>
          <w:lang w:val="en-US" w:eastAsia="zh-CN"/>
        </w:rPr>
        <w:t>废包装材料、废渣</w:t>
      </w:r>
      <w:r>
        <w:rPr>
          <w:rFonts w:hint="eastAsia" w:ascii="Times New Roman" w:hAnsi="Times New Roman" w:cs="Times New Roman"/>
          <w:color w:val="auto"/>
          <w:sz w:val="24"/>
        </w:rPr>
        <w:t>等</w:t>
      </w:r>
      <w:r>
        <w:rPr>
          <w:rFonts w:ascii="Times New Roman" w:hAnsi="Times New Roman" w:cs="Times New Roman"/>
          <w:color w:val="auto"/>
          <w:sz w:val="24"/>
        </w:rPr>
        <w:t>，具体分析如下：</w:t>
      </w:r>
    </w:p>
    <w:p w14:paraId="79228E5F">
      <w:pPr>
        <w:snapToGrid w:val="0"/>
        <w:spacing w:line="560" w:lineRule="exact"/>
        <w:ind w:firstLine="480" w:firstLineChars="200"/>
        <w:rPr>
          <w:rFonts w:hint="eastAsia" w:ascii="Times New Roman" w:hAnsi="Times New Roman" w:eastAsia="宋体" w:cs="Times New Roman"/>
          <w:bCs/>
          <w:color w:val="auto"/>
          <w:sz w:val="24"/>
          <w:lang w:eastAsia="zh-CN"/>
        </w:rPr>
      </w:pPr>
      <w:r>
        <w:rPr>
          <w:rFonts w:hint="default" w:ascii="Times New Roman" w:hAnsi="Times New Roman" w:cs="Times New Roman"/>
          <w:bCs/>
          <w:color w:val="auto"/>
          <w:sz w:val="24"/>
        </w:rPr>
        <w:t>（1）</w:t>
      </w:r>
      <w:r>
        <w:rPr>
          <w:rFonts w:hint="eastAsia" w:ascii="Times New Roman" w:hAnsi="Times New Roman" w:cs="Times New Roman"/>
          <w:color w:val="auto"/>
          <w:sz w:val="24"/>
          <w:lang w:val="en-US" w:eastAsia="zh-CN"/>
        </w:rPr>
        <w:t>废包装材料</w:t>
      </w:r>
    </w:p>
    <w:p w14:paraId="7BB71CA4">
      <w:pPr>
        <w:spacing w:line="560" w:lineRule="exact"/>
        <w:ind w:firstLine="480"/>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废包装材料主要来源于原辅料拆包和产品包装，化学品原辅料的包装属于危险废物，交由专业机构进行处理</w:t>
      </w: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废产品包装属于一般废物，分类收集后外售废品公司。</w:t>
      </w:r>
    </w:p>
    <w:p w14:paraId="031C6A39">
      <w:pPr>
        <w:numPr>
          <w:ilvl w:val="0"/>
          <w:numId w:val="1"/>
        </w:numPr>
        <w:spacing w:line="560" w:lineRule="exact"/>
        <w:ind w:firstLine="480"/>
        <w:rPr>
          <w:rFonts w:hint="eastAsia" w:ascii="Times New Roman" w:hAnsi="Times New Roman" w:cs="Times New Roman"/>
          <w:bCs/>
          <w:color w:val="auto"/>
          <w:sz w:val="24"/>
          <w:lang w:val="en-US" w:eastAsia="zh-CN"/>
        </w:rPr>
      </w:pPr>
      <w:r>
        <w:rPr>
          <w:rFonts w:hint="eastAsia" w:ascii="Times New Roman" w:hAnsi="Times New Roman" w:cs="Times New Roman"/>
          <w:bCs/>
          <w:color w:val="auto"/>
          <w:sz w:val="24"/>
          <w:lang w:val="en-US" w:eastAsia="zh-CN"/>
        </w:rPr>
        <w:t>废渣</w:t>
      </w:r>
    </w:p>
    <w:p w14:paraId="2B70D022">
      <w:pPr>
        <w:numPr>
          <w:ilvl w:val="0"/>
          <w:numId w:val="0"/>
        </w:numPr>
        <w:spacing w:line="560" w:lineRule="exact"/>
        <w:ind w:firstLine="480" w:firstLineChars="200"/>
        <w:rPr>
          <w:rFonts w:hint="default" w:ascii="Times New Roman" w:hAnsi="Times New Roman" w:cs="Times New Roman"/>
          <w:bCs/>
          <w:color w:val="auto"/>
          <w:sz w:val="24"/>
        </w:rPr>
      </w:pPr>
      <w:r>
        <w:rPr>
          <w:rFonts w:ascii="Times New Roman" w:hAnsi="Times New Roman" w:cs="Times New Roman"/>
          <w:color w:val="auto"/>
          <w:sz w:val="24"/>
        </w:rPr>
        <w:t>项目</w:t>
      </w:r>
      <w:r>
        <w:rPr>
          <w:rFonts w:hint="eastAsia" w:ascii="Times New Roman" w:hAnsi="Times New Roman" w:cs="Times New Roman"/>
          <w:color w:val="auto"/>
          <w:sz w:val="24"/>
          <w:lang w:val="en-US" w:eastAsia="zh-CN"/>
        </w:rPr>
        <w:t>反应剩下的废渣属于危险废物，用水制浆洗涤干净后用吨袋包装后交由专业机构处理</w:t>
      </w:r>
      <w:r>
        <w:rPr>
          <w:rFonts w:ascii="Times New Roman" w:hAnsi="Times New Roman" w:cs="Times New Roman"/>
          <w:color w:val="auto"/>
          <w:sz w:val="24"/>
        </w:rPr>
        <w:t>。</w:t>
      </w:r>
    </w:p>
    <w:p w14:paraId="18B5E346">
      <w:pPr>
        <w:adjustRightInd w:val="0"/>
        <w:snapToGrid w:val="0"/>
        <w:spacing w:line="5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w:t>
      </w:r>
      <w:r>
        <w:rPr>
          <w:rFonts w:hint="default" w:ascii="Times New Roman" w:hAnsi="Times New Roman" w:cs="Times New Roman"/>
          <w:bCs/>
          <w:color w:val="auto"/>
          <w:sz w:val="24"/>
        </w:rPr>
        <w:t>设备维护、更换等其他固废</w:t>
      </w:r>
    </w:p>
    <w:p w14:paraId="614488A7">
      <w:pPr>
        <w:snapToGrid w:val="0"/>
        <w:spacing w:line="56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项目</w:t>
      </w:r>
      <w:r>
        <w:rPr>
          <w:rFonts w:hint="default" w:ascii="Times New Roman" w:hAnsi="Times New Roman" w:cs="Times New Roman"/>
          <w:color w:val="auto"/>
          <w:sz w:val="24"/>
        </w:rPr>
        <w:t>正常运行过程中为了维持工况良好、正常，定期检修、维护等过程中产生的固废包括</w:t>
      </w:r>
      <w:r>
        <w:rPr>
          <w:rFonts w:hint="eastAsia" w:ascii="Times New Roman" w:hAnsi="Times New Roman" w:cs="Times New Roman"/>
          <w:color w:val="auto"/>
          <w:sz w:val="24"/>
          <w:lang w:val="en-US" w:eastAsia="zh-CN"/>
        </w:rPr>
        <w:t>废机油</w:t>
      </w:r>
      <w:r>
        <w:rPr>
          <w:rFonts w:hint="default" w:ascii="Times New Roman" w:hAnsi="Times New Roman" w:cs="Times New Roman"/>
          <w:color w:val="auto"/>
          <w:sz w:val="24"/>
        </w:rPr>
        <w:t>。</w:t>
      </w:r>
    </w:p>
    <w:p w14:paraId="49F1DFB2">
      <w:pPr>
        <w:snapToGrid w:val="0"/>
        <w:spacing w:line="560" w:lineRule="exact"/>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经类比分析，拟建项目在设备维护时产生的</w:t>
      </w:r>
      <w:r>
        <w:rPr>
          <w:rFonts w:hint="eastAsia" w:ascii="Times New Roman" w:hAnsi="Times New Roman" w:cs="Times New Roman"/>
          <w:color w:val="auto"/>
          <w:sz w:val="24"/>
          <w:lang w:val="en-US" w:eastAsia="zh-CN"/>
        </w:rPr>
        <w:t>废机油</w:t>
      </w:r>
      <w:r>
        <w:rPr>
          <w:rFonts w:hint="default" w:ascii="Times New Roman" w:hAnsi="Times New Roman" w:cs="Times New Roman"/>
          <w:color w:val="auto"/>
          <w:sz w:val="24"/>
        </w:rPr>
        <w:t>属于危险废物，交由有资单位进行处置。</w:t>
      </w:r>
    </w:p>
    <w:p w14:paraId="59D689E6">
      <w:pPr>
        <w:snapToGrid w:val="0"/>
        <w:spacing w:line="560" w:lineRule="exact"/>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rPr>
        <w:t>）生活垃圾</w:t>
      </w:r>
    </w:p>
    <w:p w14:paraId="31BA44EF">
      <w:pPr>
        <w:snapToGrid w:val="0"/>
        <w:spacing w:line="560" w:lineRule="exact"/>
        <w:ind w:firstLine="480" w:firstLineChars="200"/>
        <w:rPr>
          <w:rFonts w:hint="default" w:ascii="Times New Roman" w:hAnsi="Times New Roman" w:cs="Times New Roman"/>
          <w:bCs/>
          <w:color w:val="auto"/>
          <w:sz w:val="24"/>
        </w:rPr>
      </w:pPr>
      <w:r>
        <w:rPr>
          <w:rFonts w:hint="eastAsia" w:ascii="Times New Roman" w:hAnsi="Times New Roman" w:cs="Times New Roman"/>
          <w:color w:val="auto"/>
          <w:sz w:val="24"/>
          <w:lang w:val="en-US" w:eastAsia="zh-CN"/>
        </w:rPr>
        <w:t>项目</w:t>
      </w:r>
      <w:r>
        <w:rPr>
          <w:rFonts w:hint="default" w:ascii="Times New Roman" w:hAnsi="Times New Roman" w:cs="Times New Roman"/>
          <w:color w:val="auto"/>
          <w:sz w:val="24"/>
        </w:rPr>
        <w:t>劳动定员</w:t>
      </w:r>
      <w:r>
        <w:rPr>
          <w:rFonts w:hint="eastAsia" w:ascii="Times New Roman" w:hAnsi="Times New Roman" w:cs="Times New Roman"/>
          <w:color w:val="auto"/>
          <w:sz w:val="24"/>
          <w:lang w:val="en-US" w:eastAsia="zh-CN"/>
        </w:rPr>
        <w:t>20</w:t>
      </w:r>
      <w:r>
        <w:rPr>
          <w:rFonts w:hint="default" w:ascii="Times New Roman" w:hAnsi="Times New Roman" w:cs="Times New Roman"/>
          <w:color w:val="auto"/>
          <w:sz w:val="24"/>
        </w:rPr>
        <w:t>人，生活垃圾产生量按0.5kg/人·d计，为</w:t>
      </w:r>
      <w:r>
        <w:rPr>
          <w:rFonts w:hint="eastAsia" w:ascii="Times New Roman" w:hAnsi="Times New Roman" w:cs="Times New Roman"/>
          <w:color w:val="auto"/>
          <w:sz w:val="24"/>
          <w:lang w:val="en-US" w:eastAsia="zh-CN"/>
        </w:rPr>
        <w:t>10</w:t>
      </w:r>
      <w:r>
        <w:rPr>
          <w:rFonts w:hint="default" w:ascii="Times New Roman" w:hAnsi="Times New Roman" w:cs="Times New Roman"/>
          <w:color w:val="auto"/>
          <w:sz w:val="24"/>
        </w:rPr>
        <w:t>kg/d，年工作时间约</w:t>
      </w:r>
      <w:r>
        <w:rPr>
          <w:rFonts w:hint="eastAsia" w:ascii="Times New Roman" w:hAnsi="Times New Roman" w:cs="Times New Roman"/>
          <w:color w:val="auto"/>
          <w:sz w:val="24"/>
          <w:lang w:val="en-US" w:eastAsia="zh-CN"/>
        </w:rPr>
        <w:t>300</w:t>
      </w:r>
      <w:r>
        <w:rPr>
          <w:rFonts w:hint="default" w:ascii="Times New Roman" w:hAnsi="Times New Roman" w:cs="Times New Roman"/>
          <w:color w:val="auto"/>
          <w:sz w:val="24"/>
        </w:rPr>
        <w:t>d，故年生活垃圾产生量约</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t/a</w:t>
      </w:r>
      <w:r>
        <w:rPr>
          <w:rFonts w:hint="default" w:ascii="Times New Roman" w:hAnsi="Times New Roman" w:cs="Times New Roman"/>
          <w:bCs/>
          <w:color w:val="auto"/>
          <w:sz w:val="24"/>
        </w:rPr>
        <w:t>。</w:t>
      </w:r>
    </w:p>
    <w:p w14:paraId="1CC10F0F">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4</w:t>
      </w:r>
      <w:r>
        <w:rPr>
          <w:rFonts w:hint="eastAsia" w:ascii="t" w:hAnsi="宋体"/>
          <w:b/>
          <w:bCs/>
          <w:color w:val="auto"/>
          <w:kern w:val="0"/>
          <w:sz w:val="24"/>
          <w:szCs w:val="24"/>
        </w:rPr>
        <w:t>、</w:t>
      </w:r>
      <w:r>
        <w:rPr>
          <w:rFonts w:hint="eastAsia" w:ascii="t" w:hAnsi="宋体"/>
          <w:b/>
          <w:bCs/>
          <w:color w:val="auto"/>
          <w:kern w:val="0"/>
          <w:sz w:val="24"/>
          <w:szCs w:val="24"/>
          <w:lang w:val="de-DE"/>
        </w:rPr>
        <w:t>噪声治理及排放</w:t>
      </w:r>
    </w:p>
    <w:p w14:paraId="4CF36F83">
      <w:pPr>
        <w:widowControl/>
        <w:spacing w:line="432" w:lineRule="auto"/>
        <w:ind w:firstLine="480" w:firstLineChars="200"/>
        <w:jc w:val="left"/>
        <w:rPr>
          <w:rFonts w:hint="eastAsia" w:ascii="t" w:hAnsi="t"/>
          <w:b/>
          <w:bCs/>
          <w:color w:val="auto"/>
          <w:kern w:val="0"/>
          <w:sz w:val="24"/>
          <w:szCs w:val="24"/>
        </w:rPr>
      </w:pPr>
      <w:r>
        <w:rPr>
          <w:rFonts w:ascii="Times New Roman" w:hAnsi="Times New Roman" w:cs="Times New Roman"/>
          <w:color w:val="auto"/>
          <w:sz w:val="24"/>
        </w:rPr>
        <w:t>项目噪声源为</w:t>
      </w:r>
      <w:r>
        <w:rPr>
          <w:rFonts w:hint="eastAsia" w:ascii="Times New Roman" w:hAnsi="Times New Roman" w:cs="Times New Roman"/>
          <w:color w:val="auto"/>
          <w:sz w:val="24"/>
          <w:lang w:val="en-US" w:eastAsia="zh-CN"/>
        </w:rPr>
        <w:t>冷却塔、板框机、空压机、泵</w:t>
      </w:r>
      <w:r>
        <w:rPr>
          <w:rFonts w:ascii="Times New Roman" w:hAnsi="Times New Roman" w:cs="Times New Roman"/>
          <w:color w:val="auto"/>
          <w:sz w:val="24"/>
        </w:rPr>
        <w:t>等，噪声源在1米处声源强度</w:t>
      </w:r>
      <w:r>
        <w:rPr>
          <w:rFonts w:hint="eastAsia" w:ascii="Times New Roman" w:hAnsi="Times New Roman" w:cs="Times New Roman"/>
          <w:color w:val="auto"/>
          <w:sz w:val="24"/>
          <w:lang w:val="en-US" w:eastAsia="zh-CN"/>
        </w:rPr>
        <w:t>70</w:t>
      </w:r>
      <w:r>
        <w:rPr>
          <w:rFonts w:ascii="Times New Roman" w:hAnsi="Times New Roman" w:cs="Times New Roman"/>
          <w:color w:val="auto"/>
          <w:sz w:val="24"/>
        </w:rPr>
        <w:t>~9</w:t>
      </w:r>
      <w:r>
        <w:rPr>
          <w:rFonts w:hint="eastAsia" w:ascii="Times New Roman" w:hAnsi="Times New Roman" w:cs="Times New Roman"/>
          <w:color w:val="auto"/>
          <w:sz w:val="24"/>
          <w:lang w:val="en-US" w:eastAsia="zh-CN"/>
        </w:rPr>
        <w:t>0</w:t>
      </w:r>
      <w:r>
        <w:rPr>
          <w:rFonts w:ascii="Times New Roman" w:hAnsi="Times New Roman" w:cs="Times New Roman"/>
          <w:color w:val="auto"/>
          <w:sz w:val="24"/>
        </w:rPr>
        <w:t>dB(A)之间。设计尽量选用低噪声设备，并采用减震、隔声、消声和吸声，泵房采取隔声处理，增强泵房的密闭性，可确保厂界噪声达《工业企业厂界环境噪声排放标准》（GB12348-2008）中的</w:t>
      </w:r>
      <w:r>
        <w:rPr>
          <w:rFonts w:hint="eastAsia" w:ascii="Times New Roman" w:hAnsi="Times New Roman" w:cs="Times New Roman"/>
          <w:color w:val="auto"/>
          <w:sz w:val="24"/>
          <w:lang w:val="en-US" w:eastAsia="zh-CN"/>
        </w:rPr>
        <w:t>3</w:t>
      </w:r>
      <w:r>
        <w:rPr>
          <w:rFonts w:ascii="Times New Roman" w:hAnsi="Times New Roman" w:cs="Times New Roman"/>
          <w:color w:val="auto"/>
          <w:sz w:val="24"/>
        </w:rPr>
        <w:t>类标准</w:t>
      </w:r>
      <w:r>
        <w:rPr>
          <w:rFonts w:hint="eastAsia" w:ascii="t" w:hAnsi="宋体"/>
          <w:bCs/>
          <w:color w:val="auto"/>
          <w:kern w:val="0"/>
          <w:sz w:val="24"/>
          <w:szCs w:val="24"/>
        </w:rPr>
        <w:t>。</w:t>
      </w:r>
    </w:p>
    <w:p w14:paraId="4423E964">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建设项目对环境主要的影响分析结论</w:t>
      </w:r>
    </w:p>
    <w:p w14:paraId="465D89B7">
      <w:pPr>
        <w:spacing w:line="560" w:lineRule="exact"/>
        <w:rPr>
          <w:rFonts w:ascii="Times New Roman" w:hAnsi="Times New Roman" w:cs="Times New Roman"/>
          <w:bCs/>
          <w:color w:val="auto"/>
          <w:sz w:val="24"/>
          <w:lang w:val="de-DE"/>
        </w:rPr>
      </w:pPr>
      <w:r>
        <w:rPr>
          <w:rFonts w:hint="eastAsia" w:ascii="t" w:hAnsi="宋体"/>
          <w:b/>
          <w:bCs/>
          <w:color w:val="auto"/>
          <w:kern w:val="0"/>
          <w:sz w:val="24"/>
          <w:szCs w:val="24"/>
        </w:rPr>
        <w:t>地表水环境影响分析：</w:t>
      </w:r>
      <w:r>
        <w:rPr>
          <w:rFonts w:hint="eastAsia" w:ascii="Times New Roman" w:hAnsi="Times New Roman" w:cs="Times New Roman"/>
          <w:color w:val="auto"/>
          <w:sz w:val="24"/>
        </w:rPr>
        <w:t>本项目生活废水</w:t>
      </w:r>
      <w:r>
        <w:rPr>
          <w:rFonts w:hint="eastAsia" w:ascii="Times New Roman" w:hAnsi="Times New Roman" w:cs="Times New Roman"/>
          <w:color w:val="auto"/>
          <w:sz w:val="24"/>
          <w:lang w:val="en-US" w:eastAsia="zh-CN"/>
        </w:rPr>
        <w:t>和酸雾吸收塔废水</w:t>
      </w:r>
      <w:r>
        <w:rPr>
          <w:rFonts w:hint="eastAsia" w:ascii="Times New Roman" w:hAnsi="Times New Roman" w:cs="Times New Roman"/>
          <w:color w:val="auto"/>
          <w:sz w:val="24"/>
        </w:rPr>
        <w:t>达《污水综合排放标准》（GB8978-1996）三级标准后，排入总排口进入污水管网直接排入</w:t>
      </w:r>
      <w:r>
        <w:rPr>
          <w:rFonts w:hint="eastAsia" w:ascii="Times New Roman" w:hAnsi="Times New Roman" w:cs="Times New Roman"/>
          <w:color w:val="auto"/>
          <w:sz w:val="24"/>
          <w:lang w:val="en-US" w:eastAsia="zh-CN"/>
        </w:rPr>
        <w:t>成眉石化园区污水处理厂进行处理</w:t>
      </w: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蒸汽冷凝水回用至生产中使用</w:t>
      </w:r>
      <w:r>
        <w:rPr>
          <w:rFonts w:hint="eastAsia" w:ascii="Times New Roman" w:hAnsi="Times New Roman" w:cs="Times New Roman"/>
          <w:color w:val="auto"/>
          <w:sz w:val="24"/>
        </w:rPr>
        <w:t>，不外排。</w:t>
      </w:r>
    </w:p>
    <w:p w14:paraId="7E92E654">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地下水环境影响分析：</w:t>
      </w:r>
      <w:r>
        <w:rPr>
          <w:rFonts w:hint="eastAsia" w:ascii="t" w:hAnsi="宋体"/>
          <w:color w:val="auto"/>
          <w:kern w:val="0"/>
          <w:sz w:val="24"/>
          <w:szCs w:val="24"/>
        </w:rPr>
        <w:t>地下水污染防治措施和对策，坚持了</w:t>
      </w:r>
      <w:r>
        <w:rPr>
          <w:rFonts w:hint="eastAsia" w:ascii="t" w:hAnsi="t"/>
          <w:color w:val="auto"/>
          <w:kern w:val="0"/>
          <w:sz w:val="24"/>
          <w:szCs w:val="24"/>
        </w:rPr>
        <w:t>“</w:t>
      </w:r>
      <w:r>
        <w:rPr>
          <w:rFonts w:hint="eastAsia" w:ascii="t" w:hAnsi="宋体"/>
          <w:color w:val="auto"/>
          <w:kern w:val="0"/>
          <w:sz w:val="24"/>
          <w:szCs w:val="24"/>
        </w:rPr>
        <w:t>源头控制、分区防治、污染监控、应急响应</w:t>
      </w:r>
      <w:r>
        <w:rPr>
          <w:rFonts w:hint="eastAsia" w:ascii="t" w:hAnsi="t"/>
          <w:color w:val="auto"/>
          <w:kern w:val="0"/>
          <w:sz w:val="24"/>
          <w:szCs w:val="24"/>
        </w:rPr>
        <w:t>”</w:t>
      </w:r>
      <w:r>
        <w:rPr>
          <w:rFonts w:hint="eastAsia" w:ascii="t" w:hAnsi="宋体"/>
          <w:color w:val="auto"/>
          <w:kern w:val="0"/>
          <w:sz w:val="24"/>
          <w:szCs w:val="24"/>
        </w:rPr>
        <w:t>的原则。将全厂按物料或者污染物泄漏的途径和生产功能单元所处的位置划分为重点防渗区、一般防渗区以及简单防渗区三类地下水污染防治区域，各个区域分别采用相应的地下水污染防治措施，本项目的建设对地下水水质影响较小。</w:t>
      </w:r>
    </w:p>
    <w:p w14:paraId="098D09AA">
      <w:pPr>
        <w:widowControl/>
        <w:spacing w:line="432" w:lineRule="auto"/>
        <w:jc w:val="left"/>
        <w:rPr>
          <w:rFonts w:ascii="t" w:hAnsi="宋体"/>
          <w:color w:val="auto"/>
          <w:kern w:val="0"/>
          <w:sz w:val="24"/>
          <w:szCs w:val="24"/>
        </w:rPr>
      </w:pPr>
      <w:r>
        <w:rPr>
          <w:rFonts w:hint="eastAsia" w:ascii="t" w:hAnsi="宋体"/>
          <w:b/>
          <w:bCs/>
          <w:color w:val="auto"/>
          <w:kern w:val="0"/>
          <w:sz w:val="24"/>
          <w:szCs w:val="24"/>
        </w:rPr>
        <w:t>大气环境影响分析：</w:t>
      </w:r>
      <w:r>
        <w:rPr>
          <w:rFonts w:hint="eastAsia" w:ascii="t" w:hAnsi="宋体"/>
          <w:color w:val="auto"/>
          <w:kern w:val="0"/>
          <w:sz w:val="24"/>
          <w:szCs w:val="24"/>
        </w:rPr>
        <w:t>预测可知，各类大气污染物最大落地浓度均能够达到相应环境质量标准。项目的建设对大气环境影响较小。</w:t>
      </w:r>
    </w:p>
    <w:p w14:paraId="42F4B570">
      <w:pPr>
        <w:snapToGrid w:val="0"/>
        <w:spacing w:line="560" w:lineRule="exact"/>
        <w:rPr>
          <w:rFonts w:hint="eastAsia" w:ascii="t" w:hAnsi="t"/>
          <w:color w:val="auto"/>
          <w:kern w:val="0"/>
          <w:sz w:val="24"/>
          <w:szCs w:val="24"/>
        </w:rPr>
      </w:pPr>
      <w:r>
        <w:rPr>
          <w:rFonts w:hint="eastAsia" w:ascii="t" w:hAnsi="宋体"/>
          <w:b/>
          <w:bCs/>
          <w:color w:val="auto"/>
          <w:kern w:val="0"/>
          <w:sz w:val="24"/>
          <w:szCs w:val="24"/>
        </w:rPr>
        <w:t>声环境影响分析</w:t>
      </w:r>
      <w:r>
        <w:rPr>
          <w:rFonts w:hint="eastAsia" w:ascii="t" w:hAnsi="宋体"/>
          <w:color w:val="auto"/>
          <w:kern w:val="0"/>
          <w:sz w:val="24"/>
          <w:szCs w:val="24"/>
        </w:rPr>
        <w:t>：</w:t>
      </w:r>
      <w:r>
        <w:rPr>
          <w:rFonts w:ascii="Times New Roman" w:hAnsi="Times New Roman" w:cs="Times New Roman"/>
          <w:color w:val="auto"/>
          <w:sz w:val="24"/>
        </w:rPr>
        <w:t>建设项目声源均为稳定声源，高噪声设备均优化总图，经消声、减振及充分利用封闭围护结构的隔声措施后，可使厂界噪声达标。同时，环评要求：将高噪声源进行中空隔声墙体设置，提高墙体隔声量，并加强机械的润滑和保养工作，以保证厂界噪声的达标排放。</w:t>
      </w:r>
    </w:p>
    <w:p w14:paraId="0591400C">
      <w:pPr>
        <w:snapToGrid w:val="0"/>
        <w:spacing w:line="560" w:lineRule="exact"/>
        <w:rPr>
          <w:rFonts w:hint="eastAsia" w:ascii="t" w:hAnsi="t"/>
          <w:color w:val="auto"/>
          <w:kern w:val="0"/>
          <w:sz w:val="24"/>
          <w:szCs w:val="24"/>
        </w:rPr>
      </w:pPr>
      <w:r>
        <w:rPr>
          <w:rFonts w:hint="eastAsia" w:ascii="t" w:hAnsi="宋体"/>
          <w:b/>
          <w:bCs/>
          <w:color w:val="auto"/>
          <w:kern w:val="0"/>
          <w:sz w:val="24"/>
          <w:szCs w:val="24"/>
        </w:rPr>
        <w:t>固体废物影响分析：</w:t>
      </w:r>
      <w:r>
        <w:rPr>
          <w:rFonts w:hint="eastAsia" w:ascii="t" w:hAnsi="宋体"/>
          <w:color w:val="auto"/>
          <w:kern w:val="0"/>
          <w:sz w:val="24"/>
          <w:szCs w:val="24"/>
        </w:rPr>
        <w:t>项</w:t>
      </w:r>
      <w:r>
        <w:rPr>
          <w:rFonts w:hint="eastAsia" w:ascii="t" w:hAnsi="宋体"/>
          <w:color w:val="auto"/>
          <w:kern w:val="0"/>
          <w:sz w:val="24"/>
          <w:szCs w:val="24"/>
          <w:lang w:val="en-US" w:eastAsia="zh-CN"/>
        </w:rPr>
        <w:t>目</w:t>
      </w:r>
      <w:r>
        <w:rPr>
          <w:rFonts w:hint="eastAsia" w:ascii="t" w:hAnsi="宋体"/>
          <w:color w:val="auto"/>
          <w:kern w:val="0"/>
          <w:sz w:val="24"/>
          <w:szCs w:val="24"/>
        </w:rPr>
        <w:t>固体废物主要有废包装材料、废渣、</w:t>
      </w:r>
      <w:r>
        <w:rPr>
          <w:rFonts w:hint="eastAsia" w:ascii="t" w:hAnsi="宋体"/>
          <w:color w:val="auto"/>
          <w:kern w:val="0"/>
          <w:sz w:val="24"/>
          <w:szCs w:val="24"/>
          <w:lang w:val="en-US" w:eastAsia="zh-CN"/>
        </w:rPr>
        <w:t>废机油</w:t>
      </w:r>
      <w:r>
        <w:rPr>
          <w:rFonts w:hint="eastAsia" w:ascii="t" w:hAnsi="宋体"/>
          <w:color w:val="auto"/>
          <w:kern w:val="0"/>
          <w:sz w:val="24"/>
          <w:szCs w:val="24"/>
        </w:rPr>
        <w:t>、生活垃圾</w:t>
      </w:r>
      <w:r>
        <w:rPr>
          <w:rFonts w:ascii="Times New Roman" w:hAnsi="Times New Roman" w:cs="Times New Roman"/>
          <w:color w:val="auto"/>
          <w:sz w:val="24"/>
        </w:rPr>
        <w:t>。</w:t>
      </w:r>
      <w:r>
        <w:rPr>
          <w:rFonts w:hint="eastAsia" w:ascii="t" w:hAnsi="宋体"/>
          <w:color w:val="auto"/>
          <w:kern w:val="0"/>
          <w:sz w:val="24"/>
          <w:szCs w:val="24"/>
        </w:rPr>
        <w:t>厂内一般工业固体废物应按《一般工业固体废物贮存、处置场污染控制标准》（GB18599-2001）设置一般工业固体废物临时贮存场所，并专人负责固体废物的收集、贮存，同时配合地方要求进行集中处置。废机油</w:t>
      </w:r>
      <w:r>
        <w:rPr>
          <w:rFonts w:hint="eastAsia" w:ascii="t" w:hAnsi="宋体"/>
          <w:color w:val="auto"/>
          <w:kern w:val="0"/>
          <w:sz w:val="24"/>
          <w:szCs w:val="24"/>
          <w:lang w:eastAsia="zh-CN"/>
        </w:rPr>
        <w:t>、</w:t>
      </w:r>
      <w:r>
        <w:rPr>
          <w:rFonts w:hint="eastAsia" w:ascii="t" w:hAnsi="宋体"/>
          <w:color w:val="auto"/>
          <w:kern w:val="0"/>
          <w:sz w:val="24"/>
          <w:szCs w:val="24"/>
          <w:lang w:val="en-US" w:eastAsia="zh-CN"/>
        </w:rPr>
        <w:t>废包装材料、废渣</w:t>
      </w:r>
      <w:r>
        <w:rPr>
          <w:rFonts w:hint="eastAsia" w:ascii="t" w:hAnsi="宋体"/>
          <w:color w:val="auto"/>
          <w:kern w:val="0"/>
          <w:sz w:val="24"/>
          <w:szCs w:val="24"/>
        </w:rPr>
        <w:t>委托有危险废物处理资质的单位处置。项目产生的固废去向合理，不会造成二次污染。</w:t>
      </w:r>
    </w:p>
    <w:p w14:paraId="61BB6EEA">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风险分析：</w:t>
      </w:r>
      <w:r>
        <w:rPr>
          <w:rFonts w:hint="eastAsia" w:ascii="t" w:hAnsi="宋体"/>
          <w:color w:val="auto"/>
          <w:kern w:val="0"/>
          <w:sz w:val="24"/>
          <w:szCs w:val="24"/>
        </w:rPr>
        <w:t>项目制定了较为周全的风险事故防范措施和事故应急预案。此外，企业今后需要进一步加强管理和监控，将环境风险控制在可接受水平之内。项目在发生风险事故后如能立即启动厂区事故应急预案，确保事故不扩大，将不会对建设地区环境造成较大危险。可有效地控制其使用风险和对周围环境的影响。</w:t>
      </w:r>
    </w:p>
    <w:p w14:paraId="3827261E">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三、</w:t>
      </w:r>
      <w:r>
        <w:rPr>
          <w:rFonts w:ascii="t" w:hAnsi="t"/>
          <w:color w:val="auto"/>
          <w:kern w:val="0"/>
          <w:sz w:val="24"/>
          <w:szCs w:val="24"/>
        </w:rPr>
        <w:t xml:space="preserve"> </w:t>
      </w:r>
      <w:r>
        <w:rPr>
          <w:rFonts w:ascii="t" w:hAnsi="宋体"/>
          <w:color w:val="auto"/>
          <w:kern w:val="0"/>
          <w:sz w:val="24"/>
          <w:szCs w:val="24"/>
        </w:rPr>
        <w:t>建设单位情况</w:t>
      </w:r>
      <w:r>
        <w:rPr>
          <w:rFonts w:ascii="t" w:hAnsi="t"/>
          <w:color w:val="auto"/>
          <w:kern w:val="0"/>
          <w:sz w:val="24"/>
          <w:szCs w:val="24"/>
        </w:rPr>
        <w:t xml:space="preserve"> </w:t>
      </w:r>
    </w:p>
    <w:p w14:paraId="47127B2E">
      <w:pPr>
        <w:widowControl/>
        <w:spacing w:line="432" w:lineRule="auto"/>
        <w:jc w:val="left"/>
        <w:rPr>
          <w:rFonts w:hint="eastAsia" w:ascii="t" w:hAnsi="宋体"/>
          <w:bCs/>
          <w:color w:val="auto"/>
          <w:kern w:val="0"/>
          <w:sz w:val="24"/>
          <w:szCs w:val="24"/>
        </w:rPr>
      </w:pPr>
      <w:r>
        <w:rPr>
          <w:rFonts w:ascii="t" w:hAnsi="宋体"/>
          <w:color w:val="auto"/>
          <w:kern w:val="0"/>
          <w:sz w:val="24"/>
          <w:szCs w:val="24"/>
        </w:rPr>
        <w:t>单位名称：</w:t>
      </w:r>
      <w:r>
        <w:rPr>
          <w:rFonts w:hint="eastAsia" w:ascii="宋体" w:hAnsi="宋体" w:eastAsia="宋体" w:cs="宋体"/>
          <w:bCs/>
          <w:color w:val="auto"/>
          <w:kern w:val="0"/>
          <w:sz w:val="24"/>
          <w:szCs w:val="24"/>
        </w:rPr>
        <w:t>四川辑喆新能源有限公司</w:t>
      </w:r>
    </w:p>
    <w:p w14:paraId="4B1498D6">
      <w:pPr>
        <w:widowControl/>
        <w:spacing w:line="432" w:lineRule="auto"/>
        <w:jc w:val="left"/>
        <w:rPr>
          <w:rFonts w:hint="eastAsia" w:ascii="t" w:hAnsi="t"/>
          <w:color w:val="auto"/>
          <w:kern w:val="0"/>
          <w:sz w:val="24"/>
          <w:szCs w:val="24"/>
        </w:rPr>
      </w:pPr>
      <w:r>
        <w:rPr>
          <w:rFonts w:ascii="t" w:hAnsi="宋体"/>
          <w:color w:val="auto"/>
          <w:kern w:val="0"/>
          <w:sz w:val="24"/>
          <w:szCs w:val="24"/>
        </w:rPr>
        <w:t>单位地址：</w:t>
      </w:r>
      <w:r>
        <w:rPr>
          <w:rFonts w:hint="eastAsia" w:ascii="Times New Roman" w:hAnsi="Times New Roman" w:cs="Times New Roman"/>
          <w:bCs/>
          <w:color w:val="auto"/>
          <w:sz w:val="24"/>
          <w:highlight w:val="none"/>
        </w:rPr>
        <w:t>四川省彭山经济开发区产业大道11号</w:t>
      </w:r>
    </w:p>
    <w:p w14:paraId="07E09F1C">
      <w:pPr>
        <w:widowControl/>
        <w:spacing w:line="432" w:lineRule="auto"/>
        <w:jc w:val="left"/>
        <w:outlineLvl w:val="0"/>
        <w:rPr>
          <w:rFonts w:hint="eastAsia" w:ascii="t" w:hAnsi="宋体" w:eastAsia="宋体"/>
          <w:color w:val="auto"/>
          <w:kern w:val="0"/>
          <w:sz w:val="24"/>
          <w:szCs w:val="24"/>
          <w:lang w:val="en-US" w:eastAsia="zh-CN"/>
        </w:rPr>
      </w:pPr>
      <w:r>
        <w:rPr>
          <w:rFonts w:hint="eastAsia" w:ascii="t" w:hAnsi="宋体"/>
          <w:color w:val="auto"/>
          <w:kern w:val="0"/>
          <w:sz w:val="24"/>
          <w:szCs w:val="24"/>
        </w:rPr>
        <w:t>联系人：</w:t>
      </w:r>
      <w:r>
        <w:rPr>
          <w:rFonts w:hint="eastAsia" w:ascii="t" w:hAnsi="宋体"/>
          <w:color w:val="auto"/>
          <w:kern w:val="0"/>
          <w:sz w:val="24"/>
          <w:szCs w:val="24"/>
          <w:lang w:val="en-US" w:eastAsia="zh-CN"/>
        </w:rPr>
        <w:t>邱总</w:t>
      </w:r>
    </w:p>
    <w:p w14:paraId="2EB47E7F">
      <w:pPr>
        <w:widowControl/>
        <w:spacing w:line="432" w:lineRule="auto"/>
        <w:jc w:val="left"/>
        <w:outlineLvl w:val="0"/>
        <w:rPr>
          <w:rFonts w:hint="default" w:ascii="t" w:hAnsi="宋体" w:eastAsia="宋体"/>
          <w:color w:val="auto"/>
          <w:kern w:val="0"/>
          <w:sz w:val="24"/>
          <w:szCs w:val="24"/>
          <w:lang w:val="en-US" w:eastAsia="zh-CN"/>
        </w:rPr>
      </w:pPr>
      <w:r>
        <w:rPr>
          <w:rFonts w:hint="eastAsia" w:ascii="t" w:hAnsi="宋体"/>
          <w:color w:val="auto"/>
          <w:kern w:val="0"/>
          <w:sz w:val="24"/>
          <w:szCs w:val="24"/>
        </w:rPr>
        <w:t>联系电话：</w:t>
      </w:r>
      <w:r>
        <w:rPr>
          <w:rFonts w:hint="default" w:ascii="Times New Roman" w:hAnsi="Times New Roman" w:cs="Times New Roman"/>
          <w:color w:val="auto"/>
          <w:kern w:val="0"/>
          <w:sz w:val="24"/>
          <w:szCs w:val="24"/>
          <w:lang w:val="en-US" w:eastAsia="zh-CN"/>
        </w:rPr>
        <w:t>13882166518</w:t>
      </w:r>
    </w:p>
    <w:p w14:paraId="5C30EF25">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四、环评单位情况</w:t>
      </w:r>
      <w:r>
        <w:rPr>
          <w:rFonts w:ascii="t" w:hAnsi="t"/>
          <w:color w:val="auto"/>
          <w:kern w:val="0"/>
          <w:sz w:val="24"/>
          <w:szCs w:val="24"/>
        </w:rPr>
        <w:t xml:space="preserve"> </w:t>
      </w:r>
    </w:p>
    <w:p w14:paraId="4F979195">
      <w:pPr>
        <w:widowControl/>
        <w:spacing w:line="432" w:lineRule="auto"/>
        <w:jc w:val="left"/>
        <w:rPr>
          <w:rFonts w:hint="eastAsia" w:ascii="t" w:hAnsi="宋体"/>
          <w:color w:val="auto"/>
          <w:kern w:val="0"/>
          <w:sz w:val="24"/>
          <w:szCs w:val="24"/>
        </w:rPr>
      </w:pPr>
      <w:r>
        <w:rPr>
          <w:rFonts w:ascii="t" w:hAnsi="宋体"/>
          <w:color w:val="auto"/>
          <w:kern w:val="0"/>
          <w:sz w:val="24"/>
          <w:szCs w:val="24"/>
        </w:rPr>
        <w:t>单位名称：</w:t>
      </w:r>
      <w:r>
        <w:rPr>
          <w:rFonts w:hint="eastAsia" w:ascii="t" w:hAnsi="宋体"/>
          <w:color w:val="auto"/>
          <w:kern w:val="0"/>
          <w:sz w:val="24"/>
          <w:szCs w:val="24"/>
        </w:rPr>
        <w:t>眉山宏德环境技术有限公司</w:t>
      </w:r>
    </w:p>
    <w:p w14:paraId="7A78D6BE">
      <w:pPr>
        <w:widowControl/>
        <w:spacing w:line="432" w:lineRule="auto"/>
        <w:jc w:val="left"/>
        <w:rPr>
          <w:rFonts w:hint="eastAsia" w:ascii="t" w:hAnsi="t"/>
          <w:color w:val="auto"/>
          <w:kern w:val="0"/>
          <w:sz w:val="24"/>
          <w:szCs w:val="24"/>
        </w:rPr>
      </w:pPr>
      <w:r>
        <w:rPr>
          <w:rFonts w:ascii="t" w:hAnsi="宋体"/>
          <w:color w:val="auto"/>
          <w:kern w:val="0"/>
          <w:sz w:val="24"/>
          <w:szCs w:val="24"/>
        </w:rPr>
        <w:t>通讯地址：</w:t>
      </w:r>
      <w:r>
        <w:rPr>
          <w:rFonts w:hint="eastAsia" w:ascii="t" w:hAnsi="宋体"/>
          <w:color w:val="auto"/>
          <w:kern w:val="0"/>
          <w:sz w:val="24"/>
          <w:szCs w:val="24"/>
        </w:rPr>
        <w:t>眉山市东坡区裴城春天</w:t>
      </w:r>
    </w:p>
    <w:p w14:paraId="301FDADF">
      <w:pPr>
        <w:widowControl/>
        <w:spacing w:line="432" w:lineRule="auto"/>
        <w:jc w:val="left"/>
        <w:rPr>
          <w:rFonts w:hint="eastAsia" w:ascii="t" w:hAnsi="t"/>
          <w:color w:val="auto"/>
          <w:kern w:val="0"/>
          <w:sz w:val="24"/>
          <w:szCs w:val="24"/>
        </w:rPr>
      </w:pPr>
      <w:r>
        <w:rPr>
          <w:rFonts w:ascii="t" w:hAnsi="宋体"/>
          <w:color w:val="auto"/>
          <w:kern w:val="0"/>
          <w:sz w:val="24"/>
          <w:szCs w:val="24"/>
        </w:rPr>
        <w:t>联</w:t>
      </w:r>
      <w:r>
        <w:rPr>
          <w:rFonts w:ascii="t" w:hAnsi="t"/>
          <w:color w:val="auto"/>
          <w:kern w:val="0"/>
          <w:sz w:val="24"/>
          <w:szCs w:val="24"/>
        </w:rPr>
        <w:t xml:space="preserve"> </w:t>
      </w:r>
      <w:r>
        <w:rPr>
          <w:rFonts w:ascii="t" w:hAnsi="宋体"/>
          <w:color w:val="auto"/>
          <w:kern w:val="0"/>
          <w:sz w:val="24"/>
          <w:szCs w:val="24"/>
        </w:rPr>
        <w:t>系</w:t>
      </w:r>
      <w:r>
        <w:rPr>
          <w:rFonts w:ascii="t" w:hAnsi="t"/>
          <w:color w:val="auto"/>
          <w:kern w:val="0"/>
          <w:sz w:val="24"/>
          <w:szCs w:val="24"/>
        </w:rPr>
        <w:t xml:space="preserve"> </w:t>
      </w:r>
      <w:r>
        <w:rPr>
          <w:rFonts w:ascii="t" w:hAnsi="宋体"/>
          <w:color w:val="auto"/>
          <w:kern w:val="0"/>
          <w:sz w:val="24"/>
          <w:szCs w:val="24"/>
        </w:rPr>
        <w:t>人：</w:t>
      </w:r>
      <w:r>
        <w:rPr>
          <w:rFonts w:hint="eastAsia" w:ascii="t" w:hAnsi="宋体"/>
          <w:color w:val="auto"/>
          <w:kern w:val="0"/>
          <w:sz w:val="24"/>
          <w:szCs w:val="24"/>
          <w:lang w:val="en-US" w:eastAsia="zh-CN"/>
        </w:rPr>
        <w:t>徐工</w:t>
      </w:r>
      <w:r>
        <w:rPr>
          <w:rFonts w:ascii="t" w:hAnsi="t"/>
          <w:color w:val="auto"/>
          <w:kern w:val="0"/>
          <w:sz w:val="24"/>
          <w:szCs w:val="24"/>
        </w:rPr>
        <w:t xml:space="preserve">       </w:t>
      </w:r>
    </w:p>
    <w:p w14:paraId="5D37DE5B">
      <w:pPr>
        <w:widowControl/>
        <w:spacing w:line="432" w:lineRule="auto"/>
        <w:jc w:val="left"/>
        <w:rPr>
          <w:rFonts w:hint="default" w:ascii="t" w:hAnsi="t" w:eastAsia="宋体"/>
          <w:color w:val="auto"/>
          <w:kern w:val="0"/>
          <w:sz w:val="24"/>
          <w:szCs w:val="24"/>
          <w:lang w:val="en-US" w:eastAsia="zh-CN"/>
        </w:rPr>
      </w:pPr>
      <w:r>
        <w:rPr>
          <w:rFonts w:ascii="t" w:hAnsi="宋体"/>
          <w:color w:val="auto"/>
          <w:kern w:val="0"/>
          <w:sz w:val="24"/>
          <w:szCs w:val="24"/>
        </w:rPr>
        <w:t>电</w:t>
      </w:r>
      <w:r>
        <w:rPr>
          <w:rFonts w:ascii="t" w:hAnsi="t"/>
          <w:color w:val="auto"/>
          <w:kern w:val="0"/>
          <w:sz w:val="24"/>
          <w:szCs w:val="24"/>
        </w:rPr>
        <w:t xml:space="preserve">    </w:t>
      </w:r>
      <w:r>
        <w:rPr>
          <w:rFonts w:ascii="t" w:hAnsi="宋体"/>
          <w:color w:val="auto"/>
          <w:kern w:val="0"/>
          <w:sz w:val="24"/>
          <w:szCs w:val="24"/>
        </w:rPr>
        <w:t>话：</w:t>
      </w:r>
      <w:r>
        <w:rPr>
          <w:rFonts w:hint="eastAsia" w:ascii="t" w:hAnsi="t"/>
          <w:color w:val="auto"/>
          <w:kern w:val="0"/>
          <w:sz w:val="24"/>
          <w:szCs w:val="24"/>
          <w:lang w:val="en-US" w:eastAsia="zh-CN"/>
        </w:rPr>
        <w:t>17360675649</w:t>
      </w:r>
    </w:p>
    <w:p w14:paraId="2A9E4687">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五、环境影响评价工作的工作程序和主要工作内容：</w:t>
      </w:r>
      <w:r>
        <w:rPr>
          <w:rFonts w:ascii="t" w:hAnsi="t"/>
          <w:color w:val="auto"/>
          <w:kern w:val="0"/>
          <w:sz w:val="24"/>
          <w:szCs w:val="24"/>
        </w:rPr>
        <w:t xml:space="preserve"> </w:t>
      </w:r>
    </w:p>
    <w:p w14:paraId="4DC03399">
      <w:pPr>
        <w:widowControl/>
        <w:spacing w:line="432" w:lineRule="auto"/>
        <w:jc w:val="left"/>
        <w:rPr>
          <w:rFonts w:hint="eastAsia" w:ascii="t" w:hAnsi="t"/>
          <w:color w:val="auto"/>
          <w:kern w:val="0"/>
          <w:sz w:val="24"/>
          <w:szCs w:val="24"/>
        </w:rPr>
      </w:pPr>
      <w:r>
        <w:rPr>
          <w:rFonts w:ascii="t" w:hAnsi="宋体"/>
          <w:color w:val="auto"/>
          <w:kern w:val="0"/>
          <w:sz w:val="24"/>
          <w:szCs w:val="24"/>
        </w:rPr>
        <w:t>本次环境影响评价工作按照</w:t>
      </w:r>
      <w:r>
        <w:rPr>
          <w:rFonts w:hint="eastAsia"/>
          <w:color w:val="auto"/>
          <w:sz w:val="24"/>
        </w:rPr>
        <w:t>《中华人民共和国环境保护法》</w:t>
      </w:r>
      <w:r>
        <w:rPr>
          <w:rFonts w:ascii="t" w:hAnsi="宋体"/>
          <w:color w:val="auto"/>
          <w:kern w:val="0"/>
          <w:sz w:val="24"/>
          <w:szCs w:val="24"/>
        </w:rPr>
        <w:t>、</w:t>
      </w:r>
      <w:r>
        <w:rPr>
          <w:rFonts w:hint="eastAsia"/>
          <w:color w:val="auto"/>
          <w:sz w:val="24"/>
        </w:rPr>
        <w:t>《中华人民共和国环境影响评价法》、</w:t>
      </w:r>
      <w:r>
        <w:rPr>
          <w:rFonts w:ascii="t" w:hAnsi="宋体"/>
          <w:color w:val="auto"/>
          <w:kern w:val="0"/>
          <w:sz w:val="24"/>
          <w:szCs w:val="24"/>
        </w:rPr>
        <w:t>《环境影响评价技术导则》等国家相关规定进行；本次评价主要工作内容为工程分析、污染防治措施评述、环境影响预测评价及风险环境影响评价等。</w:t>
      </w:r>
      <w:r>
        <w:rPr>
          <w:rFonts w:ascii="t" w:hAnsi="t"/>
          <w:color w:val="auto"/>
          <w:kern w:val="0"/>
          <w:sz w:val="24"/>
          <w:szCs w:val="24"/>
        </w:rPr>
        <w:t xml:space="preserve"> </w:t>
      </w:r>
    </w:p>
    <w:p w14:paraId="0477D8B5">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六、征求公众意见的主要事项：</w:t>
      </w:r>
      <w:r>
        <w:rPr>
          <w:rFonts w:ascii="t" w:hAnsi="t"/>
          <w:color w:val="auto"/>
          <w:kern w:val="0"/>
          <w:sz w:val="24"/>
          <w:szCs w:val="24"/>
        </w:rPr>
        <w:t xml:space="preserve"> </w:t>
      </w:r>
    </w:p>
    <w:p w14:paraId="09CF0F99">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、请公众提供个人准确信息主要包括：姓名、职业、文化程度、家庭住址及联系电话；</w:t>
      </w:r>
      <w:r>
        <w:rPr>
          <w:rFonts w:ascii="t" w:hAnsi="t"/>
          <w:color w:val="auto"/>
          <w:kern w:val="0"/>
          <w:sz w:val="24"/>
          <w:szCs w:val="24"/>
        </w:rPr>
        <w:t xml:space="preserve"> </w:t>
      </w:r>
    </w:p>
    <w:p w14:paraId="5C8C4890">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、您是否知道</w:t>
      </w:r>
      <w:r>
        <w:rPr>
          <w:rFonts w:ascii="t" w:hAnsi="t"/>
          <w:color w:val="auto"/>
          <w:kern w:val="0"/>
          <w:sz w:val="24"/>
          <w:szCs w:val="24"/>
        </w:rPr>
        <w:t>/</w:t>
      </w:r>
      <w:r>
        <w:rPr>
          <w:rFonts w:ascii="t" w:hAnsi="宋体"/>
          <w:color w:val="auto"/>
          <w:kern w:val="0"/>
          <w:sz w:val="24"/>
          <w:szCs w:val="24"/>
        </w:rPr>
        <w:t>了解在该地区拟建设该项目；</w:t>
      </w:r>
      <w:r>
        <w:rPr>
          <w:rFonts w:ascii="t" w:hAnsi="t"/>
          <w:color w:val="auto"/>
          <w:kern w:val="0"/>
          <w:sz w:val="24"/>
          <w:szCs w:val="24"/>
        </w:rPr>
        <w:t xml:space="preserve"> </w:t>
      </w:r>
    </w:p>
    <w:p w14:paraId="2584721B">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、根据您掌握的情况，认为该项目对环境质量造成的危害</w:t>
      </w:r>
      <w:r>
        <w:rPr>
          <w:rFonts w:ascii="t" w:hAnsi="t"/>
          <w:color w:val="auto"/>
          <w:kern w:val="0"/>
          <w:sz w:val="24"/>
          <w:szCs w:val="24"/>
        </w:rPr>
        <w:t>/</w:t>
      </w:r>
      <w:r>
        <w:rPr>
          <w:rFonts w:ascii="t" w:hAnsi="宋体"/>
          <w:color w:val="auto"/>
          <w:kern w:val="0"/>
          <w:sz w:val="24"/>
          <w:szCs w:val="24"/>
        </w:rPr>
        <w:t>影响方面及程度；</w:t>
      </w:r>
      <w:r>
        <w:rPr>
          <w:rFonts w:ascii="t" w:hAnsi="t"/>
          <w:color w:val="auto"/>
          <w:kern w:val="0"/>
          <w:sz w:val="24"/>
          <w:szCs w:val="24"/>
        </w:rPr>
        <w:t xml:space="preserve"> </w:t>
      </w:r>
    </w:p>
    <w:p w14:paraId="57751107">
      <w:pPr>
        <w:widowControl/>
        <w:spacing w:line="432" w:lineRule="auto"/>
        <w:jc w:val="left"/>
        <w:rPr>
          <w:rFonts w:hint="eastAsia" w:ascii="t" w:hAnsi="t"/>
          <w:color w:val="auto"/>
          <w:kern w:val="0"/>
          <w:sz w:val="24"/>
          <w:szCs w:val="24"/>
        </w:rPr>
      </w:pPr>
      <w:r>
        <w:rPr>
          <w:rFonts w:ascii="t" w:hAnsi="t"/>
          <w:color w:val="auto"/>
          <w:kern w:val="0"/>
          <w:sz w:val="24"/>
          <w:szCs w:val="24"/>
        </w:rPr>
        <w:t>4</w:t>
      </w:r>
      <w:r>
        <w:rPr>
          <w:rFonts w:ascii="t" w:hAnsi="宋体"/>
          <w:color w:val="auto"/>
          <w:kern w:val="0"/>
          <w:sz w:val="24"/>
          <w:szCs w:val="24"/>
        </w:rPr>
        <w:t>、您认为该项目对环境造成的危害</w:t>
      </w:r>
      <w:r>
        <w:rPr>
          <w:rFonts w:ascii="t" w:hAnsi="t"/>
          <w:color w:val="auto"/>
          <w:kern w:val="0"/>
          <w:sz w:val="24"/>
          <w:szCs w:val="24"/>
        </w:rPr>
        <w:t>/</w:t>
      </w:r>
      <w:r>
        <w:rPr>
          <w:rFonts w:ascii="t" w:hAnsi="宋体"/>
          <w:color w:val="auto"/>
          <w:kern w:val="0"/>
          <w:sz w:val="24"/>
          <w:szCs w:val="24"/>
        </w:rPr>
        <w:t>影响程度；</w:t>
      </w:r>
      <w:r>
        <w:rPr>
          <w:rFonts w:ascii="t" w:hAnsi="t"/>
          <w:color w:val="auto"/>
          <w:kern w:val="0"/>
          <w:sz w:val="24"/>
          <w:szCs w:val="24"/>
        </w:rPr>
        <w:t xml:space="preserve"> </w:t>
      </w:r>
    </w:p>
    <w:p w14:paraId="23A49C33">
      <w:pPr>
        <w:widowControl/>
        <w:spacing w:line="432" w:lineRule="auto"/>
        <w:jc w:val="left"/>
        <w:rPr>
          <w:rFonts w:hint="eastAsia" w:ascii="t" w:hAnsi="t"/>
          <w:color w:val="auto"/>
          <w:kern w:val="0"/>
          <w:sz w:val="24"/>
          <w:szCs w:val="24"/>
        </w:rPr>
      </w:pPr>
      <w:r>
        <w:rPr>
          <w:rFonts w:ascii="t" w:hAnsi="t"/>
          <w:color w:val="auto"/>
          <w:kern w:val="0"/>
          <w:sz w:val="24"/>
          <w:szCs w:val="24"/>
        </w:rPr>
        <w:t>5</w:t>
      </w:r>
      <w:r>
        <w:rPr>
          <w:rFonts w:ascii="t" w:hAnsi="宋体"/>
          <w:color w:val="auto"/>
          <w:kern w:val="0"/>
          <w:sz w:val="24"/>
          <w:szCs w:val="24"/>
        </w:rPr>
        <w:t>、您对该项目环保方面有何建议和要求；</w:t>
      </w:r>
      <w:r>
        <w:rPr>
          <w:rFonts w:ascii="t" w:hAnsi="t"/>
          <w:color w:val="auto"/>
          <w:kern w:val="0"/>
          <w:sz w:val="24"/>
          <w:szCs w:val="24"/>
        </w:rPr>
        <w:t xml:space="preserve"> </w:t>
      </w:r>
    </w:p>
    <w:p w14:paraId="17BB34A6">
      <w:pPr>
        <w:widowControl/>
        <w:spacing w:line="432" w:lineRule="auto"/>
        <w:jc w:val="left"/>
        <w:rPr>
          <w:rFonts w:hint="eastAsia" w:ascii="t" w:hAnsi="t"/>
          <w:color w:val="auto"/>
          <w:kern w:val="0"/>
          <w:sz w:val="24"/>
          <w:szCs w:val="24"/>
        </w:rPr>
      </w:pPr>
      <w:r>
        <w:rPr>
          <w:rFonts w:ascii="t" w:hAnsi="t"/>
          <w:color w:val="auto"/>
          <w:kern w:val="0"/>
          <w:sz w:val="24"/>
          <w:szCs w:val="24"/>
        </w:rPr>
        <w:t>6</w:t>
      </w:r>
      <w:r>
        <w:rPr>
          <w:rFonts w:ascii="t" w:hAnsi="宋体"/>
          <w:color w:val="auto"/>
          <w:kern w:val="0"/>
          <w:sz w:val="24"/>
          <w:szCs w:val="24"/>
        </w:rPr>
        <w:t>、从环保角度出发，您对该项目持何种态度，并简要说明原因。</w:t>
      </w:r>
      <w:r>
        <w:rPr>
          <w:rFonts w:ascii="t" w:hAnsi="t"/>
          <w:color w:val="auto"/>
          <w:kern w:val="0"/>
          <w:sz w:val="24"/>
          <w:szCs w:val="24"/>
        </w:rPr>
        <w:t xml:space="preserve"> </w:t>
      </w:r>
    </w:p>
    <w:p w14:paraId="23B3E7F2">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七、公众提出意见的主要方式</w:t>
      </w:r>
      <w:r>
        <w:rPr>
          <w:rFonts w:ascii="t" w:hAnsi="t"/>
          <w:color w:val="auto"/>
          <w:kern w:val="0"/>
          <w:sz w:val="24"/>
          <w:szCs w:val="24"/>
        </w:rPr>
        <w:t xml:space="preserve"> </w:t>
      </w:r>
    </w:p>
    <w:p w14:paraId="73507CD9">
      <w:pPr>
        <w:widowControl/>
        <w:spacing w:line="432" w:lineRule="auto"/>
        <w:jc w:val="left"/>
        <w:rPr>
          <w:rFonts w:hint="eastAsia" w:ascii="t" w:hAnsi="t"/>
          <w:color w:val="auto"/>
          <w:kern w:val="0"/>
          <w:sz w:val="24"/>
          <w:szCs w:val="24"/>
        </w:rPr>
      </w:pPr>
      <w:r>
        <w:rPr>
          <w:rFonts w:ascii="t" w:hAnsi="宋体"/>
          <w:color w:val="auto"/>
          <w:kern w:val="0"/>
          <w:sz w:val="24"/>
          <w:szCs w:val="24"/>
        </w:rPr>
        <w:t>您可以采用下列任何一种方式将您的意见反馈给我们：</w:t>
      </w:r>
      <w:r>
        <w:rPr>
          <w:rFonts w:ascii="t" w:hAnsi="t"/>
          <w:color w:val="auto"/>
          <w:kern w:val="0"/>
          <w:sz w:val="24"/>
          <w:szCs w:val="24"/>
        </w:rPr>
        <w:t xml:space="preserve"> </w:t>
      </w:r>
    </w:p>
    <w:p w14:paraId="51B66163">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、拨打联系电话，可以是建设单位联系电话，也可以是受委托的环评单位联系电话。</w:t>
      </w:r>
      <w:r>
        <w:rPr>
          <w:rFonts w:ascii="t" w:hAnsi="t"/>
          <w:color w:val="auto"/>
          <w:kern w:val="0"/>
          <w:sz w:val="24"/>
          <w:szCs w:val="24"/>
        </w:rPr>
        <w:t xml:space="preserve"> </w:t>
      </w:r>
    </w:p>
    <w:p w14:paraId="4C291CA9">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、以信函、邮件的方式。</w:t>
      </w:r>
      <w:r>
        <w:rPr>
          <w:rFonts w:ascii="t" w:hAnsi="t"/>
          <w:color w:val="auto"/>
          <w:kern w:val="0"/>
          <w:sz w:val="24"/>
          <w:szCs w:val="24"/>
        </w:rPr>
        <w:t xml:space="preserve"> </w:t>
      </w:r>
    </w:p>
    <w:p w14:paraId="17A74E91">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、填写</w:t>
      </w:r>
      <w:r>
        <w:rPr>
          <w:rFonts w:hint="eastAsia" w:ascii="t" w:hAnsi="宋体"/>
          <w:color w:val="auto"/>
          <w:kern w:val="0"/>
          <w:sz w:val="24"/>
          <w:szCs w:val="24"/>
        </w:rPr>
        <w:t>建设项目环境影响评价公众意见表</w:t>
      </w:r>
      <w:r>
        <w:rPr>
          <w:rFonts w:ascii="t" w:hAnsi="宋体"/>
          <w:color w:val="auto"/>
          <w:kern w:val="0"/>
          <w:sz w:val="24"/>
          <w:szCs w:val="24"/>
        </w:rPr>
        <w:t>。</w:t>
      </w:r>
      <w:r>
        <w:rPr>
          <w:rFonts w:ascii="t" w:hAnsi="t"/>
          <w:color w:val="auto"/>
          <w:kern w:val="0"/>
          <w:sz w:val="24"/>
          <w:szCs w:val="24"/>
        </w:rPr>
        <w:t xml:space="preserve"> </w:t>
      </w:r>
    </w:p>
    <w:p w14:paraId="55793622">
      <w:pPr>
        <w:widowControl/>
        <w:spacing w:line="432" w:lineRule="auto"/>
        <w:jc w:val="left"/>
        <w:rPr>
          <w:rFonts w:hint="eastAsia" w:ascii="t" w:hAnsi="t"/>
          <w:color w:val="FF0000"/>
          <w:kern w:val="0"/>
          <w:sz w:val="24"/>
          <w:szCs w:val="24"/>
        </w:rPr>
      </w:pPr>
    </w:p>
    <w:p w14:paraId="497FB129">
      <w:pPr>
        <w:widowControl/>
        <w:spacing w:line="432" w:lineRule="auto"/>
        <w:jc w:val="left"/>
        <w:rPr>
          <w:rFonts w:hint="eastAsia" w:ascii="t" w:hAnsi="t"/>
          <w:color w:val="FF0000"/>
          <w:kern w:val="0"/>
          <w:sz w:val="24"/>
          <w:szCs w:val="24"/>
        </w:rPr>
      </w:pPr>
    </w:p>
    <w:p w14:paraId="5DE9EC5E">
      <w:pPr>
        <w:rPr>
          <w:rFonts w:hint="eastAsia" w:ascii="t" w:hAnsi="t"/>
          <w:color w:val="FF000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t">
    <w:altName w:val="Times New Roman"/>
    <w:panose1 w:val="00000000000000000000"/>
    <w:charset w:val="00"/>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FFB83D"/>
    <w:multiLevelType w:val="singleLevel"/>
    <w:tmpl w:val="08FFB83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1YTVmOWIyNDJjYzM3MTNhMmVlZjIwNDhkYmUwMGIifQ=="/>
  </w:docVars>
  <w:rsids>
    <w:rsidRoot w:val="005C4F1D"/>
    <w:rsid w:val="000412B6"/>
    <w:rsid w:val="00055F84"/>
    <w:rsid w:val="000808AF"/>
    <w:rsid w:val="001728BD"/>
    <w:rsid w:val="002017E6"/>
    <w:rsid w:val="00244B24"/>
    <w:rsid w:val="00294BD8"/>
    <w:rsid w:val="002C1852"/>
    <w:rsid w:val="002C1B71"/>
    <w:rsid w:val="00362611"/>
    <w:rsid w:val="003D20B1"/>
    <w:rsid w:val="00474120"/>
    <w:rsid w:val="004B205B"/>
    <w:rsid w:val="005002FC"/>
    <w:rsid w:val="00573B35"/>
    <w:rsid w:val="005C4F1D"/>
    <w:rsid w:val="00647BB1"/>
    <w:rsid w:val="006D29DC"/>
    <w:rsid w:val="006E0EBC"/>
    <w:rsid w:val="006F514A"/>
    <w:rsid w:val="007057B6"/>
    <w:rsid w:val="007C4A13"/>
    <w:rsid w:val="00867FAE"/>
    <w:rsid w:val="008B181D"/>
    <w:rsid w:val="008C28A3"/>
    <w:rsid w:val="008D3314"/>
    <w:rsid w:val="008F6AC3"/>
    <w:rsid w:val="00913AB1"/>
    <w:rsid w:val="00974FD6"/>
    <w:rsid w:val="009D00E9"/>
    <w:rsid w:val="009D1761"/>
    <w:rsid w:val="00AE72E6"/>
    <w:rsid w:val="00B155F6"/>
    <w:rsid w:val="00B277D5"/>
    <w:rsid w:val="00BC107E"/>
    <w:rsid w:val="00BE24A7"/>
    <w:rsid w:val="00BF6DAA"/>
    <w:rsid w:val="00C142E2"/>
    <w:rsid w:val="00C60210"/>
    <w:rsid w:val="00C75ABB"/>
    <w:rsid w:val="00CA520D"/>
    <w:rsid w:val="00CD734F"/>
    <w:rsid w:val="00D137D2"/>
    <w:rsid w:val="00D851F2"/>
    <w:rsid w:val="00E31902"/>
    <w:rsid w:val="00E655E1"/>
    <w:rsid w:val="00E80958"/>
    <w:rsid w:val="00EA65CD"/>
    <w:rsid w:val="00EB3F24"/>
    <w:rsid w:val="00ED0355"/>
    <w:rsid w:val="00FB7180"/>
    <w:rsid w:val="00FD6E5A"/>
    <w:rsid w:val="01A74613"/>
    <w:rsid w:val="0E807D7D"/>
    <w:rsid w:val="21A86EB5"/>
    <w:rsid w:val="31BA2FC1"/>
    <w:rsid w:val="31E105EE"/>
    <w:rsid w:val="42605C2A"/>
    <w:rsid w:val="520F0C30"/>
    <w:rsid w:val="55A57753"/>
    <w:rsid w:val="5B9657A0"/>
    <w:rsid w:val="5BBD367B"/>
    <w:rsid w:val="5C1F54B9"/>
    <w:rsid w:val="5C951714"/>
    <w:rsid w:val="5F0E4271"/>
    <w:rsid w:val="70F50BDE"/>
    <w:rsid w:val="72F006E2"/>
    <w:rsid w:val="74631590"/>
    <w:rsid w:val="786F4070"/>
    <w:rsid w:val="790667C5"/>
    <w:rsid w:val="793E2E7D"/>
    <w:rsid w:val="7FBA34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2"/>
    <w:semiHidden/>
    <w:unhideWhenUsed/>
    <w:qFormat/>
    <w:uiPriority w:val="99"/>
    <w:rPr>
      <w:rFonts w:ascii="宋体"/>
      <w:sz w:val="18"/>
      <w:szCs w:val="18"/>
    </w:rPr>
  </w:style>
  <w:style w:type="paragraph" w:styleId="3">
    <w:name w:val="Plain Text"/>
    <w:basedOn w:val="1"/>
    <w:next w:val="1"/>
    <w:link w:val="14"/>
    <w:semiHidden/>
    <w:unhideWhenUsed/>
    <w:qFormat/>
    <w:uiPriority w:val="0"/>
    <w:pPr>
      <w:autoSpaceDE w:val="0"/>
      <w:autoSpaceDN w:val="0"/>
      <w:adjustRightInd w:val="0"/>
    </w:pPr>
    <w:rPr>
      <w:rFonts w:ascii="宋体" w:hAnsi="宋体"/>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99"/>
    <w:rPr>
      <w:color w:val="333333"/>
      <w:u w:val="none"/>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publishtime"/>
    <w:basedOn w:val="7"/>
    <w:qFormat/>
    <w:uiPriority w:val="0"/>
  </w:style>
  <w:style w:type="character" w:customStyle="1" w:styleId="12">
    <w:name w:val="文档结构图 Char"/>
    <w:basedOn w:val="7"/>
    <w:link w:val="2"/>
    <w:semiHidden/>
    <w:qFormat/>
    <w:uiPriority w:val="99"/>
    <w:rPr>
      <w:rFonts w:ascii="宋体"/>
      <w:sz w:val="18"/>
      <w:szCs w:val="18"/>
    </w:rPr>
  </w:style>
  <w:style w:type="character" w:customStyle="1" w:styleId="13">
    <w:name w:val="纯文本 Char1"/>
    <w:link w:val="3"/>
    <w:semiHidden/>
    <w:qFormat/>
    <w:locked/>
    <w:uiPriority w:val="0"/>
    <w:rPr>
      <w:rFonts w:ascii="宋体" w:hAnsi="宋体"/>
    </w:rPr>
  </w:style>
  <w:style w:type="character" w:customStyle="1" w:styleId="14">
    <w:name w:val="纯文本 Char"/>
    <w:basedOn w:val="7"/>
    <w:link w:val="3"/>
    <w:semiHidden/>
    <w:qFormat/>
    <w:uiPriority w:val="99"/>
    <w:rPr>
      <w:rFonts w:ascii="宋体" w:hAnsi="Courier New" w:cs="Courier New"/>
      <w:szCs w:val="21"/>
    </w:rPr>
  </w:style>
  <w:style w:type="paragraph" w:customStyle="1" w:styleId="15">
    <w:name w:val="Default"/>
    <w:qFormat/>
    <w:uiPriority w:val="99"/>
    <w:pPr>
      <w:widowControl w:val="0"/>
      <w:autoSpaceDE w:val="0"/>
      <w:autoSpaceDN w:val="0"/>
      <w:adjustRightInd w:val="0"/>
    </w:pPr>
    <w:rPr>
      <w:rFonts w:ascii="??_GB2312" w:hAnsi="Calibri" w:eastAsia="Times New Roman" w:cs="??_GB2312"/>
      <w:color w:val="000000"/>
      <w:sz w:val="24"/>
      <w:szCs w:val="24"/>
      <w:lang w:val="en-US" w:eastAsia="zh-CN" w:bidi="ar-SA"/>
    </w:rPr>
  </w:style>
  <w:style w:type="character" w:customStyle="1" w:styleId="16">
    <w:name w:val="无"/>
    <w:qFormat/>
    <w:uiPriority w:val="99"/>
  </w:style>
  <w:style w:type="paragraph" w:customStyle="1" w:styleId="17">
    <w:name w:val="样式 宋体 小四 行距: 1.5 倍行距"/>
    <w:basedOn w:val="1"/>
    <w:qFormat/>
    <w:uiPriority w:val="99"/>
    <w:pPr>
      <w:spacing w:line="360" w:lineRule="auto"/>
      <w:ind w:firstLine="480" w:firstLineChars="200"/>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2871</Words>
  <Characters>3051</Characters>
  <Lines>30</Lines>
  <Paragraphs>8</Paragraphs>
  <TotalTime>1</TotalTime>
  <ScaleCrop>false</ScaleCrop>
  <LinksUpToDate>false</LinksUpToDate>
  <CharactersWithSpaces>3086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2017-04-26T07:48:00Z</dcterms:created>
  <dc:creator>Administrator</dc:creator>
  <cp:lastModifiedBy>WPS_1527926609</cp:lastModifiedBy>
  <dcterms:modified xsi:type="dcterms:W3CDTF">2024-08-21T05:35:53Z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8972C93EA53D45398E0FC3A64A9F3BA7_13</vt:lpwstr>
  </property>
</Properties>
</file>