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jc w:val="center"/>
        <w:rPr>
          <w:rFonts w:hint="eastAsia" w:eastAsia="黑体"/>
          <w:color w:val="auto"/>
          <w:sz w:val="48"/>
          <w:szCs w:val="48"/>
        </w:rPr>
      </w:pPr>
      <w:r>
        <w:rPr>
          <w:rFonts w:hint="eastAsia"/>
          <w:color w:val="auto"/>
          <w:lang w:val="en-US" w:eastAsia="zh-CN"/>
        </w:rPr>
        <w:t xml:space="preserve">  </w:t>
      </w:r>
    </w:p>
    <w:p>
      <w:pPr>
        <w:ind w:firstLine="0" w:firstLineChars="0"/>
        <w:jc w:val="center"/>
        <w:rPr>
          <w:rFonts w:hint="eastAsia"/>
          <w:b/>
          <w:bCs/>
          <w:color w:val="auto"/>
          <w:sz w:val="44"/>
          <w:szCs w:val="44"/>
        </w:rPr>
      </w:pPr>
    </w:p>
    <w:p>
      <w:pPr>
        <w:keepNext w:val="0"/>
        <w:keepLines w:val="0"/>
        <w:pageBreakBefore w:val="0"/>
        <w:widowControl w:val="0"/>
        <w:kinsoku/>
        <w:wordWrap/>
        <w:overflowPunct/>
        <w:topLinePunct w:val="0"/>
        <w:autoSpaceDE/>
        <w:autoSpaceDN/>
        <w:bidi w:val="0"/>
        <w:adjustRightInd/>
        <w:snapToGrid/>
        <w:spacing w:before="313" w:beforeLines="100" w:line="480" w:lineRule="auto"/>
        <w:ind w:firstLine="0" w:firstLineChars="0"/>
        <w:jc w:val="center"/>
        <w:textAlignment w:val="auto"/>
        <w:rPr>
          <w:rFonts w:hint="eastAsia"/>
          <w:b/>
          <w:bCs/>
          <w:color w:val="auto"/>
          <w:sz w:val="44"/>
          <w:szCs w:val="44"/>
          <w:lang w:val="en-US" w:eastAsia="zh-CN"/>
        </w:rPr>
      </w:pPr>
      <w:r>
        <w:rPr>
          <w:rFonts w:hint="eastAsia"/>
          <w:b/>
          <w:bCs/>
          <w:color w:val="auto"/>
          <w:sz w:val="44"/>
          <w:szCs w:val="44"/>
          <w:lang w:val="en-US" w:eastAsia="zh-CN"/>
        </w:rPr>
        <w:t>四川省丹橙现代果业有限公司</w:t>
      </w:r>
    </w:p>
    <w:p>
      <w:pPr>
        <w:keepNext w:val="0"/>
        <w:keepLines w:val="0"/>
        <w:pageBreakBefore w:val="0"/>
        <w:widowControl w:val="0"/>
        <w:kinsoku/>
        <w:wordWrap/>
        <w:overflowPunct/>
        <w:topLinePunct w:val="0"/>
        <w:autoSpaceDE/>
        <w:autoSpaceDN/>
        <w:bidi w:val="0"/>
        <w:adjustRightInd/>
        <w:snapToGrid/>
        <w:spacing w:before="313" w:beforeLines="100" w:line="480" w:lineRule="auto"/>
        <w:ind w:firstLine="0" w:firstLineChars="0"/>
        <w:jc w:val="center"/>
        <w:textAlignment w:val="auto"/>
        <w:rPr>
          <w:rFonts w:hint="eastAsia" w:eastAsia="宋体"/>
          <w:b/>
          <w:bCs/>
          <w:color w:val="auto"/>
          <w:sz w:val="44"/>
          <w:szCs w:val="44"/>
          <w:lang w:eastAsia="zh-CN"/>
        </w:rPr>
      </w:pPr>
      <w:r>
        <w:rPr>
          <w:rFonts w:hint="eastAsia"/>
          <w:b/>
          <w:bCs/>
          <w:color w:val="auto"/>
          <w:sz w:val="44"/>
          <w:szCs w:val="44"/>
          <w:lang w:eastAsia="zh-CN"/>
        </w:rPr>
        <w:t>丹棱县生猪种养循环工程建设项目</w:t>
      </w:r>
    </w:p>
    <w:p>
      <w:pPr>
        <w:spacing w:line="240" w:lineRule="auto"/>
        <w:ind w:firstLine="0" w:firstLineChars="0"/>
        <w:jc w:val="center"/>
        <w:rPr>
          <w:b/>
          <w:bCs/>
          <w:color w:val="auto"/>
          <w:sz w:val="44"/>
          <w:szCs w:val="44"/>
        </w:rPr>
      </w:pPr>
    </w:p>
    <w:p>
      <w:pPr>
        <w:ind w:firstLine="0" w:firstLineChars="0"/>
        <w:jc w:val="center"/>
        <w:rPr>
          <w:b/>
          <w:bCs/>
          <w:color w:val="auto"/>
          <w:sz w:val="84"/>
          <w:szCs w:val="84"/>
        </w:rPr>
      </w:pPr>
      <w:r>
        <w:rPr>
          <w:b/>
          <w:bCs/>
          <w:color w:val="auto"/>
          <w:sz w:val="84"/>
          <w:szCs w:val="84"/>
        </w:rPr>
        <w:t>环境影响报告书</w:t>
      </w:r>
    </w:p>
    <w:p>
      <w:pPr>
        <w:ind w:firstLine="0" w:firstLineChars="0"/>
        <w:jc w:val="center"/>
        <w:rPr>
          <w:rFonts w:hint="eastAsia" w:ascii="宋体" w:hAnsi="宋体"/>
          <w:b/>
          <w:bCs/>
          <w:color w:val="auto"/>
          <w:sz w:val="44"/>
          <w:szCs w:val="44"/>
        </w:rPr>
      </w:pPr>
      <w:r>
        <w:rPr>
          <w:rFonts w:hint="eastAsia" w:ascii="宋体" w:hAnsi="宋体"/>
          <w:b/>
          <w:bCs/>
          <w:color w:val="auto"/>
          <w:sz w:val="44"/>
          <w:szCs w:val="44"/>
        </w:rPr>
        <w:t>（</w:t>
      </w:r>
      <w:r>
        <w:rPr>
          <w:rFonts w:hint="eastAsia" w:ascii="宋体" w:hAnsi="宋体"/>
          <w:b/>
          <w:bCs/>
          <w:color w:val="auto"/>
          <w:sz w:val="44"/>
          <w:szCs w:val="44"/>
          <w:lang w:eastAsia="zh-CN"/>
        </w:rPr>
        <w:t>送审本</w:t>
      </w:r>
      <w:r>
        <w:rPr>
          <w:rFonts w:hint="eastAsia" w:ascii="宋体" w:hAnsi="宋体"/>
          <w:b/>
          <w:bCs/>
          <w:color w:val="auto"/>
          <w:sz w:val="44"/>
          <w:szCs w:val="44"/>
        </w:rPr>
        <w:t>）</w:t>
      </w:r>
    </w:p>
    <w:p>
      <w:pPr>
        <w:pStyle w:val="10"/>
        <w:ind w:firstLine="560"/>
        <w:rPr>
          <w:color w:val="auto"/>
        </w:rPr>
      </w:pPr>
    </w:p>
    <w:p>
      <w:pPr>
        <w:ind w:firstLine="0" w:firstLineChars="0"/>
        <w:rPr>
          <w:rFonts w:eastAsia="楷体"/>
          <w:b/>
          <w:bCs/>
          <w:color w:val="auto"/>
          <w:sz w:val="84"/>
          <w:szCs w:val="84"/>
        </w:rPr>
      </w:pPr>
    </w:p>
    <w:p>
      <w:pPr>
        <w:ind w:firstLine="0" w:firstLineChars="0"/>
        <w:rPr>
          <w:rFonts w:eastAsia="楷体"/>
          <w:b/>
          <w:bCs/>
          <w:color w:val="auto"/>
          <w:sz w:val="84"/>
          <w:szCs w:val="84"/>
        </w:rPr>
      </w:pPr>
    </w:p>
    <w:p>
      <w:pPr>
        <w:ind w:firstLine="0" w:firstLineChars="0"/>
        <w:rPr>
          <w:rFonts w:eastAsia="楷体"/>
          <w:b/>
          <w:bCs/>
          <w:color w:val="auto"/>
          <w:sz w:val="32"/>
          <w:szCs w:val="32"/>
        </w:rPr>
      </w:pPr>
    </w:p>
    <w:p>
      <w:pPr>
        <w:pStyle w:val="16"/>
        <w:rPr>
          <w:rFonts w:eastAsia="楷体"/>
          <w:b/>
          <w:bCs/>
          <w:color w:val="auto"/>
          <w:sz w:val="32"/>
          <w:szCs w:val="32"/>
        </w:rPr>
      </w:pPr>
    </w:p>
    <w:p>
      <w:pPr>
        <w:pStyle w:val="16"/>
        <w:rPr>
          <w:rFonts w:eastAsia="楷体"/>
          <w:b/>
          <w:bCs/>
          <w:color w:val="auto"/>
          <w:sz w:val="32"/>
          <w:szCs w:val="32"/>
        </w:rPr>
      </w:pPr>
    </w:p>
    <w:p>
      <w:pPr>
        <w:pStyle w:val="16"/>
        <w:rPr>
          <w:rFonts w:eastAsia="楷体"/>
          <w:b/>
          <w:bCs/>
          <w:color w:val="auto"/>
          <w:sz w:val="32"/>
          <w:szCs w:val="32"/>
        </w:rPr>
      </w:pPr>
    </w:p>
    <w:p>
      <w:pPr>
        <w:pStyle w:val="16"/>
        <w:rPr>
          <w:rFonts w:eastAsia="楷体"/>
          <w:b/>
          <w:bCs/>
          <w:color w:val="auto"/>
          <w:sz w:val="32"/>
          <w:szCs w:val="32"/>
        </w:rPr>
      </w:pPr>
    </w:p>
    <w:p>
      <w:pPr>
        <w:ind w:firstLine="1928" w:firstLineChars="600"/>
        <w:jc w:val="both"/>
        <w:rPr>
          <w:rFonts w:hint="eastAsia" w:eastAsia="宋体"/>
          <w:b/>
          <w:bCs/>
          <w:color w:val="auto"/>
          <w:sz w:val="32"/>
          <w:szCs w:val="32"/>
          <w:lang w:eastAsia="zh-CN"/>
        </w:rPr>
      </w:pPr>
      <w:r>
        <w:rPr>
          <w:b/>
          <w:bCs/>
          <w:color w:val="auto"/>
          <w:sz w:val="32"/>
          <w:szCs w:val="32"/>
        </w:rPr>
        <w:t>建设单位：</w:t>
      </w:r>
      <w:r>
        <w:rPr>
          <w:rFonts w:hint="eastAsia"/>
          <w:b/>
          <w:bCs/>
          <w:color w:val="auto"/>
          <w:sz w:val="32"/>
          <w:szCs w:val="32"/>
          <w:lang w:eastAsia="zh-CN"/>
        </w:rPr>
        <w:t>四川省丹橙现代果业有限公司</w:t>
      </w:r>
    </w:p>
    <w:p>
      <w:pPr>
        <w:ind w:firstLine="1928" w:firstLineChars="600"/>
        <w:jc w:val="both"/>
        <w:rPr>
          <w:b/>
          <w:bCs/>
          <w:color w:val="auto"/>
          <w:sz w:val="32"/>
          <w:szCs w:val="32"/>
        </w:rPr>
      </w:pPr>
      <w:r>
        <w:rPr>
          <w:b/>
          <w:bCs/>
          <w:color w:val="auto"/>
          <w:sz w:val="32"/>
          <w:szCs w:val="32"/>
        </w:rPr>
        <w:t>环评单位：</w:t>
      </w:r>
      <w:r>
        <w:rPr>
          <w:rFonts w:hint="eastAsia"/>
          <w:b/>
          <w:bCs/>
          <w:color w:val="auto"/>
          <w:sz w:val="32"/>
          <w:szCs w:val="32"/>
        </w:rPr>
        <w:t>眉山宏德环境技术有限公司</w:t>
      </w:r>
    </w:p>
    <w:p>
      <w:pPr>
        <w:jc w:val="center"/>
        <w:rPr>
          <w:b/>
          <w:bCs/>
          <w:color w:val="0000FF"/>
          <w:sz w:val="32"/>
          <w:szCs w:val="32"/>
        </w:rPr>
      </w:pPr>
    </w:p>
    <w:p>
      <w:pPr>
        <w:jc w:val="center"/>
        <w:rPr>
          <w:b/>
          <w:bCs/>
          <w:color w:val="0000FF"/>
          <w:sz w:val="32"/>
          <w:szCs w:val="32"/>
        </w:rPr>
      </w:pPr>
    </w:p>
    <w:p>
      <w:pPr>
        <w:jc w:val="center"/>
        <w:rPr>
          <w:rFonts w:hint="default" w:ascii="Times New Roman" w:hAnsi="Times New Roman" w:cs="Times New Roman" w:eastAsiaTheme="minorEastAsia"/>
          <w:color w:val="auto"/>
          <w:sz w:val="32"/>
          <w:szCs w:val="32"/>
        </w:rPr>
      </w:pPr>
      <w:r>
        <w:rPr>
          <w:rFonts w:hint="eastAsia"/>
          <w:b/>
          <w:bCs/>
          <w:color w:val="auto"/>
          <w:sz w:val="32"/>
          <w:szCs w:val="32"/>
          <w:lang w:eastAsia="zh-CN"/>
        </w:rPr>
        <w:t>二</w:t>
      </w:r>
      <w:r>
        <w:rPr>
          <w:rFonts w:hint="eastAsia"/>
          <w:b/>
          <w:bCs/>
          <w:color w:val="auto"/>
          <w:sz w:val="32"/>
          <w:szCs w:val="32"/>
          <w:lang w:val="en-US" w:eastAsia="zh-CN"/>
        </w:rPr>
        <w:t>〇</w:t>
      </w:r>
      <w:r>
        <w:rPr>
          <w:rFonts w:hint="eastAsia"/>
          <w:b/>
          <w:bCs/>
          <w:color w:val="auto"/>
          <w:sz w:val="32"/>
          <w:szCs w:val="32"/>
          <w:lang w:eastAsia="zh-CN"/>
        </w:rPr>
        <w:t>二二年一</w:t>
      </w:r>
      <w:r>
        <w:rPr>
          <w:b/>
          <w:bCs/>
          <w:color w:val="auto"/>
          <w:sz w:val="32"/>
          <w:szCs w:val="32"/>
        </w:rPr>
        <w:t>月</w:t>
      </w:r>
    </w:p>
    <w:p>
      <w:pPr>
        <w:ind w:firstLine="2976" w:firstLineChars="930"/>
        <w:jc w:val="center"/>
        <w:rPr>
          <w:rFonts w:ascii="Times New Roman" w:hAnsi="Times New Roman" w:eastAsia="宋体" w:cs="Times New Roman"/>
          <w:color w:val="auto"/>
          <w:sz w:val="32"/>
          <w:szCs w:val="32"/>
        </w:rPr>
        <w:sectPr>
          <w:footerReference r:id="rId5" w:type="default"/>
          <w:pgSz w:w="11906" w:h="16838"/>
          <w:pgMar w:top="1440" w:right="1451" w:bottom="1440" w:left="1451"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25"/>
        <w:tabs>
          <w:tab w:val="right" w:leader="dot" w:pos="9004"/>
        </w:tabs>
        <w:jc w:val="center"/>
        <w:rPr>
          <w:rFonts w:hint="eastAsia" w:ascii="Times New Roman" w:hAnsi="Times New Roman" w:eastAsia="宋体" w:cs="Times New Roman"/>
          <w:b/>
          <w:color w:val="auto"/>
          <w:sz w:val="32"/>
          <w:szCs w:val="32"/>
          <w:lang w:eastAsia="zh-CN"/>
        </w:rPr>
      </w:pPr>
      <w:r>
        <w:rPr>
          <w:rFonts w:hint="eastAsia" w:ascii="Times New Roman" w:hAnsi="Times New Roman" w:eastAsia="宋体" w:cs="Times New Roman"/>
          <w:b/>
          <w:color w:val="auto"/>
          <w:sz w:val="32"/>
          <w:szCs w:val="32"/>
          <w:lang w:eastAsia="zh-CN"/>
        </w:rPr>
        <w:t>目录</w:t>
      </w:r>
    </w:p>
    <w:p>
      <w:pPr>
        <w:pStyle w:val="25"/>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
          <w:color w:val="auto"/>
          <w:sz w:val="24"/>
          <w:szCs w:val="24"/>
        </w:rPr>
        <w:fldChar w:fldCharType="begin"/>
      </w:r>
      <w:r>
        <w:rPr>
          <w:rFonts w:hint="default" w:ascii="Times New Roman" w:hAnsi="Times New Roman" w:eastAsia="宋体" w:cs="Times New Roman"/>
          <w:b/>
          <w:color w:val="auto"/>
          <w:sz w:val="24"/>
          <w:szCs w:val="24"/>
        </w:rPr>
        <w:instrText xml:space="preserve">TOC \o "1-2" \h \u </w:instrText>
      </w:r>
      <w:r>
        <w:rPr>
          <w:rFonts w:hint="default" w:ascii="Times New Roman" w:hAnsi="Times New Roman" w:eastAsia="宋体" w:cs="Times New Roman"/>
          <w:b/>
          <w:color w:val="auto"/>
          <w:sz w:val="24"/>
          <w:szCs w:val="24"/>
        </w:rPr>
        <w:fldChar w:fldCharType="separate"/>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_Toc10467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前言</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_Toc10467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_Toc31397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eastAsia="zh-CN"/>
        </w:rPr>
        <w:t>一</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eastAsia="zh-CN"/>
        </w:rPr>
        <w:t>建设</w:t>
      </w:r>
      <w:r>
        <w:rPr>
          <w:rFonts w:hint="default" w:ascii="Times New Roman" w:hAnsi="Times New Roman" w:eastAsia="宋体" w:cs="Times New Roman"/>
          <w:sz w:val="24"/>
          <w:szCs w:val="24"/>
        </w:rPr>
        <w:t>项目背景</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_Toc31397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_Toc29838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eastAsia="zh-CN"/>
        </w:rPr>
        <w:t>二</w:t>
      </w:r>
      <w:r>
        <w:rPr>
          <w:rFonts w:hint="default" w:ascii="Times New Roman" w:hAnsi="Times New Roman" w:eastAsia="宋体" w:cs="Times New Roman"/>
          <w:sz w:val="24"/>
          <w:szCs w:val="24"/>
        </w:rPr>
        <w:t>、建设项目特点</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_Toc29838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_Toc3577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eastAsia="zh-CN"/>
        </w:rPr>
        <w:t>三</w:t>
      </w:r>
      <w:r>
        <w:rPr>
          <w:rFonts w:hint="default" w:ascii="Times New Roman" w:hAnsi="Times New Roman" w:eastAsia="宋体" w:cs="Times New Roman"/>
          <w:sz w:val="24"/>
          <w:szCs w:val="24"/>
        </w:rPr>
        <w:t>、环境影响评价过程</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_Toc3577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_Toc28211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eastAsia="zh-CN"/>
        </w:rPr>
        <w:t>四</w:t>
      </w:r>
      <w:r>
        <w:rPr>
          <w:rFonts w:hint="default" w:ascii="Times New Roman" w:hAnsi="Times New Roman" w:eastAsia="宋体" w:cs="Times New Roman"/>
          <w:sz w:val="24"/>
          <w:szCs w:val="24"/>
        </w:rPr>
        <w:t>、环境影响评价关注的环境问题</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_Toc28211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_Toc16971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eastAsia="zh-CN"/>
        </w:rPr>
        <w:t>五</w:t>
      </w:r>
      <w:r>
        <w:rPr>
          <w:rFonts w:hint="default" w:ascii="Times New Roman" w:hAnsi="Times New Roman" w:eastAsia="宋体" w:cs="Times New Roman"/>
          <w:sz w:val="24"/>
          <w:szCs w:val="24"/>
        </w:rPr>
        <w:t>、分析判定情况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_Toc16971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_Toc14626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eastAsia="zh-CN"/>
        </w:rPr>
        <w:t>六</w:t>
      </w:r>
      <w:r>
        <w:rPr>
          <w:rFonts w:hint="default" w:ascii="Times New Roman" w:hAnsi="Times New Roman" w:eastAsia="宋体" w:cs="Times New Roman"/>
          <w:sz w:val="24"/>
          <w:szCs w:val="24"/>
        </w:rPr>
        <w:t>、主要结论</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_Toc14626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5"/>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_Toc18159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1总则</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_Toc18159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_Toc9088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1.1评价原则</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_Toc9088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_Toc9491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1.2评价目的</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_Toc9491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_Toc7926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1.3编制依据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_Toc7926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_Toc10278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1.4评价标准</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_Toc10278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_Toc4090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1.5环境影响因数识别及评价因子筛选</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_Toc4090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_Toc22145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1.6评价等级及评价重点</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_Toc22145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_Toc12371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1.7环境保护目标</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_Toc12371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_Toc25690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w:t>
      </w:r>
      <w:r>
        <w:rPr>
          <w:rFonts w:hint="default" w:ascii="Times New Roman" w:hAnsi="Times New Roman" w:eastAsia="宋体" w:cs="Times New Roman"/>
          <w:sz w:val="24"/>
          <w:szCs w:val="24"/>
          <w:lang w:val="en-US" w:eastAsia="zh-CN"/>
        </w:rPr>
        <w:t>8</w:t>
      </w:r>
      <w:r>
        <w:rPr>
          <w:rFonts w:hint="default" w:ascii="Times New Roman" w:hAnsi="Times New Roman" w:eastAsia="宋体" w:cs="Times New Roman"/>
          <w:sz w:val="24"/>
          <w:szCs w:val="24"/>
        </w:rPr>
        <w:t>选址合理性分析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_Toc25690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_Toc26306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w:t>
      </w:r>
      <w:r>
        <w:rPr>
          <w:rFonts w:hint="default" w:ascii="Times New Roman" w:hAnsi="Times New Roman" w:eastAsia="宋体" w:cs="Times New Roman"/>
          <w:sz w:val="24"/>
          <w:szCs w:val="24"/>
          <w:lang w:val="en-US" w:eastAsia="zh-CN"/>
        </w:rPr>
        <w:t>9</w:t>
      </w:r>
      <w:r>
        <w:rPr>
          <w:rFonts w:hint="default" w:ascii="Times New Roman" w:hAnsi="Times New Roman" w:eastAsia="宋体" w:cs="Times New Roman"/>
          <w:sz w:val="24"/>
          <w:szCs w:val="24"/>
        </w:rPr>
        <w:t>评价程序</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_Toc26306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5"/>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_Toc6980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2工程概况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_Toc6980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_Toc17659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2.1项目基本情况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_Toc17659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_Toc17106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2.2工程内容组成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_Toc17106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_Toc9805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2.3项目年存栏生猪量</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_Toc9805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_Toc15115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2.4劳动定员及生产制度</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_Toc15115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_Toc31919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2.5主要生产设备</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_Toc31919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_Toc16345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2.6平面布置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_Toc16345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_Toc1802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2.7主要原辅材料</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_Toc1802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_Toc17562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2.8公辅工程</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_Toc17562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5"/>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_Toc17140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3工程分析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_Toc17140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_Toc4466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3.1生产工艺</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_Toc4466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_Toc15684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3.2物料平衡</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_Toc15684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_Toc22557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3.3水平衡</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_Toc22557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_Toc16407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3.4施工期项目污染物排放及治理</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_Toc16407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_Toc25672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3.5运营期污染物排放及治理</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_Toc25672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_Toc4681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3.6项目排污汇总</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_Toc4681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97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_Toc27580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3.7</w:t>
      </w:r>
      <w:r>
        <w:rPr>
          <w:rFonts w:hint="default" w:ascii="Times New Roman" w:hAnsi="Times New Roman" w:eastAsia="宋体" w:cs="Times New Roman"/>
          <w:sz w:val="24"/>
          <w:szCs w:val="24"/>
          <w:lang w:eastAsia="zh-CN"/>
        </w:rPr>
        <w:t>清洁生产简要分析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_Toc27580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100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_Toc23407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3.8总量控制</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_Toc23407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104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5"/>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_Toc25828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4建设项目周围环境概况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_Toc25828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105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_Toc6348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4.1自然环境概况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_Toc6348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105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_Toc15983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4.2</w:t>
      </w:r>
      <w:r>
        <w:rPr>
          <w:rFonts w:hint="default" w:ascii="Times New Roman" w:hAnsi="Times New Roman" w:eastAsia="宋体" w:cs="Times New Roman"/>
          <w:sz w:val="24"/>
          <w:szCs w:val="24"/>
          <w:lang w:eastAsia="zh-CN"/>
        </w:rPr>
        <w:t>丹棱县仁美镇</w:t>
      </w:r>
      <w:r>
        <w:rPr>
          <w:rFonts w:hint="default" w:ascii="Times New Roman" w:hAnsi="Times New Roman" w:eastAsia="宋体" w:cs="Times New Roman"/>
          <w:sz w:val="24"/>
          <w:szCs w:val="24"/>
        </w:rPr>
        <w:t>概况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_Toc15983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108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_Toc13026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4.3环境质量现状评价</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_Toc13026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109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_Toc26914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4.4区域污染源调查</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_Toc26914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120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5"/>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_Toc136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5环境影响评价</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_Toc136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121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_Toc27924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kern w:val="0"/>
          <w:sz w:val="24"/>
          <w:szCs w:val="24"/>
        </w:rPr>
        <w:t>5.1施工期环境影响</w:t>
      </w:r>
      <w:r>
        <w:rPr>
          <w:rFonts w:hint="default" w:ascii="Times New Roman" w:hAnsi="Times New Roman" w:eastAsia="宋体" w:cs="Times New Roman"/>
          <w:kern w:val="0"/>
          <w:sz w:val="24"/>
          <w:szCs w:val="24"/>
          <w:lang w:eastAsia="zh-CN"/>
        </w:rPr>
        <w:t>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_Toc27924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121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_Toc11178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5.2运营期环境影响评价</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_Toc11178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124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_Toc19942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5.3环境风险评价</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_Toc19942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_Toc19750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w:t>
      </w:r>
      <w:r>
        <w:rPr>
          <w:rFonts w:hint="default"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rPr>
        <w:t>环境风险突发事故应急预案</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_Toc19750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168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_Toc23999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w:t>
      </w: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对农业生态的环境分析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_Toc23999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173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_Toc89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w:t>
      </w:r>
      <w:r>
        <w:rPr>
          <w:rFonts w:hint="default" w:ascii="Times New Roman" w:hAnsi="Times New Roman" w:eastAsia="宋体" w:cs="Times New Roman"/>
          <w:sz w:val="24"/>
          <w:szCs w:val="24"/>
          <w:lang w:val="en-US" w:eastAsia="zh-CN"/>
        </w:rPr>
        <w:t>6</w:t>
      </w:r>
      <w:r>
        <w:rPr>
          <w:rFonts w:hint="default" w:ascii="Times New Roman" w:hAnsi="Times New Roman" w:eastAsia="宋体" w:cs="Times New Roman"/>
          <w:sz w:val="24"/>
          <w:szCs w:val="24"/>
        </w:rPr>
        <w:t>运输过程环境影响评价</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_Toc89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173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_Toc23819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w:t>
      </w:r>
      <w:r>
        <w:rPr>
          <w:rFonts w:hint="default" w:ascii="Times New Roman" w:hAnsi="Times New Roman" w:eastAsia="宋体" w:cs="Times New Roman"/>
          <w:sz w:val="24"/>
          <w:szCs w:val="24"/>
          <w:lang w:val="en-US" w:eastAsia="zh-CN"/>
        </w:rPr>
        <w:t>7</w:t>
      </w:r>
      <w:r>
        <w:rPr>
          <w:rFonts w:hint="default" w:ascii="Times New Roman" w:hAnsi="Times New Roman" w:eastAsia="宋体" w:cs="Times New Roman"/>
          <w:sz w:val="24"/>
          <w:szCs w:val="24"/>
        </w:rPr>
        <w:t>周边环境</w:t>
      </w:r>
      <w:r>
        <w:rPr>
          <w:rFonts w:hint="default" w:ascii="Times New Roman" w:hAnsi="Times New Roman" w:eastAsia="宋体" w:cs="Times New Roman"/>
          <w:sz w:val="24"/>
          <w:szCs w:val="24"/>
          <w:lang w:eastAsia="zh-CN"/>
        </w:rPr>
        <w:t>对本项目</w:t>
      </w:r>
      <w:r>
        <w:rPr>
          <w:rFonts w:hint="default" w:ascii="Times New Roman" w:hAnsi="Times New Roman" w:eastAsia="宋体" w:cs="Times New Roman"/>
          <w:sz w:val="24"/>
          <w:szCs w:val="24"/>
        </w:rPr>
        <w:t>的影响分析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_Toc23819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174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_Toc29793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w:t>
      </w:r>
      <w:r>
        <w:rPr>
          <w:rFonts w:hint="default" w:ascii="Times New Roman" w:hAnsi="Times New Roman" w:eastAsia="宋体" w:cs="Times New Roman"/>
          <w:sz w:val="24"/>
          <w:szCs w:val="24"/>
          <w:lang w:val="en-US" w:eastAsia="zh-CN"/>
        </w:rPr>
        <w:t>8</w:t>
      </w:r>
      <w:r>
        <w:rPr>
          <w:rFonts w:hint="default" w:ascii="Times New Roman" w:hAnsi="Times New Roman" w:eastAsia="宋体" w:cs="Times New Roman"/>
          <w:sz w:val="24"/>
          <w:szCs w:val="24"/>
        </w:rPr>
        <w:t>本项目对周边环境的影响分析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_Toc29793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174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5"/>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_Toc30033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6环境保护措施及其技术、经济论证</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_Toc30033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175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_Toc28699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6.1施工期环保措施论证</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_Toc28699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175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_Toc20380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6.2运营期环保措施论证</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_Toc20380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177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5"/>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_Toc10088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7经济损益分析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_Toc10088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198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_Toc19276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7.1环保投资</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_Toc19276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198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_Toc29500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7.2经济效益概述</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_Toc29500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199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_Toc16455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highlight w:val="none"/>
        </w:rPr>
        <w:t>7.3环境效益分析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_Toc16455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199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_Toc19331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7.4</w:t>
      </w:r>
      <w:r>
        <w:rPr>
          <w:rFonts w:hint="default" w:ascii="Times New Roman" w:hAnsi="Times New Roman" w:eastAsia="宋体" w:cs="Times New Roman"/>
          <w:sz w:val="24"/>
          <w:szCs w:val="24"/>
          <w:lang w:eastAsia="zh-CN"/>
        </w:rPr>
        <w:t>建设项目环境经济效益分析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_Toc19331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200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_Toc20453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7.</w:t>
      </w: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社会效益分析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_Toc20453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201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_Toc6378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7.</w:t>
      </w:r>
      <w:r>
        <w:rPr>
          <w:rFonts w:hint="default" w:ascii="Times New Roman" w:hAnsi="Times New Roman" w:eastAsia="宋体" w:cs="Times New Roman"/>
          <w:sz w:val="24"/>
          <w:szCs w:val="24"/>
          <w:lang w:val="en-US" w:eastAsia="zh-CN"/>
        </w:rPr>
        <w:t>6</w:t>
      </w:r>
      <w:r>
        <w:rPr>
          <w:rFonts w:hint="default" w:ascii="Times New Roman" w:hAnsi="Times New Roman" w:eastAsia="宋体" w:cs="Times New Roman"/>
          <w:sz w:val="24"/>
          <w:szCs w:val="24"/>
        </w:rPr>
        <w:t>结论</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_Toc6378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201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5"/>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_Toc8718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8环境管理与监测计划</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_Toc8718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202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_Toc26106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8.1环境管理</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_Toc26106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202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_Toc6235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8.2环境及污染源监测</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_Toc6235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207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_Toc29243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w:t>
      </w: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排污口规范化</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_Toc29243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209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_Toc3904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w:t>
      </w:r>
      <w:r>
        <w:rPr>
          <w:rFonts w:hint="default" w:ascii="Times New Roman" w:hAnsi="Times New Roman" w:eastAsia="宋体" w:cs="Times New Roman"/>
          <w:sz w:val="24"/>
          <w:szCs w:val="24"/>
          <w:lang w:val="en-US" w:eastAsia="zh-CN"/>
        </w:rPr>
        <w:t>4环境管理和监测费用预算</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_Toc3904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211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_Toc32563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highlight w:val="none"/>
        </w:rPr>
        <w:t>8.</w:t>
      </w:r>
      <w:r>
        <w:rPr>
          <w:rFonts w:hint="default" w:ascii="Times New Roman" w:hAnsi="Times New Roman" w:eastAsia="宋体" w:cs="Times New Roman"/>
          <w:sz w:val="24"/>
          <w:szCs w:val="24"/>
          <w:highlight w:val="none"/>
          <w:lang w:val="en-US" w:eastAsia="zh-CN"/>
        </w:rPr>
        <w:t>5污染物排放清单及管理要求</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_Toc32563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211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_Toc17800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w:t>
      </w:r>
      <w:r>
        <w:rPr>
          <w:rFonts w:hint="default" w:ascii="Times New Roman" w:hAnsi="Times New Roman" w:eastAsia="宋体" w:cs="Times New Roman"/>
          <w:sz w:val="24"/>
          <w:szCs w:val="24"/>
          <w:lang w:val="en-US" w:eastAsia="zh-CN"/>
        </w:rPr>
        <w:t>6</w:t>
      </w:r>
      <w:r>
        <w:rPr>
          <w:rFonts w:hint="default" w:ascii="Times New Roman" w:hAnsi="Times New Roman" w:eastAsia="宋体" w:cs="Times New Roman"/>
          <w:sz w:val="24"/>
          <w:szCs w:val="24"/>
        </w:rPr>
        <w:t>环保设施“三同时”验收一览表</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_Toc17800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215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5"/>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_Toc11890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9结论</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_Toc11890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217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_Toc1192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rPr>
        <w:t>9.1结论</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_Toc1192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217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8"/>
        <w:keepNext w:val="0"/>
        <w:keepLines w:val="0"/>
        <w:pageBreakBefore w:val="0"/>
        <w:widowControl w:val="0"/>
        <w:tabs>
          <w:tab w:val="right" w:leader="dot" w:pos="9004"/>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_Toc16666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kern w:val="0"/>
          <w:sz w:val="24"/>
          <w:szCs w:val="24"/>
        </w:rPr>
        <w:t>9.2建议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_Toc16666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221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default" w:ascii="Times New Roman" w:hAnsi="Times New Roman" w:eastAsia="宋体" w:cs="Times New Roman"/>
          <w:color w:val="auto"/>
          <w:sz w:val="24"/>
          <w:szCs w:val="24"/>
        </w:rPr>
        <w:sectPr>
          <w:headerReference r:id="rId6" w:type="default"/>
          <w:footerReference r:id="rId7" w:type="default"/>
          <w:pgSz w:w="11906" w:h="16838"/>
          <w:pgMar w:top="1440" w:right="1451" w:bottom="1440" w:left="1451" w:header="851" w:footer="992" w:gutter="0"/>
          <w:pgBorders>
            <w:top w:val="none" w:sz="0" w:space="0"/>
            <w:left w:val="none" w:sz="0" w:space="0"/>
            <w:bottom w:val="none" w:sz="0" w:space="0"/>
            <w:right w:val="none" w:sz="0" w:space="0"/>
          </w:pgBorders>
          <w:pgNumType w:fmt="upperRoman" w:start="1"/>
          <w:cols w:space="425" w:num="1"/>
          <w:docGrid w:type="lines" w:linePitch="312" w:charSpace="0"/>
        </w:sectPr>
      </w:pPr>
      <w:r>
        <w:rPr>
          <w:rFonts w:hint="default" w:ascii="Times New Roman" w:hAnsi="Times New Roman" w:eastAsia="宋体" w:cs="Times New Roman"/>
          <w:color w:val="auto"/>
          <w:sz w:val="24"/>
          <w:szCs w:val="24"/>
        </w:rPr>
        <w:fldChar w:fldCharType="end"/>
      </w:r>
      <w:bookmarkStart w:id="426" w:name="_GoBack"/>
      <w:bookmarkEnd w:id="426"/>
    </w:p>
    <w:p>
      <w:pPr>
        <w:adjustRightInd w:val="0"/>
        <w:snapToGrid w:val="0"/>
        <w:spacing w:line="400" w:lineRule="exact"/>
        <w:jc w:val="left"/>
        <w:rPr>
          <w:rFonts w:ascii="Times New Roman" w:hAnsi="Times New Roman" w:eastAsia="宋体" w:cs="Times New Roman"/>
          <w:b/>
          <w:color w:val="auto"/>
          <w:sz w:val="24"/>
          <w:szCs w:val="24"/>
        </w:rPr>
      </w:pPr>
      <w:r>
        <w:rPr>
          <w:rFonts w:hint="eastAsia" w:ascii="Times New Roman" w:hAnsi="Times New Roman" w:eastAsia="宋体" w:cs="Times New Roman"/>
          <w:b/>
          <w:color w:val="auto"/>
          <w:sz w:val="24"/>
          <w:szCs w:val="24"/>
        </w:rPr>
        <w:t>附表：</w:t>
      </w:r>
    </w:p>
    <w:p>
      <w:pPr>
        <w:adjustRightInd w:val="0"/>
        <w:snapToGrid w:val="0"/>
        <w:spacing w:line="400" w:lineRule="exact"/>
        <w:jc w:val="left"/>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附表1  建设项目基础信息表</w:t>
      </w:r>
    </w:p>
    <w:p>
      <w:pPr>
        <w:adjustRightInd w:val="0"/>
        <w:snapToGrid w:val="0"/>
        <w:spacing w:line="400" w:lineRule="exact"/>
        <w:rPr>
          <w:rFonts w:ascii="Times New Roman" w:hAnsi="Times New Roman" w:eastAsia="宋体" w:cs="宋体"/>
          <w:b/>
          <w:bCs/>
          <w:color w:val="auto"/>
          <w:sz w:val="24"/>
          <w:szCs w:val="24"/>
        </w:rPr>
      </w:pPr>
      <w:r>
        <w:rPr>
          <w:rFonts w:hint="eastAsia" w:ascii="Times New Roman" w:hAnsi="Times New Roman" w:eastAsia="宋体" w:cs="宋体"/>
          <w:b/>
          <w:bCs/>
          <w:color w:val="auto"/>
          <w:sz w:val="24"/>
          <w:szCs w:val="24"/>
        </w:rPr>
        <w:t>附件：</w:t>
      </w:r>
    </w:p>
    <w:p>
      <w:pPr>
        <w:adjustRightInd w:val="0"/>
        <w:snapToGrid w:val="0"/>
        <w:spacing w:line="400" w:lineRule="exact"/>
        <w:rPr>
          <w:rFonts w:ascii="Times New Roman" w:hAnsi="Times New Roman" w:eastAsia="宋体" w:cs="宋体"/>
          <w:color w:val="auto"/>
          <w:sz w:val="24"/>
          <w:szCs w:val="24"/>
        </w:rPr>
      </w:pPr>
      <w:r>
        <w:rPr>
          <w:rFonts w:hint="eastAsia" w:ascii="Times New Roman" w:hAnsi="Times New Roman" w:eastAsia="宋体" w:cs="宋体"/>
          <w:color w:val="auto"/>
          <w:sz w:val="24"/>
          <w:szCs w:val="24"/>
        </w:rPr>
        <w:t>附件1 委托书</w:t>
      </w:r>
    </w:p>
    <w:p>
      <w:pPr>
        <w:adjustRightInd w:val="0"/>
        <w:snapToGrid w:val="0"/>
        <w:spacing w:line="400" w:lineRule="exact"/>
        <w:rPr>
          <w:rFonts w:hint="default" w:ascii="Times New Roman" w:hAnsi="Times New Roman" w:eastAsia="宋体" w:cs="宋体"/>
          <w:color w:val="auto"/>
          <w:sz w:val="24"/>
          <w:szCs w:val="24"/>
          <w:lang w:val="en-US" w:eastAsia="zh-CN"/>
        </w:rPr>
      </w:pPr>
      <w:r>
        <w:rPr>
          <w:rFonts w:hint="eastAsia" w:ascii="Times New Roman" w:hAnsi="Times New Roman" w:eastAsia="宋体" w:cs="宋体"/>
          <w:color w:val="auto"/>
          <w:sz w:val="24"/>
          <w:szCs w:val="24"/>
        </w:rPr>
        <w:t>附件2</w:t>
      </w:r>
      <w:r>
        <w:rPr>
          <w:rFonts w:hint="eastAsia" w:ascii="Times New Roman" w:hAnsi="Times New Roman" w:eastAsia="宋体" w:cs="宋体"/>
          <w:color w:val="auto"/>
          <w:sz w:val="24"/>
          <w:szCs w:val="24"/>
          <w:lang w:val="en-US" w:eastAsia="zh-CN"/>
        </w:rPr>
        <w:t xml:space="preserve"> 备案文件</w:t>
      </w:r>
    </w:p>
    <w:p>
      <w:pPr>
        <w:adjustRightInd w:val="0"/>
        <w:snapToGrid w:val="0"/>
        <w:spacing w:line="400" w:lineRule="exact"/>
        <w:rPr>
          <w:rFonts w:hint="default" w:ascii="Times New Roman" w:hAnsi="Times New Roman" w:eastAsia="宋体" w:cs="宋体"/>
          <w:color w:val="auto"/>
          <w:sz w:val="24"/>
          <w:szCs w:val="24"/>
          <w:lang w:val="en-US" w:eastAsia="zh-CN"/>
        </w:rPr>
      </w:pPr>
      <w:r>
        <w:rPr>
          <w:rFonts w:hint="eastAsia" w:ascii="Times New Roman" w:hAnsi="Times New Roman" w:eastAsia="宋体" w:cs="宋体"/>
          <w:color w:val="auto"/>
          <w:sz w:val="24"/>
          <w:szCs w:val="24"/>
        </w:rPr>
        <w:t>附件</w:t>
      </w:r>
      <w:r>
        <w:rPr>
          <w:rFonts w:hint="eastAsia" w:ascii="Times New Roman" w:hAnsi="Times New Roman" w:eastAsia="宋体" w:cs="宋体"/>
          <w:color w:val="auto"/>
          <w:sz w:val="24"/>
          <w:szCs w:val="24"/>
          <w:lang w:val="en-US" w:eastAsia="zh-CN"/>
        </w:rPr>
        <w:t>3</w:t>
      </w:r>
      <w:r>
        <w:rPr>
          <w:rFonts w:hint="eastAsia" w:ascii="Times New Roman" w:hAnsi="Times New Roman" w:eastAsia="宋体" w:cs="宋体"/>
          <w:color w:val="auto"/>
          <w:sz w:val="24"/>
          <w:szCs w:val="24"/>
        </w:rPr>
        <w:t xml:space="preserve"> </w:t>
      </w:r>
      <w:r>
        <w:rPr>
          <w:rFonts w:hint="eastAsia" w:ascii="Times New Roman" w:hAnsi="Times New Roman" w:eastAsia="宋体" w:cs="宋体"/>
          <w:color w:val="auto"/>
          <w:sz w:val="24"/>
          <w:szCs w:val="24"/>
          <w:lang w:val="en-US" w:eastAsia="zh-CN"/>
        </w:rPr>
        <w:t>土地流转协议</w:t>
      </w:r>
    </w:p>
    <w:p>
      <w:pPr>
        <w:adjustRightInd w:val="0"/>
        <w:snapToGrid w:val="0"/>
        <w:spacing w:line="400" w:lineRule="exact"/>
        <w:rPr>
          <w:rFonts w:hint="default" w:ascii="Times New Roman" w:hAnsi="Times New Roman" w:eastAsia="宋体" w:cs="宋体"/>
          <w:color w:val="auto"/>
          <w:sz w:val="24"/>
          <w:szCs w:val="24"/>
          <w:lang w:val="en-US" w:eastAsia="zh-CN"/>
        </w:rPr>
      </w:pPr>
      <w:r>
        <w:rPr>
          <w:rFonts w:hint="eastAsia" w:ascii="Times New Roman" w:hAnsi="Times New Roman" w:eastAsia="宋体" w:cs="宋体"/>
          <w:color w:val="auto"/>
          <w:sz w:val="24"/>
          <w:szCs w:val="24"/>
        </w:rPr>
        <w:t>附件</w:t>
      </w:r>
      <w:r>
        <w:rPr>
          <w:rFonts w:hint="eastAsia" w:ascii="Times New Roman" w:hAnsi="Times New Roman" w:eastAsia="宋体" w:cs="宋体"/>
          <w:color w:val="auto"/>
          <w:sz w:val="24"/>
          <w:szCs w:val="24"/>
          <w:lang w:val="en-US" w:eastAsia="zh-CN"/>
        </w:rPr>
        <w:t>4 林地使用手续</w:t>
      </w:r>
    </w:p>
    <w:p>
      <w:pPr>
        <w:adjustRightInd w:val="0"/>
        <w:snapToGrid w:val="0"/>
        <w:spacing w:line="400" w:lineRule="exact"/>
        <w:rPr>
          <w:rFonts w:hint="default" w:ascii="Times New Roman" w:hAnsi="Times New Roman" w:eastAsia="宋体" w:cs="宋体"/>
          <w:color w:val="auto"/>
          <w:sz w:val="24"/>
          <w:szCs w:val="24"/>
          <w:lang w:val="en-US" w:eastAsia="zh-CN"/>
        </w:rPr>
      </w:pPr>
      <w:r>
        <w:rPr>
          <w:rFonts w:hint="eastAsia" w:ascii="Times New Roman" w:hAnsi="Times New Roman" w:eastAsia="宋体" w:cs="宋体"/>
          <w:color w:val="auto"/>
          <w:sz w:val="24"/>
          <w:szCs w:val="24"/>
        </w:rPr>
        <w:t>附件</w:t>
      </w:r>
      <w:r>
        <w:rPr>
          <w:rFonts w:hint="eastAsia" w:ascii="Times New Roman" w:hAnsi="Times New Roman" w:eastAsia="宋体" w:cs="宋体"/>
          <w:color w:val="auto"/>
          <w:sz w:val="24"/>
          <w:szCs w:val="24"/>
          <w:lang w:val="en-US" w:eastAsia="zh-CN"/>
        </w:rPr>
        <w:t>5 不在禁养、限养区证明</w:t>
      </w:r>
    </w:p>
    <w:p>
      <w:pPr>
        <w:adjustRightInd w:val="0"/>
        <w:snapToGrid w:val="0"/>
        <w:spacing w:line="400" w:lineRule="exact"/>
        <w:rPr>
          <w:rFonts w:hint="eastAsia" w:ascii="Times New Roman" w:hAnsi="Times New Roman" w:eastAsia="宋体" w:cs="宋体"/>
          <w:color w:val="auto"/>
          <w:sz w:val="24"/>
          <w:szCs w:val="24"/>
          <w:lang w:eastAsia="zh-CN"/>
        </w:rPr>
      </w:pPr>
      <w:r>
        <w:rPr>
          <w:rFonts w:hint="eastAsia" w:ascii="Times New Roman" w:hAnsi="Times New Roman" w:eastAsia="宋体" w:cs="宋体"/>
          <w:color w:val="auto"/>
          <w:sz w:val="24"/>
          <w:szCs w:val="24"/>
        </w:rPr>
        <w:t>附件</w:t>
      </w:r>
      <w:r>
        <w:rPr>
          <w:rFonts w:hint="eastAsia" w:ascii="Times New Roman" w:hAnsi="Times New Roman" w:eastAsia="宋体" w:cs="宋体"/>
          <w:color w:val="auto"/>
          <w:sz w:val="24"/>
          <w:szCs w:val="24"/>
          <w:lang w:val="en-US" w:eastAsia="zh-CN"/>
        </w:rPr>
        <w:t>6 不占用基本农田、</w:t>
      </w:r>
      <w:r>
        <w:rPr>
          <w:rFonts w:hint="eastAsia" w:ascii="Times New Roman" w:hAnsi="Times New Roman" w:eastAsia="宋体" w:cs="宋体"/>
          <w:color w:val="auto"/>
          <w:sz w:val="24"/>
          <w:szCs w:val="24"/>
          <w:lang w:eastAsia="zh-CN"/>
        </w:rPr>
        <w:t>不涉及饮用水源保护区</w:t>
      </w:r>
      <w:r>
        <w:rPr>
          <w:rFonts w:hint="eastAsia" w:ascii="Times New Roman" w:hAnsi="Times New Roman" w:eastAsia="宋体" w:cs="宋体"/>
          <w:color w:val="auto"/>
          <w:sz w:val="24"/>
          <w:szCs w:val="24"/>
          <w:lang w:val="en-US" w:eastAsia="zh-CN"/>
        </w:rPr>
        <w:t>证明</w:t>
      </w:r>
    </w:p>
    <w:p>
      <w:pPr>
        <w:adjustRightInd w:val="0"/>
        <w:snapToGrid w:val="0"/>
        <w:spacing w:line="400" w:lineRule="exact"/>
        <w:rPr>
          <w:rFonts w:hint="default" w:ascii="Times New Roman" w:hAnsi="Times New Roman" w:eastAsia="宋体" w:cs="宋体"/>
          <w:color w:val="auto"/>
          <w:sz w:val="24"/>
          <w:szCs w:val="24"/>
          <w:lang w:val="en-US" w:eastAsia="zh-CN"/>
        </w:rPr>
      </w:pPr>
      <w:r>
        <w:rPr>
          <w:rFonts w:hint="eastAsia" w:ascii="Times New Roman" w:hAnsi="Times New Roman" w:eastAsia="宋体" w:cs="宋体"/>
          <w:color w:val="auto"/>
          <w:sz w:val="24"/>
          <w:szCs w:val="24"/>
          <w:lang w:eastAsia="zh-CN"/>
        </w:rPr>
        <w:t>附件</w:t>
      </w:r>
      <w:r>
        <w:rPr>
          <w:rFonts w:hint="eastAsia" w:ascii="Times New Roman" w:hAnsi="Times New Roman" w:eastAsia="宋体" w:cs="宋体"/>
          <w:color w:val="auto"/>
          <w:sz w:val="24"/>
          <w:szCs w:val="24"/>
          <w:lang w:val="en-US" w:eastAsia="zh-CN"/>
        </w:rPr>
        <w:t>7</w:t>
      </w:r>
      <w:r>
        <w:rPr>
          <w:rFonts w:hint="eastAsia" w:ascii="Times New Roman" w:hAnsi="Times New Roman" w:eastAsia="宋体" w:cs="宋体"/>
          <w:color w:val="auto"/>
          <w:sz w:val="24"/>
          <w:szCs w:val="24"/>
          <w:lang w:eastAsia="zh-CN"/>
        </w:rPr>
        <w:t xml:space="preserve"> </w:t>
      </w:r>
      <w:r>
        <w:rPr>
          <w:rFonts w:hint="eastAsia" w:ascii="Times New Roman" w:hAnsi="Times New Roman" w:eastAsia="宋体" w:cs="宋体"/>
          <w:color w:val="auto"/>
          <w:sz w:val="24"/>
          <w:szCs w:val="24"/>
          <w:lang w:val="en-US" w:eastAsia="zh-CN"/>
        </w:rPr>
        <w:t>设施农用地批复</w:t>
      </w:r>
    </w:p>
    <w:p>
      <w:pPr>
        <w:adjustRightInd w:val="0"/>
        <w:snapToGrid w:val="0"/>
        <w:spacing w:line="400" w:lineRule="exact"/>
        <w:rPr>
          <w:rFonts w:hint="eastAsia" w:ascii="Times New Roman" w:hAnsi="Times New Roman" w:eastAsia="宋体" w:cs="宋体"/>
          <w:color w:val="auto"/>
          <w:sz w:val="24"/>
          <w:szCs w:val="24"/>
          <w:lang w:eastAsia="zh-CN"/>
        </w:rPr>
      </w:pPr>
      <w:r>
        <w:rPr>
          <w:rFonts w:hint="eastAsia" w:ascii="Times New Roman" w:hAnsi="Times New Roman" w:eastAsia="宋体" w:cs="宋体"/>
          <w:color w:val="auto"/>
          <w:sz w:val="24"/>
          <w:szCs w:val="24"/>
          <w:lang w:eastAsia="zh-CN"/>
        </w:rPr>
        <w:t>附件</w:t>
      </w:r>
      <w:r>
        <w:rPr>
          <w:rFonts w:hint="eastAsia" w:ascii="Times New Roman" w:hAnsi="Times New Roman" w:eastAsia="宋体" w:cs="宋体"/>
          <w:color w:val="auto"/>
          <w:sz w:val="24"/>
          <w:szCs w:val="24"/>
          <w:lang w:val="en-US" w:eastAsia="zh-CN"/>
        </w:rPr>
        <w:t>8 粪污消纳地协议</w:t>
      </w:r>
    </w:p>
    <w:p>
      <w:pPr>
        <w:adjustRightInd w:val="0"/>
        <w:snapToGrid w:val="0"/>
        <w:spacing w:line="400" w:lineRule="exact"/>
        <w:rPr>
          <w:rFonts w:hint="default" w:ascii="Times New Roman" w:hAnsi="Times New Roman" w:eastAsia="宋体" w:cs="宋体"/>
          <w:color w:val="auto"/>
          <w:sz w:val="24"/>
          <w:szCs w:val="24"/>
          <w:lang w:val="en-US" w:eastAsia="zh-CN"/>
        </w:rPr>
      </w:pPr>
      <w:r>
        <w:rPr>
          <w:rFonts w:hint="eastAsia" w:ascii="Times New Roman" w:hAnsi="Times New Roman" w:eastAsia="宋体" w:cs="宋体"/>
          <w:color w:val="auto"/>
          <w:sz w:val="24"/>
          <w:szCs w:val="24"/>
          <w:lang w:val="en-US" w:eastAsia="zh-CN"/>
        </w:rPr>
        <w:t>附件9 粪污消纳合作社营业执照</w:t>
      </w:r>
    </w:p>
    <w:p>
      <w:pPr>
        <w:adjustRightInd w:val="0"/>
        <w:snapToGrid w:val="0"/>
        <w:spacing w:line="400" w:lineRule="exact"/>
        <w:rPr>
          <w:rFonts w:hint="default" w:ascii="Times New Roman" w:hAnsi="Times New Roman" w:eastAsia="宋体" w:cs="宋体"/>
          <w:color w:val="auto"/>
          <w:sz w:val="24"/>
          <w:szCs w:val="24"/>
          <w:lang w:val="en-US" w:eastAsia="zh-CN"/>
        </w:rPr>
      </w:pPr>
      <w:r>
        <w:rPr>
          <w:rFonts w:hint="eastAsia" w:ascii="Times New Roman" w:hAnsi="Times New Roman" w:eastAsia="宋体" w:cs="宋体"/>
          <w:color w:val="auto"/>
          <w:sz w:val="24"/>
          <w:szCs w:val="24"/>
          <w:lang w:val="en-US" w:eastAsia="zh-CN"/>
        </w:rPr>
        <w:t>附件10  复杂地形证明材料</w:t>
      </w:r>
    </w:p>
    <w:p>
      <w:pPr>
        <w:adjustRightInd w:val="0"/>
        <w:snapToGrid w:val="0"/>
        <w:spacing w:line="400" w:lineRule="exact"/>
        <w:rPr>
          <w:rFonts w:hint="default" w:ascii="Times New Roman" w:hAnsi="Times New Roman" w:eastAsia="宋体" w:cs="宋体"/>
          <w:color w:val="auto"/>
          <w:sz w:val="24"/>
          <w:szCs w:val="24"/>
          <w:lang w:val="en-US" w:eastAsia="zh-CN"/>
        </w:rPr>
      </w:pPr>
      <w:r>
        <w:rPr>
          <w:rFonts w:hint="eastAsia" w:ascii="Times New Roman" w:hAnsi="Times New Roman" w:eastAsia="宋体" w:cs="宋体"/>
          <w:color w:val="auto"/>
          <w:sz w:val="24"/>
          <w:szCs w:val="24"/>
          <w:lang w:val="en-US" w:eastAsia="zh-CN"/>
        </w:rPr>
        <w:t>附件11  监测报告</w:t>
      </w:r>
    </w:p>
    <w:p>
      <w:pPr>
        <w:adjustRightInd w:val="0"/>
        <w:snapToGrid w:val="0"/>
        <w:spacing w:line="400" w:lineRule="exact"/>
        <w:rPr>
          <w:rFonts w:hint="default" w:ascii="Times New Roman" w:hAnsi="Times New Roman" w:eastAsia="宋体" w:cs="宋体"/>
          <w:color w:val="auto"/>
          <w:sz w:val="24"/>
          <w:szCs w:val="24"/>
          <w:lang w:val="en-US" w:eastAsia="zh-CN"/>
        </w:rPr>
      </w:pPr>
      <w:r>
        <w:rPr>
          <w:rFonts w:hint="eastAsia" w:ascii="Times New Roman" w:hAnsi="Times New Roman" w:eastAsia="宋体" w:cs="宋体"/>
          <w:color w:val="auto"/>
          <w:sz w:val="24"/>
          <w:szCs w:val="24"/>
          <w:lang w:val="en-US" w:eastAsia="zh-CN"/>
        </w:rPr>
        <w:t>附件12  租赁协议</w:t>
      </w:r>
    </w:p>
    <w:p>
      <w:pPr>
        <w:adjustRightInd w:val="0"/>
        <w:snapToGrid w:val="0"/>
        <w:spacing w:line="400" w:lineRule="exact"/>
        <w:rPr>
          <w:rFonts w:hint="default" w:ascii="Times New Roman" w:hAnsi="Times New Roman" w:eastAsia="宋体" w:cs="宋体"/>
          <w:color w:val="auto"/>
          <w:sz w:val="24"/>
          <w:szCs w:val="24"/>
          <w:lang w:val="en-US" w:eastAsia="zh-CN"/>
        </w:rPr>
      </w:pPr>
    </w:p>
    <w:p>
      <w:pPr>
        <w:adjustRightInd w:val="0"/>
        <w:snapToGrid w:val="0"/>
        <w:spacing w:line="400" w:lineRule="exact"/>
        <w:rPr>
          <w:rFonts w:ascii="Times New Roman" w:hAnsi="Times New Roman" w:eastAsia="宋体" w:cs="宋体"/>
          <w:b/>
          <w:bCs/>
          <w:color w:val="auto"/>
          <w:sz w:val="24"/>
          <w:szCs w:val="24"/>
        </w:rPr>
      </w:pPr>
      <w:r>
        <w:rPr>
          <w:rFonts w:hint="eastAsia" w:ascii="Times New Roman" w:hAnsi="Times New Roman" w:eastAsia="宋体" w:cs="宋体"/>
          <w:b/>
          <w:bCs/>
          <w:color w:val="auto"/>
          <w:sz w:val="24"/>
          <w:szCs w:val="24"/>
        </w:rPr>
        <w:t>附图：</w:t>
      </w:r>
    </w:p>
    <w:p>
      <w:pPr>
        <w:adjustRightInd w:val="0"/>
        <w:snapToGrid w:val="0"/>
        <w:spacing w:line="400" w:lineRule="exact"/>
        <w:rPr>
          <w:rFonts w:ascii="Times New Roman" w:hAnsi="Times New Roman" w:eastAsia="宋体" w:cs="宋体"/>
          <w:color w:val="auto"/>
          <w:sz w:val="24"/>
          <w:szCs w:val="24"/>
        </w:rPr>
      </w:pPr>
      <w:r>
        <w:rPr>
          <w:rFonts w:hint="eastAsia" w:ascii="Times New Roman" w:hAnsi="Times New Roman" w:eastAsia="宋体" w:cs="宋体"/>
          <w:color w:val="auto"/>
          <w:sz w:val="24"/>
          <w:szCs w:val="24"/>
        </w:rPr>
        <w:t>附图1 项目地理位置图</w:t>
      </w:r>
    </w:p>
    <w:p>
      <w:pPr>
        <w:adjustRightInd w:val="0"/>
        <w:snapToGrid w:val="0"/>
        <w:spacing w:line="400" w:lineRule="exact"/>
        <w:rPr>
          <w:rFonts w:hint="eastAsia" w:ascii="Times New Roman" w:hAnsi="Times New Roman" w:eastAsia="宋体" w:cs="宋体"/>
          <w:color w:val="auto"/>
          <w:sz w:val="24"/>
          <w:szCs w:val="24"/>
        </w:rPr>
      </w:pPr>
      <w:r>
        <w:rPr>
          <w:rFonts w:hint="eastAsia" w:ascii="Times New Roman" w:hAnsi="Times New Roman" w:eastAsia="宋体" w:cs="宋体"/>
          <w:color w:val="auto"/>
          <w:sz w:val="24"/>
          <w:szCs w:val="24"/>
        </w:rPr>
        <w:t>附图2</w:t>
      </w:r>
      <w:r>
        <w:rPr>
          <w:rFonts w:hint="eastAsia" w:ascii="Times New Roman" w:hAnsi="Times New Roman" w:eastAsia="宋体" w:cs="宋体"/>
          <w:color w:val="auto"/>
          <w:sz w:val="24"/>
          <w:szCs w:val="24"/>
          <w:lang w:val="en-US" w:eastAsia="zh-CN"/>
        </w:rPr>
        <w:t xml:space="preserve"> </w:t>
      </w:r>
      <w:r>
        <w:rPr>
          <w:rFonts w:hint="eastAsia" w:ascii="Times New Roman" w:hAnsi="Times New Roman" w:eastAsia="宋体" w:cs="宋体"/>
          <w:color w:val="auto"/>
          <w:sz w:val="24"/>
          <w:szCs w:val="24"/>
          <w:lang w:eastAsia="zh-CN"/>
        </w:rPr>
        <w:t>平面布置及分区防渗</w:t>
      </w:r>
      <w:r>
        <w:rPr>
          <w:rFonts w:hint="eastAsia" w:ascii="Times New Roman" w:hAnsi="Times New Roman" w:eastAsia="宋体" w:cs="宋体"/>
          <w:color w:val="auto"/>
          <w:sz w:val="24"/>
          <w:szCs w:val="24"/>
        </w:rPr>
        <w:t>图</w:t>
      </w:r>
    </w:p>
    <w:p>
      <w:pPr>
        <w:adjustRightInd w:val="0"/>
        <w:snapToGrid w:val="0"/>
        <w:spacing w:line="400" w:lineRule="exact"/>
        <w:rPr>
          <w:rFonts w:hint="eastAsia" w:ascii="Times New Roman" w:hAnsi="Times New Roman" w:eastAsia="宋体" w:cs="宋体"/>
          <w:color w:val="auto"/>
          <w:sz w:val="24"/>
          <w:szCs w:val="24"/>
          <w:lang w:eastAsia="zh-CN"/>
        </w:rPr>
      </w:pPr>
      <w:r>
        <w:rPr>
          <w:rFonts w:hint="eastAsia" w:ascii="Times New Roman" w:hAnsi="Times New Roman" w:eastAsia="宋体" w:cs="宋体"/>
          <w:color w:val="auto"/>
          <w:sz w:val="24"/>
          <w:szCs w:val="24"/>
        </w:rPr>
        <w:t xml:space="preserve">附图3 </w:t>
      </w:r>
      <w:r>
        <w:rPr>
          <w:rFonts w:hint="eastAsia" w:ascii="Times New Roman" w:hAnsi="Times New Roman" w:eastAsia="宋体" w:cs="宋体"/>
          <w:color w:val="auto"/>
          <w:sz w:val="24"/>
          <w:szCs w:val="24"/>
          <w:lang w:eastAsia="zh-CN"/>
        </w:rPr>
        <w:t>卫生防护距离包络线图</w:t>
      </w:r>
    </w:p>
    <w:p>
      <w:pPr>
        <w:adjustRightInd w:val="0"/>
        <w:snapToGrid w:val="0"/>
        <w:spacing w:line="400" w:lineRule="exact"/>
        <w:rPr>
          <w:rFonts w:hint="eastAsia" w:ascii="Times New Roman" w:hAnsi="Times New Roman" w:eastAsia="宋体" w:cs="宋体"/>
          <w:color w:val="auto"/>
          <w:sz w:val="24"/>
          <w:szCs w:val="24"/>
          <w:lang w:eastAsia="zh-CN"/>
        </w:rPr>
      </w:pPr>
      <w:r>
        <w:rPr>
          <w:rFonts w:hint="eastAsia" w:ascii="Times New Roman" w:hAnsi="Times New Roman" w:eastAsia="宋体" w:cs="宋体"/>
          <w:color w:val="auto"/>
          <w:sz w:val="24"/>
          <w:szCs w:val="24"/>
        </w:rPr>
        <w:t>附图4</w:t>
      </w:r>
      <w:r>
        <w:rPr>
          <w:rFonts w:hint="eastAsia" w:ascii="Times New Roman" w:hAnsi="Times New Roman" w:eastAsia="宋体" w:cs="宋体"/>
          <w:color w:val="auto"/>
          <w:sz w:val="24"/>
          <w:szCs w:val="24"/>
          <w:lang w:val="en-US" w:eastAsia="zh-CN"/>
        </w:rPr>
        <w:t xml:space="preserve"> 产污节点图</w:t>
      </w:r>
    </w:p>
    <w:p>
      <w:pPr>
        <w:adjustRightInd w:val="0"/>
        <w:snapToGrid w:val="0"/>
        <w:spacing w:line="400" w:lineRule="exact"/>
        <w:rPr>
          <w:rFonts w:hint="eastAsia" w:ascii="Times New Roman" w:hAnsi="Times New Roman" w:eastAsia="宋体" w:cs="宋体"/>
          <w:color w:val="auto"/>
          <w:sz w:val="24"/>
          <w:szCs w:val="24"/>
          <w:lang w:eastAsia="zh-CN"/>
        </w:rPr>
      </w:pPr>
      <w:r>
        <w:rPr>
          <w:rFonts w:hint="eastAsia" w:ascii="Times New Roman" w:hAnsi="Times New Roman" w:eastAsia="宋体" w:cs="宋体"/>
          <w:color w:val="auto"/>
          <w:sz w:val="24"/>
          <w:szCs w:val="24"/>
        </w:rPr>
        <w:t>附图5</w:t>
      </w:r>
      <w:r>
        <w:rPr>
          <w:rFonts w:hint="eastAsia" w:ascii="Times New Roman" w:hAnsi="Times New Roman" w:eastAsia="宋体" w:cs="宋体"/>
          <w:color w:val="auto"/>
          <w:sz w:val="24"/>
          <w:szCs w:val="24"/>
          <w:lang w:val="en-US" w:eastAsia="zh-CN"/>
        </w:rPr>
        <w:t xml:space="preserve"> </w:t>
      </w:r>
      <w:r>
        <w:rPr>
          <w:rFonts w:hint="eastAsia" w:ascii="Times New Roman" w:hAnsi="Times New Roman" w:eastAsia="宋体" w:cs="宋体"/>
          <w:color w:val="auto"/>
          <w:sz w:val="24"/>
          <w:szCs w:val="24"/>
          <w:lang w:eastAsia="zh-CN"/>
        </w:rPr>
        <w:t>大气评价范围及保护目标图</w:t>
      </w:r>
    </w:p>
    <w:p>
      <w:pPr>
        <w:adjustRightInd w:val="0"/>
        <w:snapToGrid w:val="0"/>
        <w:spacing w:line="400" w:lineRule="exact"/>
        <w:rPr>
          <w:rFonts w:hint="eastAsia" w:ascii="Times New Roman" w:hAnsi="Times New Roman" w:eastAsia="宋体" w:cs="宋体"/>
          <w:color w:val="auto"/>
          <w:sz w:val="24"/>
          <w:szCs w:val="24"/>
          <w:lang w:eastAsia="zh-CN"/>
        </w:rPr>
      </w:pPr>
      <w:r>
        <w:rPr>
          <w:rFonts w:hint="eastAsia" w:ascii="Times New Roman" w:hAnsi="Times New Roman" w:eastAsia="宋体" w:cs="宋体"/>
          <w:color w:val="auto"/>
          <w:sz w:val="24"/>
          <w:szCs w:val="24"/>
        </w:rPr>
        <w:t xml:space="preserve">附图6 </w:t>
      </w:r>
      <w:r>
        <w:rPr>
          <w:rFonts w:hint="eastAsia" w:ascii="Times New Roman" w:hAnsi="Times New Roman" w:eastAsia="宋体" w:cs="宋体"/>
          <w:color w:val="auto"/>
          <w:sz w:val="24"/>
          <w:szCs w:val="24"/>
          <w:lang w:eastAsia="zh-CN"/>
        </w:rPr>
        <w:t>地下水评价范围图</w:t>
      </w:r>
    </w:p>
    <w:p>
      <w:pPr>
        <w:adjustRightInd w:val="0"/>
        <w:snapToGrid w:val="0"/>
        <w:spacing w:line="400" w:lineRule="exact"/>
        <w:rPr>
          <w:rFonts w:hint="eastAsia" w:ascii="Times New Roman" w:hAnsi="Times New Roman" w:eastAsia="宋体" w:cs="宋体"/>
          <w:color w:val="auto"/>
          <w:sz w:val="24"/>
          <w:szCs w:val="24"/>
          <w:lang w:val="en-US" w:eastAsia="zh-CN"/>
        </w:rPr>
      </w:pPr>
      <w:r>
        <w:rPr>
          <w:rFonts w:hint="eastAsia" w:ascii="Times New Roman" w:hAnsi="Times New Roman" w:eastAsia="宋体" w:cs="宋体"/>
          <w:color w:val="auto"/>
          <w:sz w:val="24"/>
          <w:szCs w:val="24"/>
        </w:rPr>
        <w:t>附</w:t>
      </w:r>
      <w:r>
        <w:rPr>
          <w:rFonts w:hint="eastAsia" w:ascii="Times New Roman" w:hAnsi="Times New Roman" w:cs="宋体"/>
          <w:color w:val="auto"/>
          <w:sz w:val="24"/>
          <w:szCs w:val="24"/>
          <w:lang w:val="en-US" w:eastAsia="zh-CN"/>
        </w:rPr>
        <w:t>图</w:t>
      </w:r>
      <w:r>
        <w:rPr>
          <w:rFonts w:hint="eastAsia" w:ascii="Times New Roman" w:hAnsi="Times New Roman" w:eastAsia="宋体" w:cs="宋体"/>
          <w:color w:val="auto"/>
          <w:sz w:val="24"/>
          <w:szCs w:val="24"/>
        </w:rPr>
        <w:t>7</w:t>
      </w:r>
      <w:r>
        <w:rPr>
          <w:rFonts w:hint="eastAsia" w:ascii="Times New Roman" w:hAnsi="Times New Roman" w:eastAsia="宋体" w:cs="宋体"/>
          <w:color w:val="auto"/>
          <w:sz w:val="24"/>
          <w:szCs w:val="24"/>
          <w:lang w:val="en-US" w:eastAsia="zh-CN"/>
        </w:rPr>
        <w:t xml:space="preserve"> 大气、噪声、地下水、土壤监测点位布置图</w:t>
      </w:r>
    </w:p>
    <w:p>
      <w:pPr>
        <w:adjustRightInd w:val="0"/>
        <w:snapToGrid w:val="0"/>
        <w:spacing w:line="400" w:lineRule="exact"/>
        <w:rPr>
          <w:rFonts w:hint="default" w:ascii="Times New Roman" w:hAnsi="Times New Roman" w:eastAsia="宋体" w:cs="宋体"/>
          <w:color w:val="auto"/>
          <w:sz w:val="24"/>
          <w:szCs w:val="24"/>
          <w:lang w:val="en-US" w:eastAsia="zh-CN"/>
        </w:rPr>
      </w:pPr>
      <w:r>
        <w:rPr>
          <w:rFonts w:hint="eastAsia" w:ascii="Times New Roman" w:hAnsi="Times New Roman" w:eastAsia="宋体" w:cs="宋体"/>
          <w:color w:val="auto"/>
          <w:sz w:val="24"/>
          <w:szCs w:val="24"/>
          <w:lang w:val="en-US" w:eastAsia="zh-CN"/>
        </w:rPr>
        <w:t>附</w:t>
      </w:r>
      <w:r>
        <w:rPr>
          <w:rFonts w:hint="eastAsia" w:ascii="Times New Roman" w:hAnsi="Times New Roman" w:cs="宋体"/>
          <w:color w:val="auto"/>
          <w:sz w:val="24"/>
          <w:szCs w:val="24"/>
          <w:lang w:val="en-US" w:eastAsia="zh-CN"/>
        </w:rPr>
        <w:t>图</w:t>
      </w:r>
      <w:r>
        <w:rPr>
          <w:rFonts w:hint="eastAsia" w:ascii="Times New Roman" w:hAnsi="Times New Roman" w:eastAsia="宋体" w:cs="宋体"/>
          <w:color w:val="auto"/>
          <w:sz w:val="24"/>
          <w:szCs w:val="24"/>
          <w:lang w:val="en-US" w:eastAsia="zh-CN"/>
        </w:rPr>
        <w:t>8 地表水监测位点图</w:t>
      </w:r>
    </w:p>
    <w:p>
      <w:pPr>
        <w:adjustRightInd w:val="0"/>
        <w:snapToGrid w:val="0"/>
        <w:spacing w:line="400" w:lineRule="exact"/>
        <w:rPr>
          <w:rFonts w:hint="eastAsia" w:ascii="Times New Roman" w:hAnsi="Times New Roman" w:eastAsia="宋体" w:cs="宋体"/>
          <w:color w:val="auto"/>
          <w:sz w:val="24"/>
          <w:szCs w:val="24"/>
          <w:lang w:val="en-US" w:eastAsia="zh-CN"/>
        </w:rPr>
      </w:pPr>
      <w:r>
        <w:rPr>
          <w:rFonts w:hint="eastAsia" w:ascii="Times New Roman" w:hAnsi="Times New Roman" w:eastAsia="宋体" w:cs="宋体"/>
          <w:color w:val="auto"/>
          <w:sz w:val="24"/>
          <w:szCs w:val="24"/>
          <w:lang w:eastAsia="zh-CN"/>
        </w:rPr>
        <w:t>附</w:t>
      </w:r>
      <w:r>
        <w:rPr>
          <w:rFonts w:hint="eastAsia" w:ascii="Times New Roman" w:hAnsi="Times New Roman" w:eastAsia="宋体" w:cs="宋体"/>
          <w:color w:val="auto"/>
          <w:sz w:val="24"/>
          <w:szCs w:val="24"/>
          <w:lang w:val="en-US" w:eastAsia="zh-CN"/>
        </w:rPr>
        <w:t>图9 噪声等声级图</w:t>
      </w:r>
    </w:p>
    <w:p>
      <w:pPr>
        <w:adjustRightInd w:val="0"/>
        <w:snapToGrid w:val="0"/>
        <w:spacing w:line="400" w:lineRule="exact"/>
        <w:rPr>
          <w:rFonts w:hint="default" w:ascii="Times New Roman" w:hAnsi="Times New Roman" w:eastAsia="宋体" w:cs="宋体"/>
          <w:color w:val="auto"/>
          <w:sz w:val="24"/>
          <w:szCs w:val="24"/>
          <w:lang w:val="en-US" w:eastAsia="zh-CN"/>
        </w:rPr>
      </w:pPr>
      <w:r>
        <w:rPr>
          <w:rFonts w:hint="eastAsia" w:ascii="Times New Roman" w:hAnsi="Times New Roman" w:eastAsia="宋体" w:cs="宋体"/>
          <w:color w:val="auto"/>
          <w:sz w:val="24"/>
          <w:szCs w:val="24"/>
          <w:lang w:val="en-US" w:eastAsia="zh-CN"/>
        </w:rPr>
        <w:t xml:space="preserve">附图10 消纳地分布图 </w:t>
      </w:r>
    </w:p>
    <w:p>
      <w:pPr>
        <w:adjustRightInd w:val="0"/>
        <w:snapToGrid w:val="0"/>
        <w:spacing w:line="400" w:lineRule="exact"/>
        <w:rPr>
          <w:rFonts w:hint="default" w:ascii="Times New Roman" w:hAnsi="Times New Roman" w:eastAsia="宋体" w:cs="宋体"/>
          <w:color w:val="auto"/>
          <w:sz w:val="24"/>
          <w:szCs w:val="24"/>
          <w:lang w:val="en-US" w:eastAsia="zh-CN"/>
        </w:rPr>
      </w:pPr>
      <w:r>
        <w:rPr>
          <w:rFonts w:hint="eastAsia" w:ascii="Times New Roman" w:hAnsi="Times New Roman" w:eastAsia="宋体" w:cs="宋体"/>
          <w:color w:val="auto"/>
          <w:sz w:val="24"/>
          <w:szCs w:val="24"/>
          <w:lang w:eastAsia="zh-CN"/>
        </w:rPr>
        <w:t>附图</w:t>
      </w:r>
      <w:r>
        <w:rPr>
          <w:rFonts w:hint="eastAsia" w:ascii="Times New Roman" w:hAnsi="Times New Roman" w:eastAsia="宋体" w:cs="宋体"/>
          <w:color w:val="auto"/>
          <w:sz w:val="24"/>
          <w:szCs w:val="24"/>
          <w:lang w:val="en-US" w:eastAsia="zh-CN"/>
        </w:rPr>
        <w:t>11 现场照片</w:t>
      </w:r>
    </w:p>
    <w:p>
      <w:pPr>
        <w:adjustRightInd w:val="0"/>
        <w:snapToGrid w:val="0"/>
        <w:spacing w:line="400" w:lineRule="exact"/>
        <w:rPr>
          <w:rFonts w:hint="default" w:ascii="Times New Roman" w:hAnsi="Times New Roman" w:eastAsia="宋体" w:cs="宋体"/>
          <w:color w:val="auto"/>
          <w:sz w:val="24"/>
          <w:szCs w:val="24"/>
          <w:lang w:val="en-US" w:eastAsia="zh-CN"/>
        </w:rPr>
      </w:pPr>
      <w:r>
        <w:rPr>
          <w:rFonts w:hint="eastAsia" w:ascii="Times New Roman" w:hAnsi="Times New Roman" w:eastAsia="宋体" w:cs="宋体"/>
          <w:color w:val="auto"/>
          <w:sz w:val="24"/>
          <w:szCs w:val="24"/>
          <w:lang w:val="en-US" w:eastAsia="zh-CN"/>
        </w:rPr>
        <w:t>附图12 眉山生态红线图</w:t>
      </w:r>
    </w:p>
    <w:p>
      <w:pPr>
        <w:pStyle w:val="33"/>
        <w:rPr>
          <w:rFonts w:hint="eastAsia" w:ascii="Times New Roman" w:hAnsi="Times New Roman" w:eastAsia="宋体" w:cs="宋体"/>
          <w:color w:val="auto"/>
          <w:sz w:val="24"/>
          <w:szCs w:val="24"/>
        </w:rPr>
      </w:pPr>
    </w:p>
    <w:p>
      <w:pPr>
        <w:pStyle w:val="4"/>
        <w:adjustRightInd w:val="0"/>
        <w:snapToGrid w:val="0"/>
        <w:spacing w:line="360" w:lineRule="auto"/>
        <w:jc w:val="center"/>
        <w:rPr>
          <w:rFonts w:ascii="Times New Roman" w:hAnsi="Times New Roman" w:eastAsia="宋体" w:cs="Times New Roman"/>
          <w:color w:val="auto"/>
          <w:sz w:val="32"/>
          <w:szCs w:val="32"/>
        </w:rPr>
        <w:sectPr>
          <w:footerReference r:id="rId8" w:type="default"/>
          <w:pgSz w:w="11906" w:h="16838"/>
          <w:pgMar w:top="1440" w:right="1451" w:bottom="1440" w:left="1451" w:header="851" w:footer="992" w:gutter="0"/>
          <w:pgBorders>
            <w:top w:val="none" w:sz="0" w:space="0"/>
            <w:left w:val="none" w:sz="0" w:space="0"/>
            <w:bottom w:val="none" w:sz="0" w:space="0"/>
            <w:right w:val="none" w:sz="0" w:space="0"/>
          </w:pgBorders>
          <w:pgNumType w:fmt="upperRoman" w:start="3"/>
          <w:cols w:space="425" w:num="1"/>
          <w:docGrid w:type="lines" w:linePitch="312" w:charSpace="0"/>
        </w:sectPr>
      </w:pPr>
      <w:bookmarkStart w:id="0" w:name="_Toc2790"/>
    </w:p>
    <w:p>
      <w:pPr>
        <w:pStyle w:val="4"/>
        <w:adjustRightInd w:val="0"/>
        <w:snapToGrid w:val="0"/>
        <w:spacing w:line="360" w:lineRule="auto"/>
        <w:jc w:val="center"/>
        <w:rPr>
          <w:rFonts w:ascii="Times New Roman" w:hAnsi="Times New Roman" w:eastAsia="宋体" w:cs="Times New Roman"/>
          <w:color w:val="auto"/>
          <w:sz w:val="32"/>
          <w:szCs w:val="32"/>
        </w:rPr>
      </w:pPr>
      <w:bookmarkStart w:id="1" w:name="_Toc10467"/>
      <w:r>
        <w:rPr>
          <w:rFonts w:ascii="Times New Roman" w:hAnsi="Times New Roman" w:eastAsia="宋体" w:cs="Times New Roman"/>
          <w:color w:val="auto"/>
          <w:sz w:val="32"/>
          <w:szCs w:val="32"/>
        </w:rPr>
        <w:t>前言</w:t>
      </w:r>
      <w:bookmarkEnd w:id="0"/>
      <w:bookmarkEnd w:id="1"/>
    </w:p>
    <w:p>
      <w:pPr>
        <w:keepNext w:val="0"/>
        <w:keepLines w:val="0"/>
        <w:pageBreakBefore w:val="0"/>
        <w:widowControl w:val="0"/>
        <w:kinsoku/>
        <w:wordWrap/>
        <w:overflowPunct/>
        <w:topLinePunct w:val="0"/>
        <w:autoSpaceDE/>
        <w:autoSpaceDN/>
        <w:bidi w:val="0"/>
        <w:adjustRightInd w:val="0"/>
        <w:snapToGrid w:val="0"/>
        <w:spacing w:line="360" w:lineRule="auto"/>
        <w:ind w:firstLine="562" w:firstLineChars="200"/>
        <w:jc w:val="both"/>
        <w:textAlignment w:val="auto"/>
        <w:outlineLvl w:val="1"/>
        <w:rPr>
          <w:rFonts w:ascii="Times New Roman" w:hAnsi="Times New Roman" w:eastAsia="宋体" w:cs="Times New Roman"/>
          <w:b/>
          <w:color w:val="auto"/>
          <w:sz w:val="28"/>
          <w:szCs w:val="28"/>
        </w:rPr>
      </w:pPr>
      <w:bookmarkStart w:id="2" w:name="_Toc31397"/>
      <w:r>
        <w:rPr>
          <w:rFonts w:hint="eastAsia" w:ascii="Times New Roman" w:hAnsi="Times New Roman" w:eastAsia="宋体" w:cs="Times New Roman"/>
          <w:b/>
          <w:color w:val="auto"/>
          <w:sz w:val="28"/>
          <w:szCs w:val="28"/>
          <w:lang w:eastAsia="zh-CN"/>
        </w:rPr>
        <w:t>一</w:t>
      </w:r>
      <w:r>
        <w:rPr>
          <w:rFonts w:hint="eastAsia" w:ascii="Times New Roman" w:hAnsi="Times New Roman" w:eastAsia="宋体" w:cs="Times New Roman"/>
          <w:b/>
          <w:color w:val="auto"/>
          <w:sz w:val="28"/>
          <w:szCs w:val="28"/>
        </w:rPr>
        <w:t>、</w:t>
      </w:r>
      <w:r>
        <w:rPr>
          <w:rFonts w:hint="eastAsia" w:ascii="Times New Roman" w:hAnsi="Times New Roman" w:eastAsia="宋体" w:cs="Times New Roman"/>
          <w:b/>
          <w:color w:val="auto"/>
          <w:sz w:val="28"/>
          <w:szCs w:val="28"/>
          <w:lang w:eastAsia="zh-CN"/>
        </w:rPr>
        <w:t>建设</w:t>
      </w:r>
      <w:r>
        <w:rPr>
          <w:rFonts w:hint="eastAsia" w:ascii="Times New Roman" w:hAnsi="Times New Roman" w:eastAsia="宋体" w:cs="Times New Roman"/>
          <w:b/>
          <w:color w:val="auto"/>
          <w:sz w:val="28"/>
          <w:szCs w:val="28"/>
        </w:rPr>
        <w:t>项目背景</w:t>
      </w:r>
      <w:bookmarkEnd w:id="2"/>
    </w:p>
    <w:p>
      <w:pPr>
        <w:pageBreakBefore w:val="0"/>
        <w:widowControl w:val="0"/>
        <w:kinsoku/>
        <w:wordWrap/>
        <w:overflowPunct/>
        <w:topLinePunct w:val="0"/>
        <w:autoSpaceDE/>
        <w:autoSpaceDN/>
        <w:bidi w:val="0"/>
        <w:snapToGrid w:val="0"/>
        <w:spacing w:line="360" w:lineRule="auto"/>
        <w:ind w:firstLine="480" w:firstLineChars="200"/>
        <w:jc w:val="both"/>
        <w:textAlignment w:val="auto"/>
        <w:rPr>
          <w:rFonts w:hint="eastAsia" w:ascii="Times New Roman" w:hAnsi="Times New Roman" w:eastAsia="宋体" w:cs="宋体"/>
          <w:color w:val="auto"/>
          <w:sz w:val="24"/>
          <w:szCs w:val="24"/>
          <w:lang w:eastAsia="zh-CN"/>
        </w:rPr>
      </w:pPr>
      <w:r>
        <w:rPr>
          <w:rFonts w:hint="eastAsia" w:ascii="Times New Roman" w:hAnsi="Times New Roman" w:eastAsia="宋体" w:cs="宋体"/>
          <w:color w:val="auto"/>
          <w:sz w:val="24"/>
          <w:szCs w:val="24"/>
        </w:rPr>
        <w:t>2019年非洲猪瘟发酵，对国内养殖行业形成了极大的冲击</w:t>
      </w:r>
      <w:r>
        <w:rPr>
          <w:rFonts w:hint="eastAsia" w:ascii="Times New Roman" w:hAnsi="Times New Roman" w:eastAsia="宋体" w:cs="宋体"/>
          <w:color w:val="auto"/>
          <w:sz w:val="24"/>
          <w:szCs w:val="24"/>
          <w:lang w:eastAsia="zh-CN"/>
        </w:rPr>
        <w:t>，目前疫情已得到有效控制，疫情势头逐步趋缓。按照国务院部署，应切实落实生猪生产扶持政策，对调出大县的规模猪场开展临时性生产救助，加快非洲猪瘟强制扑杀补助发放进度，尽快将补助资金兑现到养殖场（户）。各级政府鼓励创建生猪标准化示范场，并支持有条件的小农户稳步扩大规模，实现产业向规模适度、生产集约、管理先进的方向发展。</w:t>
      </w:r>
    </w:p>
    <w:p>
      <w:pPr>
        <w:pageBreakBefore w:val="0"/>
        <w:widowControl w:val="0"/>
        <w:kinsoku/>
        <w:wordWrap/>
        <w:overflowPunct/>
        <w:topLinePunct w:val="0"/>
        <w:autoSpaceDE/>
        <w:autoSpaceDN/>
        <w:bidi w:val="0"/>
        <w:snapToGrid w:val="0"/>
        <w:spacing w:line="360" w:lineRule="auto"/>
        <w:ind w:firstLine="480" w:firstLineChars="200"/>
        <w:jc w:val="both"/>
        <w:textAlignment w:val="auto"/>
        <w:rPr>
          <w:rFonts w:hint="eastAsia" w:ascii="Times New Roman" w:hAnsi="Times New Roman" w:eastAsia="宋体" w:cs="宋体"/>
          <w:color w:val="auto"/>
          <w:sz w:val="24"/>
          <w:szCs w:val="24"/>
          <w:lang w:eastAsia="zh-CN"/>
        </w:rPr>
      </w:pPr>
      <w:r>
        <w:rPr>
          <w:rFonts w:hint="eastAsia" w:ascii="Times New Roman" w:hAnsi="Times New Roman" w:eastAsia="宋体" w:cs="宋体"/>
          <w:color w:val="auto"/>
          <w:sz w:val="24"/>
          <w:szCs w:val="24"/>
          <w:lang w:eastAsia="zh-CN"/>
        </w:rPr>
        <w:t>农业循环经济是通过运用物质循环再生原理和物质多层次高效利用技术，实现农业资源“减量化、再利用、再循环”的一种新型农业发展模式和经济形态。在国内外新的竞争挑战下，大力发展农业循环经济是促进农业节本增效的重要手段，是拓展农业功能的重要举措，是改善农村生产生活环境的有效途径，是实现农业经济可持续发展的重要保障，是构筑农产品绿色竞争力的强力支撑。</w:t>
      </w:r>
    </w:p>
    <w:p>
      <w:pPr>
        <w:pageBreakBefore w:val="0"/>
        <w:widowControl w:val="0"/>
        <w:kinsoku/>
        <w:wordWrap/>
        <w:overflowPunct/>
        <w:topLinePunct w:val="0"/>
        <w:autoSpaceDE/>
        <w:autoSpaceDN/>
        <w:bidi w:val="0"/>
        <w:snapToGrid w:val="0"/>
        <w:spacing w:line="360" w:lineRule="auto"/>
        <w:ind w:firstLine="480" w:firstLineChars="200"/>
        <w:jc w:val="both"/>
        <w:textAlignment w:val="auto"/>
        <w:rPr>
          <w:rFonts w:hint="eastAsia" w:ascii="Times New Roman" w:hAnsi="Times New Roman" w:eastAsia="宋体" w:cs="宋体"/>
          <w:color w:val="auto"/>
          <w:sz w:val="24"/>
          <w:szCs w:val="24"/>
          <w:lang w:eastAsia="zh-CN"/>
        </w:rPr>
      </w:pPr>
      <w:r>
        <w:rPr>
          <w:rFonts w:hint="eastAsia" w:ascii="Times New Roman" w:hAnsi="Times New Roman" w:eastAsia="宋体" w:cs="宋体"/>
          <w:color w:val="auto"/>
          <w:sz w:val="24"/>
          <w:szCs w:val="24"/>
          <w:lang w:eastAsia="zh-CN"/>
        </w:rPr>
        <w:t>养猪业在发展农村经济、满足市场需求、推动地方经济建设和增加农民增收等方面都具有十分重要的作用。为保障肉蛋奶有效供给和质量安全、推动种养结合循环发展、促进养殖增收任务繁重而艰巨。新阶段新形势，要求生猪产业发展要深入贯彻“创新、协调、绿色、开放、共享”理念，按照“提质增效转方式，培育主体强产业”的工作主线，统筹保供给、保安全、保生态，推进供给侧结构性改革，加快转型升级，提高劳动生产率、资源转化率，不断增强综合生产能力、市场竞争能力和可持续发展能力，加快推进我省由畜牧业大省向畜牧经济强省跨越。</w:t>
      </w:r>
    </w:p>
    <w:p>
      <w:pPr>
        <w:pageBreakBefore w:val="0"/>
        <w:widowControl w:val="0"/>
        <w:kinsoku/>
        <w:wordWrap/>
        <w:overflowPunct/>
        <w:topLinePunct w:val="0"/>
        <w:autoSpaceDE/>
        <w:autoSpaceDN/>
        <w:bidi w:val="0"/>
        <w:snapToGrid w:val="0"/>
        <w:spacing w:line="360" w:lineRule="auto"/>
        <w:ind w:firstLine="480" w:firstLineChars="200"/>
        <w:jc w:val="both"/>
        <w:textAlignment w:val="auto"/>
        <w:rPr>
          <w:rFonts w:hint="default" w:ascii="Times New Roman" w:hAnsi="Times New Roman" w:eastAsia="宋体" w:cs="宋体"/>
          <w:b w:val="0"/>
          <w:bCs w:val="0"/>
          <w:color w:val="auto"/>
          <w:kern w:val="0"/>
          <w:sz w:val="24"/>
          <w:szCs w:val="24"/>
          <w:lang w:val="en-US" w:eastAsia="zh-CN"/>
        </w:rPr>
      </w:pPr>
      <w:r>
        <w:rPr>
          <w:rFonts w:hint="eastAsia" w:ascii="Times New Roman" w:hAnsi="Times New Roman" w:eastAsia="宋体" w:cs="宋体"/>
          <w:b w:val="0"/>
          <w:bCs w:val="0"/>
          <w:color w:val="auto"/>
          <w:kern w:val="0"/>
          <w:sz w:val="24"/>
          <w:szCs w:val="24"/>
          <w:lang w:eastAsia="zh-CN"/>
        </w:rPr>
        <w:t>四川省丹橙现代果业有限公司看准形势、紧抓机遇，拟在眉山市丹棱县仁美镇雄义村5组计划投资</w:t>
      </w:r>
      <w:r>
        <w:rPr>
          <w:rFonts w:hint="eastAsia" w:ascii="Times New Roman" w:hAnsi="Times New Roman" w:eastAsia="宋体" w:cs="宋体"/>
          <w:b w:val="0"/>
          <w:bCs w:val="0"/>
          <w:color w:val="auto"/>
          <w:kern w:val="0"/>
          <w:sz w:val="24"/>
          <w:szCs w:val="24"/>
          <w:lang w:val="en-US" w:eastAsia="zh-CN"/>
        </w:rPr>
        <w:t>112000万，建设14000m</w:t>
      </w:r>
      <w:r>
        <w:rPr>
          <w:rFonts w:hint="eastAsia" w:ascii="Times New Roman" w:hAnsi="Times New Roman" w:eastAsia="宋体" w:cs="宋体"/>
          <w:b w:val="0"/>
          <w:bCs w:val="0"/>
          <w:color w:val="auto"/>
          <w:kern w:val="0"/>
          <w:sz w:val="24"/>
          <w:szCs w:val="24"/>
          <w:vertAlign w:val="superscript"/>
          <w:lang w:val="en-US" w:eastAsia="zh-CN"/>
        </w:rPr>
        <w:t>2</w:t>
      </w:r>
      <w:r>
        <w:rPr>
          <w:rFonts w:hint="eastAsia" w:ascii="Times New Roman" w:hAnsi="Times New Roman" w:eastAsia="宋体" w:cs="宋体"/>
          <w:b w:val="0"/>
          <w:bCs w:val="0"/>
          <w:color w:val="auto"/>
          <w:kern w:val="0"/>
          <w:sz w:val="24"/>
          <w:szCs w:val="24"/>
          <w:vertAlign w:val="baseline"/>
          <w:lang w:val="en-US" w:eastAsia="zh-CN"/>
        </w:rPr>
        <w:t>建筑，建设保育/育肥舍、前置洗消房、员工综合用房、附属综合用房、员工隔离消毒房、恒压设备供水房、料塔、后置烘干房、后置洗消房、环保站等，配套废水处理设施、固废处理设施、危废暂存间等环保设施及公用、辅助设施，采用先进的生产工艺技术，通过相应的环保措施建设，符合生产要求，污染物全面实现达标排放。项目建成后常年存栏生猪1.5万头，年出栏商品猪3万头。并于2020年10月26日取得丹棱县发展和改革局出具的《关于同意变更丹棱县生猪种养循环工程建设项目可行性研究（代立项）内容的批复》（丹棱发改[2020]185号）。</w:t>
      </w:r>
    </w:p>
    <w:p>
      <w:pPr>
        <w:pageBreakBefore w:val="0"/>
        <w:widowControl w:val="0"/>
        <w:kinsoku/>
        <w:wordWrap/>
        <w:overflowPunct/>
        <w:topLinePunct w:val="0"/>
        <w:autoSpaceDE/>
        <w:autoSpaceDN/>
        <w:bidi w:val="0"/>
        <w:snapToGrid w:val="0"/>
        <w:spacing w:line="360" w:lineRule="auto"/>
        <w:ind w:firstLine="480" w:firstLineChars="200"/>
        <w:jc w:val="both"/>
        <w:textAlignment w:val="auto"/>
        <w:rPr>
          <w:rFonts w:ascii="Times New Roman" w:hAnsi="Times New Roman" w:eastAsia="宋体" w:cs="宋体"/>
          <w:bCs/>
          <w:color w:val="auto"/>
          <w:sz w:val="24"/>
          <w:szCs w:val="24"/>
        </w:rPr>
      </w:pPr>
      <w:r>
        <w:rPr>
          <w:rFonts w:hint="eastAsia" w:ascii="Times New Roman" w:hAnsi="Times New Roman" w:eastAsia="宋体" w:cs="宋体"/>
          <w:bCs/>
          <w:color w:val="auto"/>
          <w:sz w:val="24"/>
          <w:szCs w:val="24"/>
        </w:rPr>
        <w:t>本项目建成后将</w:t>
      </w:r>
      <w:r>
        <w:rPr>
          <w:rFonts w:hint="eastAsia" w:ascii="Times New Roman" w:hAnsi="Times New Roman" w:eastAsia="宋体" w:cs="宋体"/>
          <w:bCs/>
          <w:color w:val="auto"/>
          <w:sz w:val="24"/>
          <w:szCs w:val="24"/>
          <w:lang w:eastAsia="zh-CN"/>
        </w:rPr>
        <w:t>使丹棱县</w:t>
      </w:r>
      <w:r>
        <w:rPr>
          <w:rFonts w:hint="eastAsia" w:ascii="Times New Roman" w:hAnsi="Times New Roman" w:eastAsia="宋体" w:cs="宋体"/>
          <w:bCs/>
          <w:color w:val="auto"/>
          <w:sz w:val="24"/>
          <w:szCs w:val="24"/>
        </w:rPr>
        <w:t>及周边区域</w:t>
      </w:r>
      <w:r>
        <w:rPr>
          <w:rFonts w:hint="eastAsia" w:ascii="Times New Roman" w:hAnsi="Times New Roman" w:eastAsia="宋体" w:cs="宋体"/>
          <w:bCs/>
          <w:color w:val="auto"/>
          <w:sz w:val="24"/>
          <w:szCs w:val="24"/>
          <w:lang w:eastAsia="zh-CN"/>
        </w:rPr>
        <w:t>的猪肉市场得到保障</w:t>
      </w:r>
      <w:r>
        <w:rPr>
          <w:rFonts w:hint="eastAsia" w:ascii="Times New Roman" w:hAnsi="Times New Roman" w:eastAsia="宋体" w:cs="宋体"/>
          <w:bCs/>
          <w:color w:val="auto"/>
          <w:sz w:val="24"/>
          <w:szCs w:val="24"/>
        </w:rPr>
        <w:t>，对加快区域产业集聚度，完善产业链，推动全市产业结构调整具有积极示范和带动作用。项目建成后能带动上游原料和下游物流、服务等行业的发展，对促进地方经济发展，带动就业，提升眉山市</w:t>
      </w:r>
      <w:r>
        <w:rPr>
          <w:rFonts w:hint="eastAsia" w:ascii="Times New Roman" w:hAnsi="Times New Roman" w:eastAsia="宋体" w:cs="宋体"/>
          <w:bCs/>
          <w:color w:val="auto"/>
          <w:sz w:val="24"/>
          <w:szCs w:val="24"/>
          <w:lang w:eastAsia="zh-CN"/>
        </w:rPr>
        <w:t>农</w:t>
      </w:r>
      <w:r>
        <w:rPr>
          <w:rFonts w:hint="eastAsia" w:ascii="Times New Roman" w:hAnsi="Times New Roman" w:eastAsia="宋体" w:cs="宋体"/>
          <w:bCs/>
          <w:color w:val="auto"/>
          <w:sz w:val="24"/>
          <w:szCs w:val="24"/>
        </w:rPr>
        <w:t>业的发展水平具有良好的社会效益和经济效益。</w:t>
      </w:r>
    </w:p>
    <w:p>
      <w:pPr>
        <w:pageBreakBefore w:val="0"/>
        <w:widowControl w:val="0"/>
        <w:kinsoku/>
        <w:wordWrap/>
        <w:overflowPunct/>
        <w:topLinePunct w:val="0"/>
        <w:autoSpaceDE/>
        <w:autoSpaceDN/>
        <w:bidi w:val="0"/>
        <w:adjustRightInd w:val="0"/>
        <w:snapToGrid w:val="0"/>
        <w:spacing w:line="360" w:lineRule="auto"/>
        <w:ind w:firstLine="562" w:firstLineChars="200"/>
        <w:jc w:val="both"/>
        <w:textAlignment w:val="auto"/>
        <w:outlineLvl w:val="1"/>
        <w:rPr>
          <w:rFonts w:ascii="Times New Roman" w:hAnsi="Times New Roman" w:eastAsia="宋体" w:cs="Times New Roman"/>
          <w:b/>
          <w:color w:val="auto"/>
          <w:sz w:val="28"/>
          <w:szCs w:val="28"/>
        </w:rPr>
      </w:pPr>
      <w:bookmarkStart w:id="3" w:name="_Toc29838"/>
      <w:r>
        <w:rPr>
          <w:rFonts w:hint="eastAsia" w:ascii="Times New Roman" w:hAnsi="Times New Roman" w:eastAsia="宋体" w:cs="Times New Roman"/>
          <w:b/>
          <w:color w:val="auto"/>
          <w:sz w:val="28"/>
          <w:szCs w:val="28"/>
          <w:lang w:eastAsia="zh-CN"/>
        </w:rPr>
        <w:t>二</w:t>
      </w:r>
      <w:r>
        <w:rPr>
          <w:rFonts w:hint="eastAsia" w:ascii="Times New Roman" w:hAnsi="Times New Roman" w:eastAsia="宋体" w:cs="Times New Roman"/>
          <w:b/>
          <w:color w:val="auto"/>
          <w:sz w:val="28"/>
          <w:szCs w:val="28"/>
        </w:rPr>
        <w:t>、建设项目特点</w:t>
      </w:r>
      <w:bookmarkEnd w:id="3"/>
    </w:p>
    <w:p>
      <w:pPr>
        <w:pageBreakBefore w:val="0"/>
        <w:widowControl w:val="0"/>
        <w:kinsoku/>
        <w:wordWrap/>
        <w:overflowPunct/>
        <w:topLinePunct w:val="0"/>
        <w:autoSpaceDE/>
        <w:autoSpaceDN/>
        <w:bidi w:val="0"/>
        <w:snapToGrid w:val="0"/>
        <w:spacing w:line="360" w:lineRule="auto"/>
        <w:ind w:firstLine="480" w:firstLineChars="200"/>
        <w:jc w:val="both"/>
        <w:textAlignment w:val="auto"/>
        <w:rPr>
          <w:rFonts w:hint="eastAsia" w:ascii="Times New Roman" w:hAnsi="Times New Roman" w:eastAsia="宋体" w:cs="宋体"/>
          <w:bCs/>
          <w:color w:val="auto"/>
          <w:sz w:val="24"/>
          <w:szCs w:val="24"/>
        </w:rPr>
      </w:pPr>
      <w:r>
        <w:rPr>
          <w:rFonts w:hint="eastAsia" w:ascii="Times New Roman" w:hAnsi="Times New Roman" w:eastAsia="宋体" w:cs="宋体"/>
          <w:bCs/>
          <w:color w:val="auto"/>
          <w:sz w:val="24"/>
          <w:szCs w:val="24"/>
        </w:rPr>
        <w:t>本项目为新建项目，</w:t>
      </w:r>
      <w:r>
        <w:rPr>
          <w:rFonts w:hint="eastAsia" w:ascii="Times New Roman" w:hAnsi="Times New Roman" w:eastAsia="宋体" w:cs="宋体"/>
          <w:bCs/>
          <w:color w:val="auto"/>
          <w:sz w:val="24"/>
          <w:szCs w:val="24"/>
          <w:lang w:eastAsia="zh-CN"/>
        </w:rPr>
        <w:t>设置</w:t>
      </w:r>
      <w:r>
        <w:rPr>
          <w:rFonts w:hint="eastAsia" w:ascii="Times New Roman" w:hAnsi="Times New Roman" w:eastAsia="宋体" w:cs="宋体"/>
          <w:bCs/>
          <w:color w:val="auto"/>
          <w:sz w:val="24"/>
          <w:szCs w:val="24"/>
          <w:lang w:val="en-US" w:eastAsia="zh-CN"/>
        </w:rPr>
        <w:t>2栋</w:t>
      </w:r>
      <w:r>
        <w:rPr>
          <w:rFonts w:hint="eastAsia" w:ascii="Times New Roman" w:hAnsi="Times New Roman" w:eastAsia="宋体" w:cs="宋体"/>
          <w:bCs/>
          <w:color w:val="auto"/>
          <w:sz w:val="24"/>
          <w:szCs w:val="24"/>
        </w:rPr>
        <w:t>生猪育肥猪舍，项目属规模化集中养殖</w:t>
      </w:r>
      <w:r>
        <w:rPr>
          <w:rFonts w:hint="eastAsia" w:ascii="Times New Roman" w:hAnsi="Times New Roman" w:eastAsia="宋体" w:cs="宋体"/>
          <w:bCs/>
          <w:color w:val="auto"/>
          <w:sz w:val="24"/>
          <w:szCs w:val="24"/>
          <w:lang w:eastAsia="zh-CN"/>
        </w:rPr>
        <w:t>项目</w:t>
      </w:r>
      <w:r>
        <w:rPr>
          <w:rFonts w:hint="eastAsia" w:ascii="Times New Roman" w:hAnsi="Times New Roman" w:eastAsia="宋体" w:cs="宋体"/>
          <w:bCs/>
          <w:color w:val="auto"/>
          <w:sz w:val="24"/>
          <w:szCs w:val="24"/>
        </w:rPr>
        <w:t>，周边无水源保护区、风景名胜区、自然保护区、城镇居民区等人口集中区，不属于法律、法规规定的其他禁养、限养区域；项目畜禽粪污通过配套建设的处理设施处置后，粪污实现资源化利用，零排放。</w:t>
      </w:r>
    </w:p>
    <w:p>
      <w:pPr>
        <w:pageBreakBefore w:val="0"/>
        <w:widowControl w:val="0"/>
        <w:kinsoku/>
        <w:wordWrap/>
        <w:overflowPunct/>
        <w:topLinePunct w:val="0"/>
        <w:autoSpaceDE/>
        <w:autoSpaceDN/>
        <w:bidi w:val="0"/>
        <w:snapToGrid w:val="0"/>
        <w:spacing w:line="360" w:lineRule="auto"/>
        <w:ind w:firstLine="480" w:firstLineChars="200"/>
        <w:jc w:val="both"/>
        <w:textAlignment w:val="auto"/>
        <w:rPr>
          <w:rFonts w:hint="default" w:ascii="Times New Roman" w:hAnsi="Times New Roman" w:eastAsia="宋体" w:cs="宋体"/>
          <w:bCs/>
          <w:color w:val="auto"/>
          <w:sz w:val="24"/>
          <w:szCs w:val="24"/>
          <w:lang w:eastAsia="zh-CN"/>
        </w:rPr>
      </w:pPr>
      <w:r>
        <w:rPr>
          <w:rFonts w:hint="eastAsia" w:ascii="Times New Roman" w:hAnsi="Times New Roman" w:eastAsia="宋体" w:cs="宋体"/>
          <w:bCs/>
          <w:color w:val="auto"/>
          <w:sz w:val="24"/>
          <w:szCs w:val="24"/>
        </w:rPr>
        <w:t>本次环评将结合项目建设特点，针对可能产生的问题提出相应的环境保护措施，使建设项目施工期、营运期污染物实现有效处置，防止对区域环境造成影响，并为项目建设、环保部门管理提供依据。</w:t>
      </w:r>
    </w:p>
    <w:p>
      <w:pPr>
        <w:pageBreakBefore w:val="0"/>
        <w:widowControl w:val="0"/>
        <w:kinsoku/>
        <w:wordWrap/>
        <w:overflowPunct/>
        <w:topLinePunct w:val="0"/>
        <w:autoSpaceDE/>
        <w:autoSpaceDN/>
        <w:bidi w:val="0"/>
        <w:adjustRightInd w:val="0"/>
        <w:snapToGrid w:val="0"/>
        <w:spacing w:line="360" w:lineRule="auto"/>
        <w:ind w:firstLine="562" w:firstLineChars="200"/>
        <w:jc w:val="both"/>
        <w:textAlignment w:val="auto"/>
        <w:outlineLvl w:val="1"/>
        <w:rPr>
          <w:rFonts w:ascii="Times New Roman" w:hAnsi="Times New Roman" w:eastAsia="宋体" w:cs="Times New Roman"/>
          <w:b/>
          <w:color w:val="auto"/>
          <w:sz w:val="28"/>
          <w:szCs w:val="28"/>
        </w:rPr>
      </w:pPr>
      <w:bookmarkStart w:id="4" w:name="_Toc3577"/>
      <w:r>
        <w:rPr>
          <w:rFonts w:hint="eastAsia" w:ascii="Times New Roman" w:hAnsi="Times New Roman" w:eastAsia="宋体" w:cs="Times New Roman"/>
          <w:b/>
          <w:color w:val="auto"/>
          <w:sz w:val="28"/>
          <w:szCs w:val="28"/>
          <w:lang w:eastAsia="zh-CN"/>
        </w:rPr>
        <w:t>三</w:t>
      </w:r>
      <w:r>
        <w:rPr>
          <w:rFonts w:hint="eastAsia" w:ascii="Times New Roman" w:hAnsi="Times New Roman" w:eastAsia="宋体" w:cs="Times New Roman"/>
          <w:b/>
          <w:color w:val="auto"/>
          <w:sz w:val="28"/>
          <w:szCs w:val="28"/>
        </w:rPr>
        <w:t>、环境影响评价过程</w:t>
      </w:r>
      <w:bookmarkEnd w:id="4"/>
    </w:p>
    <w:p>
      <w:pPr>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根据《中华人民共和国环境保护法》、《中华人民共和国环境影响评价法》和《建设项目环境保护管理条例》（国务院令第682号），本项目应开展环境影响评价工作。按照国家环境保护部《建设项目环境影响评价分类管理名录》（2021年版）要求，中“二、畜牧业/3、牲畜饲养031；家禽饲养032；其他畜牧业039”的划分，该项目环境影响评价形式为报告书。为此，</w:t>
      </w:r>
      <w:r>
        <w:rPr>
          <w:rFonts w:hint="eastAsia" w:ascii="Times New Roman" w:hAnsi="Times New Roman" w:eastAsia="宋体" w:cs="Times New Roman"/>
          <w:color w:val="auto"/>
          <w:sz w:val="24"/>
          <w:szCs w:val="24"/>
          <w:lang w:eastAsia="zh-CN"/>
        </w:rPr>
        <w:t>四川省丹橙现代果业有限公司</w:t>
      </w:r>
      <w:r>
        <w:rPr>
          <w:rFonts w:hint="eastAsia" w:ascii="Times New Roman" w:hAnsi="Times New Roman" w:eastAsia="宋体" w:cs="Times New Roman"/>
          <w:color w:val="auto"/>
          <w:sz w:val="24"/>
          <w:szCs w:val="24"/>
        </w:rPr>
        <w:t>于202</w:t>
      </w:r>
      <w:r>
        <w:rPr>
          <w:rFonts w:hint="eastAsia" w:ascii="Times New Roman" w:hAnsi="Times New Roman" w:eastAsia="宋体" w:cs="Times New Roman"/>
          <w:color w:val="auto"/>
          <w:sz w:val="24"/>
          <w:szCs w:val="24"/>
          <w:lang w:val="en-US" w:eastAsia="zh-CN"/>
        </w:rPr>
        <w:t>1</w:t>
      </w:r>
      <w:r>
        <w:rPr>
          <w:rFonts w:hint="eastAsia" w:ascii="Times New Roman" w:hAnsi="Times New Roman" w:eastAsia="宋体" w:cs="Times New Roman"/>
          <w:color w:val="auto"/>
          <w:sz w:val="24"/>
          <w:szCs w:val="24"/>
        </w:rPr>
        <w:t>年</w:t>
      </w:r>
      <w:r>
        <w:rPr>
          <w:rFonts w:hint="eastAsia" w:ascii="Times New Roman" w:hAnsi="Times New Roman" w:eastAsia="宋体" w:cs="Times New Roman"/>
          <w:color w:val="auto"/>
          <w:sz w:val="24"/>
          <w:szCs w:val="24"/>
          <w:lang w:val="en-US" w:eastAsia="zh-CN"/>
        </w:rPr>
        <w:t>12月</w:t>
      </w:r>
      <w:r>
        <w:rPr>
          <w:rFonts w:hint="eastAsia" w:ascii="Times New Roman" w:hAnsi="Times New Roman" w:eastAsia="宋体" w:cs="Times New Roman"/>
          <w:color w:val="auto"/>
          <w:sz w:val="24"/>
          <w:szCs w:val="24"/>
        </w:rPr>
        <w:t>委托眉山宏德环境技术有限公司承担本项目的环境影响评价工作。同时，编制单位于2021年</w:t>
      </w:r>
      <w:r>
        <w:rPr>
          <w:rFonts w:hint="eastAsia" w:ascii="Times New Roman" w:hAnsi="Times New Roman" w:eastAsia="宋体" w:cs="Times New Roman"/>
          <w:color w:val="auto"/>
          <w:sz w:val="24"/>
          <w:szCs w:val="24"/>
          <w:lang w:val="en-US" w:eastAsia="zh-CN"/>
        </w:rPr>
        <w:t>12</w:t>
      </w:r>
      <w:r>
        <w:rPr>
          <w:rFonts w:hint="eastAsia" w:ascii="Times New Roman" w:hAnsi="Times New Roman" w:eastAsia="宋体" w:cs="Times New Roman"/>
          <w:color w:val="auto"/>
          <w:sz w:val="24"/>
          <w:szCs w:val="24"/>
        </w:rPr>
        <w:t>月</w:t>
      </w:r>
      <w:r>
        <w:rPr>
          <w:rFonts w:hint="eastAsia" w:ascii="Times New Roman" w:hAnsi="Times New Roman" w:eastAsia="宋体" w:cs="Times New Roman"/>
          <w:color w:val="auto"/>
          <w:sz w:val="24"/>
          <w:szCs w:val="24"/>
          <w:lang w:val="en-US" w:eastAsia="zh-CN"/>
        </w:rPr>
        <w:t>9</w:t>
      </w:r>
      <w:r>
        <w:rPr>
          <w:rFonts w:hint="eastAsia" w:ascii="Times New Roman" w:hAnsi="Times New Roman" w:eastAsia="宋体" w:cs="Times New Roman"/>
          <w:color w:val="auto"/>
          <w:sz w:val="24"/>
          <w:szCs w:val="24"/>
        </w:rPr>
        <w:t>日在眉山宏德环境技术有限公司</w:t>
      </w:r>
      <w:r>
        <w:rPr>
          <w:rFonts w:hint="eastAsia" w:ascii="Times New Roman" w:hAnsi="Times New Roman" w:eastAsia="宋体" w:cs="Times New Roman"/>
          <w:color w:val="auto"/>
          <w:sz w:val="24"/>
          <w:szCs w:val="24"/>
          <w:lang w:eastAsia="zh-CN"/>
        </w:rPr>
        <w:t>网站</w:t>
      </w:r>
      <w:r>
        <w:rPr>
          <w:rFonts w:hint="eastAsia" w:ascii="Times New Roman" w:hAnsi="Times New Roman" w:eastAsia="宋体" w:cs="Times New Roman"/>
          <w:color w:val="auto"/>
          <w:sz w:val="24"/>
          <w:szCs w:val="24"/>
        </w:rPr>
        <w:t>上进行了第一次公示。</w:t>
      </w:r>
    </w:p>
    <w:p>
      <w:pPr>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接受委托后，我单位依据国家和地方有关环境保护法律法规、政策、标准及相关规划等的基础上，立即组建了项目组，并派遣项目负责人及主要技术人员进行了实地踏勘和资料收集。项目组经过初步分析判断了建设项目选址、规模、性质和生产工艺等与国家和地方有关环境保护法律法规、标准、规范、相关规划的符合性，开展了初步的工程分析，进行了环境影响识别和评价因子筛选，明确了评价重点、评价工作等级及范围，制定了评价工作方案，并根据污染因子委托四川锡水金山环保科技有限公司对项目所在区域环境质量现状进行了监测。</w:t>
      </w:r>
    </w:p>
    <w:p>
      <w:pPr>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在报告书的编制过程中，评价单位与建设单位及设计单位进行了充分的沟通，如项目工艺、废水、废气、固体废物产生情况等。报告书目前基本编制完成时，在</w:t>
      </w:r>
      <w:r>
        <w:rPr>
          <w:rFonts w:hint="eastAsia" w:ascii="Times New Roman" w:hAnsi="Times New Roman" w:eastAsia="宋体" w:cs="Times New Roman"/>
          <w:color w:val="auto"/>
          <w:sz w:val="24"/>
          <w:szCs w:val="24"/>
          <w:lang w:eastAsia="zh-CN"/>
        </w:rPr>
        <w:t>我公司网站</w:t>
      </w:r>
      <w:r>
        <w:rPr>
          <w:rFonts w:hint="eastAsia" w:ascii="Times New Roman" w:hAnsi="Times New Roman" w:eastAsia="宋体" w:cs="Times New Roman"/>
          <w:color w:val="auto"/>
          <w:sz w:val="24"/>
          <w:szCs w:val="24"/>
        </w:rPr>
        <w:t>进行了第二次公示（202</w:t>
      </w:r>
      <w:r>
        <w:rPr>
          <w:rFonts w:hint="eastAsia" w:ascii="Times New Roman" w:hAnsi="Times New Roman" w:eastAsia="宋体" w:cs="Times New Roman"/>
          <w:color w:val="auto"/>
          <w:sz w:val="24"/>
          <w:szCs w:val="24"/>
          <w:lang w:val="en-US" w:eastAsia="zh-CN"/>
        </w:rPr>
        <w:t>1</w:t>
      </w:r>
      <w:r>
        <w:rPr>
          <w:rFonts w:hint="eastAsia" w:ascii="Times New Roman" w:hAnsi="Times New Roman" w:eastAsia="宋体" w:cs="Times New Roman"/>
          <w:color w:val="auto"/>
          <w:sz w:val="24"/>
          <w:szCs w:val="24"/>
        </w:rPr>
        <w:t>年</w:t>
      </w:r>
      <w:r>
        <w:rPr>
          <w:rFonts w:hint="eastAsia" w:ascii="Times New Roman" w:hAnsi="Times New Roman" w:eastAsia="宋体" w:cs="Times New Roman"/>
          <w:color w:val="auto"/>
          <w:sz w:val="24"/>
          <w:szCs w:val="24"/>
          <w:lang w:val="en-US" w:eastAsia="zh-CN"/>
        </w:rPr>
        <w:t>12</w:t>
      </w:r>
      <w:r>
        <w:rPr>
          <w:rFonts w:hint="eastAsia" w:ascii="Times New Roman" w:hAnsi="Times New Roman" w:eastAsia="宋体" w:cs="Times New Roman"/>
          <w:color w:val="auto"/>
          <w:sz w:val="24"/>
          <w:szCs w:val="24"/>
        </w:rPr>
        <w:t>月</w:t>
      </w:r>
      <w:r>
        <w:rPr>
          <w:rFonts w:hint="eastAsia" w:ascii="Times New Roman" w:hAnsi="Times New Roman" w:eastAsia="宋体" w:cs="Times New Roman"/>
          <w:color w:val="auto"/>
          <w:sz w:val="24"/>
          <w:szCs w:val="24"/>
          <w:lang w:val="en-US" w:eastAsia="zh-CN"/>
        </w:rPr>
        <w:t>31</w:t>
      </w:r>
      <w:r>
        <w:rPr>
          <w:rFonts w:hint="eastAsia" w:ascii="Times New Roman" w:hAnsi="Times New Roman" w:eastAsia="宋体" w:cs="Times New Roman"/>
          <w:color w:val="auto"/>
          <w:sz w:val="24"/>
          <w:szCs w:val="24"/>
        </w:rPr>
        <w:t>日），并同步在项目现场进行张贴公示、当地登报（四川科技报）公示。</w:t>
      </w:r>
    </w:p>
    <w:p>
      <w:pPr>
        <w:pageBreakBefore w:val="0"/>
        <w:widowControl w:val="0"/>
        <w:kinsoku/>
        <w:wordWrap/>
        <w:overflowPunct/>
        <w:topLinePunct w:val="0"/>
        <w:autoSpaceDE/>
        <w:autoSpaceDN/>
        <w:bidi w:val="0"/>
        <w:adjustRightInd w:val="0"/>
        <w:snapToGrid w:val="0"/>
        <w:spacing w:line="360" w:lineRule="auto"/>
        <w:ind w:firstLine="562" w:firstLineChars="200"/>
        <w:jc w:val="both"/>
        <w:textAlignment w:val="auto"/>
        <w:outlineLvl w:val="1"/>
        <w:rPr>
          <w:rFonts w:ascii="Times New Roman" w:hAnsi="Times New Roman" w:eastAsia="宋体" w:cs="Times New Roman"/>
          <w:b/>
          <w:color w:val="auto"/>
          <w:sz w:val="28"/>
          <w:szCs w:val="28"/>
        </w:rPr>
      </w:pPr>
      <w:bookmarkStart w:id="5" w:name="_Toc28211"/>
      <w:r>
        <w:rPr>
          <w:rFonts w:hint="eastAsia" w:ascii="Times New Roman" w:hAnsi="Times New Roman" w:eastAsia="宋体" w:cs="Times New Roman"/>
          <w:b/>
          <w:color w:val="auto"/>
          <w:sz w:val="28"/>
          <w:szCs w:val="28"/>
          <w:lang w:eastAsia="zh-CN"/>
        </w:rPr>
        <w:t>四</w:t>
      </w:r>
      <w:r>
        <w:rPr>
          <w:rFonts w:hint="eastAsia" w:ascii="Times New Roman" w:hAnsi="Times New Roman" w:eastAsia="宋体" w:cs="Times New Roman"/>
          <w:b/>
          <w:color w:val="auto"/>
          <w:sz w:val="28"/>
          <w:szCs w:val="28"/>
        </w:rPr>
        <w:t>、环境影响评价关注的环境问题</w:t>
      </w:r>
      <w:bookmarkEnd w:id="5"/>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ascii="Times New Roman" w:hAnsi="Times New Roman" w:eastAsia="宋体"/>
          <w:color w:val="auto"/>
          <w:sz w:val="24"/>
        </w:rPr>
      </w:pPr>
      <w:r>
        <w:rPr>
          <w:rFonts w:hint="eastAsia" w:ascii="Times New Roman" w:hAnsi="Times New Roman" w:eastAsia="宋体"/>
          <w:color w:val="auto"/>
          <w:sz w:val="24"/>
        </w:rPr>
        <w:t>本项目</w:t>
      </w:r>
      <w:r>
        <w:rPr>
          <w:rFonts w:hint="eastAsia" w:ascii="Times New Roman" w:hAnsi="Times New Roman" w:eastAsia="宋体" w:cs="宋体"/>
          <w:bCs/>
          <w:color w:val="auto"/>
          <w:sz w:val="24"/>
          <w:szCs w:val="24"/>
        </w:rPr>
        <w:t>建成后规模达年</w:t>
      </w:r>
      <w:r>
        <w:rPr>
          <w:rFonts w:hint="eastAsia" w:ascii="Times New Roman" w:hAnsi="Times New Roman" w:eastAsia="宋体" w:cs="宋体"/>
          <w:bCs/>
          <w:color w:val="auto"/>
          <w:sz w:val="24"/>
          <w:szCs w:val="24"/>
          <w:lang w:eastAsia="zh-CN"/>
        </w:rPr>
        <w:t>出栏量生猪</w:t>
      </w:r>
      <w:r>
        <w:rPr>
          <w:rFonts w:hint="eastAsia" w:ascii="Times New Roman" w:hAnsi="Times New Roman" w:eastAsia="宋体" w:cs="宋体"/>
          <w:bCs/>
          <w:color w:val="auto"/>
          <w:sz w:val="24"/>
          <w:szCs w:val="24"/>
          <w:lang w:val="en-US" w:eastAsia="zh-CN"/>
        </w:rPr>
        <w:t>3万头</w:t>
      </w:r>
      <w:r>
        <w:rPr>
          <w:rFonts w:hint="eastAsia" w:ascii="Times New Roman" w:hAnsi="Times New Roman" w:eastAsia="宋体" w:cs="宋体"/>
          <w:bCs/>
          <w:color w:val="auto"/>
          <w:sz w:val="24"/>
          <w:szCs w:val="24"/>
          <w:lang w:eastAsia="zh-CN"/>
        </w:rPr>
        <w:t>。</w:t>
      </w:r>
      <w:r>
        <w:rPr>
          <w:rFonts w:hint="eastAsia" w:ascii="Times New Roman" w:hAnsi="Times New Roman" w:eastAsia="宋体"/>
          <w:color w:val="auto"/>
          <w:sz w:val="24"/>
        </w:rPr>
        <w:t>本次环评针对整个厂的特点及排污情况重点关注如下环境问题：</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ascii="Times New Roman" w:hAnsi="Times New Roman" w:eastAsia="宋体"/>
          <w:color w:val="auto"/>
          <w:sz w:val="24"/>
        </w:rPr>
      </w:pPr>
      <w:r>
        <w:rPr>
          <w:rFonts w:hint="eastAsia" w:ascii="Times New Roman" w:hAnsi="Times New Roman" w:eastAsia="宋体"/>
          <w:color w:val="auto"/>
          <w:sz w:val="24"/>
        </w:rPr>
        <w:t>项目在生产过程中产生的污染物主要有：①废水主要包括生活污水、养殖废水；②废气主要包括恶臭、食堂油烟；③噪声主要包括猪叫声、猪舍风机、水泵等；④固体废物主要是猪粪、病死猪只、办公区生活垃圾、少量医疗废物</w:t>
      </w:r>
      <w:r>
        <w:rPr>
          <w:rFonts w:hint="eastAsia" w:ascii="Times New Roman" w:hAnsi="Times New Roman" w:eastAsia="宋体"/>
          <w:color w:val="auto"/>
          <w:sz w:val="24"/>
          <w:lang w:eastAsia="zh-CN"/>
        </w:rPr>
        <w:t>、污泥</w:t>
      </w:r>
      <w:r>
        <w:rPr>
          <w:rFonts w:hint="eastAsia" w:ascii="Times New Roman" w:hAnsi="Times New Roman" w:eastAsia="宋体"/>
          <w:color w:val="auto"/>
          <w:sz w:val="24"/>
        </w:rPr>
        <w:t>等</w:t>
      </w:r>
      <w:r>
        <w:rPr>
          <w:rFonts w:hint="eastAsia" w:ascii="Times New Roman" w:hAnsi="Times New Roman" w:eastAsia="宋体"/>
          <w:color w:val="auto"/>
          <w:sz w:val="24"/>
          <w:lang w:eastAsia="zh-CN"/>
        </w:rPr>
        <w:t>。</w:t>
      </w:r>
    </w:p>
    <w:p>
      <w:pPr>
        <w:pageBreakBefore w:val="0"/>
        <w:widowControl w:val="0"/>
        <w:kinsoku/>
        <w:wordWrap/>
        <w:overflowPunct/>
        <w:topLinePunct w:val="0"/>
        <w:autoSpaceDE/>
        <w:autoSpaceDN/>
        <w:bidi w:val="0"/>
        <w:adjustRightInd w:val="0"/>
        <w:snapToGrid w:val="0"/>
        <w:spacing w:line="360" w:lineRule="auto"/>
        <w:ind w:firstLine="562" w:firstLineChars="200"/>
        <w:jc w:val="both"/>
        <w:textAlignment w:val="auto"/>
        <w:outlineLvl w:val="1"/>
        <w:rPr>
          <w:rFonts w:ascii="Times New Roman" w:hAnsi="Times New Roman" w:eastAsia="宋体" w:cs="Times New Roman"/>
          <w:b/>
          <w:color w:val="auto"/>
          <w:sz w:val="28"/>
          <w:szCs w:val="28"/>
        </w:rPr>
      </w:pPr>
      <w:bookmarkStart w:id="6" w:name="_Toc16971"/>
      <w:r>
        <w:rPr>
          <w:rFonts w:hint="eastAsia" w:ascii="Times New Roman" w:hAnsi="Times New Roman" w:eastAsia="宋体" w:cs="Times New Roman"/>
          <w:b/>
          <w:color w:val="auto"/>
          <w:sz w:val="28"/>
          <w:szCs w:val="28"/>
          <w:lang w:eastAsia="zh-CN"/>
        </w:rPr>
        <w:t>五</w:t>
      </w:r>
      <w:r>
        <w:rPr>
          <w:rFonts w:hint="eastAsia" w:ascii="Times New Roman" w:hAnsi="Times New Roman" w:eastAsia="宋体" w:cs="Times New Roman"/>
          <w:b/>
          <w:color w:val="auto"/>
          <w:sz w:val="28"/>
          <w:szCs w:val="28"/>
        </w:rPr>
        <w:t>、分析判定情况</w:t>
      </w:r>
      <w:bookmarkEnd w:id="6"/>
    </w:p>
    <w:p>
      <w:pPr>
        <w:pStyle w:val="6"/>
        <w:pageBreakBefore w:val="0"/>
        <w:widowControl w:val="0"/>
        <w:kinsoku/>
        <w:wordWrap/>
        <w:overflowPunct/>
        <w:topLinePunct w:val="0"/>
        <w:autoSpaceDE/>
        <w:autoSpaceDN/>
        <w:bidi w:val="0"/>
        <w:adjustRightInd w:val="0"/>
        <w:snapToGrid w:val="0"/>
        <w:spacing w:before="0" w:after="0" w:line="360" w:lineRule="auto"/>
        <w:ind w:firstLine="482" w:firstLineChars="200"/>
        <w:jc w:val="both"/>
        <w:textAlignment w:val="auto"/>
        <w:rPr>
          <w:rFonts w:hint="eastAsia" w:ascii="Times New Roman" w:hAnsi="Times New Roman" w:eastAsia="宋体" w:cstheme="minorBidi"/>
          <w:b/>
          <w:bCs/>
          <w:color w:val="auto"/>
          <w:kern w:val="2"/>
          <w:sz w:val="24"/>
          <w:szCs w:val="22"/>
          <w:lang w:val="en-US" w:eastAsia="zh-CN" w:bidi="ar-SA"/>
        </w:rPr>
      </w:pPr>
      <w:bookmarkStart w:id="7" w:name="_Toc16609"/>
      <w:bookmarkStart w:id="8" w:name="_Toc459118435"/>
      <w:r>
        <w:rPr>
          <w:rFonts w:hint="eastAsia" w:ascii="Times New Roman" w:hAnsi="Times New Roman" w:eastAsia="宋体" w:cstheme="minorBidi"/>
          <w:b/>
          <w:bCs/>
          <w:color w:val="auto"/>
          <w:kern w:val="2"/>
          <w:sz w:val="24"/>
          <w:szCs w:val="22"/>
          <w:lang w:val="en-US" w:eastAsia="zh-CN" w:bidi="ar-SA"/>
        </w:rPr>
        <w:t>1、产业政策符合性分析</w:t>
      </w:r>
      <w:bookmarkEnd w:id="7"/>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根据中华人民共和国国家发展改革委令2019第29号《产业结构调整指导目录（2019年本）》，本项目属于鼓励类“一、农林业”中“4、畜禽标准化规模养殖技术开发与应用”项目。同时</w:t>
      </w:r>
      <w:r>
        <w:rPr>
          <w:rFonts w:hint="eastAsia" w:ascii="Times New Roman" w:hAnsi="Times New Roman" w:eastAsia="宋体" w:cs="Times New Roman"/>
          <w:color w:val="auto"/>
          <w:sz w:val="24"/>
          <w:szCs w:val="24"/>
          <w:lang w:eastAsia="zh-CN"/>
        </w:rPr>
        <w:t>丹棱县发展和改革局《关于同意变更丹棱县生猪种养循环工程建设项目可行性研究（代立项）内容的批复》（丹棱发改[2020]185号）</w:t>
      </w:r>
      <w:r>
        <w:rPr>
          <w:rFonts w:hint="eastAsia" w:ascii="Times New Roman" w:hAnsi="Times New Roman" w:eastAsia="宋体" w:cs="Times New Roman"/>
          <w:color w:val="auto"/>
          <w:sz w:val="24"/>
          <w:szCs w:val="24"/>
        </w:rPr>
        <w:t>文件对本项目予以</w:t>
      </w:r>
      <w:r>
        <w:rPr>
          <w:rFonts w:hint="eastAsia" w:ascii="Times New Roman" w:hAnsi="Times New Roman" w:eastAsia="宋体" w:cs="Times New Roman"/>
          <w:color w:val="auto"/>
          <w:sz w:val="24"/>
          <w:szCs w:val="24"/>
          <w:lang w:eastAsia="zh-CN"/>
        </w:rPr>
        <w:t>立项</w:t>
      </w:r>
      <w:r>
        <w:rPr>
          <w:rFonts w:hint="eastAsia" w:ascii="Times New Roman" w:hAnsi="Times New Roman" w:eastAsia="宋体" w:cs="Times New Roman"/>
          <w:color w:val="auto"/>
          <w:sz w:val="24"/>
          <w:szCs w:val="24"/>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both"/>
        <w:textAlignment w:val="auto"/>
        <w:rPr>
          <w:rFonts w:ascii="Times New Roman" w:hAnsi="Times New Roman" w:eastAsia="宋体" w:cs="Times New Roman"/>
          <w:b/>
          <w:bCs/>
          <w:color w:val="auto"/>
          <w:sz w:val="24"/>
          <w:szCs w:val="24"/>
        </w:rPr>
      </w:pPr>
      <w:r>
        <w:rPr>
          <w:rFonts w:hint="eastAsia" w:ascii="Times New Roman" w:hAnsi="Times New Roman" w:eastAsia="宋体" w:cs="Times New Roman"/>
          <w:b/>
          <w:bCs/>
          <w:color w:val="auto"/>
          <w:sz w:val="24"/>
          <w:szCs w:val="24"/>
        </w:rPr>
        <w:t>因此，本项目的建设符合国家现行产业政策。</w:t>
      </w:r>
    </w:p>
    <w:bookmarkEnd w:id="8"/>
    <w:p>
      <w:pPr>
        <w:pStyle w:val="6"/>
        <w:pageBreakBefore w:val="0"/>
        <w:widowControl w:val="0"/>
        <w:kinsoku/>
        <w:wordWrap/>
        <w:overflowPunct/>
        <w:topLinePunct w:val="0"/>
        <w:autoSpaceDE/>
        <w:autoSpaceDN/>
        <w:bidi w:val="0"/>
        <w:adjustRightInd w:val="0"/>
        <w:snapToGrid w:val="0"/>
        <w:spacing w:before="0" w:after="0" w:line="360" w:lineRule="auto"/>
        <w:ind w:firstLine="482" w:firstLineChars="200"/>
        <w:jc w:val="both"/>
        <w:textAlignment w:val="auto"/>
        <w:rPr>
          <w:rFonts w:hint="eastAsia" w:ascii="Times New Roman" w:hAnsi="Times New Roman" w:eastAsia="宋体" w:cstheme="minorBidi"/>
          <w:b/>
          <w:bCs/>
          <w:color w:val="auto"/>
          <w:kern w:val="2"/>
          <w:sz w:val="24"/>
          <w:szCs w:val="22"/>
          <w:lang w:val="en-US" w:eastAsia="zh-CN" w:bidi="ar-SA"/>
        </w:rPr>
      </w:pPr>
      <w:bookmarkStart w:id="9" w:name="_Toc14974"/>
      <w:r>
        <w:rPr>
          <w:rFonts w:hint="eastAsia" w:ascii="Times New Roman" w:hAnsi="Times New Roman" w:eastAsia="宋体" w:cstheme="minorBidi"/>
          <w:b/>
          <w:bCs/>
          <w:color w:val="auto"/>
          <w:kern w:val="2"/>
          <w:sz w:val="24"/>
          <w:szCs w:val="22"/>
          <w:lang w:val="en-US" w:eastAsia="zh-CN" w:bidi="ar-SA"/>
        </w:rPr>
        <w:t>2、</w:t>
      </w:r>
      <w:bookmarkEnd w:id="9"/>
      <w:r>
        <w:rPr>
          <w:rFonts w:hint="eastAsia" w:ascii="Times New Roman" w:hAnsi="Times New Roman" w:eastAsia="宋体" w:cstheme="minorBidi"/>
          <w:b/>
          <w:bCs/>
          <w:color w:val="auto"/>
          <w:kern w:val="2"/>
          <w:sz w:val="24"/>
          <w:szCs w:val="22"/>
          <w:lang w:val="en-US" w:eastAsia="zh-CN" w:bidi="ar-SA"/>
        </w:rPr>
        <w:t>与《四川省畜牧业“十三五”发展规划》的符合性分析</w:t>
      </w:r>
    </w:p>
    <w:p>
      <w:pPr>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四川省畜牧业“十三五”发展规划》（2016-2020）明确提出十大工作重点：一、积极推动“粮改饲”；二、粪污的资源化利用及无害化处理问题，争取将粪污变废为宝，实现利用70%以上；三、秸秆的饲料化运用。四、规模养殖。这是现代畜牧业的重要标志，是各项工作的重要抓手。目前蛋鸡和肉鸡的规模化水平最高，牛羊差一些。综合来看，现在，整个畜牧业规模化率39.6%，十三五期间，使畜牧业规模化率达到 50%以上。五、畜禽良种方面工作。六、奶业问题。七、饲料问题。八、草原生态。十三五在十二五的基础上，继续实施，经费投入增加。九、科技方面。十三五期间，继续加强对科技的投入。十、畜牧发展的精准化。</w:t>
      </w:r>
    </w:p>
    <w:p>
      <w:pPr>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四川省丹橙现代果业有限公司拟投资12000万元，在眉山市丹棱县仁美镇雄义村5组建设“丹棱县生猪种养循环工程建设项目”。项目使用土地已与所在村社签订了《农村土地承包经营权流转合同》。建设内容包括办公配套辅助用房、养殖区、污水处理区等，项目产生的污染物按照相关要求进行规范化、无害化、资源化处理；符合四川省畜牧业“十三五”发展规划中的相关要求。</w:t>
      </w:r>
    </w:p>
    <w:p>
      <w:pPr>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ascii="Times New Roman" w:hAnsi="Times New Roman" w:eastAsia="宋体"/>
          <w:b/>
          <w:bCs/>
          <w:color w:val="auto"/>
          <w:sz w:val="24"/>
          <w:szCs w:val="24"/>
        </w:rPr>
      </w:pPr>
      <w:r>
        <w:rPr>
          <w:rFonts w:hint="eastAsia" w:ascii="Times New Roman" w:hAnsi="Times New Roman" w:eastAsia="宋体"/>
          <w:color w:val="auto"/>
          <w:sz w:val="24"/>
          <w:szCs w:val="24"/>
          <w:lang w:val="en-US" w:eastAsia="zh-CN"/>
        </w:rPr>
        <w:t>综上所述，本项目建设与《四川省畜牧业“十三五”发展规划》中相关要求一致。</w:t>
      </w:r>
    </w:p>
    <w:p>
      <w:pPr>
        <w:pStyle w:val="6"/>
        <w:pageBreakBefore w:val="0"/>
        <w:widowControl w:val="0"/>
        <w:kinsoku/>
        <w:wordWrap/>
        <w:overflowPunct/>
        <w:topLinePunct w:val="0"/>
        <w:autoSpaceDE/>
        <w:autoSpaceDN/>
        <w:bidi w:val="0"/>
        <w:adjustRightInd w:val="0"/>
        <w:snapToGrid w:val="0"/>
        <w:spacing w:before="0" w:after="0" w:line="360" w:lineRule="auto"/>
        <w:ind w:firstLine="482" w:firstLineChars="200"/>
        <w:jc w:val="both"/>
        <w:textAlignment w:val="auto"/>
        <w:rPr>
          <w:rFonts w:hint="eastAsia" w:ascii="Times New Roman" w:hAnsi="Times New Roman" w:eastAsia="宋体" w:cstheme="minorBidi"/>
          <w:b/>
          <w:bCs/>
          <w:color w:val="auto"/>
          <w:kern w:val="2"/>
          <w:sz w:val="24"/>
          <w:szCs w:val="22"/>
          <w:lang w:val="en-US" w:eastAsia="zh-CN" w:bidi="ar-SA"/>
        </w:rPr>
      </w:pPr>
      <w:r>
        <w:rPr>
          <w:rFonts w:hint="eastAsia" w:ascii="Times New Roman" w:hAnsi="Times New Roman" w:eastAsia="宋体" w:cstheme="minorBidi"/>
          <w:b/>
          <w:bCs/>
          <w:color w:val="auto"/>
          <w:kern w:val="2"/>
          <w:sz w:val="24"/>
          <w:szCs w:val="22"/>
          <w:lang w:val="en-US" w:eastAsia="zh-CN" w:bidi="ar-SA"/>
        </w:rPr>
        <w:t>3、与《四川省“十四五”生态环境保护规划》（征求意见稿）符合性分析</w:t>
      </w:r>
    </w:p>
    <w:p>
      <w:pPr>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根据</w:t>
      </w:r>
      <w:r>
        <w:rPr>
          <w:rFonts w:hint="eastAsia" w:ascii="Times New Roman" w:hAnsi="Times New Roman" w:eastAsia="宋体"/>
          <w:color w:val="auto"/>
          <w:sz w:val="24"/>
          <w:szCs w:val="24"/>
          <w:lang w:val="en-US" w:eastAsia="zh-CN"/>
        </w:rPr>
        <w:t>《四川省“十四五”生态环境保护规划》（征求意见稿），</w:t>
      </w:r>
      <w:r>
        <w:rPr>
          <w:rFonts w:hint="eastAsia" w:ascii="Times New Roman" w:hAnsi="Times New Roman" w:eastAsia="宋体"/>
          <w:color w:val="auto"/>
          <w:sz w:val="24"/>
          <w:szCs w:val="24"/>
        </w:rPr>
        <w:t>“第</w:t>
      </w:r>
      <w:r>
        <w:rPr>
          <w:rFonts w:hint="eastAsia" w:ascii="Times New Roman" w:hAnsi="Times New Roman" w:eastAsia="宋体"/>
          <w:color w:val="auto"/>
          <w:sz w:val="24"/>
          <w:szCs w:val="24"/>
          <w:lang w:eastAsia="zh-CN"/>
        </w:rPr>
        <w:t>三</w:t>
      </w:r>
      <w:r>
        <w:rPr>
          <w:rFonts w:hint="eastAsia" w:ascii="Times New Roman" w:hAnsi="Times New Roman" w:eastAsia="宋体"/>
          <w:color w:val="auto"/>
          <w:sz w:val="24"/>
          <w:szCs w:val="24"/>
        </w:rPr>
        <w:t>节推动经济社会全面绿色低碳转型，建设全国绿色发展示范区”</w:t>
      </w:r>
      <w:r>
        <w:rPr>
          <w:rFonts w:hint="eastAsia" w:ascii="Times New Roman" w:hAnsi="Times New Roman" w:eastAsia="宋体"/>
          <w:color w:val="auto"/>
          <w:sz w:val="24"/>
          <w:szCs w:val="24"/>
          <w:lang w:eastAsia="zh-CN"/>
        </w:rPr>
        <w:t>中的要求：鼓励引导发展高标准化规模生态养殖。加快推进绿色种养循环农业。健全病死畜禽无害化处理体系；“</w:t>
      </w:r>
      <w:r>
        <w:rPr>
          <w:rFonts w:hint="eastAsia" w:ascii="Times New Roman" w:hAnsi="Times New Roman" w:eastAsia="宋体"/>
          <w:color w:val="auto"/>
          <w:sz w:val="24"/>
          <w:szCs w:val="24"/>
        </w:rPr>
        <w:t>第</w:t>
      </w:r>
      <w:r>
        <w:rPr>
          <w:rFonts w:hint="eastAsia" w:ascii="Times New Roman" w:hAnsi="Times New Roman" w:eastAsia="宋体"/>
          <w:color w:val="auto"/>
          <w:sz w:val="24"/>
          <w:szCs w:val="24"/>
          <w:lang w:eastAsia="zh-CN"/>
        </w:rPr>
        <w:t>六</w:t>
      </w:r>
      <w:r>
        <w:rPr>
          <w:rFonts w:hint="eastAsia" w:ascii="Times New Roman" w:hAnsi="Times New Roman" w:eastAsia="宋体"/>
          <w:color w:val="auto"/>
          <w:sz w:val="24"/>
          <w:szCs w:val="24"/>
        </w:rPr>
        <w:t>节</w:t>
      </w:r>
      <w:r>
        <w:rPr>
          <w:rFonts w:hint="eastAsia" w:ascii="Times New Roman" w:hAnsi="Times New Roman" w:eastAsia="宋体"/>
          <w:color w:val="auto"/>
          <w:sz w:val="24"/>
          <w:szCs w:val="24"/>
          <w:lang w:eastAsia="zh-CN"/>
        </w:rPr>
        <w:t>系统推进“三水”共治，巩固提升水环境质量”中的要求：加强养殖污染综合防治，推进畜禽养殖粪污资源综合利用，开展畜牧业绿色示范县（市、区）创建。到 2025 年规模化畜禽养殖场（小区）粪污处理设施配套率达到 100%，畜禽粪污综合利用率达到 80%以上。</w:t>
      </w:r>
    </w:p>
    <w:p>
      <w:pPr>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本项目为规模化养殖小区，本项目病死猪全部进行无害化处理。本项目生产模式为种养循环模式，粪污经项目内配套的粪污处理系统处理达标后，用于周边种植区消纳，符合绿色种养循环模式。因此，本项目符合</w:t>
      </w:r>
      <w:r>
        <w:rPr>
          <w:rFonts w:hint="eastAsia" w:ascii="Times New Roman" w:hAnsi="Times New Roman" w:eastAsia="宋体"/>
          <w:color w:val="auto"/>
          <w:sz w:val="24"/>
          <w:szCs w:val="24"/>
          <w:lang w:val="en-US" w:eastAsia="zh-CN"/>
        </w:rPr>
        <w:t>《四川省“十四五”生态环境保护规划》（征求意见稿）要求</w:t>
      </w:r>
      <w:r>
        <w:rPr>
          <w:rFonts w:hint="eastAsia" w:ascii="Times New Roman" w:hAnsi="Times New Roman" w:eastAsia="宋体"/>
          <w:color w:val="auto"/>
          <w:sz w:val="24"/>
          <w:szCs w:val="24"/>
        </w:rPr>
        <w:t>。</w:t>
      </w:r>
    </w:p>
    <w:p>
      <w:pPr>
        <w:pStyle w:val="6"/>
        <w:pageBreakBefore w:val="0"/>
        <w:widowControl w:val="0"/>
        <w:kinsoku/>
        <w:wordWrap/>
        <w:overflowPunct/>
        <w:topLinePunct w:val="0"/>
        <w:autoSpaceDE/>
        <w:autoSpaceDN/>
        <w:bidi w:val="0"/>
        <w:adjustRightInd w:val="0"/>
        <w:snapToGrid w:val="0"/>
        <w:spacing w:before="0" w:after="0" w:line="360" w:lineRule="auto"/>
        <w:ind w:firstLine="482" w:firstLineChars="200"/>
        <w:jc w:val="both"/>
        <w:textAlignment w:val="auto"/>
        <w:rPr>
          <w:rFonts w:hint="eastAsia" w:ascii="Times New Roman" w:hAnsi="Times New Roman" w:eastAsia="宋体" w:cstheme="minorBidi"/>
          <w:b/>
          <w:bCs/>
          <w:color w:val="auto"/>
          <w:kern w:val="2"/>
          <w:sz w:val="24"/>
          <w:szCs w:val="22"/>
          <w:lang w:val="en-US" w:eastAsia="zh-CN" w:bidi="ar-SA"/>
        </w:rPr>
      </w:pPr>
      <w:r>
        <w:rPr>
          <w:rFonts w:hint="eastAsia" w:ascii="Times New Roman" w:hAnsi="Times New Roman" w:eastAsia="宋体" w:cstheme="minorBidi"/>
          <w:b/>
          <w:bCs/>
          <w:color w:val="auto"/>
          <w:kern w:val="2"/>
          <w:sz w:val="24"/>
          <w:szCs w:val="22"/>
          <w:lang w:val="en-US" w:eastAsia="zh-CN" w:bidi="ar-SA"/>
        </w:rPr>
        <w:t>4、与《眉山市畜牧业发展“十三五”规划》（2016-2020 年）符合性分析</w:t>
      </w:r>
    </w:p>
    <w:p>
      <w:pPr>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根据《眉山市畜牧业发展“十三五”规划》（2016-2020年）中“三、‘十三五’畜牧业发展的指导思想及基本原则”中明确“巩固和发展生猪生产优势。按照高产、优质、高效、生态、安全的要求，加强要素配置，加速建立以农户标准化适度规模养殖为主导的数量、质量和效益并重的现代化畜牧业生产方式”。同时“十三五畜牧业发展的产业布局及建设重点”中“根据眉山市畜牧资源、优势特色、产业基础及自然条件，重点大展生猪、奶牛、家禽、肉兔及山羊五大透视产业，生猪发展优势区。沿国道245线、351线、213线等区域建设优质生猪产业区。”本项目位于</w:t>
      </w:r>
      <w:r>
        <w:rPr>
          <w:rFonts w:hint="eastAsia" w:ascii="Times New Roman" w:hAnsi="Times New Roman" w:eastAsia="宋体"/>
          <w:color w:val="auto"/>
          <w:sz w:val="24"/>
          <w:szCs w:val="24"/>
          <w:lang w:eastAsia="zh-CN"/>
        </w:rPr>
        <w:t>眉山市丹棱县仁美镇雄义村5组</w:t>
      </w:r>
      <w:r>
        <w:rPr>
          <w:rFonts w:hint="eastAsia" w:ascii="Times New Roman" w:hAnsi="Times New Roman" w:eastAsia="宋体"/>
          <w:color w:val="auto"/>
          <w:sz w:val="24"/>
          <w:szCs w:val="24"/>
        </w:rPr>
        <w:t>，为商品猪的标准化养猪场，属于生猪发展优势区。因此，本项目符合当地畜牧业发展规划要求。</w:t>
      </w:r>
    </w:p>
    <w:p>
      <w:pPr>
        <w:pStyle w:val="6"/>
        <w:pageBreakBefore w:val="0"/>
        <w:widowControl w:val="0"/>
        <w:kinsoku/>
        <w:wordWrap/>
        <w:overflowPunct/>
        <w:topLinePunct w:val="0"/>
        <w:autoSpaceDE/>
        <w:autoSpaceDN/>
        <w:bidi w:val="0"/>
        <w:adjustRightInd w:val="0"/>
        <w:snapToGrid w:val="0"/>
        <w:spacing w:before="0" w:after="0" w:line="360" w:lineRule="auto"/>
        <w:ind w:firstLine="482" w:firstLineChars="200"/>
        <w:jc w:val="both"/>
        <w:textAlignment w:val="auto"/>
        <w:rPr>
          <w:rFonts w:hint="eastAsia" w:ascii="Times New Roman" w:hAnsi="Times New Roman" w:eastAsia="宋体" w:cstheme="minorBidi"/>
          <w:b/>
          <w:bCs/>
          <w:color w:val="auto"/>
          <w:kern w:val="2"/>
          <w:sz w:val="24"/>
          <w:szCs w:val="22"/>
          <w:lang w:val="en-US" w:eastAsia="zh-CN" w:bidi="ar-SA"/>
        </w:rPr>
      </w:pPr>
      <w:r>
        <w:rPr>
          <w:rFonts w:hint="eastAsia" w:ascii="Times New Roman" w:hAnsi="Times New Roman" w:eastAsia="宋体" w:cstheme="minorBidi"/>
          <w:b/>
          <w:bCs/>
          <w:color w:val="auto"/>
          <w:kern w:val="2"/>
          <w:sz w:val="24"/>
          <w:szCs w:val="22"/>
          <w:lang w:val="en-US" w:eastAsia="zh-CN" w:bidi="ar-SA"/>
        </w:rPr>
        <w:t>5、与《“十四五”全国畜牧兽医行业发展规划》符合性分析</w:t>
      </w:r>
    </w:p>
    <w:p>
      <w:pPr>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“十四五”全国畜牧兽医行业发展规划</w:t>
      </w:r>
      <w:r>
        <w:rPr>
          <w:rFonts w:hint="eastAsia" w:ascii="Times New Roman" w:hAnsi="Times New Roman" w:eastAsia="宋体"/>
          <w:color w:val="auto"/>
          <w:sz w:val="24"/>
          <w:szCs w:val="24"/>
        </w:rPr>
        <w:t>》指出</w:t>
      </w:r>
      <w:r>
        <w:rPr>
          <w:rFonts w:hint="eastAsia" w:ascii="Times New Roman" w:hAnsi="Times New Roman" w:eastAsia="宋体"/>
          <w:color w:val="auto"/>
          <w:sz w:val="24"/>
          <w:szCs w:val="24"/>
          <w:lang w:eastAsia="zh-CN"/>
        </w:rPr>
        <w:t>，重点任务如下：（一）提升畜禽养殖集约化水平：发展适度规模经营；推行全面标准化生产方式；提升设施装备水平；促进牧区生产方式转型升级。(二)加强动物疫病防控：提升防疫主体责任意识、落实重大动物疫病防控措施、防治人畜共患病、强化疫情监测预警、加强动物检疫监督、加强兽医实验室建设与管理。(三)保障养殖投入品供应高效安全：做强现代饲料工业、构建现代饲草产业体系、推动兽药产业转型升级、推进兽用抗菌药减量使用。(四)加快畜禽种业自主创新：加快畜禽种业自主创新、强化畜禽育种创新、加快良种繁育与推广、加强种畜禽重点疫病净化。(五)提升畜产品加工行业整体水平：优化屠宰加工产能布局、推进屠宰行业转型升级、加强畜禽产品质量安全保障、提升畜产品精深加工能力。(六)构建现代畜产品市场流通体系：促进畜产品冷链物流发展、强化动物运输环节防疫管理、提升市场专业化水平。(七)推进畜禽养殖废弃物资源化利用：畅通种养结合路径、建立全链条管理体系、规范病死畜禽无害化处理。(八)增强兽医体系服务能力：完善兽医工作机制、加强兽医队伍建设、创新兽医社会化服务。(九)提高行业信息化管理水平：加快畜牧兽医监测监管一体化、推动智慧畜牧业建设。</w:t>
      </w:r>
    </w:p>
    <w:p>
      <w:pPr>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本项目为规模化养殖项目，采用科学的养殖方式，在养殖过程中进行生猪防疫防控。本项目粪污经粪污处理区处理后全部用于周边农田消纳，做到禽养殖废弃物资源化利用，病死猪无害化处理。本项目设置有兽医防疫部，做好生产过程中的防疫工作。因此，本项目能够满足</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“十四五”全国畜牧兽医行业发展规划</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eastAsia="zh-CN"/>
        </w:rPr>
        <w:t>相关要求。</w:t>
      </w:r>
    </w:p>
    <w:p>
      <w:pPr>
        <w:pStyle w:val="6"/>
        <w:pageBreakBefore w:val="0"/>
        <w:widowControl w:val="0"/>
        <w:kinsoku/>
        <w:wordWrap/>
        <w:overflowPunct/>
        <w:topLinePunct w:val="0"/>
        <w:autoSpaceDE/>
        <w:autoSpaceDN/>
        <w:bidi w:val="0"/>
        <w:adjustRightInd w:val="0"/>
        <w:snapToGrid w:val="0"/>
        <w:spacing w:before="0" w:after="0" w:line="360" w:lineRule="auto"/>
        <w:ind w:firstLine="482" w:firstLineChars="200"/>
        <w:jc w:val="both"/>
        <w:textAlignment w:val="auto"/>
        <w:rPr>
          <w:rFonts w:hint="eastAsia" w:ascii="Times New Roman" w:hAnsi="Times New Roman" w:eastAsia="宋体" w:cstheme="minorBidi"/>
          <w:b/>
          <w:bCs/>
          <w:color w:val="auto"/>
          <w:kern w:val="2"/>
          <w:sz w:val="24"/>
          <w:szCs w:val="22"/>
          <w:lang w:val="en-US" w:eastAsia="zh-CN" w:bidi="ar-SA"/>
        </w:rPr>
      </w:pPr>
      <w:r>
        <w:rPr>
          <w:rFonts w:hint="eastAsia" w:ascii="Times New Roman" w:hAnsi="Times New Roman" w:eastAsia="宋体" w:cstheme="minorBidi"/>
          <w:b/>
          <w:bCs/>
          <w:color w:val="auto"/>
          <w:kern w:val="2"/>
          <w:sz w:val="24"/>
          <w:szCs w:val="22"/>
          <w:lang w:val="en-US" w:eastAsia="zh-CN" w:bidi="ar-SA"/>
        </w:rPr>
        <w:t>6、《丹棱县人民政府关于划定畜禽养殖禁养区和限养区的通告》（丹棱府通﹝2017﹞8号）符合性分析</w:t>
      </w:r>
    </w:p>
    <w:p>
      <w:pPr>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根据《丹棱县人民政府关于划定畜禽养殖禁养区和限养区的通告》（丹棱府通﹝2017﹞8号），本项目建设不属于丹棱县禁、限养区范围，符合丹棱县养殖规划划分要求。其规划符合性分析如下表</w:t>
      </w:r>
      <w:r>
        <w:rPr>
          <w:rFonts w:hint="eastAsia" w:ascii="Times New Roman" w:hAnsi="Times New Roman" w:eastAsia="宋体"/>
          <w:color w:val="auto"/>
          <w:sz w:val="24"/>
          <w:szCs w:val="24"/>
        </w:rPr>
        <w:t>。</w:t>
      </w:r>
    </w:p>
    <w:p>
      <w:pPr>
        <w:adjustRightInd w:val="0"/>
        <w:snapToGrid w:val="0"/>
        <w:jc w:val="center"/>
        <w:rPr>
          <w:rFonts w:hint="eastAsia" w:ascii="Times New Roman" w:hAnsi="Times New Roman" w:eastAsia="宋体"/>
          <w:b/>
          <w:bCs/>
          <w:color w:val="auto"/>
        </w:rPr>
      </w:pPr>
      <w:r>
        <w:rPr>
          <w:rFonts w:hint="eastAsia" w:ascii="Times New Roman" w:hAnsi="Times New Roman" w:eastAsia="宋体"/>
          <w:b/>
          <w:bCs/>
          <w:color w:val="auto"/>
        </w:rPr>
        <w:t>表 1</w:t>
      </w:r>
      <w:r>
        <w:rPr>
          <w:rFonts w:hint="eastAsia" w:ascii="Times New Roman" w:hAnsi="Times New Roman" w:eastAsia="宋体"/>
          <w:b/>
          <w:bCs/>
          <w:color w:val="auto"/>
          <w:lang w:val="en-US" w:eastAsia="zh-CN"/>
        </w:rPr>
        <w:t xml:space="preserve"> </w:t>
      </w:r>
      <w:r>
        <w:rPr>
          <w:rFonts w:hint="eastAsia" w:ascii="Times New Roman" w:hAnsi="Times New Roman" w:eastAsia="宋体"/>
          <w:b/>
          <w:bCs/>
          <w:color w:val="auto"/>
        </w:rPr>
        <w:t xml:space="preserve"> </w:t>
      </w:r>
      <w:r>
        <w:rPr>
          <w:rFonts w:hint="default" w:ascii="Times New Roman" w:hAnsi="Times New Roman" w:eastAsia="宋体" w:cs="Times New Roman"/>
          <w:b/>
          <w:color w:val="auto"/>
          <w:sz w:val="21"/>
          <w:szCs w:val="21"/>
          <w:highlight w:val="none"/>
          <w:lang w:val="en-US" w:eastAsia="zh-CN"/>
        </w:rPr>
        <w:t>与《丹棱县人民政府关于划定畜禽养殖禁养区和限养区的通告》符合性分析</w:t>
      </w:r>
    </w:p>
    <w:tbl>
      <w:tblPr>
        <w:tblStyle w:val="35"/>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85"/>
        <w:gridCol w:w="4935"/>
        <w:gridCol w:w="2454"/>
        <w:gridCol w:w="90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
                <w:bCs/>
                <w:color w:val="auto"/>
                <w:sz w:val="21"/>
                <w:szCs w:val="21"/>
                <w:lang w:val="en-US" w:eastAsia="zh-CN"/>
              </w:rPr>
            </w:pPr>
            <w:r>
              <w:rPr>
                <w:rFonts w:hint="default" w:ascii="Times New Roman" w:hAnsi="Times New Roman" w:eastAsia="宋体"/>
                <w:b/>
                <w:bCs/>
                <w:color w:val="auto"/>
                <w:sz w:val="21"/>
                <w:szCs w:val="21"/>
                <w:lang w:val="en-US" w:eastAsia="zh-CN"/>
              </w:rPr>
              <w:t>序号</w:t>
            </w:r>
          </w:p>
        </w:tc>
        <w:tc>
          <w:tcPr>
            <w:tcW w:w="493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
                <w:bCs/>
                <w:color w:val="auto"/>
                <w:sz w:val="21"/>
                <w:szCs w:val="21"/>
                <w:lang w:val="en-US" w:eastAsia="zh-CN"/>
              </w:rPr>
            </w:pPr>
            <w:r>
              <w:rPr>
                <w:rFonts w:hint="default" w:ascii="Times New Roman" w:hAnsi="Times New Roman" w:eastAsia="宋体"/>
                <w:b/>
                <w:bCs/>
                <w:color w:val="auto"/>
                <w:sz w:val="21"/>
                <w:szCs w:val="21"/>
                <w:lang w:val="en-US" w:eastAsia="zh-CN"/>
              </w:rPr>
              <w:t>畜禽养殖禁养区、限养区划分范围</w:t>
            </w:r>
          </w:p>
        </w:tc>
        <w:tc>
          <w:tcPr>
            <w:tcW w:w="245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
                <w:bCs/>
                <w:color w:val="auto"/>
                <w:sz w:val="21"/>
                <w:szCs w:val="21"/>
                <w:lang w:val="en-US" w:eastAsia="zh-CN"/>
              </w:rPr>
            </w:pPr>
            <w:r>
              <w:rPr>
                <w:rFonts w:hint="default" w:ascii="Times New Roman" w:hAnsi="Times New Roman" w:eastAsia="宋体"/>
                <w:b/>
                <w:bCs/>
                <w:color w:val="auto"/>
                <w:sz w:val="21"/>
                <w:szCs w:val="21"/>
                <w:lang w:val="en-US" w:eastAsia="zh-CN"/>
              </w:rPr>
              <w:t>本项目情况</w:t>
            </w:r>
          </w:p>
        </w:tc>
        <w:tc>
          <w:tcPr>
            <w:tcW w:w="90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
                <w:bCs/>
                <w:color w:val="auto"/>
                <w:sz w:val="21"/>
                <w:szCs w:val="21"/>
                <w:lang w:val="en-US" w:eastAsia="zh-CN"/>
              </w:rPr>
            </w:pPr>
            <w:r>
              <w:rPr>
                <w:rFonts w:hint="default" w:ascii="Times New Roman" w:hAnsi="Times New Roman" w:eastAsia="宋体"/>
                <w:b/>
                <w:bCs/>
                <w:color w:val="auto"/>
                <w:sz w:val="21"/>
                <w:szCs w:val="21"/>
                <w:lang w:val="en-US" w:eastAsia="zh-CN"/>
              </w:rPr>
              <w:t>结论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1</w:t>
            </w:r>
          </w:p>
        </w:tc>
        <w:tc>
          <w:tcPr>
            <w:tcW w:w="493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河流：丹棱河主道两岸500米禁养，主道两岸500—1000米限养；安溪河、金牛河主道两岸及丹棱河支流两岸200米禁养，200—500米限养；</w:t>
            </w:r>
          </w:p>
        </w:tc>
        <w:tc>
          <w:tcPr>
            <w:tcW w:w="245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本项目</w:t>
            </w:r>
            <w:r>
              <w:rPr>
                <w:rFonts w:hint="eastAsia" w:ascii="Times New Roman" w:hAnsi="Times New Roman" w:eastAsia="宋体"/>
                <w:color w:val="auto"/>
                <w:sz w:val="21"/>
                <w:szCs w:val="21"/>
                <w:lang w:val="en-US" w:eastAsia="zh-CN"/>
              </w:rPr>
              <w:t>最近河流为安溪河</w:t>
            </w:r>
            <w:r>
              <w:rPr>
                <w:rFonts w:hint="default" w:ascii="Times New Roman" w:hAnsi="Times New Roman" w:eastAsia="宋体"/>
                <w:color w:val="auto"/>
                <w:sz w:val="21"/>
                <w:szCs w:val="21"/>
                <w:lang w:val="en-US" w:eastAsia="zh-CN"/>
              </w:rPr>
              <w:t>，</w:t>
            </w:r>
            <w:r>
              <w:rPr>
                <w:rFonts w:hint="eastAsia" w:ascii="Times New Roman" w:hAnsi="Times New Roman" w:eastAsia="宋体"/>
                <w:color w:val="auto"/>
                <w:sz w:val="21"/>
                <w:szCs w:val="21"/>
                <w:lang w:val="en-US" w:eastAsia="zh-CN"/>
              </w:rPr>
              <w:t>安溪河</w:t>
            </w:r>
            <w:r>
              <w:rPr>
                <w:rFonts w:hint="default" w:ascii="Times New Roman" w:hAnsi="Times New Roman" w:eastAsia="宋体"/>
                <w:color w:val="auto"/>
                <w:sz w:val="21"/>
                <w:szCs w:val="21"/>
                <w:lang w:val="en-US" w:eastAsia="zh-CN"/>
              </w:rPr>
              <w:t>位于项目的</w:t>
            </w:r>
            <w:r>
              <w:rPr>
                <w:rFonts w:hint="eastAsia" w:ascii="Times New Roman" w:hAnsi="Times New Roman" w:eastAsia="宋体"/>
                <w:color w:val="auto"/>
                <w:sz w:val="21"/>
                <w:szCs w:val="21"/>
                <w:lang w:val="en-US" w:eastAsia="zh-CN"/>
              </w:rPr>
              <w:t>西南方向，约2500m</w:t>
            </w:r>
          </w:p>
        </w:tc>
        <w:tc>
          <w:tcPr>
            <w:tcW w:w="900"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本项目不属于禁、限养区范围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2</w:t>
            </w:r>
          </w:p>
        </w:tc>
        <w:tc>
          <w:tcPr>
            <w:tcW w:w="493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饮用水源一二级保护区：梅湾水库集雨区上游1000米禁养，1000—1500米限养（以库边为界）；中观山水库、党仲水库、吴嘴水库、胜利水库、东风水库、大寨水库、古井沟水库、烂坝水库、骆大坪水库、塘湾水库等集雨区上游500米禁养，500-1000米限养（以库边为界）；</w:t>
            </w:r>
          </w:p>
        </w:tc>
        <w:tc>
          <w:tcPr>
            <w:tcW w:w="245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本项目</w:t>
            </w:r>
            <w:r>
              <w:rPr>
                <w:rFonts w:hint="eastAsia" w:ascii="Times New Roman" w:hAnsi="Times New Roman" w:eastAsia="宋体"/>
                <w:color w:val="auto"/>
                <w:sz w:val="21"/>
                <w:szCs w:val="21"/>
                <w:lang w:val="en-US" w:eastAsia="zh-CN"/>
              </w:rPr>
              <w:t>距离最近水库为大寨水库，直线最近距离约2300m</w:t>
            </w:r>
          </w:p>
        </w:tc>
        <w:tc>
          <w:tcPr>
            <w:tcW w:w="900"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3</w:t>
            </w:r>
          </w:p>
        </w:tc>
        <w:tc>
          <w:tcPr>
            <w:tcW w:w="493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景区：核心景区（老峨山风景区、九龙山森林公园、“丹棱•桃花源风景区”、幸福古村等）禁养；</w:t>
            </w:r>
          </w:p>
        </w:tc>
        <w:tc>
          <w:tcPr>
            <w:tcW w:w="245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本项目位于丹棱县仁美镇雄义村5组，不在景区范围内；</w:t>
            </w:r>
          </w:p>
        </w:tc>
        <w:tc>
          <w:tcPr>
            <w:tcW w:w="900"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4</w:t>
            </w:r>
          </w:p>
        </w:tc>
        <w:tc>
          <w:tcPr>
            <w:tcW w:w="493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交通要道及定点屠宰场：106线、遂洪高速两侧300米限养；其余道路（丹夹、丹名、丹蒲、仁杨路、仁—张快速通道、奔康大道、“十里桃花红”环线）两侧150米限养；定点屠宰场周边500米禁养；</w:t>
            </w:r>
          </w:p>
        </w:tc>
        <w:tc>
          <w:tcPr>
            <w:tcW w:w="245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本项目</w:t>
            </w:r>
            <w:r>
              <w:rPr>
                <w:rFonts w:hint="eastAsia" w:ascii="Times New Roman" w:hAnsi="Times New Roman" w:eastAsia="宋体"/>
                <w:color w:val="auto"/>
                <w:sz w:val="21"/>
                <w:szCs w:val="21"/>
                <w:lang w:val="en-US" w:eastAsia="zh-CN"/>
              </w:rPr>
              <w:t>300m范围内主要道路为乡间道路，本项目距离最近道路为106线，直线距离约800m。本项目</w:t>
            </w:r>
            <w:r>
              <w:rPr>
                <w:rFonts w:hint="default" w:ascii="Times New Roman" w:hAnsi="Times New Roman" w:eastAsia="宋体"/>
                <w:color w:val="auto"/>
                <w:sz w:val="21"/>
                <w:szCs w:val="21"/>
                <w:lang w:val="en-US" w:eastAsia="zh-CN"/>
              </w:rPr>
              <w:t>区域500m范围内无定点屠宰场；</w:t>
            </w:r>
          </w:p>
        </w:tc>
        <w:tc>
          <w:tcPr>
            <w:tcW w:w="900"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88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5</w:t>
            </w:r>
          </w:p>
        </w:tc>
        <w:tc>
          <w:tcPr>
            <w:tcW w:w="493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场镇：建成区禁养，建成区周边500米限养；</w:t>
            </w:r>
          </w:p>
        </w:tc>
        <w:tc>
          <w:tcPr>
            <w:tcW w:w="245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本项目不在场镇建成区范围内</w:t>
            </w:r>
            <w:r>
              <w:rPr>
                <w:rFonts w:hint="eastAsia" w:ascii="Times New Roman" w:hAnsi="Times New Roman" w:eastAsia="宋体"/>
                <w:color w:val="auto"/>
                <w:sz w:val="21"/>
                <w:szCs w:val="21"/>
                <w:lang w:val="en-US" w:eastAsia="zh-CN"/>
              </w:rPr>
              <w:t>，且离</w:t>
            </w:r>
            <w:r>
              <w:rPr>
                <w:rFonts w:hint="default" w:ascii="Times New Roman" w:hAnsi="Times New Roman" w:eastAsia="宋体"/>
                <w:color w:val="auto"/>
                <w:sz w:val="21"/>
                <w:szCs w:val="21"/>
                <w:lang w:val="en-US" w:eastAsia="zh-CN"/>
              </w:rPr>
              <w:t>建成区</w:t>
            </w:r>
            <w:r>
              <w:rPr>
                <w:rFonts w:hint="eastAsia" w:ascii="Times New Roman" w:hAnsi="Times New Roman" w:eastAsia="宋体"/>
                <w:color w:val="auto"/>
                <w:sz w:val="21"/>
                <w:szCs w:val="21"/>
                <w:lang w:val="en-US" w:eastAsia="zh-CN"/>
              </w:rPr>
              <w:t>距离大于500m</w:t>
            </w:r>
            <w:r>
              <w:rPr>
                <w:rFonts w:hint="default" w:ascii="Times New Roman" w:hAnsi="Times New Roman" w:eastAsia="宋体"/>
                <w:color w:val="auto"/>
                <w:sz w:val="21"/>
                <w:szCs w:val="21"/>
                <w:lang w:val="en-US" w:eastAsia="zh-CN"/>
              </w:rPr>
              <w:t>；</w:t>
            </w:r>
          </w:p>
        </w:tc>
        <w:tc>
          <w:tcPr>
            <w:tcW w:w="900"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6</w:t>
            </w:r>
          </w:p>
        </w:tc>
        <w:tc>
          <w:tcPr>
            <w:tcW w:w="493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限养区与禁养区重叠：划定为禁养区。</w:t>
            </w:r>
          </w:p>
        </w:tc>
        <w:tc>
          <w:tcPr>
            <w:tcW w:w="245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本项目不在禁、限养区范围内。</w:t>
            </w:r>
          </w:p>
        </w:tc>
        <w:tc>
          <w:tcPr>
            <w:tcW w:w="900"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p>
        </w:tc>
      </w:tr>
    </w:tbl>
    <w:p>
      <w:pPr>
        <w:pStyle w:val="16"/>
        <w:jc w:val="both"/>
        <w:rPr>
          <w:rFonts w:hint="eastAsia"/>
          <w:color w:val="auto"/>
        </w:rPr>
      </w:pP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imes New Roman" w:hAnsi="Times New Roman" w:eastAsia="宋体" w:cs="Times New Roman"/>
          <w:color w:val="0070C0"/>
          <w:sz w:val="24"/>
          <w:szCs w:val="24"/>
          <w:lang w:eastAsia="zh-CN"/>
        </w:rPr>
      </w:pPr>
      <w:r>
        <w:rPr>
          <w:rFonts w:hint="eastAsia" w:ascii="Times New Roman" w:hAnsi="Times New Roman" w:eastAsia="宋体" w:cs="Times New Roman"/>
          <w:color w:val="0070C0"/>
          <w:sz w:val="24"/>
          <w:szCs w:val="24"/>
          <w:lang w:eastAsia="zh-CN"/>
        </w:rPr>
        <w:drawing>
          <wp:inline distT="0" distB="0" distL="114300" distR="114300">
            <wp:extent cx="5711190" cy="3327400"/>
            <wp:effectExtent l="0" t="0" r="3810" b="6350"/>
            <wp:docPr id="8" name="图片 8" descr="16417963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641796362(1)"/>
                    <pic:cNvPicPr>
                      <a:picLocks noChangeAspect="1"/>
                    </pic:cNvPicPr>
                  </pic:nvPicPr>
                  <pic:blipFill>
                    <a:blip r:embed="rId17"/>
                    <a:stretch>
                      <a:fillRect/>
                    </a:stretch>
                  </pic:blipFill>
                  <pic:spPr>
                    <a:xfrm>
                      <a:off x="0" y="0"/>
                      <a:ext cx="5711190" cy="332740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val="0"/>
        <w:snapToGrid w:val="0"/>
        <w:spacing w:line="360" w:lineRule="auto"/>
        <w:ind w:firstLine="422" w:firstLineChars="200"/>
        <w:jc w:val="center"/>
        <w:textAlignment w:val="auto"/>
        <w:rPr>
          <w:rFonts w:hint="eastAsia" w:ascii="Times New Roman" w:hAnsi="Times New Roman" w:eastAsia="宋体" w:cs="Times New Roman"/>
          <w:color w:val="auto"/>
          <w:sz w:val="24"/>
          <w:szCs w:val="24"/>
        </w:rPr>
      </w:pPr>
      <w:r>
        <w:rPr>
          <w:rFonts w:hint="eastAsia" w:ascii="Times New Roman" w:hAnsi="Times New Roman" w:eastAsia="宋体"/>
          <w:b/>
          <w:bCs/>
          <w:color w:val="auto"/>
          <w:lang w:eastAsia="zh-CN"/>
        </w:rPr>
        <w:t>图</w:t>
      </w:r>
      <w:r>
        <w:rPr>
          <w:rFonts w:hint="eastAsia" w:ascii="Times New Roman" w:hAnsi="Times New Roman" w:eastAsia="宋体"/>
          <w:b/>
          <w:bCs/>
          <w:color w:val="auto"/>
          <w:lang w:val="en-US" w:eastAsia="zh-CN"/>
        </w:rPr>
        <w:t xml:space="preserve">1 </w:t>
      </w:r>
      <w:r>
        <w:rPr>
          <w:rFonts w:hint="eastAsia" w:ascii="Times New Roman" w:hAnsi="Times New Roman" w:eastAsia="宋体"/>
          <w:b/>
          <w:bCs/>
          <w:color w:val="auto"/>
        </w:rPr>
        <w:t xml:space="preserve"> </w:t>
      </w:r>
      <w:r>
        <w:rPr>
          <w:rFonts w:hint="eastAsia" w:ascii="Times New Roman" w:hAnsi="Times New Roman" w:eastAsia="宋体"/>
          <w:b/>
          <w:bCs/>
          <w:color w:val="auto"/>
          <w:lang w:eastAsia="zh-CN"/>
        </w:rPr>
        <w:t>本项目与最近</w:t>
      </w:r>
      <w:r>
        <w:rPr>
          <w:rFonts w:hint="eastAsia" w:ascii="Times New Roman" w:hAnsi="Times New Roman" w:eastAsia="宋体"/>
          <w:b/>
          <w:bCs/>
          <w:color w:val="auto"/>
          <w:lang w:val="en-US" w:eastAsia="zh-CN"/>
        </w:rPr>
        <w:t>水库关系位置</w:t>
      </w:r>
      <w:r>
        <w:rPr>
          <w:rFonts w:hint="eastAsia" w:ascii="Times New Roman" w:hAnsi="Times New Roman" w:eastAsia="宋体"/>
          <w:b/>
          <w:bCs/>
          <w:color w:val="auto"/>
          <w:lang w:eastAsia="zh-CN"/>
        </w:rPr>
        <w:t>图</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imes New Roman" w:hAnsi="Times New Roman" w:eastAsia="宋体" w:cs="Times New Roman"/>
          <w:color w:val="0070C0"/>
          <w:sz w:val="24"/>
          <w:szCs w:val="24"/>
          <w:lang w:eastAsia="zh-CN"/>
        </w:rPr>
      </w:pPr>
      <w:r>
        <w:rPr>
          <w:rFonts w:hint="eastAsia" w:ascii="Times New Roman" w:hAnsi="Times New Roman" w:eastAsia="宋体" w:cs="Times New Roman"/>
          <w:color w:val="0070C0"/>
          <w:sz w:val="24"/>
          <w:szCs w:val="24"/>
          <w:lang w:eastAsia="zh-CN"/>
        </w:rPr>
        <w:drawing>
          <wp:inline distT="0" distB="0" distL="114300" distR="114300">
            <wp:extent cx="5717540" cy="3087370"/>
            <wp:effectExtent l="0" t="0" r="16510" b="17780"/>
            <wp:docPr id="37" name="图片 37" descr="16417964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1641796411(1)"/>
                    <pic:cNvPicPr>
                      <a:picLocks noChangeAspect="1"/>
                    </pic:cNvPicPr>
                  </pic:nvPicPr>
                  <pic:blipFill>
                    <a:blip r:embed="rId18"/>
                    <a:stretch>
                      <a:fillRect/>
                    </a:stretch>
                  </pic:blipFill>
                  <pic:spPr>
                    <a:xfrm>
                      <a:off x="0" y="0"/>
                      <a:ext cx="5717540" cy="308737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val="0"/>
        <w:snapToGrid w:val="0"/>
        <w:spacing w:line="360" w:lineRule="auto"/>
        <w:ind w:firstLine="422" w:firstLineChars="200"/>
        <w:jc w:val="center"/>
        <w:textAlignment w:val="auto"/>
        <w:rPr>
          <w:rFonts w:hint="eastAsia" w:ascii="Times New Roman" w:hAnsi="Times New Roman" w:eastAsia="宋体" w:cs="Times New Roman"/>
          <w:color w:val="auto"/>
          <w:sz w:val="24"/>
          <w:szCs w:val="24"/>
        </w:rPr>
      </w:pPr>
      <w:r>
        <w:rPr>
          <w:rFonts w:hint="eastAsia" w:ascii="Times New Roman" w:hAnsi="Times New Roman" w:eastAsia="宋体"/>
          <w:b/>
          <w:bCs/>
          <w:color w:val="auto"/>
          <w:lang w:eastAsia="zh-CN"/>
        </w:rPr>
        <w:t>图</w:t>
      </w:r>
      <w:r>
        <w:rPr>
          <w:rFonts w:hint="eastAsia" w:ascii="Times New Roman" w:hAnsi="Times New Roman" w:eastAsia="宋体"/>
          <w:b/>
          <w:bCs/>
          <w:color w:val="auto"/>
          <w:lang w:val="en-US" w:eastAsia="zh-CN"/>
        </w:rPr>
        <w:t xml:space="preserve">2 </w:t>
      </w:r>
      <w:r>
        <w:rPr>
          <w:rFonts w:hint="eastAsia" w:ascii="Times New Roman" w:hAnsi="Times New Roman" w:eastAsia="宋体"/>
          <w:b/>
          <w:bCs/>
          <w:color w:val="auto"/>
        </w:rPr>
        <w:t xml:space="preserve"> </w:t>
      </w:r>
      <w:r>
        <w:rPr>
          <w:rFonts w:hint="eastAsia" w:ascii="Times New Roman" w:hAnsi="Times New Roman" w:eastAsia="宋体"/>
          <w:b/>
          <w:bCs/>
          <w:color w:val="auto"/>
          <w:lang w:eastAsia="zh-CN"/>
        </w:rPr>
        <w:t>本项目与</w:t>
      </w:r>
      <w:r>
        <w:rPr>
          <w:rFonts w:hint="eastAsia" w:ascii="Times New Roman" w:hAnsi="Times New Roman" w:eastAsia="宋体"/>
          <w:b/>
          <w:bCs/>
          <w:color w:val="auto"/>
          <w:lang w:val="en-US" w:eastAsia="zh-CN"/>
        </w:rPr>
        <w:t>S106线关系位置</w:t>
      </w:r>
      <w:r>
        <w:rPr>
          <w:rFonts w:hint="eastAsia" w:ascii="Times New Roman" w:hAnsi="Times New Roman" w:eastAsia="宋体"/>
          <w:b/>
          <w:bCs/>
          <w:color w:val="auto"/>
          <w:lang w:eastAsia="zh-CN"/>
        </w:rPr>
        <w:t>图</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由</w:t>
      </w:r>
      <w:r>
        <w:rPr>
          <w:rFonts w:hint="eastAsia" w:ascii="Times New Roman" w:hAnsi="Times New Roman" w:eastAsia="宋体" w:cs="Times New Roman"/>
          <w:color w:val="auto"/>
          <w:sz w:val="24"/>
          <w:szCs w:val="24"/>
          <w:lang w:eastAsia="zh-CN"/>
        </w:rPr>
        <w:t>上分析</w:t>
      </w:r>
      <w:r>
        <w:rPr>
          <w:rFonts w:hint="eastAsia" w:ascii="Times New Roman" w:hAnsi="Times New Roman" w:eastAsia="宋体" w:cs="Times New Roman"/>
          <w:color w:val="auto"/>
          <w:sz w:val="24"/>
          <w:szCs w:val="24"/>
        </w:rPr>
        <w:t>可知，本项目不在《</w:t>
      </w:r>
      <w:r>
        <w:rPr>
          <w:rFonts w:hint="eastAsia" w:ascii="Times New Roman" w:hAnsi="Times New Roman" w:eastAsia="宋体" w:cs="Times New Roman"/>
          <w:color w:val="auto"/>
          <w:sz w:val="24"/>
          <w:szCs w:val="24"/>
          <w:lang w:val="en-US" w:eastAsia="zh-CN"/>
        </w:rPr>
        <w:t>丹棱县人民政府关于划定畜禽养殖禁养区和限养区的通告</w:t>
      </w:r>
      <w:r>
        <w:rPr>
          <w:rFonts w:hint="eastAsia" w:ascii="Times New Roman" w:hAnsi="Times New Roman" w:eastAsia="宋体" w:cs="Times New Roman"/>
          <w:color w:val="auto"/>
          <w:sz w:val="24"/>
          <w:szCs w:val="24"/>
        </w:rPr>
        <w:t>》中</w:t>
      </w:r>
      <w:r>
        <w:rPr>
          <w:rFonts w:hint="eastAsia" w:ascii="Times New Roman" w:hAnsi="Times New Roman" w:eastAsia="宋体" w:cs="Times New Roman"/>
          <w:color w:val="auto"/>
          <w:sz w:val="24"/>
          <w:szCs w:val="24"/>
          <w:lang w:eastAsia="zh-CN"/>
        </w:rPr>
        <w:t>的</w:t>
      </w:r>
      <w:r>
        <w:rPr>
          <w:rFonts w:hint="eastAsia" w:ascii="Times New Roman" w:hAnsi="Times New Roman" w:eastAsia="宋体" w:cs="Times New Roman"/>
          <w:color w:val="auto"/>
          <w:sz w:val="24"/>
          <w:szCs w:val="24"/>
        </w:rPr>
        <w:t>禁养区、限养区</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rPr>
        <w:t>为《</w:t>
      </w:r>
      <w:r>
        <w:rPr>
          <w:rFonts w:hint="eastAsia" w:ascii="Times New Roman" w:hAnsi="Times New Roman" w:eastAsia="宋体" w:cs="Times New Roman"/>
          <w:color w:val="auto"/>
          <w:sz w:val="24"/>
          <w:szCs w:val="24"/>
          <w:lang w:eastAsia="zh-CN"/>
        </w:rPr>
        <w:t>丹棱县人民政府关于划定畜禽养殖禁养区和限养区的通告</w:t>
      </w:r>
      <w:r>
        <w:rPr>
          <w:rFonts w:hint="eastAsia" w:ascii="Times New Roman" w:hAnsi="Times New Roman" w:eastAsia="宋体" w:cs="Times New Roman"/>
          <w:color w:val="auto"/>
          <w:sz w:val="24"/>
          <w:szCs w:val="24"/>
        </w:rPr>
        <w:t>》中的适养区。因此，本项目符合眉山</w:t>
      </w:r>
      <w:r>
        <w:rPr>
          <w:rFonts w:hint="eastAsia" w:ascii="Times New Roman" w:hAnsi="Times New Roman" w:eastAsia="宋体" w:cs="Times New Roman"/>
          <w:color w:val="auto"/>
          <w:sz w:val="24"/>
          <w:szCs w:val="24"/>
          <w:lang w:eastAsia="zh-CN"/>
        </w:rPr>
        <w:t>市</w:t>
      </w:r>
      <w:r>
        <w:rPr>
          <w:rFonts w:hint="eastAsia" w:ascii="Times New Roman" w:hAnsi="Times New Roman" w:eastAsia="宋体" w:cs="Times New Roman"/>
          <w:color w:val="auto"/>
          <w:sz w:val="24"/>
          <w:szCs w:val="24"/>
        </w:rPr>
        <w:t>畜禽养殖规划。</w:t>
      </w:r>
    </w:p>
    <w:p>
      <w:pPr>
        <w:pStyle w:val="6"/>
        <w:pageBreakBefore w:val="0"/>
        <w:widowControl w:val="0"/>
        <w:kinsoku/>
        <w:wordWrap/>
        <w:overflowPunct/>
        <w:topLinePunct w:val="0"/>
        <w:autoSpaceDE/>
        <w:autoSpaceDN/>
        <w:bidi w:val="0"/>
        <w:adjustRightInd w:val="0"/>
        <w:snapToGrid w:val="0"/>
        <w:spacing w:before="0" w:after="0" w:line="360" w:lineRule="auto"/>
        <w:ind w:firstLine="482" w:firstLineChars="200"/>
        <w:jc w:val="both"/>
        <w:textAlignment w:val="auto"/>
        <w:rPr>
          <w:rFonts w:hint="eastAsia" w:ascii="Times New Roman" w:hAnsi="Times New Roman" w:eastAsia="宋体" w:cstheme="minorBidi"/>
          <w:b/>
          <w:bCs/>
          <w:color w:val="auto"/>
          <w:kern w:val="2"/>
          <w:sz w:val="24"/>
          <w:szCs w:val="22"/>
          <w:lang w:val="en-US" w:eastAsia="zh-CN" w:bidi="ar-SA"/>
        </w:rPr>
      </w:pPr>
      <w:r>
        <w:rPr>
          <w:rFonts w:hint="eastAsia" w:ascii="Times New Roman" w:hAnsi="Times New Roman" w:eastAsia="宋体" w:cstheme="minorBidi"/>
          <w:b/>
          <w:bCs/>
          <w:color w:val="auto"/>
          <w:kern w:val="2"/>
          <w:sz w:val="24"/>
          <w:szCs w:val="22"/>
          <w:lang w:val="en-US" w:eastAsia="zh-CN" w:bidi="ar-SA"/>
        </w:rPr>
        <w:t>7、与《畜禽养殖业污染治理工程技术规范》（HJ-497-2009）符合性分析</w:t>
      </w:r>
    </w:p>
    <w:p>
      <w:pPr>
        <w:adjustRightInd w:val="0"/>
        <w:snapToGrid w:val="0"/>
        <w:jc w:val="center"/>
        <w:rPr>
          <w:rFonts w:hint="eastAsia" w:ascii="Times New Roman" w:hAnsi="Times New Roman" w:eastAsia="宋体"/>
          <w:b/>
          <w:bCs/>
          <w:color w:val="auto"/>
        </w:rPr>
      </w:pPr>
      <w:r>
        <w:rPr>
          <w:rFonts w:hint="eastAsia" w:ascii="Times New Roman" w:hAnsi="Times New Roman" w:eastAsia="宋体"/>
          <w:b/>
          <w:bCs/>
          <w:color w:val="auto"/>
        </w:rPr>
        <w:t>表</w:t>
      </w:r>
      <w:r>
        <w:rPr>
          <w:rFonts w:hint="eastAsia" w:ascii="Times New Roman" w:hAnsi="Times New Roman" w:eastAsia="宋体"/>
          <w:b/>
          <w:bCs/>
          <w:color w:val="auto"/>
          <w:lang w:val="en-US" w:eastAsia="zh-CN"/>
        </w:rPr>
        <w:t xml:space="preserve">2 </w:t>
      </w:r>
      <w:r>
        <w:rPr>
          <w:rFonts w:hint="eastAsia" w:ascii="Times New Roman" w:hAnsi="Times New Roman" w:eastAsia="宋体"/>
          <w:b/>
          <w:bCs/>
          <w:color w:val="auto"/>
        </w:rPr>
        <w:t xml:space="preserve"> 项目与</w:t>
      </w:r>
      <w:r>
        <w:rPr>
          <w:rFonts w:hint="eastAsia" w:ascii="Times New Roman" w:hAnsi="Times New Roman" w:eastAsia="宋体"/>
          <w:b/>
          <w:bCs/>
          <w:color w:val="auto"/>
          <w:lang w:val="en-US" w:eastAsia="zh-CN"/>
        </w:rPr>
        <w:t>《畜禽养殖业污染治理工程技术规范》（HJ-497-2009）符合性</w:t>
      </w:r>
      <w:r>
        <w:rPr>
          <w:rFonts w:hint="eastAsia" w:ascii="Times New Roman" w:hAnsi="Times New Roman" w:eastAsia="宋体"/>
          <w:b/>
          <w:bCs/>
          <w:color w:val="auto"/>
        </w:rPr>
        <w:t>分析</w:t>
      </w:r>
    </w:p>
    <w:tbl>
      <w:tblPr>
        <w:tblStyle w:val="34"/>
        <w:tblW w:w="9286"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5"/>
        <w:gridCol w:w="4604"/>
        <w:gridCol w:w="3334"/>
        <w:gridCol w:w="67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
                <w:bCs/>
                <w:color w:val="auto"/>
                <w:sz w:val="21"/>
                <w:szCs w:val="21"/>
                <w:lang w:val="en-US" w:eastAsia="zh-CN"/>
              </w:rPr>
            </w:pPr>
            <w:r>
              <w:rPr>
                <w:rFonts w:hint="default" w:ascii="Times New Roman" w:hAnsi="Times New Roman" w:eastAsia="宋体"/>
                <w:b/>
                <w:bCs/>
                <w:color w:val="auto"/>
                <w:sz w:val="21"/>
                <w:szCs w:val="21"/>
                <w:lang w:val="en-US" w:eastAsia="zh-CN"/>
              </w:rPr>
              <w:t>序号</w:t>
            </w:r>
          </w:p>
        </w:tc>
        <w:tc>
          <w:tcPr>
            <w:tcW w:w="4604" w:type="dxa"/>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
                <w:bCs/>
                <w:color w:val="auto"/>
                <w:sz w:val="21"/>
                <w:szCs w:val="21"/>
                <w:lang w:val="en-US" w:eastAsia="zh-CN"/>
              </w:rPr>
            </w:pPr>
            <w:r>
              <w:rPr>
                <w:rFonts w:hint="default" w:ascii="Times New Roman" w:hAnsi="Times New Roman" w:eastAsia="宋体"/>
                <w:b/>
                <w:bCs/>
                <w:color w:val="auto"/>
                <w:sz w:val="21"/>
                <w:szCs w:val="21"/>
                <w:lang w:val="en-US" w:eastAsia="zh-CN"/>
              </w:rPr>
              <w:t>《畜禽养殖业污染治理工程技术规范》相关要求</w:t>
            </w:r>
          </w:p>
        </w:tc>
        <w:tc>
          <w:tcPr>
            <w:tcW w:w="3334" w:type="dxa"/>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
                <w:bCs/>
                <w:color w:val="auto"/>
                <w:sz w:val="21"/>
                <w:szCs w:val="21"/>
                <w:lang w:val="en-US" w:eastAsia="zh-CN"/>
              </w:rPr>
            </w:pPr>
            <w:r>
              <w:rPr>
                <w:rFonts w:hint="default" w:ascii="Times New Roman" w:hAnsi="Times New Roman" w:eastAsia="宋体"/>
                <w:b/>
                <w:bCs/>
                <w:color w:val="auto"/>
                <w:sz w:val="21"/>
                <w:szCs w:val="21"/>
                <w:lang w:val="en-US" w:eastAsia="zh-CN"/>
              </w:rPr>
              <w:t>本项目情况</w:t>
            </w:r>
          </w:p>
        </w:tc>
        <w:tc>
          <w:tcPr>
            <w:tcW w:w="673" w:type="dxa"/>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
                <w:bCs/>
                <w:color w:val="auto"/>
                <w:sz w:val="21"/>
                <w:szCs w:val="21"/>
                <w:lang w:val="en-US" w:eastAsia="zh-CN"/>
              </w:rPr>
            </w:pPr>
            <w:r>
              <w:rPr>
                <w:rFonts w:hint="default" w:ascii="Times New Roman" w:hAnsi="Times New Roman" w:eastAsia="宋体"/>
                <w:b/>
                <w:bCs/>
                <w:color w:val="auto"/>
                <w:sz w:val="21"/>
                <w:szCs w:val="21"/>
                <w:lang w:val="en-US" w:eastAsia="zh-CN"/>
              </w:rPr>
              <w:t>结论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1</w:t>
            </w:r>
          </w:p>
        </w:tc>
        <w:tc>
          <w:tcPr>
            <w:tcW w:w="4604" w:type="dxa"/>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畜禽养殖业污染治理应从源头控制，严格执行 雨污分离，通过优化饲料配方、提高饲养技术、管理水平、改善畜舍结构和通风供暖工艺、改进清粪工艺等措施减少养殖场环境污染。</w:t>
            </w:r>
          </w:p>
        </w:tc>
        <w:tc>
          <w:tcPr>
            <w:tcW w:w="3334" w:type="dxa"/>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本项目采用雨污分流，清粪工艺采用</w:t>
            </w:r>
            <w:r>
              <w:rPr>
                <w:rFonts w:hint="eastAsia" w:ascii="Times New Roman" w:hAnsi="Times New Roman" w:eastAsia="宋体"/>
                <w:color w:val="auto"/>
                <w:sz w:val="21"/>
                <w:szCs w:val="21"/>
                <w:lang w:val="en-US" w:eastAsia="zh-CN"/>
              </w:rPr>
              <w:t>干清粪工艺</w:t>
            </w:r>
            <w:r>
              <w:rPr>
                <w:rFonts w:hint="default" w:ascii="Times New Roman" w:hAnsi="Times New Roman" w:eastAsia="宋体"/>
                <w:color w:val="auto"/>
                <w:sz w:val="21"/>
                <w:szCs w:val="21"/>
                <w:lang w:val="en-US" w:eastAsia="zh-CN"/>
              </w:rPr>
              <w:t>，</w:t>
            </w:r>
            <w:r>
              <w:rPr>
                <w:rFonts w:hint="eastAsia" w:ascii="Times New Roman" w:hAnsi="Times New Roman" w:eastAsia="宋体"/>
                <w:color w:val="auto"/>
                <w:sz w:val="21"/>
                <w:szCs w:val="21"/>
                <w:lang w:val="en-US" w:eastAsia="zh-CN"/>
              </w:rPr>
              <w:t>饲料配方科学，</w:t>
            </w:r>
            <w:r>
              <w:rPr>
                <w:rFonts w:hint="default" w:ascii="Times New Roman" w:hAnsi="Times New Roman" w:eastAsia="宋体"/>
                <w:color w:val="auto"/>
                <w:sz w:val="21"/>
                <w:szCs w:val="21"/>
                <w:lang w:val="en-US" w:eastAsia="zh-CN"/>
              </w:rPr>
              <w:t>能够在源头有效控制污染物产生。</w:t>
            </w:r>
          </w:p>
        </w:tc>
        <w:tc>
          <w:tcPr>
            <w:tcW w:w="673" w:type="dxa"/>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2</w:t>
            </w:r>
          </w:p>
        </w:tc>
        <w:tc>
          <w:tcPr>
            <w:tcW w:w="4604" w:type="dxa"/>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畜禽养殖业污染治理应按照资源化、减量化、无害化的原则，以综合利用为出发点，提高资源化利用 率。</w:t>
            </w:r>
          </w:p>
        </w:tc>
        <w:tc>
          <w:tcPr>
            <w:tcW w:w="3334" w:type="dxa"/>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粪污</w:t>
            </w:r>
            <w:r>
              <w:rPr>
                <w:rFonts w:hint="eastAsia" w:ascii="Times New Roman" w:hAnsi="Times New Roman" w:eastAsia="宋体"/>
                <w:color w:val="auto"/>
                <w:sz w:val="21"/>
                <w:szCs w:val="21"/>
                <w:lang w:val="en-US" w:eastAsia="zh-CN"/>
              </w:rPr>
              <w:t>收集后进行干湿分离，干粪进行好氧堆肥发酵，堆肥产物还田利用</w:t>
            </w:r>
            <w:r>
              <w:rPr>
                <w:rFonts w:hint="default" w:ascii="Times New Roman" w:hAnsi="Times New Roman" w:eastAsia="宋体"/>
                <w:color w:val="auto"/>
                <w:sz w:val="21"/>
                <w:szCs w:val="21"/>
                <w:lang w:val="en-US" w:eastAsia="zh-CN"/>
              </w:rPr>
              <w:t>。</w:t>
            </w:r>
            <w:r>
              <w:rPr>
                <w:rFonts w:hint="eastAsia" w:ascii="Times New Roman" w:hAnsi="Times New Roman" w:eastAsia="宋体"/>
                <w:color w:val="auto"/>
                <w:sz w:val="21"/>
                <w:szCs w:val="21"/>
                <w:lang w:val="en-US" w:eastAsia="zh-CN"/>
              </w:rPr>
              <w:t>污水经处理达到</w:t>
            </w:r>
            <w:r>
              <w:rPr>
                <w:rFonts w:hint="default" w:ascii="Times New Roman" w:hAnsi="Times New Roman" w:eastAsia="宋体" w:cs="Times New Roman"/>
                <w:color w:val="auto"/>
                <w:highlight w:val="none"/>
                <w:lang w:eastAsia="zh-CN"/>
              </w:rPr>
              <w:t>《农田灌溉水质标准》</w:t>
            </w:r>
            <w:r>
              <w:rPr>
                <w:rFonts w:hint="eastAsia" w:ascii="Times New Roman" w:hAnsi="Times New Roman" w:eastAsia="宋体" w:cs="Times New Roman"/>
                <w:color w:val="auto"/>
                <w:highlight w:val="none"/>
                <w:lang w:eastAsia="zh-CN"/>
              </w:rPr>
              <w:t>后，用于周边农田灌溉。</w:t>
            </w:r>
          </w:p>
        </w:tc>
        <w:tc>
          <w:tcPr>
            <w:tcW w:w="673" w:type="dxa"/>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3</w:t>
            </w:r>
          </w:p>
        </w:tc>
        <w:tc>
          <w:tcPr>
            <w:tcW w:w="4604" w:type="dxa"/>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畜禽粪污资源化时应经无害化处理后方可还田 利用，无害化处理应满足下列要求： a）液态畜禽粪污宜采用厌氧工艺进行无害化处 理；沼液、沼渣不得作为同等动物的饲料，不得在 动物之间进行循环；b）固体畜禽粪便宜采用好氧堆肥技术进行无害化 处理；c）无害化处理后的卫生学指标应符合（GB 7959）的有关规定。</w:t>
            </w:r>
          </w:p>
        </w:tc>
        <w:tc>
          <w:tcPr>
            <w:tcW w:w="3334" w:type="dxa"/>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粪污</w:t>
            </w:r>
            <w:r>
              <w:rPr>
                <w:rFonts w:hint="eastAsia" w:ascii="Times New Roman" w:hAnsi="Times New Roman" w:eastAsia="宋体"/>
                <w:color w:val="auto"/>
                <w:sz w:val="21"/>
                <w:szCs w:val="21"/>
                <w:lang w:val="en-US" w:eastAsia="zh-CN"/>
              </w:rPr>
              <w:t>收集后进行干湿分离，干粪进行好氧堆肥发酵，堆肥产物还田利用</w:t>
            </w:r>
            <w:r>
              <w:rPr>
                <w:rFonts w:hint="default" w:ascii="Times New Roman" w:hAnsi="Times New Roman" w:eastAsia="宋体"/>
                <w:color w:val="auto"/>
                <w:sz w:val="21"/>
                <w:szCs w:val="21"/>
                <w:lang w:val="en-US" w:eastAsia="zh-CN"/>
              </w:rPr>
              <w:t>。</w:t>
            </w:r>
            <w:r>
              <w:rPr>
                <w:rFonts w:hint="eastAsia" w:ascii="Times New Roman" w:hAnsi="Times New Roman" w:eastAsia="宋体"/>
                <w:color w:val="auto"/>
                <w:sz w:val="21"/>
                <w:szCs w:val="21"/>
                <w:lang w:val="en-US" w:eastAsia="zh-CN"/>
              </w:rPr>
              <w:t>污水经处理达到</w:t>
            </w:r>
            <w:r>
              <w:rPr>
                <w:rFonts w:hint="default" w:ascii="Times New Roman" w:hAnsi="Times New Roman" w:eastAsia="宋体" w:cs="Times New Roman"/>
                <w:color w:val="auto"/>
                <w:highlight w:val="none"/>
                <w:lang w:eastAsia="zh-CN"/>
              </w:rPr>
              <w:t>《农田灌溉水质标准》</w:t>
            </w:r>
            <w:r>
              <w:rPr>
                <w:rFonts w:hint="eastAsia" w:ascii="Times New Roman" w:hAnsi="Times New Roman" w:eastAsia="宋体" w:cs="Times New Roman"/>
                <w:color w:val="auto"/>
                <w:highlight w:val="none"/>
                <w:lang w:eastAsia="zh-CN"/>
              </w:rPr>
              <w:t>后，用于周边农田灌溉。</w:t>
            </w:r>
          </w:p>
        </w:tc>
        <w:tc>
          <w:tcPr>
            <w:tcW w:w="673" w:type="dxa"/>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4</w:t>
            </w:r>
          </w:p>
        </w:tc>
        <w:tc>
          <w:tcPr>
            <w:tcW w:w="4604" w:type="dxa"/>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畜禽养殖废水不得排入敏感水域和有特殊功能 的水域，排放去向应符合国家和地方的有关规定。排放水质应满足GB 18596-2001 或有关地方污染 物排放标准的规定；处理后用于农田灌溉的，出水 水质应满足 GB 5084 的规定。</w:t>
            </w:r>
          </w:p>
        </w:tc>
        <w:tc>
          <w:tcPr>
            <w:tcW w:w="3334" w:type="dxa"/>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污水经处理达到</w:t>
            </w:r>
            <w:r>
              <w:rPr>
                <w:rFonts w:hint="default" w:ascii="Times New Roman" w:hAnsi="Times New Roman" w:eastAsia="宋体" w:cs="Times New Roman"/>
                <w:color w:val="auto"/>
                <w:highlight w:val="none"/>
                <w:lang w:eastAsia="zh-CN"/>
              </w:rPr>
              <w:t>《农田灌溉水质标准》</w:t>
            </w:r>
            <w:r>
              <w:rPr>
                <w:rFonts w:hint="eastAsia" w:ascii="Times New Roman" w:hAnsi="Times New Roman" w:eastAsia="宋体" w:cs="Times New Roman"/>
                <w:color w:val="auto"/>
                <w:highlight w:val="none"/>
                <w:lang w:eastAsia="zh-CN"/>
              </w:rPr>
              <w:t>后，用于周边农田灌溉。</w:t>
            </w:r>
          </w:p>
        </w:tc>
        <w:tc>
          <w:tcPr>
            <w:tcW w:w="673" w:type="dxa"/>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5</w:t>
            </w:r>
          </w:p>
        </w:tc>
        <w:tc>
          <w:tcPr>
            <w:tcW w:w="4604" w:type="dxa"/>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畜禽养殖业污染治理工程应采取防治二次污染的措施，废水、废气、废渣、噪声及其他污染物的排放应符合相应的国家或地方排放标准。</w:t>
            </w:r>
          </w:p>
        </w:tc>
        <w:tc>
          <w:tcPr>
            <w:tcW w:w="3334" w:type="dxa"/>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本项目废水不外排；废气达标排放；粪污实现资源化利用，不外排。</w:t>
            </w:r>
          </w:p>
        </w:tc>
        <w:tc>
          <w:tcPr>
            <w:tcW w:w="673" w:type="dxa"/>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6</w:t>
            </w:r>
          </w:p>
        </w:tc>
        <w:tc>
          <w:tcPr>
            <w:tcW w:w="4604" w:type="dxa"/>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畜禽养殖业污染治理工程的位置应有利于排放、资源化利用和运输，并留有扩建的余地，方便施工、运行和维护。</w:t>
            </w:r>
          </w:p>
        </w:tc>
        <w:tc>
          <w:tcPr>
            <w:tcW w:w="3334" w:type="dxa"/>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本项目厂区平面布置合理，污染物治理工程位置有利于污染物的运输、利用。</w:t>
            </w:r>
          </w:p>
        </w:tc>
        <w:tc>
          <w:tcPr>
            <w:tcW w:w="673" w:type="dxa"/>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675" w:type="dxa"/>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7</w:t>
            </w:r>
          </w:p>
        </w:tc>
        <w:tc>
          <w:tcPr>
            <w:tcW w:w="4604" w:type="dxa"/>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平面布置应以污水处理系统、固体粪便处理系 统、恶臭集中处理系统为主体，其他各项设施应按 粪污处理流程合理安排，确保相关设备充分发挥功能，保证设施运行稳定、维修方便、经济合理、安 全卫生。</w:t>
            </w:r>
          </w:p>
        </w:tc>
        <w:tc>
          <w:tcPr>
            <w:tcW w:w="3334" w:type="dxa"/>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本项目平面布置分为猪舍、辅助用房</w:t>
            </w:r>
            <w:r>
              <w:rPr>
                <w:rFonts w:hint="eastAsia" w:ascii="Times New Roman" w:hAnsi="Times New Roman" w:eastAsia="宋体"/>
                <w:color w:val="auto"/>
                <w:sz w:val="21"/>
                <w:szCs w:val="21"/>
                <w:lang w:val="en-US" w:eastAsia="zh-CN"/>
              </w:rPr>
              <w:t>、</w:t>
            </w:r>
            <w:r>
              <w:rPr>
                <w:rFonts w:hint="default" w:ascii="Times New Roman" w:hAnsi="Times New Roman" w:eastAsia="宋体"/>
                <w:color w:val="auto"/>
                <w:sz w:val="21"/>
                <w:szCs w:val="21"/>
                <w:lang w:val="en-US" w:eastAsia="zh-CN"/>
              </w:rPr>
              <w:t>粪污处理系统等，各个单元功能明确，不混淆。</w:t>
            </w:r>
          </w:p>
        </w:tc>
        <w:tc>
          <w:tcPr>
            <w:tcW w:w="673" w:type="dxa"/>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符合</w:t>
            </w:r>
          </w:p>
        </w:tc>
      </w:tr>
    </w:tbl>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imes New Roman" w:hAnsi="Times New Roman" w:eastAsia="宋体" w:cs="Times New Roman"/>
          <w:color w:val="auto"/>
          <w:sz w:val="24"/>
          <w:szCs w:val="24"/>
        </w:rPr>
      </w:pPr>
    </w:p>
    <w:p>
      <w:pPr>
        <w:pStyle w:val="6"/>
        <w:pageBreakBefore w:val="0"/>
        <w:widowControl w:val="0"/>
        <w:kinsoku/>
        <w:wordWrap/>
        <w:overflowPunct/>
        <w:topLinePunct w:val="0"/>
        <w:autoSpaceDE/>
        <w:autoSpaceDN/>
        <w:bidi w:val="0"/>
        <w:adjustRightInd w:val="0"/>
        <w:snapToGrid w:val="0"/>
        <w:spacing w:before="0" w:after="0" w:line="360" w:lineRule="auto"/>
        <w:ind w:firstLine="482" w:firstLineChars="200"/>
        <w:jc w:val="both"/>
        <w:textAlignment w:val="auto"/>
        <w:rPr>
          <w:rFonts w:hint="eastAsia" w:ascii="Times New Roman" w:hAnsi="Times New Roman" w:eastAsia="宋体" w:cstheme="minorBidi"/>
          <w:b/>
          <w:bCs/>
          <w:color w:val="auto"/>
          <w:kern w:val="2"/>
          <w:sz w:val="24"/>
          <w:szCs w:val="22"/>
          <w:lang w:val="en-US" w:eastAsia="zh-CN" w:bidi="ar-SA"/>
        </w:rPr>
      </w:pPr>
      <w:r>
        <w:rPr>
          <w:rFonts w:hint="eastAsia" w:ascii="Times New Roman" w:hAnsi="Times New Roman" w:eastAsia="宋体" w:cstheme="minorBidi"/>
          <w:b/>
          <w:bCs/>
          <w:color w:val="auto"/>
          <w:kern w:val="2"/>
          <w:sz w:val="24"/>
          <w:szCs w:val="22"/>
          <w:lang w:val="en-US" w:eastAsia="zh-CN" w:bidi="ar-SA"/>
        </w:rPr>
        <w:t>8、与《长江经济带战略环境评价四川省眉山市“三线一单”生态环境分区管控优化完善成果》符合性分析</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lang w:eastAsia="zh-CN"/>
        </w:rPr>
      </w:pPr>
      <w:r>
        <w:rPr>
          <w:rFonts w:hint="eastAsia" w:ascii="Times New Roman" w:hAnsi="Times New Roman" w:eastAsia="宋体"/>
          <w:color w:val="auto"/>
          <w:sz w:val="24"/>
          <w:lang w:eastAsia="zh-CN"/>
        </w:rPr>
        <w:t>为进一步推动四川省“三线一单”生态环境分区管控体系的建立和完善，市（州）应加快推进当地区域“三线一单”成果优化完善工作。本次四川省眉山市三线一单优化完善工作根据《关于落实生态保护红线、环境质量底线、资源利用上线制定生态环境准入清单实施生态环境分区管控的通知》（川府发[2020]9号）、《办公室关于进一步优化完善市（州）“三线一单”加快推进应用实施的通知》（川长战办〔2020〕2号）的具体要求，在现有“三线一单”成果基础上，结合眉山市最新发展战略定位，综合考虑未来经济发展趋势，充分衔接眉山市国土空间规划，结合最新的生态保护红线成果、自然保护地体系，核实、更新、细化完善眉山市环境管控单元，制定落地“管用、好用”的生态环境准入清单。通过优化完善工作，处理好生态环境保护与区域经济发展的关系，形成既为资源环境保护设红线、立禁区，又为眉山市经济发展划跑道、建通道的生态环境管控分区成果，并加快推动成果的应用实施，为战略和规划环评落地、项目环评审批提供硬约束。</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Times New Roman" w:hAnsi="Times New Roman" w:eastAsia="宋体"/>
          <w:b/>
          <w:bCs/>
          <w:color w:val="auto"/>
          <w:sz w:val="24"/>
          <w:lang w:eastAsia="zh-CN"/>
        </w:rPr>
      </w:pPr>
      <w:r>
        <w:rPr>
          <w:rFonts w:hint="eastAsia" w:ascii="Times New Roman" w:hAnsi="Times New Roman" w:eastAsia="宋体"/>
          <w:b/>
          <w:bCs/>
          <w:color w:val="auto"/>
          <w:sz w:val="24"/>
          <w:lang w:eastAsia="zh-CN"/>
        </w:rPr>
        <w:t>（1）生态保护红线</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lang w:eastAsia="zh-CN"/>
        </w:rPr>
      </w:pPr>
      <w:r>
        <w:rPr>
          <w:rFonts w:hint="eastAsia" w:ascii="Times New Roman" w:hAnsi="Times New Roman" w:eastAsia="宋体"/>
          <w:color w:val="auto"/>
          <w:sz w:val="24"/>
          <w:lang w:eastAsia="zh-CN"/>
        </w:rPr>
        <w:t>根据《生态保护红线划定指南》，眉山市生态保护红线由生态评估区、国家级和省级禁止开发区域以及其他有必要严格保护的各类保护地合并叠加组成。</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lang w:eastAsia="zh-CN"/>
        </w:rPr>
      </w:pPr>
      <w:r>
        <w:rPr>
          <w:rFonts w:hint="eastAsia" w:ascii="Times New Roman" w:hAnsi="Times New Roman" w:eastAsia="宋体"/>
          <w:color w:val="auto"/>
          <w:sz w:val="24"/>
          <w:lang w:eastAsia="zh-CN"/>
        </w:rPr>
        <w:t>生态保护红线划分：眉山市生态保护红线面积712.75km</w:t>
      </w:r>
      <w:r>
        <w:rPr>
          <w:rFonts w:hint="eastAsia" w:ascii="Times New Roman" w:hAnsi="Times New Roman" w:eastAsia="宋体"/>
          <w:color w:val="auto"/>
          <w:sz w:val="24"/>
          <w:vertAlign w:val="superscript"/>
          <w:lang w:eastAsia="zh-CN"/>
        </w:rPr>
        <w:t>2</w:t>
      </w:r>
      <w:r>
        <w:rPr>
          <w:rFonts w:hint="eastAsia" w:ascii="Times New Roman" w:hAnsi="Times New Roman" w:eastAsia="宋体"/>
          <w:color w:val="auto"/>
          <w:sz w:val="24"/>
          <w:lang w:eastAsia="zh-CN"/>
        </w:rPr>
        <w:t>，占眉山市国土面积比例的9.98%，涵盖了水源涵养、生物多样性维护、水土保持功能极重要区，水土流失、土地沙化、石漠化极敏感区；瓦屋山省级自然保护区、黑龙滩省级风景名胜区、四川仁寿黑龙滩国家湿地公园、瓦屋山森林自然公园、龚家堰水库仙女湖饮用水水源地等法定保护区域，国家一级公益林等各类保护地。</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lang w:eastAsia="zh-CN"/>
        </w:rPr>
      </w:pPr>
      <w:r>
        <w:rPr>
          <w:rFonts w:hint="eastAsia" w:ascii="Times New Roman" w:hAnsi="Times New Roman" w:eastAsia="宋体"/>
          <w:color w:val="auto"/>
          <w:sz w:val="24"/>
          <w:lang w:eastAsia="zh-CN"/>
        </w:rPr>
        <w:t>眉山市的生态红线属盆中城市饮用水源—水土保持生态保护红线，涉及眉山市洪雅县、东坡区、东坡区、青神县和彭山区，主要分布于洪雅县。洪雅县境内生态保护红线面积占全市红线总面积的95.43%。</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lang w:eastAsia="zh-CN"/>
        </w:rPr>
      </w:pPr>
      <w:r>
        <w:rPr>
          <w:rFonts w:hint="eastAsia" w:ascii="Times New Roman" w:hAnsi="Times New Roman" w:eastAsia="宋体"/>
          <w:color w:val="auto"/>
          <w:sz w:val="24"/>
          <w:lang w:eastAsia="zh-CN"/>
        </w:rPr>
        <w:t>一般生态空间划定：据“三线一单”编制技术要求，确定上述各大类及其各自包含的子类区域空间边界并进行叠加分析。各类区域在空间上存在重叠时，根据管控要求的优先序，按照“就高不就低”的原则合并处理。基于：</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lang w:eastAsia="zh-CN"/>
        </w:rPr>
      </w:pPr>
      <w:r>
        <w:rPr>
          <w:rFonts w:hint="eastAsia" w:ascii="Times New Roman" w:hAnsi="Times New Roman" w:eastAsia="宋体"/>
          <w:color w:val="auto"/>
          <w:sz w:val="24"/>
          <w:lang w:eastAsia="zh-CN"/>
        </w:rPr>
        <w:t>（1）眉山市生态保护红线划定过程中评估出的生态功能重要区和生态环境敏感区；</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lang w:eastAsia="zh-CN"/>
        </w:rPr>
      </w:pPr>
      <w:r>
        <w:rPr>
          <w:rFonts w:hint="eastAsia" w:ascii="Times New Roman" w:hAnsi="Times New Roman" w:eastAsia="宋体"/>
          <w:color w:val="auto"/>
          <w:sz w:val="24"/>
          <w:lang w:eastAsia="zh-CN"/>
        </w:rPr>
        <w:t>（2）生态保护红线划定过程中未被纳入的生态敏感区（含自然保护区、风景名胜区、湿地公园、森林公园、水产种质资源保护区和饮用水源保护区）；</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lang w:eastAsia="zh-CN"/>
        </w:rPr>
      </w:pPr>
      <w:r>
        <w:rPr>
          <w:rFonts w:hint="eastAsia" w:ascii="Times New Roman" w:hAnsi="Times New Roman" w:eastAsia="宋体"/>
          <w:color w:val="auto"/>
          <w:sz w:val="24"/>
          <w:lang w:eastAsia="zh-CN"/>
        </w:rPr>
        <w:t>（3）江河岸线、生态公益林以及重要水库等数据。</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lang w:eastAsia="zh-CN"/>
        </w:rPr>
      </w:pPr>
      <w:r>
        <w:rPr>
          <w:rFonts w:hint="eastAsia" w:ascii="Times New Roman" w:hAnsi="Times New Roman" w:eastAsia="宋体"/>
          <w:color w:val="auto"/>
          <w:sz w:val="24"/>
          <w:lang w:eastAsia="zh-CN"/>
        </w:rPr>
        <w:t>各类型区域纳入眉山市生态空间。各类区域综合叠加，并通过聚类和细小斑块处理等获取眉山市域境内一般生态空间面积为1297.20km</w:t>
      </w:r>
      <w:r>
        <w:rPr>
          <w:rFonts w:hint="eastAsia" w:ascii="Times New Roman" w:hAnsi="Times New Roman" w:eastAsia="宋体"/>
          <w:color w:val="auto"/>
          <w:sz w:val="24"/>
          <w:vertAlign w:val="superscript"/>
          <w:lang w:eastAsia="zh-CN"/>
        </w:rPr>
        <w:t>2</w:t>
      </w:r>
      <w:r>
        <w:rPr>
          <w:rFonts w:hint="eastAsia" w:ascii="Times New Roman" w:hAnsi="Times New Roman" w:eastAsia="宋体"/>
          <w:color w:val="auto"/>
          <w:sz w:val="24"/>
          <w:lang w:eastAsia="zh-CN"/>
        </w:rPr>
        <w:t>，占眉山市国土面积的18.17%。</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imes New Roman" w:hAnsi="Times New Roman" w:eastAsia="宋体"/>
          <w:color w:val="auto"/>
          <w:sz w:val="24"/>
          <w:lang w:eastAsia="zh-CN"/>
        </w:rPr>
      </w:pPr>
      <w:r>
        <w:rPr>
          <w:color w:val="auto"/>
          <w:sz w:val="21"/>
        </w:rPr>
        <mc:AlternateContent>
          <mc:Choice Requires="wps">
            <w:drawing>
              <wp:anchor distT="0" distB="0" distL="114300" distR="114300" simplePos="0" relativeHeight="251662336" behindDoc="0" locked="0" layoutInCell="1" allowOverlap="1">
                <wp:simplePos x="0" y="0"/>
                <wp:positionH relativeFrom="column">
                  <wp:posOffset>1386840</wp:posOffset>
                </wp:positionH>
                <wp:positionV relativeFrom="paragraph">
                  <wp:posOffset>1052830</wp:posOffset>
                </wp:positionV>
                <wp:extent cx="1219200" cy="425450"/>
                <wp:effectExtent l="4445" t="5080" r="14605" b="312420"/>
                <wp:wrapNone/>
                <wp:docPr id="33" name="椭圆形标注 33"/>
                <wp:cNvGraphicFramePr/>
                <a:graphic xmlns:a="http://schemas.openxmlformats.org/drawingml/2006/main">
                  <a:graphicData uri="http://schemas.microsoft.com/office/word/2010/wordprocessingShape">
                    <wps:wsp>
                      <wps:cNvSpPr/>
                      <wps:spPr>
                        <a:xfrm>
                          <a:off x="4546600" y="7272655"/>
                          <a:ext cx="1219200" cy="425450"/>
                        </a:xfrm>
                        <a:prstGeom prst="wedgeEllipseCallout">
                          <a:avLst>
                            <a:gd name="adj1" fmla="val -25520"/>
                            <a:gd name="adj2" fmla="val 121940"/>
                          </a:avLst>
                        </a:prstGeom>
                        <a:noFill/>
                        <a:ln w="95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Theme="minorEastAsia"/>
                                <w:color w:val="FF0000"/>
                                <w:lang w:eastAsia="zh-CN"/>
                              </w:rPr>
                            </w:pPr>
                            <w:r>
                              <w:rPr>
                                <w:rFonts w:hint="eastAsia"/>
                                <w:color w:val="FF0000"/>
                                <w:lang w:eastAsia="zh-CN"/>
                              </w:rPr>
                              <w:t>项目所在地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3" type="#_x0000_t63" style="position:absolute;left:0pt;margin-left:109.2pt;margin-top:82.9pt;height:33.5pt;width:96pt;z-index:251662336;v-text-anchor:middle;mso-width-relative:page;mso-height-relative:page;" filled="f" stroked="t" coordsize="21600,21600" o:gfxdata="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" adj="5288,37139">
                <v:fill on="f" focussize="0,0"/>
                <v:stroke color="#FF0000 [3204]" joinstyle="round"/>
                <v:imagedata o:title=""/>
                <o:lock v:ext="edit" aspectratio="f"/>
                <v:textbox>
                  <w:txbxContent>
                    <w:p>
                      <w:pPr>
                        <w:jc w:val="center"/>
                        <w:rPr>
                          <w:rFonts w:hint="eastAsia" w:eastAsiaTheme="minorEastAsia"/>
                          <w:color w:val="FF0000"/>
                          <w:lang w:eastAsia="zh-CN"/>
                        </w:rPr>
                      </w:pPr>
                      <w:r>
                        <w:rPr>
                          <w:rFonts w:hint="eastAsia"/>
                          <w:color w:val="FF0000"/>
                          <w:lang w:eastAsia="zh-CN"/>
                        </w:rPr>
                        <w:t>项目所在地</w:t>
                      </w:r>
                    </w:p>
                  </w:txbxContent>
                </v:textbox>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1547495</wp:posOffset>
                </wp:positionH>
                <wp:positionV relativeFrom="paragraph">
                  <wp:posOffset>1622425</wp:posOffset>
                </wp:positionV>
                <wp:extent cx="1080770" cy="433705"/>
                <wp:effectExtent l="0" t="0" r="0" b="0"/>
                <wp:wrapNone/>
                <wp:docPr id="48" name="文本框 48"/>
                <wp:cNvGraphicFramePr/>
                <a:graphic xmlns:a="http://schemas.openxmlformats.org/drawingml/2006/main">
                  <a:graphicData uri="http://schemas.microsoft.com/office/word/2010/wordprocessingShape">
                    <wps:wsp>
                      <wps:cNvSpPr txBox="1"/>
                      <wps:spPr>
                        <a:xfrm>
                          <a:off x="2463800" y="2769870"/>
                          <a:ext cx="1080770" cy="4337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color w:val="FF0000"/>
                                <w:lang w:eastAsia="zh-CN"/>
                              </w:rPr>
                            </w:pPr>
                            <w:r>
                              <w:rPr>
                                <w:rFonts w:hint="eastAsia"/>
                                <w:color w:val="FF0000"/>
                                <w:lang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1.85pt;margin-top:127.75pt;height:34.15pt;width:85.1pt;z-index:251664384;mso-width-relative:page;mso-height-relative:page;" filled="f" stroked="f" coordsize="21600,21600" o:gfxdata="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5xCBC3AAAAAsBAAAPAAAAAAAA&#10;AAEAIAAAACIAAABkcnMvZG93bnJldi54bWxQSwECFAAUAAAACACHTuJAsWBA0EcCAAB0BAAADgAA&#10;AAAAAAABACAAAAArAQAAZHJzL2Uyb0RvYy54bWxQSwUGAAAAAAYABgBZAQAA5AUAAAAA&#10;">
                <v:fill on="f" focussize="0,0"/>
                <v:stroke on="f" weight="0.5pt"/>
                <v:imagedata o:title=""/>
                <o:lock v:ext="edit" aspectratio="f"/>
                <v:textbox>
                  <w:txbxContent>
                    <w:p>
                      <w:pPr>
                        <w:rPr>
                          <w:rFonts w:hint="eastAsia" w:eastAsiaTheme="minorEastAsia"/>
                          <w:color w:val="FF0000"/>
                          <w:lang w:eastAsia="zh-CN"/>
                        </w:rPr>
                      </w:pPr>
                      <w:r>
                        <w:rPr>
                          <w:rFonts w:hint="eastAsia"/>
                          <w:color w:val="FF0000"/>
                          <w:lang w:eastAsia="zh-CN"/>
                        </w:rPr>
                        <w:t>。</w:t>
                      </w:r>
                    </w:p>
                  </w:txbxContent>
                </v:textbox>
              </v:shape>
            </w:pict>
          </mc:Fallback>
        </mc:AlternateContent>
      </w:r>
      <w:r>
        <w:rPr>
          <w:rFonts w:hint="eastAsia" w:eastAsia="仿宋_GB2312"/>
          <w:color w:val="auto"/>
        </w:rPr>
        <w:drawing>
          <wp:inline distT="0" distB="0" distL="114300" distR="114300">
            <wp:extent cx="5429250" cy="3841750"/>
            <wp:effectExtent l="0" t="0" r="0" b="6350"/>
            <wp:docPr id="30" name="图片 18" descr="眉山生态空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8" descr="眉山生态空间"/>
                    <pic:cNvPicPr>
                      <a:picLocks noChangeAspect="1"/>
                    </pic:cNvPicPr>
                  </pic:nvPicPr>
                  <pic:blipFill>
                    <a:blip r:embed="rId19"/>
                    <a:stretch>
                      <a:fillRect/>
                    </a:stretch>
                  </pic:blipFill>
                  <pic:spPr>
                    <a:xfrm>
                      <a:off x="0" y="0"/>
                      <a:ext cx="5429250" cy="3841750"/>
                    </a:xfrm>
                    <a:prstGeom prst="rect">
                      <a:avLst/>
                    </a:prstGeom>
                    <a:noFill/>
                    <a:ln>
                      <a:noFill/>
                    </a:ln>
                  </pic:spPr>
                </pic:pic>
              </a:graphicData>
            </a:graphic>
          </wp:inline>
        </w:drawing>
      </w:r>
    </w:p>
    <w:p>
      <w:pPr>
        <w:adjustRightInd w:val="0"/>
        <w:snapToGrid w:val="0"/>
        <w:jc w:val="center"/>
        <w:rPr>
          <w:rFonts w:hint="eastAsia" w:ascii="Times New Roman" w:hAnsi="Times New Roman" w:eastAsia="宋体"/>
          <w:b/>
          <w:bCs/>
          <w:color w:val="auto"/>
        </w:rPr>
      </w:pPr>
      <w:r>
        <w:rPr>
          <w:rFonts w:hint="eastAsia" w:ascii="Times New Roman" w:hAnsi="Times New Roman" w:eastAsia="宋体"/>
          <w:b/>
          <w:bCs/>
          <w:color w:val="auto"/>
          <w:lang w:eastAsia="zh-CN"/>
        </w:rPr>
        <w:t>图</w:t>
      </w:r>
      <w:r>
        <w:rPr>
          <w:rFonts w:hint="eastAsia" w:ascii="Times New Roman" w:hAnsi="Times New Roman" w:eastAsia="宋体"/>
          <w:b/>
          <w:bCs/>
          <w:color w:val="auto"/>
          <w:lang w:val="en-US" w:eastAsia="zh-CN"/>
        </w:rPr>
        <w:t xml:space="preserve">3 </w:t>
      </w:r>
      <w:r>
        <w:rPr>
          <w:rFonts w:hint="eastAsia" w:ascii="Times New Roman" w:hAnsi="Times New Roman" w:eastAsia="宋体"/>
          <w:b/>
          <w:bCs/>
          <w:color w:val="auto"/>
        </w:rPr>
        <w:t xml:space="preserve"> 眉山市生态保护红线及生态空间分布图</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lang w:eastAsia="zh-CN"/>
        </w:rPr>
      </w:pPr>
      <w:r>
        <w:rPr>
          <w:rFonts w:hint="eastAsia" w:ascii="Times New Roman" w:hAnsi="Times New Roman" w:eastAsia="宋体"/>
          <w:color w:val="auto"/>
          <w:sz w:val="24"/>
          <w:lang w:eastAsia="zh-CN"/>
        </w:rPr>
        <w:t>本项目位于眉山市丹棱县仁美镇雄义村5组，不在眉山市划定的生态保护红线以及一般生态空间范围内。</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Times New Roman" w:hAnsi="Times New Roman" w:eastAsia="宋体"/>
          <w:b/>
          <w:bCs/>
          <w:color w:val="auto"/>
          <w:sz w:val="24"/>
          <w:lang w:eastAsia="zh-CN"/>
        </w:rPr>
      </w:pPr>
      <w:r>
        <w:rPr>
          <w:rFonts w:hint="eastAsia" w:ascii="Times New Roman" w:hAnsi="Times New Roman" w:eastAsia="宋体"/>
          <w:b/>
          <w:bCs/>
          <w:color w:val="auto"/>
          <w:sz w:val="24"/>
          <w:lang w:eastAsia="zh-CN"/>
        </w:rPr>
        <w:t>（2）环境质量底线</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lang w:eastAsia="zh-CN"/>
        </w:rPr>
      </w:pPr>
      <w:r>
        <w:rPr>
          <w:rFonts w:hint="eastAsia" w:ascii="Times New Roman" w:hAnsi="Times New Roman" w:eastAsia="宋体"/>
          <w:color w:val="auto"/>
          <w:sz w:val="24"/>
          <w:lang w:eastAsia="zh-CN"/>
        </w:rPr>
        <w:t>水环境质量底线：到 2025 年，纳入国家和省考核的监测断面优良（达到或优于Ⅲ类）比例达到100%；城市建成区黑臭水体总体得以消除；县级及以上城市集中式饮用水水源水质达到或优于Ⅲ类比例达到100%；水质优良（达到或优于Ⅲ类）管控区比例达到88.24%。</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lang w:eastAsia="zh-CN"/>
        </w:rPr>
      </w:pPr>
      <w:r>
        <w:rPr>
          <w:rFonts w:hint="eastAsia" w:ascii="Times New Roman" w:hAnsi="Times New Roman" w:eastAsia="宋体"/>
          <w:color w:val="auto"/>
          <w:sz w:val="24"/>
          <w:lang w:eastAsia="zh-CN"/>
        </w:rPr>
        <w:t>到 2035 年，纳入国家和省考核的监测断面优良（达到或优于Ⅲ类）比例达到100%；县城建成黑臭水体总体得以消除；县级及以上城市集中式饮用水水源水质达到或优于Ⅲ类比例达到100%；水质优良（达到或优于Ⅲ类）管控区比例达到91.18%。</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lang w:eastAsia="zh-CN"/>
        </w:rPr>
      </w:pPr>
      <w:r>
        <w:rPr>
          <w:rFonts w:hint="eastAsia" w:ascii="Times New Roman" w:hAnsi="Times New Roman" w:eastAsia="宋体"/>
          <w:color w:val="auto"/>
          <w:sz w:val="24"/>
          <w:lang w:eastAsia="zh-CN"/>
        </w:rPr>
        <w:t>大气环境质量底线：根据四川省“十四五”大气污染防治规划、成德眉资同城化发展生态环境保护规划、四川省巩固污染防治攻坚战成果提升生态环境治理体系和治理能力现代化水平三年行动计划（2021—2023年）等相关要求，结合眉山市空气质量现状和限期达标规划，核实确定城市分阶段的PM</w:t>
      </w:r>
      <w:r>
        <w:rPr>
          <w:rFonts w:hint="eastAsia" w:ascii="Times New Roman" w:hAnsi="Times New Roman" w:eastAsia="宋体"/>
          <w:color w:val="auto"/>
          <w:sz w:val="24"/>
          <w:vertAlign w:val="subscript"/>
          <w:lang w:eastAsia="zh-CN"/>
        </w:rPr>
        <w:t>2.5</w:t>
      </w:r>
      <w:r>
        <w:rPr>
          <w:rFonts w:hint="eastAsia" w:ascii="Times New Roman" w:hAnsi="Times New Roman" w:eastAsia="宋体"/>
          <w:color w:val="auto"/>
          <w:sz w:val="24"/>
          <w:lang w:eastAsia="zh-CN"/>
        </w:rPr>
        <w:t>控制目标，初步建议如下。</w:t>
      </w:r>
    </w:p>
    <w:p>
      <w:pPr>
        <w:adjustRightInd w:val="0"/>
        <w:snapToGrid w:val="0"/>
        <w:jc w:val="center"/>
        <w:rPr>
          <w:rFonts w:hint="eastAsia" w:ascii="Times New Roman" w:hAnsi="Times New Roman" w:eastAsia="宋体"/>
          <w:b/>
          <w:bCs/>
          <w:color w:val="auto"/>
        </w:rPr>
      </w:pPr>
    </w:p>
    <w:p>
      <w:pPr>
        <w:adjustRightInd w:val="0"/>
        <w:snapToGrid w:val="0"/>
        <w:jc w:val="center"/>
        <w:rPr>
          <w:rFonts w:hint="eastAsia" w:ascii="Times New Roman" w:hAnsi="Times New Roman" w:eastAsia="宋体"/>
          <w:b/>
          <w:bCs/>
          <w:color w:val="auto"/>
        </w:rPr>
      </w:pPr>
    </w:p>
    <w:p>
      <w:pPr>
        <w:adjustRightInd w:val="0"/>
        <w:snapToGrid w:val="0"/>
        <w:jc w:val="center"/>
        <w:rPr>
          <w:rFonts w:hint="eastAsia" w:ascii="Times New Roman" w:hAnsi="Times New Roman" w:eastAsia="宋体"/>
          <w:b/>
          <w:bCs/>
          <w:color w:val="auto"/>
        </w:rPr>
      </w:pPr>
    </w:p>
    <w:p>
      <w:pPr>
        <w:adjustRightInd w:val="0"/>
        <w:snapToGrid w:val="0"/>
        <w:jc w:val="center"/>
        <w:rPr>
          <w:rFonts w:hint="eastAsia" w:ascii="Times New Roman" w:hAnsi="Times New Roman" w:eastAsia="宋体"/>
          <w:b/>
          <w:bCs/>
          <w:color w:val="auto"/>
        </w:rPr>
      </w:pPr>
      <w:r>
        <w:rPr>
          <w:rFonts w:hint="eastAsia" w:ascii="Times New Roman" w:hAnsi="Times New Roman" w:eastAsia="宋体"/>
          <w:b/>
          <w:bCs/>
          <w:color w:val="auto"/>
        </w:rPr>
        <w:t>表</w:t>
      </w:r>
      <w:r>
        <w:rPr>
          <w:rFonts w:hint="eastAsia" w:ascii="Times New Roman" w:hAnsi="Times New Roman" w:eastAsia="宋体"/>
          <w:b/>
          <w:bCs/>
          <w:color w:val="auto"/>
          <w:lang w:val="en-US" w:eastAsia="zh-CN"/>
        </w:rPr>
        <w:t xml:space="preserve">3 </w:t>
      </w:r>
      <w:r>
        <w:rPr>
          <w:rFonts w:hint="eastAsia" w:ascii="Times New Roman" w:hAnsi="Times New Roman" w:eastAsia="宋体"/>
          <w:b/>
          <w:bCs/>
          <w:color w:val="auto"/>
        </w:rPr>
        <w:t xml:space="preserve"> 眉山市分阶段PM</w:t>
      </w:r>
      <w:r>
        <w:rPr>
          <w:rFonts w:hint="eastAsia" w:ascii="Times New Roman" w:hAnsi="Times New Roman" w:eastAsia="宋体"/>
          <w:b/>
          <w:bCs/>
          <w:color w:val="auto"/>
          <w:vertAlign w:val="subscript"/>
        </w:rPr>
        <w:t>2.5</w:t>
      </w:r>
      <w:r>
        <w:rPr>
          <w:rFonts w:hint="eastAsia" w:ascii="Times New Roman" w:hAnsi="Times New Roman" w:eastAsia="宋体"/>
          <w:b/>
          <w:bCs/>
          <w:color w:val="auto"/>
        </w:rPr>
        <w:t>浓度目标建议</w:t>
      </w:r>
    </w:p>
    <w:tbl>
      <w:tblPr>
        <w:tblStyle w:val="34"/>
        <w:tblW w:w="903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3025"/>
        <w:gridCol w:w="3006"/>
        <w:gridCol w:w="300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6" w:hRule="atLeast"/>
          <w:jc w:val="center"/>
        </w:trPr>
        <w:tc>
          <w:tcPr>
            <w:tcW w:w="1673" w:type="pct"/>
            <w:tcBorders>
              <w:tl2br w:val="nil"/>
              <w:tr2bl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
                <w:bCs/>
                <w:color w:val="auto"/>
                <w:lang w:val="en-US" w:eastAsia="zh-CN"/>
              </w:rPr>
            </w:pPr>
            <w:r>
              <w:rPr>
                <w:rFonts w:hint="eastAsia" w:ascii="Times New Roman" w:hAnsi="Times New Roman" w:eastAsia="宋体"/>
                <w:b/>
                <w:bCs/>
                <w:color w:val="auto"/>
                <w:lang w:val="en-US" w:eastAsia="zh-CN"/>
              </w:rPr>
              <w:t>行政区</w:t>
            </w:r>
          </w:p>
        </w:tc>
        <w:tc>
          <w:tcPr>
            <w:tcW w:w="1662" w:type="pct"/>
            <w:tcBorders>
              <w:tl2br w:val="nil"/>
              <w:tr2bl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
                <w:bCs/>
                <w:color w:val="auto"/>
                <w:lang w:val="en-US" w:eastAsia="zh-CN"/>
              </w:rPr>
            </w:pPr>
            <w:r>
              <w:rPr>
                <w:rFonts w:hint="eastAsia" w:ascii="Times New Roman" w:hAnsi="Times New Roman" w:eastAsia="宋体"/>
                <w:b/>
                <w:bCs/>
                <w:color w:val="auto"/>
                <w:lang w:val="en-US" w:eastAsia="zh-CN"/>
              </w:rPr>
              <w:t>2025年</w:t>
            </w:r>
          </w:p>
        </w:tc>
        <w:tc>
          <w:tcPr>
            <w:tcW w:w="1663" w:type="pct"/>
            <w:tcBorders>
              <w:tl2br w:val="nil"/>
              <w:tr2bl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
                <w:bCs/>
                <w:color w:val="auto"/>
                <w:lang w:val="en-US" w:eastAsia="zh-CN"/>
              </w:rPr>
            </w:pPr>
            <w:r>
              <w:rPr>
                <w:rFonts w:hint="eastAsia" w:ascii="Times New Roman" w:hAnsi="Times New Roman" w:eastAsia="宋体"/>
                <w:b/>
                <w:bCs/>
                <w:color w:val="auto"/>
                <w:lang w:val="en-US" w:eastAsia="zh-CN"/>
              </w:rPr>
              <w:t>2035年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96" w:hRule="atLeast"/>
          <w:jc w:val="center"/>
        </w:trPr>
        <w:tc>
          <w:tcPr>
            <w:tcW w:w="1673" w:type="pct"/>
            <w:tcBorders>
              <w:tl2br w:val="nil"/>
              <w:tr2bl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眉山市</w:t>
            </w:r>
          </w:p>
        </w:tc>
        <w:tc>
          <w:tcPr>
            <w:tcW w:w="1662" w:type="pct"/>
            <w:tcBorders>
              <w:tl2br w:val="nil"/>
              <w:tr2bl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35</w:t>
            </w:r>
          </w:p>
        </w:tc>
        <w:tc>
          <w:tcPr>
            <w:tcW w:w="1663" w:type="pct"/>
            <w:tcBorders>
              <w:tl2br w:val="nil"/>
              <w:tr2bl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33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96" w:hRule="atLeast"/>
          <w:jc w:val="center"/>
        </w:trPr>
        <w:tc>
          <w:tcPr>
            <w:tcW w:w="1673" w:type="pct"/>
            <w:tcBorders>
              <w:tl2br w:val="nil"/>
              <w:tr2bl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东坡区</w:t>
            </w:r>
          </w:p>
        </w:tc>
        <w:tc>
          <w:tcPr>
            <w:tcW w:w="1662" w:type="pct"/>
            <w:tcBorders>
              <w:tl2br w:val="nil"/>
              <w:tr2bl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35</w:t>
            </w:r>
          </w:p>
        </w:tc>
        <w:tc>
          <w:tcPr>
            <w:tcW w:w="1663" w:type="pct"/>
            <w:tcBorders>
              <w:tl2br w:val="nil"/>
              <w:tr2bl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33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96" w:hRule="atLeast"/>
          <w:jc w:val="center"/>
        </w:trPr>
        <w:tc>
          <w:tcPr>
            <w:tcW w:w="1673" w:type="pct"/>
            <w:tcBorders>
              <w:tl2br w:val="nil"/>
              <w:tr2bl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olor w:val="auto"/>
                <w:lang w:val="en-US" w:eastAsia="zh-CN"/>
              </w:rPr>
            </w:pPr>
            <w:r>
              <w:rPr>
                <w:rFonts w:hint="eastAsia" w:ascii="Times New Roman" w:hAnsi="Times New Roman" w:eastAsia="宋体"/>
                <w:color w:val="auto"/>
                <w:lang w:val="en-US" w:eastAsia="zh-CN"/>
              </w:rPr>
              <w:t>东坡区</w:t>
            </w:r>
          </w:p>
        </w:tc>
        <w:tc>
          <w:tcPr>
            <w:tcW w:w="1662" w:type="pct"/>
            <w:tcBorders>
              <w:tl2br w:val="nil"/>
              <w:tr2bl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35</w:t>
            </w:r>
          </w:p>
        </w:tc>
        <w:tc>
          <w:tcPr>
            <w:tcW w:w="1663" w:type="pct"/>
            <w:tcBorders>
              <w:tl2br w:val="nil"/>
              <w:tr2bl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33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96" w:hRule="atLeast"/>
          <w:jc w:val="center"/>
        </w:trPr>
        <w:tc>
          <w:tcPr>
            <w:tcW w:w="1673" w:type="pct"/>
            <w:tcBorders>
              <w:tl2br w:val="nil"/>
              <w:tr2bl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彭山区</w:t>
            </w:r>
          </w:p>
        </w:tc>
        <w:tc>
          <w:tcPr>
            <w:tcW w:w="1662" w:type="pct"/>
            <w:tcBorders>
              <w:tl2br w:val="nil"/>
              <w:tr2bl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35</w:t>
            </w:r>
          </w:p>
        </w:tc>
        <w:tc>
          <w:tcPr>
            <w:tcW w:w="1663" w:type="pct"/>
            <w:tcBorders>
              <w:tl2br w:val="nil"/>
              <w:tr2bl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33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96" w:hRule="atLeast"/>
          <w:jc w:val="center"/>
        </w:trPr>
        <w:tc>
          <w:tcPr>
            <w:tcW w:w="1673" w:type="pct"/>
            <w:tcBorders>
              <w:tl2br w:val="nil"/>
              <w:tr2bl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洪雅县</w:t>
            </w:r>
          </w:p>
        </w:tc>
        <w:tc>
          <w:tcPr>
            <w:tcW w:w="1662" w:type="pct"/>
            <w:tcBorders>
              <w:tl2br w:val="nil"/>
              <w:tr2bl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35</w:t>
            </w:r>
          </w:p>
        </w:tc>
        <w:tc>
          <w:tcPr>
            <w:tcW w:w="1663" w:type="pct"/>
            <w:tcBorders>
              <w:tl2br w:val="nil"/>
              <w:tr2bl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33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24" w:hRule="atLeast"/>
          <w:jc w:val="center"/>
        </w:trPr>
        <w:tc>
          <w:tcPr>
            <w:tcW w:w="1673" w:type="pct"/>
            <w:tcBorders>
              <w:tl2br w:val="nil"/>
              <w:tr2bl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
                <w:bCs/>
                <w:color w:val="auto"/>
                <w:lang w:val="en-US" w:eastAsia="zh-CN"/>
              </w:rPr>
            </w:pPr>
            <w:r>
              <w:rPr>
                <w:rFonts w:hint="default" w:ascii="Times New Roman" w:hAnsi="Times New Roman" w:eastAsia="宋体"/>
                <w:b/>
                <w:bCs/>
                <w:color w:val="auto"/>
                <w:lang w:val="en-US" w:eastAsia="zh-CN"/>
              </w:rPr>
              <w:t>丹棱县</w:t>
            </w:r>
          </w:p>
        </w:tc>
        <w:tc>
          <w:tcPr>
            <w:tcW w:w="1662" w:type="pct"/>
            <w:tcBorders>
              <w:tl2br w:val="nil"/>
              <w:tr2bl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
                <w:bCs/>
                <w:color w:val="auto"/>
                <w:lang w:val="en-US" w:eastAsia="zh-CN"/>
              </w:rPr>
            </w:pPr>
            <w:r>
              <w:rPr>
                <w:rFonts w:hint="default" w:ascii="Times New Roman" w:hAnsi="Times New Roman" w:eastAsia="宋体"/>
                <w:b/>
                <w:bCs/>
                <w:color w:val="auto"/>
                <w:lang w:val="en-US" w:eastAsia="zh-CN"/>
              </w:rPr>
              <w:t>35</w:t>
            </w:r>
          </w:p>
        </w:tc>
        <w:tc>
          <w:tcPr>
            <w:tcW w:w="1663" w:type="pct"/>
            <w:tcBorders>
              <w:tl2br w:val="nil"/>
              <w:tr2bl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b/>
                <w:bCs/>
                <w:color w:val="auto"/>
                <w:lang w:val="en-US" w:eastAsia="zh-CN"/>
              </w:rPr>
            </w:pPr>
            <w:r>
              <w:rPr>
                <w:rFonts w:hint="default" w:ascii="Times New Roman" w:hAnsi="Times New Roman" w:eastAsia="宋体"/>
                <w:b/>
                <w:bCs/>
                <w:color w:val="auto"/>
                <w:lang w:val="en-US" w:eastAsia="zh-CN"/>
              </w:rPr>
              <w:t>33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16" w:hRule="atLeast"/>
          <w:jc w:val="center"/>
        </w:trPr>
        <w:tc>
          <w:tcPr>
            <w:tcW w:w="1673" w:type="pct"/>
            <w:tcBorders>
              <w:tl2br w:val="nil"/>
              <w:tr2bl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青神县</w:t>
            </w:r>
          </w:p>
        </w:tc>
        <w:tc>
          <w:tcPr>
            <w:tcW w:w="1662" w:type="pct"/>
            <w:tcBorders>
              <w:tl2br w:val="nil"/>
              <w:tr2bl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34</w:t>
            </w:r>
          </w:p>
        </w:tc>
        <w:tc>
          <w:tcPr>
            <w:tcW w:w="1663" w:type="pct"/>
            <w:tcBorders>
              <w:tl2br w:val="nil"/>
              <w:tr2bl w:val="nil"/>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32</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lang w:eastAsia="zh-CN"/>
        </w:rPr>
      </w:pPr>
      <w:r>
        <w:rPr>
          <w:rFonts w:hint="eastAsia" w:ascii="Times New Roman" w:hAnsi="Times New Roman" w:eastAsia="宋体"/>
          <w:color w:val="auto"/>
          <w:sz w:val="24"/>
          <w:lang w:eastAsia="zh-CN"/>
        </w:rPr>
        <w:t>土壤环境风险管控底线：眉山市土壤环境风险管控底线的主要目标为：到2025年，全市土壤环境质量总体保持稳定，农用地和建设用地土壤环境安全得到基本保障，工业污染源得到全面监管，农业、生活污染源基本得到监管。到2030年，全市土壤环境质量稳中向好，农用地和建设用地土壤环境安全得到有效保障，土壤环境风险得到全面管控。到本世纪中叶，土壤环境质量全面改善，生态系统实现良性循环。</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lang w:eastAsia="zh-CN"/>
        </w:rPr>
      </w:pPr>
      <w:r>
        <w:rPr>
          <w:rFonts w:hint="eastAsia" w:ascii="Times New Roman" w:hAnsi="Times New Roman" w:eastAsia="宋体"/>
          <w:color w:val="auto"/>
          <w:sz w:val="24"/>
          <w:lang w:eastAsia="zh-CN"/>
        </w:rPr>
        <w:t>主要指标：到2025年，全市受污染耕地安全利用率达到95%，污染地块安全利用率达到92%以上。到2035年，全市受污染耕地安全利用率得到有效保障，污染地块安全利用率得到有效保障。</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lang w:eastAsia="zh-CN"/>
        </w:rPr>
      </w:pPr>
      <w:r>
        <w:rPr>
          <w:rFonts w:hint="eastAsia" w:ascii="Times New Roman" w:hAnsi="Times New Roman" w:eastAsia="宋体"/>
          <w:color w:val="auto"/>
          <w:sz w:val="24"/>
          <w:lang w:eastAsia="zh-CN"/>
        </w:rPr>
        <w:t>本项目主要从事畜禽养殖，属于《产业结构调整指导目录（2019年本）》鼓励类。运营期也能实现达标排放，对周围环境影响较小，符合环境质量底线要求。</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lang w:eastAsia="zh-CN"/>
        </w:rPr>
      </w:pPr>
      <w:r>
        <w:rPr>
          <w:rFonts w:hint="eastAsia" w:ascii="Times New Roman" w:hAnsi="Times New Roman" w:eastAsia="宋体"/>
          <w:color w:val="auto"/>
          <w:sz w:val="24"/>
          <w:lang w:eastAsia="zh-CN"/>
        </w:rPr>
        <w:t>（3）资源利用上线</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lang w:eastAsia="zh-CN"/>
        </w:rPr>
      </w:pPr>
      <w:r>
        <w:rPr>
          <w:rFonts w:hint="eastAsia" w:ascii="Times New Roman" w:hAnsi="Times New Roman" w:eastAsia="宋体"/>
          <w:color w:val="auto"/>
          <w:sz w:val="24"/>
          <w:lang w:eastAsia="zh-CN"/>
        </w:rPr>
        <w:t>本项目主要为生猪养殖，属于高品质、高附加值、低污染的企业，所需原料均为购买，项目符合清洁生产，项目用地符合</w:t>
      </w:r>
      <w:r>
        <w:rPr>
          <w:rFonts w:hint="eastAsia" w:ascii="Times New Roman" w:hAnsi="Times New Roman" w:eastAsia="宋体"/>
          <w:color w:val="auto"/>
          <w:sz w:val="24"/>
          <w:lang w:val="en-US" w:eastAsia="zh-CN"/>
        </w:rPr>
        <w:t>规范</w:t>
      </w:r>
      <w:r>
        <w:rPr>
          <w:rFonts w:hint="eastAsia" w:ascii="Times New Roman" w:hAnsi="Times New Roman" w:eastAsia="宋体"/>
          <w:color w:val="auto"/>
          <w:sz w:val="24"/>
          <w:lang w:eastAsia="zh-CN"/>
        </w:rPr>
        <w:t>，不存在项目区资源使用过度的情况，施工期涉及水、电、砂石等材料均取自当地，不存在项目区资源使用过度的情况，符合资源利用上限要求。</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lang w:eastAsia="zh-CN"/>
        </w:rPr>
      </w:pPr>
      <w:r>
        <w:rPr>
          <w:rFonts w:hint="eastAsia" w:ascii="Times New Roman" w:hAnsi="Times New Roman" w:eastAsia="宋体"/>
          <w:color w:val="auto"/>
          <w:sz w:val="24"/>
          <w:lang w:eastAsia="zh-CN"/>
        </w:rPr>
        <w:t>（4）负面清单</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lang w:eastAsia="zh-CN"/>
        </w:rPr>
      </w:pPr>
      <w:r>
        <w:rPr>
          <w:rFonts w:hint="eastAsia" w:ascii="Times New Roman" w:hAnsi="Times New Roman" w:eastAsia="宋体"/>
          <w:color w:val="auto"/>
          <w:sz w:val="24"/>
          <w:lang w:eastAsia="zh-CN"/>
        </w:rPr>
        <w:t>项目所在地属于丹棱县一般管控单元。</w:t>
      </w:r>
    </w:p>
    <w:p>
      <w:pPr>
        <w:adjustRightInd w:val="0"/>
        <w:snapToGrid w:val="0"/>
        <w:jc w:val="center"/>
        <w:rPr>
          <w:rFonts w:hint="eastAsia" w:ascii="Times New Roman" w:hAnsi="Times New Roman" w:eastAsia="宋体"/>
          <w:b/>
          <w:bCs/>
          <w:color w:val="auto"/>
        </w:rPr>
      </w:pPr>
    </w:p>
    <w:p>
      <w:pPr>
        <w:adjustRightInd w:val="0"/>
        <w:snapToGrid w:val="0"/>
        <w:jc w:val="center"/>
        <w:rPr>
          <w:rFonts w:hint="eastAsia" w:ascii="Times New Roman" w:hAnsi="Times New Roman" w:eastAsia="宋体"/>
          <w:b/>
          <w:bCs/>
          <w:color w:val="auto"/>
        </w:rPr>
      </w:pPr>
    </w:p>
    <w:p>
      <w:pPr>
        <w:adjustRightInd w:val="0"/>
        <w:snapToGrid w:val="0"/>
        <w:jc w:val="center"/>
        <w:rPr>
          <w:rFonts w:hint="eastAsia" w:ascii="Times New Roman" w:hAnsi="Times New Roman" w:eastAsia="宋体"/>
          <w:b/>
          <w:bCs/>
          <w:color w:val="auto"/>
        </w:rPr>
      </w:pPr>
    </w:p>
    <w:p>
      <w:pPr>
        <w:adjustRightInd w:val="0"/>
        <w:snapToGrid w:val="0"/>
        <w:jc w:val="center"/>
        <w:rPr>
          <w:rFonts w:hint="eastAsia" w:ascii="Times New Roman" w:hAnsi="Times New Roman" w:eastAsia="宋体"/>
          <w:b/>
          <w:bCs/>
          <w:color w:val="auto"/>
        </w:rPr>
      </w:pPr>
    </w:p>
    <w:p>
      <w:pPr>
        <w:adjustRightInd w:val="0"/>
        <w:snapToGrid w:val="0"/>
        <w:jc w:val="center"/>
        <w:rPr>
          <w:rFonts w:hint="eastAsia" w:ascii="Times New Roman" w:hAnsi="Times New Roman" w:eastAsia="宋体"/>
          <w:b/>
          <w:bCs/>
          <w:color w:val="auto"/>
        </w:rPr>
      </w:pPr>
    </w:p>
    <w:p>
      <w:pPr>
        <w:adjustRightInd w:val="0"/>
        <w:snapToGrid w:val="0"/>
        <w:jc w:val="center"/>
        <w:rPr>
          <w:rFonts w:hint="eastAsia" w:ascii="Times New Roman" w:hAnsi="Times New Roman" w:eastAsia="宋体"/>
          <w:b/>
          <w:bCs/>
          <w:color w:val="auto"/>
        </w:rPr>
      </w:pPr>
    </w:p>
    <w:p>
      <w:pPr>
        <w:adjustRightInd w:val="0"/>
        <w:snapToGrid w:val="0"/>
        <w:jc w:val="center"/>
        <w:rPr>
          <w:rFonts w:hint="eastAsia" w:ascii="Times New Roman" w:hAnsi="Times New Roman" w:eastAsia="宋体"/>
          <w:b/>
          <w:bCs/>
          <w:color w:val="auto"/>
        </w:rPr>
      </w:pPr>
    </w:p>
    <w:p>
      <w:pPr>
        <w:adjustRightInd w:val="0"/>
        <w:snapToGrid w:val="0"/>
        <w:jc w:val="center"/>
        <w:rPr>
          <w:rFonts w:hint="eastAsia" w:ascii="Times New Roman" w:hAnsi="Times New Roman" w:eastAsia="宋体"/>
          <w:b/>
          <w:bCs/>
          <w:color w:val="auto"/>
        </w:rPr>
      </w:pPr>
    </w:p>
    <w:p>
      <w:pPr>
        <w:adjustRightInd w:val="0"/>
        <w:snapToGrid w:val="0"/>
        <w:jc w:val="center"/>
        <w:rPr>
          <w:rFonts w:hint="eastAsia" w:ascii="Times New Roman" w:hAnsi="Times New Roman" w:eastAsia="宋体"/>
          <w:b/>
          <w:bCs/>
          <w:color w:val="auto"/>
        </w:rPr>
      </w:pPr>
    </w:p>
    <w:p>
      <w:pPr>
        <w:adjustRightInd w:val="0"/>
        <w:snapToGrid w:val="0"/>
        <w:jc w:val="center"/>
        <w:rPr>
          <w:rFonts w:hint="eastAsia" w:ascii="Times New Roman" w:hAnsi="Times New Roman" w:eastAsia="宋体"/>
          <w:b/>
          <w:bCs/>
          <w:color w:val="auto"/>
        </w:rPr>
      </w:pPr>
    </w:p>
    <w:p>
      <w:pPr>
        <w:adjustRightInd w:val="0"/>
        <w:snapToGrid w:val="0"/>
        <w:jc w:val="center"/>
        <w:rPr>
          <w:rFonts w:hint="eastAsia" w:ascii="Times New Roman" w:hAnsi="Times New Roman" w:eastAsia="宋体"/>
          <w:b/>
          <w:bCs/>
          <w:color w:val="auto"/>
        </w:rPr>
      </w:pPr>
    </w:p>
    <w:p>
      <w:pPr>
        <w:adjustRightInd w:val="0"/>
        <w:snapToGrid w:val="0"/>
        <w:jc w:val="center"/>
        <w:rPr>
          <w:rFonts w:hint="eastAsia" w:ascii="Times New Roman" w:hAnsi="Times New Roman" w:eastAsia="宋体"/>
          <w:b/>
          <w:bCs/>
          <w:color w:val="auto"/>
        </w:rPr>
      </w:pPr>
    </w:p>
    <w:p>
      <w:pPr>
        <w:adjustRightInd w:val="0"/>
        <w:snapToGrid w:val="0"/>
        <w:jc w:val="center"/>
        <w:rPr>
          <w:rFonts w:hint="eastAsia" w:ascii="Times New Roman" w:hAnsi="Times New Roman" w:eastAsia="宋体"/>
          <w:b/>
          <w:bCs/>
          <w:color w:val="auto"/>
        </w:rPr>
      </w:pPr>
    </w:p>
    <w:p>
      <w:pPr>
        <w:adjustRightInd w:val="0"/>
        <w:snapToGrid w:val="0"/>
        <w:jc w:val="center"/>
        <w:rPr>
          <w:rFonts w:hint="eastAsia" w:ascii="Times New Roman" w:hAnsi="Times New Roman" w:eastAsia="宋体"/>
          <w:b/>
          <w:bCs/>
          <w:color w:val="auto"/>
        </w:rPr>
      </w:pPr>
    </w:p>
    <w:p>
      <w:pPr>
        <w:adjustRightInd w:val="0"/>
        <w:snapToGrid w:val="0"/>
        <w:jc w:val="center"/>
        <w:rPr>
          <w:rFonts w:hint="eastAsia" w:ascii="Times New Roman" w:hAnsi="Times New Roman" w:eastAsia="宋体"/>
          <w:b/>
          <w:bCs/>
          <w:color w:val="auto"/>
        </w:rPr>
      </w:pPr>
      <w:r>
        <w:rPr>
          <w:rFonts w:hint="eastAsia" w:ascii="Times New Roman" w:hAnsi="Times New Roman" w:eastAsia="宋体"/>
          <w:b/>
          <w:bCs/>
          <w:color w:val="auto"/>
        </w:rPr>
        <w:t>表</w:t>
      </w:r>
      <w:r>
        <w:rPr>
          <w:rFonts w:hint="eastAsia" w:ascii="Times New Roman" w:hAnsi="Times New Roman" w:eastAsia="宋体"/>
          <w:b/>
          <w:bCs/>
          <w:color w:val="auto"/>
          <w:lang w:val="en-US" w:eastAsia="zh-CN"/>
        </w:rPr>
        <w:t xml:space="preserve">4 </w:t>
      </w:r>
      <w:r>
        <w:rPr>
          <w:rFonts w:hint="eastAsia" w:ascii="Times New Roman" w:hAnsi="Times New Roman" w:eastAsia="宋体"/>
          <w:b/>
          <w:bCs/>
          <w:color w:val="auto"/>
        </w:rPr>
        <w:t xml:space="preserve"> 眉山市</w:t>
      </w:r>
      <w:r>
        <w:rPr>
          <w:rFonts w:hint="eastAsia" w:ascii="Times New Roman" w:hAnsi="Times New Roman" w:eastAsia="宋体"/>
          <w:b/>
          <w:bCs/>
          <w:color w:val="auto"/>
          <w:lang w:val="en-US" w:eastAsia="zh-CN"/>
        </w:rPr>
        <w:t>丹棱县</w:t>
      </w:r>
      <w:r>
        <w:rPr>
          <w:rFonts w:hint="eastAsia" w:ascii="Times New Roman" w:hAnsi="Times New Roman" w:eastAsia="宋体"/>
          <w:b/>
          <w:bCs/>
          <w:color w:val="auto"/>
        </w:rPr>
        <w:t>生态环境准入总体要求</w:t>
      </w:r>
    </w:p>
    <w:tbl>
      <w:tblPr>
        <w:tblStyle w:val="34"/>
        <w:tblW w:w="89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3"/>
        <w:gridCol w:w="2741"/>
        <w:gridCol w:w="4012"/>
        <w:gridCol w:w="1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6" w:hRule="atLeast"/>
          <w:tblHeader/>
          <w:jc w:val="center"/>
        </w:trPr>
        <w:tc>
          <w:tcPr>
            <w:tcW w:w="418" w:type="pct"/>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b/>
                <w:bCs/>
                <w:color w:val="auto"/>
                <w:lang w:val="en-US" w:eastAsia="zh-CN"/>
              </w:rPr>
            </w:pPr>
            <w:r>
              <w:rPr>
                <w:rFonts w:hint="eastAsia" w:ascii="Times New Roman" w:hAnsi="Times New Roman" w:eastAsia="宋体"/>
                <w:b/>
                <w:bCs/>
                <w:color w:val="auto"/>
                <w:lang w:val="en-US" w:eastAsia="zh-CN"/>
              </w:rPr>
              <w:t>区县</w:t>
            </w:r>
          </w:p>
        </w:tc>
        <w:tc>
          <w:tcPr>
            <w:tcW w:w="1523" w:type="pct"/>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b/>
                <w:bCs/>
                <w:color w:val="auto"/>
                <w:lang w:val="en-US" w:eastAsia="zh-CN"/>
              </w:rPr>
            </w:pPr>
            <w:r>
              <w:rPr>
                <w:rFonts w:hint="eastAsia" w:ascii="Times New Roman" w:hAnsi="Times New Roman" w:eastAsia="宋体"/>
                <w:b/>
                <w:bCs/>
                <w:color w:val="auto"/>
                <w:lang w:val="en-US" w:eastAsia="zh-CN"/>
              </w:rPr>
              <w:t>发展目标与主要产业</w:t>
            </w:r>
          </w:p>
        </w:tc>
        <w:tc>
          <w:tcPr>
            <w:tcW w:w="2229" w:type="pct"/>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b/>
                <w:bCs/>
                <w:color w:val="auto"/>
                <w:lang w:val="en-US" w:eastAsia="zh-CN"/>
              </w:rPr>
            </w:pPr>
            <w:r>
              <w:rPr>
                <w:rFonts w:hint="eastAsia" w:ascii="Times New Roman" w:hAnsi="Times New Roman" w:eastAsia="宋体"/>
                <w:b/>
                <w:bCs/>
                <w:color w:val="auto"/>
                <w:lang w:val="en-US" w:eastAsia="zh-CN"/>
              </w:rPr>
              <w:t>总体准入要求</w:t>
            </w:r>
          </w:p>
        </w:tc>
        <w:tc>
          <w:tcPr>
            <w:tcW w:w="829" w:type="pct"/>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b/>
                <w:bCs/>
                <w:color w:val="auto"/>
                <w:lang w:val="en-US" w:eastAsia="zh-CN"/>
              </w:rPr>
            </w:pPr>
            <w:r>
              <w:rPr>
                <w:rFonts w:hint="eastAsia" w:ascii="Times New Roman" w:hAnsi="Times New Roman" w:eastAsia="宋体"/>
                <w:b/>
                <w:bCs/>
                <w:color w:val="auto"/>
                <w:lang w:val="en-US" w:eastAsia="zh-CN"/>
              </w:rPr>
              <w:t>本项目情况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9" w:hRule="atLeast"/>
          <w:jc w:val="center"/>
        </w:trPr>
        <w:tc>
          <w:tcPr>
            <w:tcW w:w="418" w:type="pct"/>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olor w:val="auto"/>
                <w:lang w:val="en-US" w:eastAsia="zh-CN"/>
              </w:rPr>
            </w:pPr>
            <w:r>
              <w:rPr>
                <w:rFonts w:hint="eastAsia" w:ascii="Times New Roman" w:hAnsi="Times New Roman" w:eastAsia="宋体"/>
                <w:color w:val="auto"/>
                <w:lang w:val="en-US" w:eastAsia="zh-CN"/>
              </w:rPr>
              <w:t>丹棱县</w:t>
            </w:r>
          </w:p>
        </w:tc>
        <w:tc>
          <w:tcPr>
            <w:tcW w:w="1523" w:type="pct"/>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十四五”时期，围绕2035年与全国同步基本实现社会主义现代化、建设成都都市圈美丽经济示范区•大雅幸福新家园宏伟目标，立足发展阶段性特征和未来发展的支撑条件，通过全县人民的共同努力，与环成都经济圈基础设施互联互通、产业联动以及共建共享等领域实现有效突破，基本形成百亿量级美丽经济幸福产业集群，为推进现代化建设奠定坚实基础。全面实施“工业崛起”计划，推动机械、陶瓷、钾钠三大产业完成绿色转型，推动丹棱建设“中国传动件之都”“西南高端新型建材产业基地”以及“省内最具特色的新材料产业基地”，促进产业跨区域集约集群发展，加快形成“一都、两基地”产业格局。</w:t>
            </w:r>
          </w:p>
        </w:tc>
        <w:tc>
          <w:tcPr>
            <w:tcW w:w="2229" w:type="pct"/>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（1）全县水污染物严格执行《四川省岷江、沱江流域水污染物排放标准》，大气污染物执行《四川省生态环境厅关于执行大气污染物特别排放限值的公告》相关要求。</w:t>
            </w:r>
          </w:p>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（2）要达到2025年目标，全县大气污染物SO2、NOx、PM2.5、VOCs应在2019年排放量基础上分别削减28.2%、32.0%、20.8%、21.2%。</w:t>
            </w:r>
          </w:p>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（3）到2025年，全县用煤总量为5.81万吨，2035年区域用煤总量为4.57万吨。</w:t>
            </w:r>
          </w:p>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（4）到2025年，全县规模以上万元GDP能耗下降比2020年下降20%。</w:t>
            </w:r>
          </w:p>
        </w:tc>
        <w:tc>
          <w:tcPr>
            <w:tcW w:w="829" w:type="pct"/>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本项目属于生猪养殖，猪粪、尿经过固液分离后，干粪在堆粪间内进行好氧堆肥后还田利用，湿粪经过污水处理达到《农田灌溉水质标准》后用于周边农田灌溉，不外排。</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lang w:eastAsia="zh-CN"/>
        </w:rPr>
      </w:pPr>
      <w:r>
        <w:rPr>
          <w:rFonts w:hint="eastAsia" w:ascii="Times New Roman" w:hAnsi="Times New Roman" w:eastAsia="宋体"/>
          <w:color w:val="auto"/>
          <w:sz w:val="24"/>
          <w:lang w:eastAsia="zh-CN"/>
        </w:rPr>
        <w:t>本项目符合国家产业政策，符合当地规划，不在丹棱县制定的环境准入负面清单内。因此本项目不属于环境准入负面清单之列。</w:t>
      </w:r>
    </w:p>
    <w:p>
      <w:pPr>
        <w:pStyle w:val="6"/>
        <w:pageBreakBefore w:val="0"/>
        <w:widowControl w:val="0"/>
        <w:kinsoku/>
        <w:wordWrap/>
        <w:overflowPunct/>
        <w:topLinePunct w:val="0"/>
        <w:autoSpaceDE/>
        <w:autoSpaceDN/>
        <w:bidi w:val="0"/>
        <w:adjustRightInd w:val="0"/>
        <w:snapToGrid w:val="0"/>
        <w:spacing w:before="0" w:after="0" w:line="360" w:lineRule="auto"/>
        <w:ind w:firstLine="482" w:firstLineChars="200"/>
        <w:jc w:val="both"/>
        <w:textAlignment w:val="auto"/>
        <w:rPr>
          <w:rFonts w:hint="eastAsia" w:ascii="Times New Roman" w:hAnsi="Times New Roman" w:eastAsia="宋体" w:cstheme="minorBidi"/>
          <w:b/>
          <w:bCs/>
          <w:color w:val="auto"/>
          <w:kern w:val="2"/>
          <w:sz w:val="24"/>
          <w:szCs w:val="22"/>
          <w:lang w:val="en-US" w:eastAsia="zh-CN" w:bidi="ar-SA"/>
        </w:rPr>
      </w:pPr>
      <w:r>
        <w:rPr>
          <w:rFonts w:hint="eastAsia" w:ascii="Times New Roman" w:hAnsi="Times New Roman" w:eastAsia="宋体" w:cstheme="minorBidi"/>
          <w:b/>
          <w:bCs/>
          <w:color w:val="auto"/>
          <w:kern w:val="2"/>
          <w:sz w:val="24"/>
          <w:szCs w:val="22"/>
          <w:lang w:val="en-US" w:eastAsia="zh-CN" w:bidi="ar-SA"/>
        </w:rPr>
        <w:t>9、与《畜禽粪污资源化利用行动方案（2017~2020）》的符合性分析</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lang w:eastAsia="zh-CN"/>
        </w:rPr>
      </w:pPr>
      <w:r>
        <w:rPr>
          <w:rFonts w:hint="eastAsia" w:ascii="Times New Roman" w:hAnsi="Times New Roman" w:eastAsia="宋体"/>
          <w:color w:val="auto"/>
          <w:sz w:val="24"/>
          <w:lang w:eastAsia="zh-CN"/>
        </w:rPr>
        <w:t>《畜禽粪污资源化利用行动方案（2017~2020）》指出：西南地区畜禽养殖粪污资源化利用重点推广的技术模式：一是“异位发酵床”模式。粪污通过漏缝地板进入底层或转移到舍外，利用垫料和微生物菌进行发酵分解。采用“公司</w:t>
      </w:r>
      <w:r>
        <w:rPr>
          <w:rFonts w:hint="eastAsia" w:ascii="Times New Roman" w:hAnsi="Times New Roman" w:eastAsia="宋体"/>
          <w:color w:val="auto"/>
          <w:sz w:val="24"/>
          <w:lang w:val="en-US" w:eastAsia="zh-CN"/>
        </w:rPr>
        <w:t>+</w:t>
      </w:r>
      <w:r>
        <w:rPr>
          <w:rFonts w:hint="eastAsia" w:ascii="Times New Roman" w:hAnsi="Times New Roman" w:eastAsia="宋体"/>
          <w:color w:val="auto"/>
          <w:sz w:val="24"/>
          <w:lang w:eastAsia="zh-CN"/>
        </w:rPr>
        <w:t>农户”模式的家庭农场宜采用舍外发酵床模式，规模生猪养殖场宜采用高架发酵床模式。二是“污水肥料化利用”模式。对于有配套农田的规模养殖场，养殖污水通过三级沉淀池或沼气工程进行无害化处理，配套建设肥水贮存、输送和配比设施，在农田施肥和灌溉期间，实行肥水一体化施用。</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lang w:eastAsia="zh-CN"/>
        </w:rPr>
      </w:pPr>
      <w:r>
        <w:rPr>
          <w:rFonts w:hint="eastAsia" w:ascii="Times New Roman" w:hAnsi="Times New Roman" w:eastAsia="宋体"/>
          <w:color w:val="auto"/>
          <w:sz w:val="24"/>
          <w:lang w:eastAsia="zh-CN"/>
        </w:rPr>
        <w:t>本项目粪污通过漏缝地板进入底层，通过格栅、集粪池收集后，固液分离，固体粪便进入堆粪间进行好氧堆肥，堆肥产物全部还田利用。养殖废水进行无害化处理后，用于周边农田灌溉。本项目满足废水一体化施用要求，因此，本项目符合</w:t>
      </w:r>
      <w:r>
        <w:rPr>
          <w:rFonts w:hint="eastAsia" w:ascii="Times New Roman" w:hAnsi="Times New Roman" w:eastAsia="宋体"/>
          <w:color w:val="auto"/>
          <w:sz w:val="24"/>
          <w:lang w:val="en-US" w:eastAsia="zh-CN"/>
        </w:rPr>
        <w:t>《畜禽粪污资源化利用行动方案（2017~2020）》</w:t>
      </w:r>
    </w:p>
    <w:p>
      <w:pPr>
        <w:pStyle w:val="6"/>
        <w:pageBreakBefore w:val="0"/>
        <w:widowControl w:val="0"/>
        <w:kinsoku/>
        <w:wordWrap/>
        <w:overflowPunct/>
        <w:topLinePunct w:val="0"/>
        <w:autoSpaceDE/>
        <w:autoSpaceDN/>
        <w:bidi w:val="0"/>
        <w:adjustRightInd w:val="0"/>
        <w:snapToGrid w:val="0"/>
        <w:spacing w:before="0" w:after="0" w:line="360" w:lineRule="auto"/>
        <w:ind w:firstLine="482" w:firstLineChars="200"/>
        <w:jc w:val="both"/>
        <w:textAlignment w:val="auto"/>
        <w:rPr>
          <w:rFonts w:hint="eastAsia" w:ascii="Times New Roman" w:hAnsi="Times New Roman" w:eastAsia="宋体" w:cstheme="minorBidi"/>
          <w:b/>
          <w:bCs/>
          <w:color w:val="auto"/>
          <w:kern w:val="2"/>
          <w:sz w:val="24"/>
          <w:szCs w:val="22"/>
          <w:lang w:val="en-US" w:eastAsia="zh-CN" w:bidi="ar-SA"/>
        </w:rPr>
      </w:pPr>
      <w:r>
        <w:rPr>
          <w:rFonts w:hint="eastAsia" w:ascii="Times New Roman" w:hAnsi="Times New Roman" w:eastAsia="宋体" w:cstheme="minorBidi"/>
          <w:b/>
          <w:bCs/>
          <w:color w:val="auto"/>
          <w:kern w:val="2"/>
          <w:sz w:val="24"/>
          <w:szCs w:val="22"/>
          <w:lang w:val="en-US" w:eastAsia="zh-CN" w:bidi="ar-SA"/>
        </w:rPr>
        <w:t>10、与《畜禽规模养殖污染防治条例》符合性分析</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lang w:eastAsia="zh-CN"/>
        </w:rPr>
      </w:pPr>
      <w:r>
        <w:rPr>
          <w:rFonts w:hint="eastAsia" w:ascii="Times New Roman" w:hAnsi="Times New Roman" w:eastAsia="宋体"/>
          <w:color w:val="auto"/>
          <w:sz w:val="24"/>
          <w:lang w:eastAsia="zh-CN"/>
        </w:rPr>
        <w:t>根据中华人民共和国国务院令第643号《畜禽规模养殖污染防治条例》，结合本项目实际情况，其规划符合性分析如下：</w:t>
      </w:r>
    </w:p>
    <w:p>
      <w:pPr>
        <w:adjustRightInd w:val="0"/>
        <w:snapToGrid w:val="0"/>
        <w:jc w:val="center"/>
        <w:rPr>
          <w:rFonts w:hint="eastAsia" w:ascii="Times New Roman" w:hAnsi="Times New Roman" w:eastAsia="宋体"/>
          <w:b/>
          <w:bCs/>
          <w:color w:val="auto"/>
        </w:rPr>
      </w:pPr>
      <w:r>
        <w:rPr>
          <w:rFonts w:hint="eastAsia" w:ascii="Times New Roman" w:hAnsi="Times New Roman" w:eastAsia="宋体"/>
          <w:b/>
          <w:bCs/>
          <w:color w:val="auto"/>
        </w:rPr>
        <w:t>表</w:t>
      </w:r>
      <w:r>
        <w:rPr>
          <w:rFonts w:hint="eastAsia" w:ascii="Times New Roman" w:hAnsi="Times New Roman" w:eastAsia="宋体"/>
          <w:b/>
          <w:bCs/>
          <w:color w:val="auto"/>
          <w:lang w:val="en-US" w:eastAsia="zh-CN"/>
        </w:rPr>
        <w:t xml:space="preserve">5 </w:t>
      </w:r>
      <w:r>
        <w:rPr>
          <w:rFonts w:hint="eastAsia" w:ascii="Times New Roman" w:hAnsi="Times New Roman" w:eastAsia="宋体"/>
          <w:b/>
          <w:bCs/>
          <w:color w:val="auto"/>
        </w:rPr>
        <w:t xml:space="preserve"> 与《畜禽规模养殖污染防治条例》符合性分析</w:t>
      </w:r>
    </w:p>
    <w:tbl>
      <w:tblPr>
        <w:tblStyle w:val="34"/>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45"/>
        <w:gridCol w:w="3939"/>
        <w:gridCol w:w="3651"/>
        <w:gridCol w:w="64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645"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序号</w:t>
            </w:r>
          </w:p>
        </w:tc>
        <w:tc>
          <w:tcPr>
            <w:tcW w:w="3939"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《畜禽规模养殖污染防治条例》相关要求</w:t>
            </w:r>
          </w:p>
        </w:tc>
        <w:tc>
          <w:tcPr>
            <w:tcW w:w="3651"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本项目情况</w:t>
            </w:r>
          </w:p>
        </w:tc>
        <w:tc>
          <w:tcPr>
            <w:tcW w:w="643"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结论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64" w:hRule="atLeast"/>
          <w:jc w:val="center"/>
        </w:trPr>
        <w:tc>
          <w:tcPr>
            <w:tcW w:w="645"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1</w:t>
            </w:r>
          </w:p>
        </w:tc>
        <w:tc>
          <w:tcPr>
            <w:tcW w:w="3939"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第十一条：禁止在下列区域内建设畜禽养殖 场、养殖小区：（一）饮用水水源保护区， 风景名胜区；（二）自然保护区的核心区和 缓冲区；（三）城镇居民区、文化教育科学 研究区等人口集中区域；（四）法律、法规 规定的其他禁止养殖区域。</w:t>
            </w:r>
          </w:p>
        </w:tc>
        <w:tc>
          <w:tcPr>
            <w:tcW w:w="3651" w:type="dxa"/>
            <w:noWrap w:val="0"/>
            <w:vAlign w:val="center"/>
          </w:tcPr>
          <w:p>
            <w:pPr>
              <w:pStyle w:val="130"/>
              <w:spacing w:line="240" w:lineRule="auto"/>
              <w:ind w:left="0" w:leftChars="0" w:firstLine="0" w:firstLineChars="0"/>
              <w:jc w:val="left"/>
              <w:rPr>
                <w:rFonts w:ascii="Times New Roman" w:hAnsi="Times New Roman"/>
                <w:color w:val="auto"/>
                <w:sz w:val="21"/>
                <w:szCs w:val="21"/>
              </w:rPr>
            </w:pPr>
            <w:r>
              <w:rPr>
                <w:rFonts w:ascii="Times New Roman" w:hAnsi="Times New Roman"/>
                <w:color w:val="auto"/>
                <w:sz w:val="21"/>
                <w:szCs w:val="21"/>
              </w:rPr>
              <w:t>本项目选址于</w:t>
            </w:r>
            <w:r>
              <w:rPr>
                <w:rFonts w:hint="eastAsia" w:ascii="Times New Roman" w:hAnsi="Times New Roman"/>
                <w:color w:val="auto"/>
                <w:sz w:val="21"/>
                <w:szCs w:val="21"/>
                <w:lang w:eastAsia="zh-CN"/>
              </w:rPr>
              <w:t>眉山市丹棱县仁美镇雄义村5组</w:t>
            </w:r>
            <w:r>
              <w:rPr>
                <w:rFonts w:ascii="Times New Roman" w:hAnsi="Times New Roman"/>
                <w:color w:val="auto"/>
                <w:sz w:val="21"/>
                <w:szCs w:val="21"/>
              </w:rPr>
              <w:t>，属于农村地区，建设地点不属于饮用水水源保护区、风景名胜区；不属于自然保护区的核心和缓冲区；不属于人口集中区域；不属于法律、法规规定的其他禁止养殖区域。</w:t>
            </w:r>
          </w:p>
        </w:tc>
        <w:tc>
          <w:tcPr>
            <w:tcW w:w="643"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22" w:hRule="atLeast"/>
          <w:jc w:val="center"/>
        </w:trPr>
        <w:tc>
          <w:tcPr>
            <w:tcW w:w="645"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2</w:t>
            </w:r>
          </w:p>
        </w:tc>
        <w:tc>
          <w:tcPr>
            <w:tcW w:w="3939"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第十二条：新建、改建、扩建畜禽养殖场、 养殖小区，应当符合畜牧业发展规划、畜禽 养殖污染防治规划，满足动物防疫条件，并 进行环境影响评价。对环境可能造成重大影 响的大型畜禽养殖场、养殖小区，应当编制 环境影响报告书；其他畜禽养殖场、养殖小 区应当填报环境影响登记表。</w:t>
            </w:r>
          </w:p>
        </w:tc>
        <w:tc>
          <w:tcPr>
            <w:tcW w:w="3651" w:type="dxa"/>
            <w:noWrap w:val="0"/>
            <w:vAlign w:val="center"/>
          </w:tcPr>
          <w:p>
            <w:pPr>
              <w:pStyle w:val="130"/>
              <w:spacing w:line="240" w:lineRule="auto"/>
              <w:ind w:left="0" w:leftChars="0" w:firstLine="0" w:firstLineChars="0"/>
              <w:jc w:val="left"/>
              <w:rPr>
                <w:rFonts w:ascii="Times New Roman" w:hAnsi="Times New Roman"/>
                <w:color w:val="auto"/>
                <w:sz w:val="21"/>
                <w:szCs w:val="21"/>
              </w:rPr>
            </w:pPr>
            <w:r>
              <w:rPr>
                <w:rFonts w:ascii="Times New Roman" w:hAnsi="Times New Roman"/>
                <w:color w:val="auto"/>
                <w:sz w:val="21"/>
                <w:szCs w:val="21"/>
              </w:rPr>
              <w:t>本项目属于畜禽养殖场，符合相关规划要求。项目为生猪养殖场，环境影响评价文件为环境影响报告书。</w:t>
            </w:r>
          </w:p>
        </w:tc>
        <w:tc>
          <w:tcPr>
            <w:tcW w:w="643"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22" w:hRule="atLeast"/>
          <w:jc w:val="center"/>
        </w:trPr>
        <w:tc>
          <w:tcPr>
            <w:tcW w:w="645"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3</w:t>
            </w:r>
          </w:p>
        </w:tc>
        <w:tc>
          <w:tcPr>
            <w:tcW w:w="3939"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第十三条：畜禽养殖场、养殖小区应当根据 养殖规模和污染防治需要，建设相应的畜禽 粪便、污水与雨水分流设施，畜禽粪便、污 水的贮存设施，粪污厌氧消化和堆沤、有机 肥加工、制取沼气、沼渣沼液分离和输送、 污水处理、畜禽尸体处理等综合利用和无害 化处理设施。</w:t>
            </w:r>
          </w:p>
        </w:tc>
        <w:tc>
          <w:tcPr>
            <w:tcW w:w="3651" w:type="dxa"/>
            <w:noWrap w:val="0"/>
            <w:vAlign w:val="center"/>
          </w:tcPr>
          <w:p>
            <w:pPr>
              <w:pStyle w:val="130"/>
              <w:spacing w:line="240" w:lineRule="auto"/>
              <w:ind w:left="0" w:leftChars="0" w:firstLine="0" w:firstLineChars="0"/>
              <w:jc w:val="left"/>
              <w:rPr>
                <w:rFonts w:ascii="Times New Roman" w:hAnsi="Times New Roman"/>
                <w:color w:val="auto"/>
                <w:sz w:val="21"/>
                <w:szCs w:val="21"/>
              </w:rPr>
            </w:pPr>
            <w:r>
              <w:rPr>
                <w:rFonts w:ascii="Times New Roman" w:hAnsi="Times New Roman"/>
                <w:bCs/>
                <w:color w:val="auto"/>
                <w:spacing w:val="-4"/>
                <w:sz w:val="21"/>
                <w:szCs w:val="21"/>
              </w:rPr>
              <w:t>本项目建有粪便、污水与雨水分流设施，粪污</w:t>
            </w:r>
            <w:r>
              <w:rPr>
                <w:rFonts w:hint="eastAsia" w:ascii="Times New Roman" w:hAnsi="Times New Roman"/>
                <w:bCs/>
                <w:color w:val="auto"/>
                <w:spacing w:val="-4"/>
                <w:sz w:val="21"/>
                <w:szCs w:val="21"/>
              </w:rPr>
              <w:t>收集后，通过污水处理设施处置，废水用于周边</w:t>
            </w:r>
            <w:r>
              <w:rPr>
                <w:rFonts w:hint="eastAsia" w:ascii="Times New Roman" w:hAnsi="Times New Roman"/>
                <w:bCs/>
                <w:color w:val="auto"/>
                <w:spacing w:val="-4"/>
                <w:sz w:val="21"/>
                <w:szCs w:val="21"/>
                <w:lang w:eastAsia="zh-CN"/>
              </w:rPr>
              <w:t>灌溉</w:t>
            </w:r>
            <w:r>
              <w:rPr>
                <w:rFonts w:hint="eastAsia" w:ascii="Times New Roman" w:hAnsi="Times New Roman"/>
                <w:bCs/>
                <w:color w:val="auto"/>
                <w:spacing w:val="-4"/>
                <w:sz w:val="21"/>
                <w:szCs w:val="21"/>
              </w:rPr>
              <w:t>；粪便经干湿分离储存后</w:t>
            </w:r>
            <w:r>
              <w:rPr>
                <w:rFonts w:hint="eastAsia" w:ascii="Times New Roman" w:hAnsi="Times New Roman"/>
                <w:bCs/>
                <w:color w:val="auto"/>
                <w:spacing w:val="-4"/>
                <w:sz w:val="21"/>
                <w:szCs w:val="21"/>
                <w:lang w:eastAsia="zh-CN"/>
              </w:rPr>
              <w:t>进行好氧堆肥，堆肥产物全部还田利用</w:t>
            </w:r>
            <w:r>
              <w:rPr>
                <w:rFonts w:ascii="Times New Roman" w:hAnsi="Times New Roman"/>
                <w:bCs/>
                <w:color w:val="auto"/>
                <w:spacing w:val="-4"/>
                <w:sz w:val="21"/>
                <w:szCs w:val="21"/>
              </w:rPr>
              <w:t>；病死猪</w:t>
            </w:r>
            <w:r>
              <w:rPr>
                <w:rFonts w:hint="eastAsia" w:ascii="Times New Roman" w:hAnsi="Times New Roman"/>
                <w:bCs/>
                <w:color w:val="auto"/>
                <w:spacing w:val="-4"/>
                <w:sz w:val="21"/>
                <w:szCs w:val="21"/>
                <w:lang w:eastAsia="zh-CN"/>
              </w:rPr>
              <w:t>进行无害化填埋</w:t>
            </w:r>
            <w:r>
              <w:rPr>
                <w:rFonts w:ascii="Times New Roman" w:hAnsi="Times New Roman"/>
                <w:bCs/>
                <w:color w:val="auto"/>
                <w:spacing w:val="-4"/>
                <w:sz w:val="21"/>
                <w:szCs w:val="21"/>
              </w:rPr>
              <w:t>。</w:t>
            </w:r>
          </w:p>
        </w:tc>
        <w:tc>
          <w:tcPr>
            <w:tcW w:w="643"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46" w:hRule="atLeast"/>
          <w:jc w:val="center"/>
        </w:trPr>
        <w:tc>
          <w:tcPr>
            <w:tcW w:w="645"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4</w:t>
            </w:r>
          </w:p>
        </w:tc>
        <w:tc>
          <w:tcPr>
            <w:tcW w:w="3939"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第十九条：从事畜禽养殖活动和畜禽养殖废弃物处理活动，应当及时对畜禽粪便、畜禽尸体、污水等进行收集、贮存、清运，防止恶臭和畜禽养殖废物渗出、泄漏。</w:t>
            </w:r>
          </w:p>
        </w:tc>
        <w:tc>
          <w:tcPr>
            <w:tcW w:w="3651" w:type="dxa"/>
            <w:noWrap w:val="0"/>
            <w:vAlign w:val="center"/>
          </w:tcPr>
          <w:p>
            <w:pPr>
              <w:pStyle w:val="130"/>
              <w:spacing w:line="240" w:lineRule="auto"/>
              <w:ind w:left="0" w:leftChars="0" w:firstLine="0" w:firstLineChars="0"/>
              <w:jc w:val="left"/>
              <w:rPr>
                <w:rFonts w:ascii="Times New Roman" w:hAnsi="Times New Roman"/>
                <w:color w:val="auto"/>
                <w:sz w:val="21"/>
                <w:szCs w:val="21"/>
              </w:rPr>
            </w:pPr>
            <w:r>
              <w:rPr>
                <w:rFonts w:hint="eastAsia" w:ascii="Times New Roman" w:hAnsi="Times New Roman"/>
                <w:bCs/>
                <w:color w:val="auto"/>
                <w:spacing w:val="-4"/>
                <w:sz w:val="21"/>
                <w:szCs w:val="21"/>
              </w:rPr>
              <w:t>粪便经干湿分离储存后</w:t>
            </w:r>
            <w:r>
              <w:rPr>
                <w:rFonts w:hint="eastAsia" w:ascii="Times New Roman" w:hAnsi="Times New Roman"/>
                <w:bCs/>
                <w:color w:val="auto"/>
                <w:spacing w:val="-4"/>
                <w:sz w:val="21"/>
                <w:szCs w:val="21"/>
                <w:lang w:eastAsia="zh-CN"/>
              </w:rPr>
              <w:t>进行好氧堆肥，堆肥产物全部还田利用；</w:t>
            </w:r>
            <w:r>
              <w:rPr>
                <w:rFonts w:ascii="Times New Roman" w:hAnsi="Times New Roman"/>
                <w:bCs/>
                <w:color w:val="auto"/>
                <w:spacing w:val="-4"/>
                <w:sz w:val="21"/>
                <w:szCs w:val="21"/>
              </w:rPr>
              <w:t>粪污</w:t>
            </w:r>
            <w:r>
              <w:rPr>
                <w:rFonts w:hint="eastAsia" w:ascii="Times New Roman" w:hAnsi="Times New Roman"/>
                <w:bCs/>
                <w:color w:val="auto"/>
                <w:spacing w:val="-4"/>
                <w:sz w:val="21"/>
                <w:szCs w:val="21"/>
              </w:rPr>
              <w:t>收集后，通过污水处理设施处置，废水用于周边</w:t>
            </w:r>
            <w:r>
              <w:rPr>
                <w:rFonts w:hint="eastAsia" w:ascii="Times New Roman" w:hAnsi="Times New Roman"/>
                <w:bCs/>
                <w:color w:val="auto"/>
                <w:spacing w:val="-4"/>
                <w:sz w:val="21"/>
                <w:szCs w:val="21"/>
                <w:lang w:eastAsia="zh-CN"/>
              </w:rPr>
              <w:t>灌溉</w:t>
            </w:r>
            <w:r>
              <w:rPr>
                <w:rFonts w:ascii="Times New Roman" w:hAnsi="Times New Roman"/>
                <w:bCs/>
                <w:color w:val="auto"/>
                <w:spacing w:val="-4"/>
                <w:sz w:val="21"/>
                <w:szCs w:val="21"/>
              </w:rPr>
              <w:t>。</w:t>
            </w:r>
          </w:p>
        </w:tc>
        <w:tc>
          <w:tcPr>
            <w:tcW w:w="643"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94" w:hRule="atLeast"/>
          <w:jc w:val="center"/>
        </w:trPr>
        <w:tc>
          <w:tcPr>
            <w:tcW w:w="645"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5</w:t>
            </w:r>
          </w:p>
        </w:tc>
        <w:tc>
          <w:tcPr>
            <w:tcW w:w="3939"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第二十一条：染疫畜禽以及染疫畜禽排泄 物、染疫畜禽产品、病死或者死因不明的畜 禽尸体等病害畜禽养殖废弃物，应当按照有 关法律、法规和国务院农牧主管部门的规 定，进行深埋、化制、焚烧等无害化处理， 不得随意处置。</w:t>
            </w:r>
          </w:p>
        </w:tc>
        <w:tc>
          <w:tcPr>
            <w:tcW w:w="3651" w:type="dxa"/>
            <w:noWrap w:val="0"/>
            <w:vAlign w:val="center"/>
          </w:tcPr>
          <w:p>
            <w:pPr>
              <w:pStyle w:val="130"/>
              <w:spacing w:line="240" w:lineRule="auto"/>
              <w:ind w:left="0" w:leftChars="0" w:firstLine="0" w:firstLineChars="0"/>
              <w:jc w:val="left"/>
              <w:rPr>
                <w:rFonts w:ascii="Times New Roman" w:hAnsi="Times New Roman"/>
                <w:color w:val="auto"/>
                <w:sz w:val="21"/>
                <w:szCs w:val="21"/>
              </w:rPr>
            </w:pPr>
            <w:r>
              <w:rPr>
                <w:rFonts w:ascii="Times New Roman" w:hAnsi="Times New Roman"/>
                <w:bCs/>
                <w:color w:val="auto"/>
                <w:spacing w:val="-4"/>
                <w:sz w:val="21"/>
                <w:szCs w:val="21"/>
              </w:rPr>
              <w:t>病死猪</w:t>
            </w:r>
            <w:r>
              <w:rPr>
                <w:rFonts w:hint="eastAsia" w:ascii="Times New Roman" w:hAnsi="Times New Roman"/>
                <w:bCs/>
                <w:color w:val="auto"/>
                <w:spacing w:val="-4"/>
                <w:sz w:val="21"/>
                <w:szCs w:val="21"/>
                <w:lang w:eastAsia="zh-CN"/>
              </w:rPr>
              <w:t>进行无害化填埋</w:t>
            </w:r>
            <w:r>
              <w:rPr>
                <w:rFonts w:ascii="Times New Roman" w:hAnsi="Times New Roman"/>
                <w:bCs/>
                <w:color w:val="auto"/>
                <w:spacing w:val="-4"/>
                <w:sz w:val="21"/>
                <w:szCs w:val="21"/>
              </w:rPr>
              <w:t>。</w:t>
            </w:r>
          </w:p>
        </w:tc>
        <w:tc>
          <w:tcPr>
            <w:tcW w:w="643"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符合</w:t>
            </w:r>
          </w:p>
        </w:tc>
      </w:tr>
    </w:tbl>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imes New Roman" w:hAnsi="Times New Roman" w:eastAsia="宋体"/>
          <w:color w:val="auto"/>
          <w:sz w:val="24"/>
          <w:lang w:eastAsia="zh-CN"/>
        </w:rPr>
      </w:pPr>
    </w:p>
    <w:p>
      <w:pPr>
        <w:pStyle w:val="6"/>
        <w:pageBreakBefore w:val="0"/>
        <w:widowControl w:val="0"/>
        <w:kinsoku/>
        <w:wordWrap/>
        <w:overflowPunct/>
        <w:topLinePunct w:val="0"/>
        <w:autoSpaceDE/>
        <w:autoSpaceDN/>
        <w:bidi w:val="0"/>
        <w:adjustRightInd w:val="0"/>
        <w:snapToGrid w:val="0"/>
        <w:spacing w:before="0" w:after="0" w:line="360" w:lineRule="auto"/>
        <w:ind w:firstLine="482" w:firstLineChars="200"/>
        <w:jc w:val="both"/>
        <w:textAlignment w:val="auto"/>
        <w:rPr>
          <w:rFonts w:hint="eastAsia" w:ascii="Times New Roman" w:hAnsi="Times New Roman" w:eastAsia="宋体" w:cstheme="minorBidi"/>
          <w:b/>
          <w:bCs/>
          <w:color w:val="auto"/>
          <w:kern w:val="2"/>
          <w:sz w:val="24"/>
          <w:szCs w:val="22"/>
          <w:lang w:val="en-US" w:eastAsia="zh-CN" w:bidi="ar-SA"/>
        </w:rPr>
      </w:pPr>
      <w:r>
        <w:rPr>
          <w:rFonts w:hint="eastAsia" w:ascii="Times New Roman" w:hAnsi="Times New Roman" w:eastAsia="宋体" w:cstheme="minorBidi"/>
          <w:b/>
          <w:bCs/>
          <w:color w:val="auto"/>
          <w:kern w:val="2"/>
          <w:sz w:val="24"/>
          <w:szCs w:val="22"/>
          <w:lang w:val="en-US" w:eastAsia="zh-CN" w:bidi="ar-SA"/>
        </w:rPr>
        <w:t>11、与《关于做好畜禽规模养殖项目环境影响评价管理工作的通知》（环办环评【2018】31号）符合性分析</w:t>
      </w:r>
    </w:p>
    <w:p>
      <w:pPr>
        <w:adjustRightInd w:val="0"/>
        <w:snapToGrid w:val="0"/>
        <w:jc w:val="center"/>
        <w:rPr>
          <w:rFonts w:hint="eastAsia" w:ascii="Times New Roman" w:hAnsi="Times New Roman" w:eastAsia="宋体"/>
          <w:b/>
          <w:bCs/>
          <w:color w:val="auto"/>
        </w:rPr>
      </w:pPr>
    </w:p>
    <w:p>
      <w:pPr>
        <w:adjustRightInd w:val="0"/>
        <w:snapToGrid w:val="0"/>
        <w:jc w:val="center"/>
        <w:rPr>
          <w:rFonts w:hint="eastAsia" w:ascii="Times New Roman" w:hAnsi="Times New Roman" w:eastAsia="宋体"/>
          <w:b/>
          <w:bCs/>
          <w:color w:val="auto"/>
        </w:rPr>
      </w:pPr>
    </w:p>
    <w:p>
      <w:pPr>
        <w:adjustRightInd w:val="0"/>
        <w:snapToGrid w:val="0"/>
        <w:jc w:val="center"/>
        <w:rPr>
          <w:rFonts w:hint="eastAsia" w:ascii="Times New Roman" w:hAnsi="Times New Roman" w:eastAsia="宋体"/>
          <w:b/>
          <w:bCs/>
          <w:color w:val="auto"/>
        </w:rPr>
      </w:pPr>
    </w:p>
    <w:p>
      <w:pPr>
        <w:adjustRightInd w:val="0"/>
        <w:snapToGrid w:val="0"/>
        <w:jc w:val="center"/>
        <w:rPr>
          <w:rFonts w:hint="eastAsia" w:ascii="Times New Roman" w:hAnsi="Times New Roman" w:eastAsia="宋体"/>
          <w:b/>
          <w:bCs/>
          <w:color w:val="auto"/>
        </w:rPr>
      </w:pPr>
    </w:p>
    <w:p>
      <w:pPr>
        <w:adjustRightInd w:val="0"/>
        <w:snapToGrid w:val="0"/>
        <w:jc w:val="center"/>
        <w:rPr>
          <w:rFonts w:hint="eastAsia" w:ascii="Times New Roman" w:hAnsi="Times New Roman" w:eastAsia="宋体"/>
          <w:b/>
          <w:bCs/>
          <w:color w:val="auto"/>
        </w:rPr>
      </w:pPr>
    </w:p>
    <w:p>
      <w:pPr>
        <w:adjustRightInd w:val="0"/>
        <w:snapToGrid w:val="0"/>
        <w:jc w:val="center"/>
        <w:rPr>
          <w:rFonts w:hint="eastAsia" w:ascii="Times New Roman" w:hAnsi="Times New Roman" w:eastAsia="宋体"/>
          <w:b/>
          <w:bCs/>
          <w:color w:val="auto"/>
        </w:rPr>
      </w:pPr>
      <w:r>
        <w:rPr>
          <w:rFonts w:hint="eastAsia" w:ascii="Times New Roman" w:hAnsi="Times New Roman" w:eastAsia="宋体"/>
          <w:b/>
          <w:bCs/>
          <w:color w:val="auto"/>
        </w:rPr>
        <w:t>表</w:t>
      </w:r>
      <w:r>
        <w:rPr>
          <w:rFonts w:hint="eastAsia" w:ascii="Times New Roman" w:hAnsi="Times New Roman" w:eastAsia="宋体"/>
          <w:b/>
          <w:bCs/>
          <w:color w:val="auto"/>
          <w:lang w:val="en-US" w:eastAsia="zh-CN"/>
        </w:rPr>
        <w:t xml:space="preserve">6 </w:t>
      </w:r>
      <w:r>
        <w:rPr>
          <w:rFonts w:hint="eastAsia" w:ascii="Times New Roman" w:hAnsi="Times New Roman" w:eastAsia="宋体"/>
          <w:b/>
          <w:bCs/>
          <w:color w:val="auto"/>
        </w:rPr>
        <w:t xml:space="preserve"> 与《关于做好畜禽规模养殖项目环境影响评价管理工作的通知》符合性分析</w:t>
      </w:r>
    </w:p>
    <w:tbl>
      <w:tblPr>
        <w:tblStyle w:val="34"/>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47"/>
        <w:gridCol w:w="5969"/>
        <w:gridCol w:w="1929"/>
        <w:gridCol w:w="37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647"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序号</w:t>
            </w:r>
          </w:p>
        </w:tc>
        <w:tc>
          <w:tcPr>
            <w:tcW w:w="5969"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w:t>
            </w:r>
            <w:r>
              <w:rPr>
                <w:rFonts w:ascii="Times New Roman" w:hAnsi="Times New Roman"/>
                <w:bCs/>
                <w:color w:val="auto"/>
                <w:sz w:val="21"/>
                <w:szCs w:val="21"/>
              </w:rPr>
              <w:t>关于做好畜禽规模养殖项目环境影响评价管理工作的通知</w:t>
            </w:r>
            <w:r>
              <w:rPr>
                <w:rFonts w:ascii="Times New Roman" w:hAnsi="Times New Roman"/>
                <w:color w:val="auto"/>
                <w:sz w:val="21"/>
                <w:szCs w:val="21"/>
              </w:rPr>
              <w:t>》相关要求</w:t>
            </w:r>
          </w:p>
        </w:tc>
        <w:tc>
          <w:tcPr>
            <w:tcW w:w="1929"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本项目情况</w:t>
            </w:r>
          </w:p>
        </w:tc>
        <w:tc>
          <w:tcPr>
            <w:tcW w:w="372"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结论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93" w:hRule="atLeast"/>
          <w:jc w:val="center"/>
        </w:trPr>
        <w:tc>
          <w:tcPr>
            <w:tcW w:w="647"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1</w:t>
            </w:r>
          </w:p>
        </w:tc>
        <w:tc>
          <w:tcPr>
            <w:tcW w:w="5969" w:type="dxa"/>
            <w:noWrap w:val="0"/>
            <w:vAlign w:val="center"/>
          </w:tcPr>
          <w:p>
            <w:pPr>
              <w:pStyle w:val="130"/>
              <w:spacing w:line="240" w:lineRule="auto"/>
              <w:ind w:firstLine="0" w:firstLineChars="0"/>
              <w:jc w:val="left"/>
              <w:rPr>
                <w:rFonts w:hint="eastAsia" w:ascii="Times New Roman" w:hAnsi="Times New Roman" w:eastAsia="宋体"/>
                <w:color w:val="auto"/>
                <w:sz w:val="21"/>
                <w:szCs w:val="21"/>
                <w:lang w:eastAsia="zh-CN"/>
              </w:rPr>
            </w:pPr>
            <w:r>
              <w:rPr>
                <w:rFonts w:ascii="Times New Roman" w:hAnsi="Times New Roman"/>
                <w:color w:val="auto"/>
                <w:sz w:val="21"/>
                <w:szCs w:val="21"/>
              </w:rPr>
              <w:t>优化项目选址，合理布置养殖场区</w:t>
            </w:r>
            <w:r>
              <w:rPr>
                <w:rFonts w:hint="eastAsia" w:ascii="Times New Roman" w:hAnsi="Times New Roman"/>
                <w:color w:val="auto"/>
                <w:sz w:val="21"/>
                <w:szCs w:val="21"/>
                <w:lang w:eastAsia="zh-CN"/>
              </w:rPr>
              <w:t>：</w:t>
            </w:r>
          </w:p>
          <w:p>
            <w:pPr>
              <w:pStyle w:val="130"/>
              <w:spacing w:line="240" w:lineRule="auto"/>
              <w:ind w:firstLine="0" w:firstLineChars="0"/>
              <w:jc w:val="left"/>
              <w:rPr>
                <w:rFonts w:ascii="Times New Roman" w:hAnsi="Times New Roman"/>
                <w:color w:val="auto"/>
                <w:sz w:val="21"/>
                <w:szCs w:val="21"/>
              </w:rPr>
            </w:pPr>
            <w:r>
              <w:rPr>
                <w:rFonts w:ascii="Times New Roman" w:hAnsi="Times New Roman"/>
                <w:color w:val="auto"/>
                <w:sz w:val="21"/>
                <w:szCs w:val="21"/>
              </w:rPr>
              <w:t xml:space="preserve">    项目环评应充分论证选址的环境合理性，选址应避开当地划定的禁止养殖区域，并与区域主体功能区规划、环境功能区划、土地利用规划、城乡规划、畜牧业发展规划、畜禽养殖污染防治规划等规划相协调。当地未划定禁止养殖区域的，应避开饮用水水源保护区、风景名胜区、自然保护区的核心区和缓冲区、村镇人口集中区域，以及法律、法规规定的禁止养殖区域。</w:t>
            </w:r>
          </w:p>
          <w:p>
            <w:pPr>
              <w:pStyle w:val="130"/>
              <w:spacing w:line="240" w:lineRule="auto"/>
              <w:ind w:firstLine="0" w:firstLineChars="0"/>
              <w:jc w:val="left"/>
              <w:rPr>
                <w:rFonts w:ascii="Times New Roman" w:hAnsi="Times New Roman"/>
                <w:color w:val="auto"/>
                <w:sz w:val="21"/>
                <w:szCs w:val="21"/>
              </w:rPr>
            </w:pPr>
            <w:r>
              <w:rPr>
                <w:rFonts w:ascii="Times New Roman" w:hAnsi="Times New Roman"/>
                <w:color w:val="auto"/>
                <w:sz w:val="21"/>
                <w:szCs w:val="21"/>
              </w:rPr>
              <w:t xml:space="preserve">    项目环评应结合环境保护要求优化养殖场区内部布置。畜禽养殖区及畜禽粪污贮存、处理和畜禽尸体无害化处理等产生恶臭影响的设施，应位于养殖场区主导风向的下风向位置，并尽量远离周边环境保护目标。参照《畜禽养殖业污染防治技术规范》，并根据恶臭污染物无组织排放源强，以及当地的环境及气象等因素，按照《环境影响评价技术导则 大气环境》要求计算大气环境防护距离，作为养殖场选址以及周边规划控制的依据，减轻对周围环境保护目标的不利影响。</w:t>
            </w:r>
          </w:p>
        </w:tc>
        <w:tc>
          <w:tcPr>
            <w:tcW w:w="1929" w:type="dxa"/>
            <w:noWrap w:val="0"/>
            <w:vAlign w:val="center"/>
          </w:tcPr>
          <w:p>
            <w:pPr>
              <w:pStyle w:val="130"/>
              <w:spacing w:line="240" w:lineRule="auto"/>
              <w:ind w:firstLine="400"/>
              <w:jc w:val="left"/>
              <w:rPr>
                <w:rFonts w:ascii="Times New Roman" w:hAnsi="Times New Roman"/>
                <w:color w:val="auto"/>
                <w:sz w:val="21"/>
                <w:szCs w:val="21"/>
              </w:rPr>
            </w:pPr>
            <w:r>
              <w:rPr>
                <w:rFonts w:ascii="Times New Roman" w:hAnsi="Times New Roman"/>
                <w:color w:val="auto"/>
                <w:sz w:val="21"/>
                <w:szCs w:val="21"/>
              </w:rPr>
              <w:t>本项目位于眉山</w:t>
            </w:r>
            <w:r>
              <w:rPr>
                <w:rFonts w:hint="eastAsia" w:ascii="Times New Roman" w:hAnsi="Times New Roman"/>
                <w:color w:val="auto"/>
                <w:sz w:val="21"/>
                <w:szCs w:val="21"/>
                <w:lang w:eastAsia="zh-CN"/>
              </w:rPr>
              <w:t>丹棱县</w:t>
            </w:r>
            <w:r>
              <w:rPr>
                <w:rFonts w:ascii="Times New Roman" w:hAnsi="Times New Roman"/>
                <w:color w:val="auto"/>
                <w:sz w:val="21"/>
                <w:szCs w:val="21"/>
              </w:rPr>
              <w:t>禁止</w:t>
            </w:r>
            <w:r>
              <w:rPr>
                <w:rFonts w:hint="eastAsia" w:ascii="Times New Roman" w:hAnsi="Times New Roman"/>
                <w:color w:val="auto"/>
                <w:sz w:val="21"/>
                <w:szCs w:val="21"/>
                <w:lang w:val="en-US" w:eastAsia="zh-CN"/>
              </w:rPr>
              <w:t>养殖区</w:t>
            </w:r>
            <w:r>
              <w:rPr>
                <w:rFonts w:ascii="Times New Roman" w:hAnsi="Times New Roman"/>
                <w:color w:val="auto"/>
                <w:sz w:val="21"/>
                <w:szCs w:val="21"/>
              </w:rPr>
              <w:t>和限制养殖区外，符合要求；</w:t>
            </w:r>
          </w:p>
          <w:p>
            <w:pPr>
              <w:pStyle w:val="130"/>
              <w:spacing w:line="240" w:lineRule="auto"/>
              <w:ind w:firstLine="400"/>
              <w:jc w:val="left"/>
              <w:rPr>
                <w:rFonts w:ascii="Times New Roman" w:hAnsi="Times New Roman"/>
                <w:color w:val="auto"/>
                <w:sz w:val="21"/>
                <w:szCs w:val="21"/>
              </w:rPr>
            </w:pPr>
            <w:r>
              <w:rPr>
                <w:rFonts w:ascii="Times New Roman" w:hAnsi="Times New Roman"/>
                <w:color w:val="auto"/>
                <w:sz w:val="21"/>
                <w:szCs w:val="21"/>
              </w:rPr>
              <w:t>项目设置</w:t>
            </w:r>
            <w:r>
              <w:rPr>
                <w:rFonts w:hint="eastAsia" w:ascii="Times New Roman" w:hAnsi="Times New Roman"/>
                <w:color w:val="auto"/>
                <w:sz w:val="21"/>
                <w:szCs w:val="21"/>
              </w:rPr>
              <w:t>标准化养猪场</w:t>
            </w:r>
            <w:r>
              <w:rPr>
                <w:rFonts w:ascii="Times New Roman" w:hAnsi="Times New Roman"/>
                <w:color w:val="auto"/>
                <w:sz w:val="21"/>
                <w:szCs w:val="21"/>
              </w:rPr>
              <w:t>，平面布置满足养殖场环境保护要求；污粪区位于养殖场</w:t>
            </w:r>
            <w:r>
              <w:rPr>
                <w:rFonts w:hint="eastAsia" w:ascii="Times New Roman" w:hAnsi="Times New Roman"/>
                <w:color w:val="auto"/>
                <w:sz w:val="21"/>
                <w:szCs w:val="21"/>
                <w:lang w:eastAsia="zh-CN"/>
              </w:rPr>
              <w:t>侧</w:t>
            </w:r>
            <w:r>
              <w:rPr>
                <w:rFonts w:ascii="Times New Roman" w:hAnsi="Times New Roman"/>
                <w:color w:val="auto"/>
                <w:sz w:val="21"/>
                <w:szCs w:val="21"/>
              </w:rPr>
              <w:t>风向；划</w:t>
            </w:r>
            <w:r>
              <w:rPr>
                <w:rFonts w:hint="eastAsia" w:ascii="Times New Roman" w:hAnsi="Times New Roman"/>
                <w:color w:val="auto"/>
                <w:sz w:val="21"/>
                <w:szCs w:val="21"/>
                <w:lang w:eastAsia="zh-CN"/>
              </w:rPr>
              <w:t>定员</w:t>
            </w:r>
            <w:r>
              <w:rPr>
                <w:rFonts w:hint="eastAsia" w:ascii="Times New Roman" w:hAnsi="Times New Roman"/>
                <w:color w:val="auto"/>
                <w:sz w:val="21"/>
                <w:szCs w:val="21"/>
                <w:lang w:val="en-US" w:eastAsia="zh-CN"/>
              </w:rPr>
              <w:t>200</w:t>
            </w:r>
            <w:r>
              <w:rPr>
                <w:rFonts w:ascii="Times New Roman" w:hAnsi="Times New Roman"/>
                <w:color w:val="auto"/>
                <w:sz w:val="21"/>
                <w:szCs w:val="21"/>
              </w:rPr>
              <w:t>m卫生防护距离，减少对周围环境保护目标的不利影响</w:t>
            </w:r>
          </w:p>
        </w:tc>
        <w:tc>
          <w:tcPr>
            <w:tcW w:w="372"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46" w:hRule="atLeast"/>
          <w:jc w:val="center"/>
        </w:trPr>
        <w:tc>
          <w:tcPr>
            <w:tcW w:w="647"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2</w:t>
            </w:r>
          </w:p>
        </w:tc>
        <w:tc>
          <w:tcPr>
            <w:tcW w:w="5969" w:type="dxa"/>
            <w:noWrap w:val="0"/>
            <w:vAlign w:val="center"/>
          </w:tcPr>
          <w:p>
            <w:pPr>
              <w:pStyle w:val="130"/>
              <w:spacing w:line="240" w:lineRule="auto"/>
              <w:ind w:left="0" w:leftChars="0" w:firstLine="400"/>
              <w:jc w:val="left"/>
              <w:rPr>
                <w:rFonts w:ascii="Times New Roman" w:hAnsi="Times New Roman"/>
                <w:color w:val="auto"/>
                <w:sz w:val="21"/>
                <w:szCs w:val="21"/>
              </w:rPr>
            </w:pPr>
            <w:r>
              <w:rPr>
                <w:rFonts w:ascii="Times New Roman" w:hAnsi="Times New Roman"/>
                <w:color w:val="auto"/>
                <w:sz w:val="21"/>
                <w:szCs w:val="21"/>
              </w:rPr>
              <w:t>加强粪污减量控制，促进畜禽养殖粪污资源化利用：</w:t>
            </w:r>
          </w:p>
          <w:p>
            <w:pPr>
              <w:pStyle w:val="130"/>
              <w:spacing w:line="240" w:lineRule="auto"/>
              <w:ind w:left="0" w:leftChars="0" w:firstLine="400"/>
              <w:jc w:val="left"/>
              <w:rPr>
                <w:rFonts w:ascii="Times New Roman" w:hAnsi="Times New Roman"/>
                <w:color w:val="auto"/>
                <w:sz w:val="21"/>
                <w:szCs w:val="21"/>
              </w:rPr>
            </w:pPr>
            <w:r>
              <w:rPr>
                <w:rFonts w:ascii="Times New Roman" w:hAnsi="Times New Roman"/>
                <w:color w:val="auto"/>
                <w:sz w:val="21"/>
                <w:szCs w:val="21"/>
              </w:rPr>
              <w:t>项目环评应以农业绿色发展为导向，优化工艺，通过采取优化饲料配方、提高饲养技术等措施，从源头减少粪污的产生量。鼓励采取干清粪方式，采取水泡粪工艺的应最大限度降低用水量。场区应采取雨污分离措施，防止雨水进入粪污收集系统。</w:t>
            </w:r>
          </w:p>
          <w:p>
            <w:pPr>
              <w:pStyle w:val="130"/>
              <w:spacing w:line="240" w:lineRule="auto"/>
              <w:ind w:left="0" w:leftChars="0" w:firstLine="400"/>
              <w:jc w:val="left"/>
              <w:rPr>
                <w:rFonts w:ascii="Times New Roman" w:hAnsi="Times New Roman"/>
                <w:color w:val="auto"/>
                <w:sz w:val="21"/>
                <w:szCs w:val="21"/>
              </w:rPr>
            </w:pPr>
            <w:r>
              <w:rPr>
                <w:rFonts w:ascii="Times New Roman" w:hAnsi="Times New Roman"/>
                <w:color w:val="auto"/>
                <w:sz w:val="21"/>
                <w:szCs w:val="21"/>
              </w:rPr>
              <w:t>项目环评应结合地域、畜种、规模等特点以及地方相关部门制定的畜禽粪污综合利用目标等要求，加强畜禽养殖粪污资源化利用，因地制宜选择经济高效适用的处理利用模式，采取粪污全量收集还田利用、污水肥料化利用、粪便垫料回用、异位发酵床、粪污专业化能源利用等模式处理利用畜禽粪污，促进畜禽规模养殖项目“种养结合”绿色发展。</w:t>
            </w:r>
          </w:p>
          <w:p>
            <w:pPr>
              <w:pStyle w:val="130"/>
              <w:spacing w:line="240" w:lineRule="auto"/>
              <w:ind w:left="0" w:leftChars="0" w:firstLine="400"/>
              <w:jc w:val="left"/>
              <w:rPr>
                <w:rFonts w:ascii="Times New Roman" w:hAnsi="Times New Roman"/>
                <w:color w:val="auto"/>
                <w:sz w:val="21"/>
                <w:szCs w:val="21"/>
              </w:rPr>
            </w:pPr>
            <w:r>
              <w:rPr>
                <w:rFonts w:ascii="Times New Roman" w:hAnsi="Times New Roman"/>
                <w:color w:val="auto"/>
                <w:sz w:val="21"/>
                <w:szCs w:val="21"/>
              </w:rPr>
              <w:t>鼓励根据土地承载能力确定畜禽养殖场的适宜养殖规模，土地承载能力可采用农业农村主管部门发布的测算技术方法确定。耕地面积大、土地消纳能力相对较高的区域，畜禽养殖场产生的粪污应力争实现全部就地就近资源化利用或委托第三方处理;当土地消纳能力不足时，应进一步提高资源化利用能力或适当减少养殖规模。鼓励依托符合环保要求的专业化粪污处理利用企业，提高畜禽养殖粪污集中收集利用能力。环评应明确畜禽养殖粪污资源化利用的主体，严格落实利用渠道或途径，确保资源化利用有效实施。</w:t>
            </w:r>
          </w:p>
        </w:tc>
        <w:tc>
          <w:tcPr>
            <w:tcW w:w="1929" w:type="dxa"/>
            <w:noWrap w:val="0"/>
            <w:vAlign w:val="center"/>
          </w:tcPr>
          <w:p>
            <w:pPr>
              <w:pStyle w:val="130"/>
              <w:spacing w:line="240" w:lineRule="auto"/>
              <w:ind w:left="0" w:leftChars="0" w:firstLine="0" w:firstLineChars="0"/>
              <w:jc w:val="left"/>
              <w:rPr>
                <w:rFonts w:ascii="Times New Roman" w:hAnsi="Times New Roman"/>
                <w:bCs/>
                <w:color w:val="auto"/>
                <w:spacing w:val="-4"/>
                <w:sz w:val="21"/>
                <w:szCs w:val="21"/>
              </w:rPr>
            </w:pPr>
            <w:r>
              <w:rPr>
                <w:rFonts w:ascii="Times New Roman" w:hAnsi="Times New Roman"/>
                <w:bCs/>
                <w:color w:val="auto"/>
                <w:spacing w:val="-4"/>
                <w:sz w:val="21"/>
                <w:szCs w:val="21"/>
              </w:rPr>
              <w:t>粪污</w:t>
            </w:r>
            <w:r>
              <w:rPr>
                <w:rFonts w:hint="eastAsia" w:ascii="Times New Roman" w:hAnsi="Times New Roman"/>
                <w:bCs/>
                <w:color w:val="auto"/>
                <w:spacing w:val="-4"/>
                <w:sz w:val="21"/>
                <w:szCs w:val="21"/>
              </w:rPr>
              <w:t>收集后，通过污水处理设施处置，废水用于周边</w:t>
            </w:r>
            <w:r>
              <w:rPr>
                <w:rFonts w:hint="eastAsia" w:ascii="Times New Roman" w:hAnsi="Times New Roman"/>
                <w:bCs/>
                <w:color w:val="auto"/>
                <w:spacing w:val="-4"/>
                <w:sz w:val="21"/>
                <w:szCs w:val="21"/>
                <w:lang w:eastAsia="zh-CN"/>
              </w:rPr>
              <w:t>灌溉</w:t>
            </w:r>
            <w:r>
              <w:rPr>
                <w:rFonts w:hint="eastAsia" w:ascii="Times New Roman" w:hAnsi="Times New Roman"/>
                <w:bCs/>
                <w:color w:val="auto"/>
                <w:spacing w:val="-4"/>
                <w:sz w:val="21"/>
                <w:szCs w:val="21"/>
              </w:rPr>
              <w:t>；粪便经干湿分离储存后</w:t>
            </w:r>
            <w:r>
              <w:rPr>
                <w:rFonts w:hint="eastAsia" w:ascii="Times New Roman" w:hAnsi="Times New Roman"/>
                <w:bCs/>
                <w:color w:val="auto"/>
                <w:spacing w:val="-4"/>
                <w:sz w:val="21"/>
                <w:szCs w:val="21"/>
                <w:lang w:eastAsia="zh-CN"/>
              </w:rPr>
              <w:t>进行好氧堆肥，堆肥产物全部还田利用</w:t>
            </w:r>
            <w:r>
              <w:rPr>
                <w:rFonts w:hint="eastAsia" w:ascii="Times New Roman" w:hAnsi="Times New Roman"/>
                <w:bCs/>
                <w:color w:val="auto"/>
                <w:spacing w:val="-4"/>
                <w:sz w:val="21"/>
                <w:szCs w:val="21"/>
              </w:rPr>
              <w:t>。</w:t>
            </w:r>
          </w:p>
        </w:tc>
        <w:tc>
          <w:tcPr>
            <w:tcW w:w="372"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4" w:hRule="atLeast"/>
          <w:jc w:val="center"/>
        </w:trPr>
        <w:tc>
          <w:tcPr>
            <w:tcW w:w="647"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3</w:t>
            </w:r>
          </w:p>
        </w:tc>
        <w:tc>
          <w:tcPr>
            <w:tcW w:w="5969" w:type="dxa"/>
            <w:noWrap w:val="0"/>
            <w:vAlign w:val="center"/>
          </w:tcPr>
          <w:p>
            <w:pPr>
              <w:pStyle w:val="130"/>
              <w:spacing w:line="240" w:lineRule="auto"/>
              <w:ind w:left="0" w:leftChars="0" w:firstLine="400"/>
              <w:jc w:val="left"/>
              <w:rPr>
                <w:rFonts w:ascii="Times New Roman" w:hAnsi="Times New Roman"/>
                <w:color w:val="auto"/>
                <w:sz w:val="21"/>
                <w:szCs w:val="21"/>
              </w:rPr>
            </w:pPr>
            <w:r>
              <w:rPr>
                <w:rFonts w:ascii="Times New Roman" w:hAnsi="Times New Roman"/>
                <w:color w:val="auto"/>
                <w:sz w:val="21"/>
                <w:szCs w:val="21"/>
              </w:rPr>
              <w:t>强化粪污治理措施，做好污染防治：</w:t>
            </w:r>
          </w:p>
          <w:p>
            <w:pPr>
              <w:pStyle w:val="130"/>
              <w:spacing w:line="240" w:lineRule="auto"/>
              <w:ind w:left="0" w:leftChars="0" w:firstLine="400"/>
              <w:jc w:val="left"/>
              <w:rPr>
                <w:rFonts w:ascii="Times New Roman" w:hAnsi="Times New Roman"/>
                <w:color w:val="auto"/>
                <w:sz w:val="21"/>
                <w:szCs w:val="21"/>
              </w:rPr>
            </w:pPr>
            <w:r>
              <w:rPr>
                <w:rFonts w:ascii="Times New Roman" w:hAnsi="Times New Roman"/>
                <w:color w:val="auto"/>
                <w:sz w:val="21"/>
                <w:szCs w:val="21"/>
              </w:rPr>
              <w:t>项目环评应强化对粪污的治理措施，加强畜禽养殖粪污资源化利用过程中的污染控制，推进粪污资源的良性利用，应对无法资源化利用的粪污采取治理措施确保达标排放。畜禽规模养殖项目应配套建设与养殖规模相匹配的雨污分离设施，以及粪污贮存、处理和利用设施等，委托满足相关环保要求的第三方代为利用或者处理的，可不自行建设粪污处理或利用设施。</w:t>
            </w:r>
          </w:p>
          <w:p>
            <w:pPr>
              <w:pStyle w:val="130"/>
              <w:spacing w:line="240" w:lineRule="auto"/>
              <w:ind w:left="0" w:leftChars="0" w:firstLine="400"/>
              <w:jc w:val="left"/>
              <w:rPr>
                <w:rFonts w:ascii="Times New Roman" w:hAnsi="Times New Roman"/>
                <w:color w:val="auto"/>
                <w:sz w:val="21"/>
                <w:szCs w:val="21"/>
              </w:rPr>
            </w:pPr>
            <w:r>
              <w:rPr>
                <w:rFonts w:ascii="Times New Roman" w:hAnsi="Times New Roman"/>
                <w:color w:val="auto"/>
                <w:sz w:val="21"/>
                <w:szCs w:val="21"/>
              </w:rPr>
              <w:t>项目环评应明确畜禽粪污贮存、处理和利用措施。贮存池应采取有效的防雨、防渗和防溢流措施，防止畜禽粪污污染地下水。贮存池总有效容积应根据贮存期确定。进行资源化利用的畜禽粪污须处理并达到畜禽粪便还田、无害化处理等技术规范要求。畜禽规模养殖项目配套建设沼气工程的，应充分考虑沼气制备及贮存过程中的环境风险，制定环境风险防范措施及应急预案。</w:t>
            </w:r>
          </w:p>
          <w:p>
            <w:pPr>
              <w:pStyle w:val="130"/>
              <w:spacing w:line="240" w:lineRule="auto"/>
              <w:ind w:left="0" w:leftChars="0" w:firstLine="400"/>
              <w:jc w:val="left"/>
              <w:rPr>
                <w:rFonts w:ascii="Times New Roman" w:hAnsi="Times New Roman"/>
                <w:color w:val="auto"/>
                <w:sz w:val="21"/>
                <w:szCs w:val="21"/>
              </w:rPr>
            </w:pPr>
            <w:r>
              <w:rPr>
                <w:rFonts w:ascii="Times New Roman" w:hAnsi="Times New Roman"/>
                <w:color w:val="auto"/>
                <w:sz w:val="21"/>
                <w:szCs w:val="21"/>
              </w:rPr>
              <w:t>畜禽养殖粪污作为肥料还田利用的，应明确畜禽养殖场与还田利用的林地、农田之间的输送系统及环境管理措施，严格控制肥水输送沿途的弃、撒和跑冒滴漏，防止进入外部水体。对无法采取资源化利用的畜禽养殖废水应明确处理措施及工艺，确保达标排放或消毒回用，排放去向应符合国家和地方的有关规定，不得排入敏感水域和有特殊功能的水域。</w:t>
            </w:r>
          </w:p>
          <w:p>
            <w:pPr>
              <w:pStyle w:val="130"/>
              <w:spacing w:line="240" w:lineRule="auto"/>
              <w:ind w:left="0" w:leftChars="0" w:firstLine="400"/>
              <w:jc w:val="left"/>
              <w:rPr>
                <w:rFonts w:ascii="Times New Roman" w:hAnsi="Times New Roman"/>
                <w:color w:val="auto"/>
                <w:sz w:val="21"/>
                <w:szCs w:val="21"/>
              </w:rPr>
            </w:pPr>
            <w:r>
              <w:rPr>
                <w:rFonts w:ascii="Times New Roman" w:hAnsi="Times New Roman"/>
                <w:color w:val="auto"/>
                <w:sz w:val="21"/>
                <w:szCs w:val="21"/>
              </w:rPr>
              <w:t>依据相关法律法规和技术规范，制定明确的病死畜禽处理、处置方案，及时处理病死畜禽。针对畜禽规模养殖项目的恶臭影响，可采取控制饲养密度、改善舍内通风、及时清粪、采用除臭剂、集中收集处理等措施，确保项目恶臭污染物达标排放。</w:t>
            </w:r>
          </w:p>
        </w:tc>
        <w:tc>
          <w:tcPr>
            <w:tcW w:w="1929" w:type="dxa"/>
            <w:noWrap w:val="0"/>
            <w:vAlign w:val="center"/>
          </w:tcPr>
          <w:p>
            <w:pPr>
              <w:pStyle w:val="130"/>
              <w:spacing w:line="240" w:lineRule="auto"/>
              <w:ind w:left="0" w:leftChars="0" w:firstLine="384"/>
              <w:jc w:val="left"/>
              <w:rPr>
                <w:rFonts w:ascii="Times New Roman" w:hAnsi="Times New Roman"/>
                <w:bCs/>
                <w:color w:val="auto"/>
                <w:spacing w:val="-4"/>
                <w:sz w:val="21"/>
                <w:szCs w:val="21"/>
              </w:rPr>
            </w:pPr>
            <w:r>
              <w:rPr>
                <w:rFonts w:ascii="Times New Roman" w:hAnsi="Times New Roman"/>
                <w:bCs/>
                <w:color w:val="auto"/>
                <w:spacing w:val="-4"/>
                <w:sz w:val="21"/>
                <w:szCs w:val="21"/>
              </w:rPr>
              <w:t>粪污</w:t>
            </w:r>
            <w:r>
              <w:rPr>
                <w:rFonts w:hint="eastAsia" w:ascii="Times New Roman" w:hAnsi="Times New Roman"/>
                <w:bCs/>
                <w:color w:val="auto"/>
                <w:spacing w:val="-4"/>
                <w:sz w:val="21"/>
                <w:szCs w:val="21"/>
              </w:rPr>
              <w:t>收集后，通过污水处理设施处置，废水用于</w:t>
            </w:r>
            <w:r>
              <w:rPr>
                <w:rFonts w:hint="eastAsia" w:ascii="Times New Roman" w:hAnsi="Times New Roman"/>
                <w:bCs/>
                <w:color w:val="auto"/>
                <w:spacing w:val="-4"/>
                <w:sz w:val="21"/>
                <w:szCs w:val="21"/>
                <w:lang w:eastAsia="zh-CN"/>
              </w:rPr>
              <w:t>周边消纳地灌溉</w:t>
            </w:r>
            <w:r>
              <w:rPr>
                <w:rFonts w:hint="eastAsia" w:ascii="Times New Roman" w:hAnsi="Times New Roman"/>
                <w:bCs/>
                <w:color w:val="auto"/>
                <w:spacing w:val="-4"/>
                <w:sz w:val="21"/>
                <w:szCs w:val="21"/>
              </w:rPr>
              <w:t>；</w:t>
            </w:r>
            <w:r>
              <w:rPr>
                <w:rFonts w:hint="eastAsia" w:ascii="Times New Roman" w:hAnsi="Times New Roman"/>
                <w:bCs/>
                <w:color w:val="auto"/>
                <w:spacing w:val="-4"/>
                <w:sz w:val="21"/>
                <w:szCs w:val="21"/>
                <w:lang w:eastAsia="zh-CN"/>
              </w:rPr>
              <w:t>干粪在堆粪间内进行好氧堆肥后还田利用</w:t>
            </w:r>
            <w:r>
              <w:rPr>
                <w:rFonts w:ascii="Times New Roman" w:hAnsi="Times New Roman"/>
                <w:bCs/>
                <w:color w:val="auto"/>
                <w:spacing w:val="-4"/>
                <w:sz w:val="21"/>
                <w:szCs w:val="21"/>
              </w:rPr>
              <w:t>；</w:t>
            </w:r>
          </w:p>
          <w:p>
            <w:pPr>
              <w:pStyle w:val="130"/>
              <w:spacing w:line="240" w:lineRule="auto"/>
              <w:ind w:left="0" w:leftChars="0" w:firstLine="384"/>
              <w:jc w:val="left"/>
              <w:rPr>
                <w:rFonts w:ascii="Times New Roman" w:hAnsi="Times New Roman"/>
                <w:bCs/>
                <w:color w:val="auto"/>
                <w:spacing w:val="-4"/>
                <w:sz w:val="21"/>
                <w:szCs w:val="21"/>
              </w:rPr>
            </w:pPr>
            <w:r>
              <w:rPr>
                <w:rFonts w:ascii="Times New Roman" w:hAnsi="Times New Roman"/>
                <w:bCs/>
                <w:color w:val="auto"/>
                <w:spacing w:val="-4"/>
                <w:sz w:val="21"/>
                <w:szCs w:val="21"/>
              </w:rPr>
              <w:t>病死猪</w:t>
            </w:r>
            <w:r>
              <w:rPr>
                <w:rFonts w:hint="eastAsia" w:ascii="Times New Roman" w:hAnsi="Times New Roman"/>
                <w:bCs/>
                <w:color w:val="auto"/>
                <w:spacing w:val="-4"/>
                <w:sz w:val="21"/>
                <w:szCs w:val="21"/>
                <w:lang w:eastAsia="zh-CN"/>
              </w:rPr>
              <w:t>进行填埋无害化处理</w:t>
            </w:r>
            <w:r>
              <w:rPr>
                <w:rFonts w:ascii="Times New Roman" w:hAnsi="Times New Roman"/>
                <w:bCs/>
                <w:color w:val="auto"/>
                <w:spacing w:val="-4"/>
                <w:sz w:val="21"/>
                <w:szCs w:val="21"/>
              </w:rPr>
              <w:t>；</w:t>
            </w:r>
          </w:p>
          <w:p>
            <w:pPr>
              <w:pStyle w:val="130"/>
              <w:spacing w:line="240" w:lineRule="auto"/>
              <w:ind w:left="0" w:leftChars="0" w:firstLine="384"/>
              <w:jc w:val="left"/>
              <w:rPr>
                <w:rFonts w:hint="eastAsia" w:ascii="Times New Roman" w:hAnsi="Times New Roman"/>
                <w:color w:val="auto"/>
                <w:sz w:val="21"/>
                <w:szCs w:val="21"/>
              </w:rPr>
            </w:pPr>
            <w:r>
              <w:rPr>
                <w:rFonts w:ascii="Times New Roman" w:hAnsi="Times New Roman"/>
                <w:bCs/>
                <w:color w:val="auto"/>
                <w:spacing w:val="-4"/>
                <w:sz w:val="21"/>
                <w:szCs w:val="21"/>
              </w:rPr>
              <w:t>畜禽养殖恶臭通过对猪舍</w:t>
            </w:r>
            <w:r>
              <w:rPr>
                <w:rFonts w:hint="eastAsia" w:ascii="Times New Roman" w:hAnsi="Times New Roman"/>
                <w:bCs/>
                <w:color w:val="auto"/>
                <w:spacing w:val="-4"/>
                <w:sz w:val="21"/>
                <w:szCs w:val="21"/>
              </w:rPr>
              <w:t>喷洒除臭剂，加强通风，污水处理系统遮盖，减少臭味逸散。</w:t>
            </w:r>
          </w:p>
        </w:tc>
        <w:tc>
          <w:tcPr>
            <w:tcW w:w="372"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08" w:hRule="atLeast"/>
          <w:jc w:val="center"/>
        </w:trPr>
        <w:tc>
          <w:tcPr>
            <w:tcW w:w="647"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4</w:t>
            </w:r>
          </w:p>
        </w:tc>
        <w:tc>
          <w:tcPr>
            <w:tcW w:w="5969" w:type="dxa"/>
            <w:noWrap w:val="0"/>
            <w:vAlign w:val="center"/>
          </w:tcPr>
          <w:p>
            <w:pPr>
              <w:pStyle w:val="130"/>
              <w:spacing w:line="240" w:lineRule="auto"/>
              <w:ind w:left="0" w:leftChars="0" w:firstLine="400"/>
              <w:jc w:val="left"/>
              <w:rPr>
                <w:rFonts w:ascii="Times New Roman" w:hAnsi="Times New Roman"/>
                <w:color w:val="auto"/>
                <w:sz w:val="21"/>
                <w:szCs w:val="21"/>
              </w:rPr>
            </w:pPr>
            <w:r>
              <w:rPr>
                <w:rFonts w:ascii="Times New Roman" w:hAnsi="Times New Roman"/>
                <w:color w:val="auto"/>
                <w:sz w:val="21"/>
                <w:szCs w:val="21"/>
              </w:rPr>
              <w:t>畜禽养殖废水不得排入敏感水域和有特殊功能落实环评信息公开要求，发挥公众参与的监督作用</w:t>
            </w:r>
          </w:p>
        </w:tc>
        <w:tc>
          <w:tcPr>
            <w:tcW w:w="1929"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业主按照《建设项目公众参与办法》进行环评公示，具体见公众调查说明</w:t>
            </w:r>
          </w:p>
        </w:tc>
        <w:tc>
          <w:tcPr>
            <w:tcW w:w="372"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符合</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lang w:eastAsia="zh-CN"/>
        </w:rPr>
      </w:pPr>
    </w:p>
    <w:p>
      <w:pPr>
        <w:pStyle w:val="6"/>
        <w:pageBreakBefore w:val="0"/>
        <w:widowControl w:val="0"/>
        <w:kinsoku/>
        <w:wordWrap/>
        <w:overflowPunct/>
        <w:topLinePunct w:val="0"/>
        <w:autoSpaceDE/>
        <w:autoSpaceDN/>
        <w:bidi w:val="0"/>
        <w:adjustRightInd w:val="0"/>
        <w:snapToGrid w:val="0"/>
        <w:spacing w:before="0" w:after="0" w:line="360" w:lineRule="auto"/>
        <w:ind w:firstLine="482" w:firstLineChars="200"/>
        <w:jc w:val="both"/>
        <w:textAlignment w:val="auto"/>
        <w:rPr>
          <w:rFonts w:hint="eastAsia" w:ascii="Times New Roman" w:hAnsi="Times New Roman" w:eastAsia="宋体" w:cstheme="minorBidi"/>
          <w:b/>
          <w:bCs/>
          <w:color w:val="auto"/>
          <w:kern w:val="2"/>
          <w:sz w:val="24"/>
          <w:szCs w:val="22"/>
          <w:lang w:val="en-US" w:eastAsia="zh-CN" w:bidi="ar-SA"/>
        </w:rPr>
      </w:pPr>
      <w:r>
        <w:rPr>
          <w:rFonts w:hint="eastAsia" w:ascii="Times New Roman" w:hAnsi="Times New Roman" w:eastAsia="宋体" w:cstheme="minorBidi"/>
          <w:b/>
          <w:bCs/>
          <w:color w:val="auto"/>
          <w:kern w:val="2"/>
          <w:sz w:val="24"/>
          <w:szCs w:val="22"/>
          <w:lang w:val="en-US" w:eastAsia="zh-CN" w:bidi="ar-SA"/>
        </w:rPr>
        <w:t>12、与《畜禽养殖业污染防治技术规范》（HJ/T81-2001）符合性分析</w:t>
      </w:r>
    </w:p>
    <w:p>
      <w:pPr>
        <w:adjustRightInd w:val="0"/>
        <w:snapToGrid w:val="0"/>
        <w:jc w:val="center"/>
        <w:rPr>
          <w:rFonts w:hint="eastAsia" w:ascii="Times New Roman" w:hAnsi="Times New Roman" w:eastAsia="宋体"/>
          <w:b/>
          <w:bCs/>
          <w:color w:val="auto"/>
        </w:rPr>
      </w:pPr>
      <w:r>
        <w:rPr>
          <w:rFonts w:hint="eastAsia" w:ascii="Times New Roman" w:hAnsi="Times New Roman" w:eastAsia="宋体"/>
          <w:b/>
          <w:bCs/>
          <w:color w:val="auto"/>
        </w:rPr>
        <w:t>表</w:t>
      </w:r>
      <w:r>
        <w:rPr>
          <w:rFonts w:hint="eastAsia" w:ascii="Times New Roman" w:hAnsi="Times New Roman" w:eastAsia="宋体"/>
          <w:b/>
          <w:bCs/>
          <w:color w:val="auto"/>
          <w:lang w:val="en-US" w:eastAsia="zh-CN"/>
        </w:rPr>
        <w:t xml:space="preserve">7 </w:t>
      </w:r>
      <w:r>
        <w:rPr>
          <w:rFonts w:hint="eastAsia" w:ascii="Times New Roman" w:hAnsi="Times New Roman" w:eastAsia="宋体"/>
          <w:b/>
          <w:bCs/>
          <w:color w:val="auto"/>
        </w:rPr>
        <w:t xml:space="preserve"> 项目与《畜禽养殖业污染防治技术规范》（HJ/T81-2001）符合性分析</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4755"/>
        <w:gridCol w:w="2581"/>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jc w:val="center"/>
        </w:trPr>
        <w:tc>
          <w:tcPr>
            <w:tcW w:w="646" w:type="dxa"/>
            <w:noWrap w:val="0"/>
            <w:vAlign w:val="center"/>
          </w:tcPr>
          <w:p>
            <w:pPr>
              <w:pStyle w:val="130"/>
              <w:keepNext w:val="0"/>
              <w:keepLines w:val="0"/>
              <w:pageBreakBefore w:val="0"/>
              <w:widowControl w:val="0"/>
              <w:kinsoku/>
              <w:wordWrap/>
              <w:overflowPunct/>
              <w:topLinePunct w:val="0"/>
              <w:autoSpaceDE/>
              <w:autoSpaceDN/>
              <w:bidi w:val="0"/>
              <w:adjustRightInd w:val="0"/>
              <w:snapToGrid w:val="0"/>
              <w:spacing w:line="240" w:lineRule="auto"/>
              <w:ind w:left="0" w:leftChars="0" w:firstLine="0"/>
              <w:jc w:val="center"/>
              <w:textAlignment w:val="auto"/>
              <w:rPr>
                <w:rFonts w:ascii="Times New Roman" w:hAnsi="Times New Roman"/>
                <w:b/>
                <w:bCs/>
                <w:color w:val="auto"/>
                <w:sz w:val="21"/>
                <w:szCs w:val="21"/>
              </w:rPr>
            </w:pPr>
            <w:r>
              <w:rPr>
                <w:rFonts w:ascii="Times New Roman" w:hAnsi="Times New Roman"/>
                <w:b/>
                <w:bCs/>
                <w:color w:val="auto"/>
                <w:sz w:val="21"/>
                <w:szCs w:val="21"/>
              </w:rPr>
              <w:t>序号</w:t>
            </w:r>
          </w:p>
        </w:tc>
        <w:tc>
          <w:tcPr>
            <w:tcW w:w="4755" w:type="dxa"/>
            <w:noWrap w:val="0"/>
            <w:vAlign w:val="center"/>
          </w:tcPr>
          <w:p>
            <w:pPr>
              <w:pStyle w:val="130"/>
              <w:keepNext w:val="0"/>
              <w:keepLines w:val="0"/>
              <w:pageBreakBefore w:val="0"/>
              <w:widowControl w:val="0"/>
              <w:kinsoku/>
              <w:wordWrap/>
              <w:overflowPunct/>
              <w:topLinePunct w:val="0"/>
              <w:autoSpaceDE/>
              <w:autoSpaceDN/>
              <w:bidi w:val="0"/>
              <w:adjustRightInd w:val="0"/>
              <w:snapToGrid w:val="0"/>
              <w:spacing w:line="240" w:lineRule="auto"/>
              <w:ind w:left="0" w:leftChars="0" w:firstLine="0"/>
              <w:jc w:val="center"/>
              <w:textAlignment w:val="auto"/>
              <w:rPr>
                <w:rFonts w:ascii="Times New Roman" w:hAnsi="Times New Roman"/>
                <w:b/>
                <w:bCs/>
                <w:color w:val="auto"/>
                <w:sz w:val="21"/>
                <w:szCs w:val="21"/>
              </w:rPr>
            </w:pPr>
            <w:r>
              <w:rPr>
                <w:rFonts w:ascii="Times New Roman" w:hAnsi="Times New Roman"/>
                <w:b/>
                <w:bCs/>
                <w:color w:val="auto"/>
                <w:sz w:val="21"/>
                <w:szCs w:val="21"/>
              </w:rPr>
              <w:t>《畜禽养殖业污染防治技术规范》有关要求</w:t>
            </w:r>
          </w:p>
        </w:tc>
        <w:tc>
          <w:tcPr>
            <w:tcW w:w="2581" w:type="dxa"/>
            <w:noWrap w:val="0"/>
            <w:vAlign w:val="center"/>
          </w:tcPr>
          <w:p>
            <w:pPr>
              <w:pStyle w:val="130"/>
              <w:keepNext w:val="0"/>
              <w:keepLines w:val="0"/>
              <w:pageBreakBefore w:val="0"/>
              <w:widowControl w:val="0"/>
              <w:kinsoku/>
              <w:wordWrap/>
              <w:overflowPunct/>
              <w:topLinePunct w:val="0"/>
              <w:autoSpaceDE/>
              <w:autoSpaceDN/>
              <w:bidi w:val="0"/>
              <w:adjustRightInd w:val="0"/>
              <w:snapToGrid w:val="0"/>
              <w:spacing w:line="240" w:lineRule="auto"/>
              <w:ind w:left="0" w:leftChars="0" w:firstLine="0"/>
              <w:jc w:val="center"/>
              <w:textAlignment w:val="auto"/>
              <w:rPr>
                <w:rFonts w:ascii="Times New Roman" w:hAnsi="Times New Roman"/>
                <w:b/>
                <w:bCs/>
                <w:color w:val="auto"/>
                <w:sz w:val="21"/>
                <w:szCs w:val="21"/>
              </w:rPr>
            </w:pPr>
            <w:r>
              <w:rPr>
                <w:rFonts w:ascii="Times New Roman" w:hAnsi="Times New Roman"/>
                <w:b/>
                <w:bCs/>
                <w:color w:val="auto"/>
                <w:sz w:val="21"/>
                <w:szCs w:val="21"/>
              </w:rPr>
              <w:t>本项目情况</w:t>
            </w:r>
          </w:p>
        </w:tc>
        <w:tc>
          <w:tcPr>
            <w:tcW w:w="916" w:type="dxa"/>
            <w:noWrap w:val="0"/>
            <w:vAlign w:val="center"/>
          </w:tcPr>
          <w:p>
            <w:pPr>
              <w:pStyle w:val="130"/>
              <w:keepNext w:val="0"/>
              <w:keepLines w:val="0"/>
              <w:pageBreakBefore w:val="0"/>
              <w:widowControl w:val="0"/>
              <w:kinsoku/>
              <w:wordWrap/>
              <w:overflowPunct/>
              <w:topLinePunct w:val="0"/>
              <w:autoSpaceDE/>
              <w:autoSpaceDN/>
              <w:bidi w:val="0"/>
              <w:adjustRightInd w:val="0"/>
              <w:snapToGrid w:val="0"/>
              <w:spacing w:line="240" w:lineRule="auto"/>
              <w:ind w:left="0" w:leftChars="0" w:firstLine="0"/>
              <w:jc w:val="center"/>
              <w:textAlignment w:val="auto"/>
              <w:rPr>
                <w:rFonts w:ascii="Times New Roman" w:hAnsi="Times New Roman"/>
                <w:b/>
                <w:bCs/>
                <w:color w:val="auto"/>
                <w:sz w:val="21"/>
                <w:szCs w:val="21"/>
              </w:rPr>
            </w:pPr>
            <w:r>
              <w:rPr>
                <w:rFonts w:ascii="Times New Roman" w:hAnsi="Times New Roman"/>
                <w:b/>
                <w:bCs/>
                <w:color w:val="auto"/>
                <w:sz w:val="21"/>
                <w:szCs w:val="21"/>
              </w:rPr>
              <w:t>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7" w:hRule="atLeast"/>
          <w:jc w:val="center"/>
        </w:trPr>
        <w:tc>
          <w:tcPr>
            <w:tcW w:w="646" w:type="dxa"/>
            <w:noWrap w:val="0"/>
            <w:vAlign w:val="center"/>
          </w:tcPr>
          <w:p>
            <w:pPr>
              <w:pStyle w:val="130"/>
              <w:keepNext w:val="0"/>
              <w:keepLines w:val="0"/>
              <w:pageBreakBefore w:val="0"/>
              <w:widowControl w:val="0"/>
              <w:kinsoku/>
              <w:wordWrap/>
              <w:overflowPunct/>
              <w:topLinePunct w:val="0"/>
              <w:autoSpaceDE/>
              <w:autoSpaceDN/>
              <w:bidi w:val="0"/>
              <w:adjustRightInd w:val="0"/>
              <w:snapToGrid w:val="0"/>
              <w:spacing w:line="240" w:lineRule="auto"/>
              <w:ind w:left="0" w:leftChars="0" w:firstLine="0"/>
              <w:jc w:val="center"/>
              <w:textAlignment w:val="auto"/>
              <w:rPr>
                <w:rFonts w:ascii="Times New Roman" w:hAnsi="Times New Roman"/>
                <w:color w:val="auto"/>
                <w:sz w:val="21"/>
                <w:szCs w:val="21"/>
              </w:rPr>
            </w:pPr>
            <w:r>
              <w:rPr>
                <w:rFonts w:ascii="Times New Roman" w:hAnsi="Times New Roman"/>
                <w:color w:val="auto"/>
                <w:sz w:val="21"/>
                <w:szCs w:val="21"/>
              </w:rPr>
              <w:t>1</w:t>
            </w:r>
          </w:p>
        </w:tc>
        <w:tc>
          <w:tcPr>
            <w:tcW w:w="4755" w:type="dxa"/>
            <w:noWrap w:val="0"/>
            <w:vAlign w:val="center"/>
          </w:tcPr>
          <w:p>
            <w:pPr>
              <w:pStyle w:val="130"/>
              <w:keepNext w:val="0"/>
              <w:keepLines w:val="0"/>
              <w:pageBreakBefore w:val="0"/>
              <w:widowControl w:val="0"/>
              <w:kinsoku/>
              <w:wordWrap/>
              <w:overflowPunct/>
              <w:topLinePunct w:val="0"/>
              <w:autoSpaceDE/>
              <w:autoSpaceDN/>
              <w:bidi w:val="0"/>
              <w:adjustRightInd w:val="0"/>
              <w:snapToGrid w:val="0"/>
              <w:spacing w:line="240" w:lineRule="auto"/>
              <w:ind w:left="0" w:leftChars="0" w:firstLine="0"/>
              <w:jc w:val="left"/>
              <w:textAlignment w:val="auto"/>
              <w:rPr>
                <w:rFonts w:ascii="Times New Roman" w:hAnsi="Times New Roman"/>
                <w:color w:val="auto"/>
                <w:sz w:val="21"/>
                <w:szCs w:val="21"/>
              </w:rPr>
            </w:pPr>
            <w:r>
              <w:rPr>
                <w:rFonts w:ascii="Times New Roman" w:hAnsi="Times New Roman"/>
                <w:color w:val="auto"/>
                <w:sz w:val="21"/>
                <w:szCs w:val="21"/>
              </w:rPr>
              <w:t>禁止在下列区域内建设畜禽养殖场：</w:t>
            </w:r>
          </w:p>
          <w:p>
            <w:pPr>
              <w:pStyle w:val="130"/>
              <w:keepNext w:val="0"/>
              <w:keepLines w:val="0"/>
              <w:pageBreakBefore w:val="0"/>
              <w:widowControl w:val="0"/>
              <w:kinsoku/>
              <w:wordWrap/>
              <w:overflowPunct/>
              <w:topLinePunct w:val="0"/>
              <w:autoSpaceDE/>
              <w:autoSpaceDN/>
              <w:bidi w:val="0"/>
              <w:adjustRightInd w:val="0"/>
              <w:snapToGrid w:val="0"/>
              <w:spacing w:line="240" w:lineRule="auto"/>
              <w:ind w:left="0" w:leftChars="0" w:firstLine="0"/>
              <w:jc w:val="left"/>
              <w:textAlignment w:val="auto"/>
              <w:rPr>
                <w:rFonts w:ascii="Times New Roman" w:hAnsi="Times New Roman"/>
                <w:color w:val="auto"/>
                <w:sz w:val="21"/>
                <w:szCs w:val="21"/>
              </w:rPr>
            </w:pPr>
            <w:r>
              <w:rPr>
                <w:rFonts w:hint="eastAsia" w:ascii="Times New Roman" w:hAnsi="Times New Roman"/>
                <w:color w:val="auto"/>
                <w:sz w:val="21"/>
                <w:szCs w:val="21"/>
              </w:rPr>
              <w:t>①</w:t>
            </w:r>
            <w:r>
              <w:rPr>
                <w:rFonts w:ascii="Times New Roman" w:hAnsi="Times New Roman"/>
                <w:color w:val="auto"/>
                <w:sz w:val="21"/>
                <w:szCs w:val="21"/>
              </w:rPr>
              <w:t>生活饮用水水源保护区、风景名胜区、自然保护区的核心区及缓冲区</w:t>
            </w:r>
          </w:p>
          <w:p>
            <w:pPr>
              <w:pStyle w:val="130"/>
              <w:keepNext w:val="0"/>
              <w:keepLines w:val="0"/>
              <w:pageBreakBefore w:val="0"/>
              <w:widowControl w:val="0"/>
              <w:kinsoku/>
              <w:wordWrap/>
              <w:overflowPunct/>
              <w:topLinePunct w:val="0"/>
              <w:autoSpaceDE/>
              <w:autoSpaceDN/>
              <w:bidi w:val="0"/>
              <w:adjustRightInd w:val="0"/>
              <w:snapToGrid w:val="0"/>
              <w:spacing w:line="240" w:lineRule="auto"/>
              <w:ind w:left="0" w:leftChars="0" w:firstLine="0"/>
              <w:jc w:val="left"/>
              <w:textAlignment w:val="auto"/>
              <w:rPr>
                <w:rFonts w:ascii="Times New Roman" w:hAnsi="Times New Roman"/>
                <w:color w:val="auto"/>
                <w:sz w:val="21"/>
                <w:szCs w:val="21"/>
              </w:rPr>
            </w:pPr>
            <w:r>
              <w:rPr>
                <w:rFonts w:hint="eastAsia" w:ascii="Times New Roman" w:hAnsi="Times New Roman"/>
                <w:color w:val="auto"/>
                <w:sz w:val="21"/>
                <w:szCs w:val="21"/>
              </w:rPr>
              <w:t>②</w:t>
            </w:r>
            <w:r>
              <w:rPr>
                <w:rFonts w:ascii="Times New Roman" w:hAnsi="Times New Roman"/>
                <w:color w:val="auto"/>
                <w:sz w:val="21"/>
                <w:szCs w:val="21"/>
              </w:rPr>
              <w:t>城市和城镇居民区，包括文教科研区、医疗区、商业区、工业区、游览区等人口集中地区</w:t>
            </w:r>
          </w:p>
          <w:p>
            <w:pPr>
              <w:pStyle w:val="130"/>
              <w:keepNext w:val="0"/>
              <w:keepLines w:val="0"/>
              <w:pageBreakBefore w:val="0"/>
              <w:widowControl w:val="0"/>
              <w:kinsoku/>
              <w:wordWrap/>
              <w:overflowPunct/>
              <w:topLinePunct w:val="0"/>
              <w:autoSpaceDE/>
              <w:autoSpaceDN/>
              <w:bidi w:val="0"/>
              <w:adjustRightInd w:val="0"/>
              <w:snapToGrid w:val="0"/>
              <w:spacing w:line="240" w:lineRule="auto"/>
              <w:ind w:left="0" w:leftChars="0" w:firstLine="0"/>
              <w:jc w:val="left"/>
              <w:textAlignment w:val="auto"/>
              <w:rPr>
                <w:rFonts w:ascii="Times New Roman" w:hAnsi="Times New Roman"/>
                <w:color w:val="auto"/>
                <w:sz w:val="21"/>
                <w:szCs w:val="21"/>
              </w:rPr>
            </w:pPr>
            <w:r>
              <w:rPr>
                <w:rFonts w:hint="eastAsia" w:ascii="Times New Roman" w:hAnsi="Times New Roman"/>
                <w:color w:val="auto"/>
                <w:sz w:val="21"/>
                <w:szCs w:val="21"/>
              </w:rPr>
              <w:t>③</w:t>
            </w:r>
            <w:r>
              <w:rPr>
                <w:rFonts w:ascii="Times New Roman" w:hAnsi="Times New Roman"/>
                <w:color w:val="auto"/>
                <w:sz w:val="21"/>
                <w:szCs w:val="21"/>
              </w:rPr>
              <w:t>县级人民政府依法划定的禁养区域</w:t>
            </w:r>
          </w:p>
          <w:p>
            <w:pPr>
              <w:pStyle w:val="130"/>
              <w:keepNext w:val="0"/>
              <w:keepLines w:val="0"/>
              <w:pageBreakBefore w:val="0"/>
              <w:widowControl w:val="0"/>
              <w:kinsoku/>
              <w:wordWrap/>
              <w:overflowPunct/>
              <w:topLinePunct w:val="0"/>
              <w:autoSpaceDE/>
              <w:autoSpaceDN/>
              <w:bidi w:val="0"/>
              <w:adjustRightInd w:val="0"/>
              <w:snapToGrid w:val="0"/>
              <w:spacing w:line="240" w:lineRule="auto"/>
              <w:ind w:left="0" w:leftChars="0" w:firstLine="0"/>
              <w:jc w:val="left"/>
              <w:textAlignment w:val="auto"/>
              <w:rPr>
                <w:rFonts w:ascii="Times New Roman" w:hAnsi="Times New Roman"/>
                <w:color w:val="auto"/>
                <w:sz w:val="21"/>
                <w:szCs w:val="21"/>
              </w:rPr>
            </w:pPr>
            <w:r>
              <w:rPr>
                <w:rFonts w:hint="eastAsia" w:ascii="Times New Roman" w:hAnsi="Times New Roman"/>
                <w:color w:val="auto"/>
                <w:sz w:val="21"/>
                <w:szCs w:val="21"/>
              </w:rPr>
              <w:t>④</w:t>
            </w:r>
            <w:r>
              <w:rPr>
                <w:rFonts w:ascii="Times New Roman" w:hAnsi="Times New Roman"/>
                <w:color w:val="auto"/>
                <w:sz w:val="21"/>
                <w:szCs w:val="21"/>
              </w:rPr>
              <w:t>国家或地方法律、法规规定需特殊保护的其它区域</w:t>
            </w:r>
          </w:p>
        </w:tc>
        <w:tc>
          <w:tcPr>
            <w:tcW w:w="2581" w:type="dxa"/>
            <w:noWrap w:val="0"/>
            <w:vAlign w:val="center"/>
          </w:tcPr>
          <w:p>
            <w:pPr>
              <w:pStyle w:val="130"/>
              <w:keepNext w:val="0"/>
              <w:keepLines w:val="0"/>
              <w:pageBreakBefore w:val="0"/>
              <w:widowControl w:val="0"/>
              <w:kinsoku/>
              <w:wordWrap/>
              <w:overflowPunct/>
              <w:topLinePunct w:val="0"/>
              <w:autoSpaceDE/>
              <w:autoSpaceDN/>
              <w:bidi w:val="0"/>
              <w:adjustRightInd w:val="0"/>
              <w:snapToGrid w:val="0"/>
              <w:spacing w:line="240" w:lineRule="auto"/>
              <w:ind w:left="0" w:leftChars="0" w:firstLine="0"/>
              <w:jc w:val="left"/>
              <w:textAlignment w:val="auto"/>
              <w:rPr>
                <w:rFonts w:ascii="Times New Roman" w:hAnsi="Times New Roman"/>
                <w:color w:val="auto"/>
                <w:sz w:val="21"/>
                <w:szCs w:val="21"/>
              </w:rPr>
            </w:pPr>
            <w:r>
              <w:rPr>
                <w:rFonts w:ascii="Times New Roman" w:hAnsi="Times New Roman"/>
                <w:color w:val="auto"/>
                <w:sz w:val="21"/>
                <w:szCs w:val="21"/>
              </w:rPr>
              <w:t>本项目区域不属于水源保护区、风景名胜区、自然保护区及城镇居民区等法律法规禁止养殖区域</w:t>
            </w:r>
          </w:p>
        </w:tc>
        <w:tc>
          <w:tcPr>
            <w:tcW w:w="916" w:type="dxa"/>
            <w:noWrap w:val="0"/>
            <w:vAlign w:val="center"/>
          </w:tcPr>
          <w:p>
            <w:pPr>
              <w:pStyle w:val="130"/>
              <w:keepNext w:val="0"/>
              <w:keepLines w:val="0"/>
              <w:pageBreakBefore w:val="0"/>
              <w:widowControl w:val="0"/>
              <w:kinsoku/>
              <w:wordWrap/>
              <w:overflowPunct/>
              <w:topLinePunct w:val="0"/>
              <w:autoSpaceDE/>
              <w:autoSpaceDN/>
              <w:bidi w:val="0"/>
              <w:adjustRightInd w:val="0"/>
              <w:snapToGrid w:val="0"/>
              <w:spacing w:line="240" w:lineRule="auto"/>
              <w:ind w:left="0" w:leftChars="0" w:firstLine="0"/>
              <w:jc w:val="center"/>
              <w:textAlignment w:val="auto"/>
              <w:rPr>
                <w:rFonts w:ascii="Times New Roman" w:hAnsi="Times New Roman"/>
                <w:color w:val="auto"/>
                <w:sz w:val="21"/>
                <w:szCs w:val="21"/>
              </w:rPr>
            </w:pPr>
            <w:r>
              <w:rPr>
                <w:rFonts w:ascii="Times New Roman" w:hAnsi="Times New Roman"/>
                <w:color w:val="auto"/>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53" w:hRule="atLeast"/>
          <w:jc w:val="center"/>
        </w:trPr>
        <w:tc>
          <w:tcPr>
            <w:tcW w:w="646" w:type="dxa"/>
            <w:noWrap w:val="0"/>
            <w:vAlign w:val="center"/>
          </w:tcPr>
          <w:p>
            <w:pPr>
              <w:pStyle w:val="130"/>
              <w:keepNext w:val="0"/>
              <w:keepLines w:val="0"/>
              <w:pageBreakBefore w:val="0"/>
              <w:widowControl w:val="0"/>
              <w:kinsoku/>
              <w:wordWrap/>
              <w:overflowPunct/>
              <w:topLinePunct w:val="0"/>
              <w:autoSpaceDE/>
              <w:autoSpaceDN/>
              <w:bidi w:val="0"/>
              <w:adjustRightInd w:val="0"/>
              <w:snapToGrid w:val="0"/>
              <w:spacing w:line="240" w:lineRule="auto"/>
              <w:ind w:left="0" w:leftChars="0" w:firstLine="0"/>
              <w:jc w:val="center"/>
              <w:textAlignment w:val="auto"/>
              <w:rPr>
                <w:rFonts w:ascii="Times New Roman" w:hAnsi="Times New Roman"/>
                <w:color w:val="auto"/>
                <w:sz w:val="21"/>
                <w:szCs w:val="21"/>
              </w:rPr>
            </w:pPr>
            <w:r>
              <w:rPr>
                <w:rFonts w:ascii="Times New Roman" w:hAnsi="Times New Roman"/>
                <w:color w:val="auto"/>
                <w:sz w:val="21"/>
                <w:szCs w:val="21"/>
              </w:rPr>
              <w:t>2</w:t>
            </w:r>
          </w:p>
        </w:tc>
        <w:tc>
          <w:tcPr>
            <w:tcW w:w="4755" w:type="dxa"/>
            <w:noWrap w:val="0"/>
            <w:vAlign w:val="center"/>
          </w:tcPr>
          <w:p>
            <w:pPr>
              <w:pStyle w:val="130"/>
              <w:keepNext w:val="0"/>
              <w:keepLines w:val="0"/>
              <w:pageBreakBefore w:val="0"/>
              <w:widowControl w:val="0"/>
              <w:kinsoku/>
              <w:wordWrap/>
              <w:overflowPunct/>
              <w:topLinePunct w:val="0"/>
              <w:autoSpaceDE/>
              <w:autoSpaceDN/>
              <w:bidi w:val="0"/>
              <w:adjustRightInd w:val="0"/>
              <w:snapToGrid w:val="0"/>
              <w:spacing w:line="240" w:lineRule="auto"/>
              <w:ind w:left="0" w:leftChars="0" w:firstLine="0"/>
              <w:jc w:val="left"/>
              <w:textAlignment w:val="auto"/>
              <w:rPr>
                <w:rFonts w:ascii="Times New Roman" w:hAnsi="Times New Roman"/>
                <w:color w:val="auto"/>
                <w:sz w:val="21"/>
                <w:szCs w:val="21"/>
              </w:rPr>
            </w:pPr>
            <w:r>
              <w:rPr>
                <w:rFonts w:ascii="Times New Roman" w:hAnsi="Times New Roman"/>
                <w:color w:val="auto"/>
                <w:sz w:val="21"/>
                <w:szCs w:val="21"/>
              </w:rPr>
              <w:t>新建、改建、扩建的畜禽养殖场选址应避开上述禁建区域，在禁建区域附近建设的，应设在上述规定的禁建区域常年主导风向的下风向或侧风向处，场界与禁建区边界的最小距离不得小于500m</w:t>
            </w:r>
          </w:p>
        </w:tc>
        <w:tc>
          <w:tcPr>
            <w:tcW w:w="2581" w:type="dxa"/>
            <w:noWrap w:val="0"/>
            <w:vAlign w:val="center"/>
          </w:tcPr>
          <w:p>
            <w:pPr>
              <w:pStyle w:val="130"/>
              <w:keepNext w:val="0"/>
              <w:keepLines w:val="0"/>
              <w:pageBreakBefore w:val="0"/>
              <w:widowControl w:val="0"/>
              <w:kinsoku/>
              <w:wordWrap/>
              <w:overflowPunct/>
              <w:topLinePunct w:val="0"/>
              <w:autoSpaceDE/>
              <w:autoSpaceDN/>
              <w:bidi w:val="0"/>
              <w:adjustRightInd w:val="0"/>
              <w:snapToGrid w:val="0"/>
              <w:spacing w:line="240" w:lineRule="auto"/>
              <w:ind w:left="0" w:leftChars="0" w:firstLine="0"/>
              <w:jc w:val="left"/>
              <w:textAlignment w:val="auto"/>
              <w:rPr>
                <w:rFonts w:hint="eastAsia" w:ascii="Times New Roman" w:hAnsi="Times New Roman" w:eastAsia="宋体"/>
                <w:color w:val="auto"/>
                <w:sz w:val="21"/>
                <w:szCs w:val="21"/>
                <w:lang w:eastAsia="zh-CN"/>
              </w:rPr>
            </w:pPr>
            <w:r>
              <w:rPr>
                <w:rFonts w:ascii="Times New Roman" w:hAnsi="Times New Roman"/>
                <w:color w:val="auto"/>
                <w:sz w:val="21"/>
                <w:szCs w:val="21"/>
              </w:rPr>
              <w:t>拟建区域不属于禁养区和限养区范围</w:t>
            </w:r>
            <w:r>
              <w:rPr>
                <w:rFonts w:hint="eastAsia" w:ascii="Times New Roman" w:hAnsi="Times New Roman"/>
                <w:color w:val="auto"/>
                <w:sz w:val="21"/>
                <w:szCs w:val="21"/>
                <w:lang w:eastAsia="zh-CN"/>
              </w:rPr>
              <w:t>。</w:t>
            </w:r>
          </w:p>
        </w:tc>
        <w:tc>
          <w:tcPr>
            <w:tcW w:w="916" w:type="dxa"/>
            <w:noWrap w:val="0"/>
            <w:vAlign w:val="center"/>
          </w:tcPr>
          <w:p>
            <w:pPr>
              <w:pStyle w:val="130"/>
              <w:keepNext w:val="0"/>
              <w:keepLines w:val="0"/>
              <w:pageBreakBefore w:val="0"/>
              <w:widowControl w:val="0"/>
              <w:kinsoku/>
              <w:wordWrap/>
              <w:overflowPunct/>
              <w:topLinePunct w:val="0"/>
              <w:autoSpaceDE/>
              <w:autoSpaceDN/>
              <w:bidi w:val="0"/>
              <w:adjustRightInd w:val="0"/>
              <w:snapToGrid w:val="0"/>
              <w:spacing w:line="240" w:lineRule="auto"/>
              <w:ind w:left="0" w:leftChars="0" w:firstLine="0"/>
              <w:jc w:val="center"/>
              <w:textAlignment w:val="auto"/>
              <w:rPr>
                <w:rFonts w:ascii="Times New Roman" w:hAnsi="Times New Roman"/>
                <w:color w:val="auto"/>
                <w:sz w:val="21"/>
                <w:szCs w:val="21"/>
              </w:rPr>
            </w:pPr>
            <w:r>
              <w:rPr>
                <w:rFonts w:ascii="Times New Roman" w:hAnsi="Times New Roman"/>
                <w:color w:val="auto"/>
                <w:sz w:val="21"/>
                <w:szCs w:val="21"/>
              </w:rPr>
              <w:t>符合</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lang w:eastAsia="zh-CN"/>
        </w:rPr>
      </w:pPr>
      <w:r>
        <w:rPr>
          <w:rFonts w:hint="eastAsia" w:ascii="Times New Roman" w:hAnsi="Times New Roman" w:eastAsia="宋体"/>
          <w:color w:val="auto"/>
          <w:sz w:val="24"/>
          <w:lang w:eastAsia="zh-CN"/>
        </w:rPr>
        <w:t>因此，本项目符合《畜禽养殖业污染防治技术规范》（HJ/T81-2001）中相关要求。</w:t>
      </w:r>
    </w:p>
    <w:p>
      <w:pPr>
        <w:pStyle w:val="6"/>
        <w:pageBreakBefore w:val="0"/>
        <w:widowControl w:val="0"/>
        <w:kinsoku/>
        <w:wordWrap/>
        <w:overflowPunct/>
        <w:topLinePunct w:val="0"/>
        <w:autoSpaceDE/>
        <w:autoSpaceDN/>
        <w:bidi w:val="0"/>
        <w:adjustRightInd w:val="0"/>
        <w:snapToGrid w:val="0"/>
        <w:spacing w:before="0" w:after="0" w:line="360" w:lineRule="auto"/>
        <w:ind w:firstLine="482" w:firstLineChars="200"/>
        <w:jc w:val="both"/>
        <w:textAlignment w:val="auto"/>
        <w:rPr>
          <w:rFonts w:hint="eastAsia" w:ascii="Times New Roman" w:hAnsi="Times New Roman" w:eastAsia="宋体" w:cstheme="minorBidi"/>
          <w:b/>
          <w:bCs/>
          <w:color w:val="auto"/>
          <w:kern w:val="2"/>
          <w:sz w:val="24"/>
          <w:szCs w:val="22"/>
          <w:lang w:val="en-US" w:eastAsia="zh-CN" w:bidi="ar-SA"/>
        </w:rPr>
      </w:pPr>
      <w:r>
        <w:rPr>
          <w:rFonts w:hint="eastAsia" w:ascii="Times New Roman" w:hAnsi="Times New Roman" w:eastAsia="宋体" w:cstheme="minorBidi"/>
          <w:b/>
          <w:bCs/>
          <w:color w:val="auto"/>
          <w:kern w:val="2"/>
          <w:sz w:val="24"/>
          <w:szCs w:val="22"/>
          <w:lang w:val="en-US" w:eastAsia="zh-CN" w:bidi="ar-SA"/>
        </w:rPr>
        <w:t>13、与《畜禽粪便无害化处理技术规范》（GB/T36195-2018）符合性分析</w:t>
      </w:r>
    </w:p>
    <w:p>
      <w:pPr>
        <w:adjustRightInd w:val="0"/>
        <w:snapToGrid w:val="0"/>
        <w:jc w:val="center"/>
        <w:rPr>
          <w:rFonts w:hint="eastAsia" w:ascii="Times New Roman" w:hAnsi="Times New Roman" w:eastAsia="宋体"/>
          <w:b/>
          <w:bCs/>
          <w:color w:val="auto"/>
        </w:rPr>
      </w:pPr>
    </w:p>
    <w:p>
      <w:pPr>
        <w:adjustRightInd w:val="0"/>
        <w:snapToGrid w:val="0"/>
        <w:jc w:val="center"/>
        <w:rPr>
          <w:rFonts w:hint="eastAsia" w:ascii="Times New Roman" w:hAnsi="Times New Roman" w:eastAsia="宋体"/>
          <w:b/>
          <w:bCs/>
          <w:color w:val="auto"/>
        </w:rPr>
      </w:pPr>
    </w:p>
    <w:p>
      <w:pPr>
        <w:adjustRightInd w:val="0"/>
        <w:snapToGrid w:val="0"/>
        <w:jc w:val="center"/>
        <w:rPr>
          <w:rFonts w:hint="eastAsia" w:ascii="Times New Roman" w:hAnsi="Times New Roman" w:eastAsia="宋体"/>
          <w:b/>
          <w:bCs/>
          <w:color w:val="auto"/>
        </w:rPr>
      </w:pPr>
      <w:r>
        <w:rPr>
          <w:rFonts w:hint="eastAsia" w:ascii="Times New Roman" w:hAnsi="Times New Roman" w:eastAsia="宋体"/>
          <w:b/>
          <w:bCs/>
          <w:color w:val="auto"/>
        </w:rPr>
        <w:t>表</w:t>
      </w:r>
      <w:r>
        <w:rPr>
          <w:rFonts w:hint="eastAsia" w:ascii="Times New Roman" w:hAnsi="Times New Roman" w:eastAsia="宋体"/>
          <w:b/>
          <w:bCs/>
          <w:color w:val="auto"/>
          <w:lang w:val="en-US" w:eastAsia="zh-CN"/>
        </w:rPr>
        <w:t xml:space="preserve">8 </w:t>
      </w:r>
      <w:r>
        <w:rPr>
          <w:rFonts w:hint="eastAsia" w:ascii="Times New Roman" w:hAnsi="Times New Roman" w:eastAsia="宋体"/>
          <w:b/>
          <w:bCs/>
          <w:color w:val="auto"/>
        </w:rPr>
        <w:t xml:space="preserve"> 与《畜禽粪便无害化处理技术规范》（GB/T36195-2018）符合性分析</w:t>
      </w:r>
    </w:p>
    <w:tbl>
      <w:tblPr>
        <w:tblStyle w:val="34"/>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47"/>
        <w:gridCol w:w="5720"/>
        <w:gridCol w:w="2178"/>
        <w:gridCol w:w="37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647"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序号</w:t>
            </w:r>
          </w:p>
        </w:tc>
        <w:tc>
          <w:tcPr>
            <w:tcW w:w="5720"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hint="eastAsia" w:ascii="Times New Roman" w:hAnsi="Times New Roman"/>
                <w:color w:val="auto"/>
                <w:sz w:val="21"/>
                <w:szCs w:val="21"/>
              </w:rPr>
              <w:t>《畜禽粪便无害化处理技术规范》（GB/T36195-2018）</w:t>
            </w:r>
            <w:r>
              <w:rPr>
                <w:rFonts w:ascii="Times New Roman" w:hAnsi="Times New Roman"/>
                <w:color w:val="auto"/>
                <w:sz w:val="21"/>
                <w:szCs w:val="21"/>
              </w:rPr>
              <w:t>相关要求</w:t>
            </w:r>
          </w:p>
        </w:tc>
        <w:tc>
          <w:tcPr>
            <w:tcW w:w="2178"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本项目情况</w:t>
            </w:r>
          </w:p>
        </w:tc>
        <w:tc>
          <w:tcPr>
            <w:tcW w:w="372"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结论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46" w:hRule="atLeast"/>
          <w:jc w:val="center"/>
        </w:trPr>
        <w:tc>
          <w:tcPr>
            <w:tcW w:w="647"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1</w:t>
            </w:r>
          </w:p>
        </w:tc>
        <w:tc>
          <w:tcPr>
            <w:tcW w:w="5720" w:type="dxa"/>
            <w:noWrap w:val="0"/>
            <w:vAlign w:val="center"/>
          </w:tcPr>
          <w:p>
            <w:pPr>
              <w:pStyle w:val="130"/>
              <w:spacing w:line="240" w:lineRule="auto"/>
              <w:ind w:firstLine="0" w:firstLineChars="0"/>
              <w:jc w:val="left"/>
              <w:rPr>
                <w:rFonts w:hint="eastAsia"/>
                <w:color w:val="auto"/>
                <w:sz w:val="21"/>
                <w:szCs w:val="21"/>
                <w:lang w:eastAsia="zh-CN"/>
              </w:rPr>
            </w:pPr>
            <w:r>
              <w:rPr>
                <w:rFonts w:hint="eastAsia"/>
                <w:color w:val="auto"/>
                <w:sz w:val="21"/>
                <w:szCs w:val="21"/>
                <w:lang w:eastAsia="zh-CN"/>
              </w:rPr>
              <w:t>基本要求：</w:t>
            </w:r>
          </w:p>
          <w:p>
            <w:pPr>
              <w:pStyle w:val="130"/>
              <w:spacing w:line="240" w:lineRule="auto"/>
              <w:ind w:firstLine="400"/>
              <w:jc w:val="left"/>
              <w:rPr>
                <w:rFonts w:hint="eastAsia" w:ascii="Times New Roman" w:hAnsi="Times New Roman"/>
                <w:color w:val="auto"/>
                <w:sz w:val="21"/>
                <w:szCs w:val="21"/>
                <w:lang w:eastAsia="zh-CN"/>
              </w:rPr>
            </w:pPr>
            <w:r>
              <w:rPr>
                <w:rFonts w:hint="eastAsia" w:ascii="Times New Roman" w:hAnsi="Times New Roman"/>
                <w:color w:val="auto"/>
                <w:sz w:val="21"/>
                <w:szCs w:val="21"/>
                <w:lang w:eastAsia="zh-CN"/>
              </w:rPr>
              <w:t>新建、扩建和改建畜禽养殖场和养殖小区应设置污水处理区，建设畜禽粪便处理设施的应补建。</w:t>
            </w:r>
          </w:p>
          <w:p>
            <w:pPr>
              <w:pStyle w:val="130"/>
              <w:spacing w:line="240" w:lineRule="auto"/>
              <w:ind w:firstLine="400"/>
              <w:jc w:val="left"/>
              <w:rPr>
                <w:rFonts w:hint="eastAsia" w:ascii="Times New Roman" w:hAnsi="Times New Roman"/>
                <w:color w:val="auto"/>
                <w:sz w:val="21"/>
                <w:szCs w:val="21"/>
                <w:lang w:val="en-US" w:eastAsia="zh-CN"/>
              </w:rPr>
            </w:pPr>
            <w:r>
              <w:rPr>
                <w:rFonts w:hint="eastAsia" w:ascii="Times New Roman" w:hAnsi="Times New Roman"/>
                <w:color w:val="auto"/>
                <w:sz w:val="21"/>
                <w:szCs w:val="21"/>
                <w:lang w:eastAsia="zh-CN"/>
              </w:rPr>
              <w:t>畜禽养殖场、养殖小区的污水处理区布局应按照</w:t>
            </w:r>
            <w:r>
              <w:rPr>
                <w:rFonts w:hint="eastAsia" w:ascii="Times New Roman" w:hAnsi="Times New Roman"/>
                <w:color w:val="auto"/>
                <w:sz w:val="21"/>
                <w:szCs w:val="21"/>
                <w:lang w:val="en-US" w:eastAsia="zh-CN"/>
              </w:rPr>
              <w:t>NY/T682的规定执行。</w:t>
            </w:r>
          </w:p>
          <w:p>
            <w:pPr>
              <w:pStyle w:val="130"/>
              <w:spacing w:line="240" w:lineRule="auto"/>
              <w:ind w:firstLine="400"/>
              <w:jc w:val="left"/>
              <w:rPr>
                <w:rFonts w:hint="eastAsia" w:ascii="Times New Roman" w:hAnsi="Times New Roman"/>
                <w:color w:val="auto"/>
                <w:sz w:val="21"/>
                <w:szCs w:val="21"/>
                <w:lang w:val="en-US" w:eastAsia="zh-CN"/>
              </w:rPr>
            </w:pPr>
            <w:r>
              <w:rPr>
                <w:rFonts w:hint="eastAsia" w:ascii="Times New Roman" w:hAnsi="Times New Roman"/>
                <w:color w:val="auto"/>
                <w:sz w:val="21"/>
                <w:szCs w:val="21"/>
                <w:lang w:val="en-US" w:eastAsia="zh-CN"/>
              </w:rPr>
              <w:t>畜禽粪便处理应坚持减量化、资源化和无害化的原则。</w:t>
            </w:r>
          </w:p>
          <w:p>
            <w:pPr>
              <w:pStyle w:val="130"/>
              <w:spacing w:line="240" w:lineRule="auto"/>
              <w:ind w:firstLine="400"/>
              <w:jc w:val="left"/>
              <w:rPr>
                <w:rFonts w:hint="eastAsia" w:ascii="Times New Roman" w:hAnsi="Times New Roman"/>
                <w:color w:val="auto"/>
                <w:sz w:val="21"/>
                <w:szCs w:val="21"/>
                <w:lang w:val="en-US" w:eastAsia="zh-CN"/>
              </w:rPr>
            </w:pPr>
            <w:r>
              <w:rPr>
                <w:rFonts w:hint="eastAsia" w:ascii="Times New Roman" w:hAnsi="Times New Roman"/>
                <w:color w:val="auto"/>
                <w:sz w:val="21"/>
                <w:szCs w:val="21"/>
                <w:lang w:val="en-US" w:eastAsia="zh-CN"/>
              </w:rPr>
              <w:t>畜禽粪便处理过程应满足安全和卫生要求，避免二次污染发生。</w:t>
            </w:r>
          </w:p>
          <w:p>
            <w:pPr>
              <w:pStyle w:val="130"/>
              <w:spacing w:line="240" w:lineRule="auto"/>
              <w:ind w:firstLine="400"/>
              <w:jc w:val="left"/>
              <w:rPr>
                <w:rFonts w:hint="default"/>
                <w:color w:val="auto"/>
                <w:sz w:val="21"/>
                <w:szCs w:val="21"/>
                <w:lang w:val="en-US" w:eastAsia="zh-CN"/>
              </w:rPr>
            </w:pPr>
            <w:r>
              <w:rPr>
                <w:rFonts w:hint="eastAsia" w:ascii="Times New Roman" w:hAnsi="Times New Roman"/>
                <w:color w:val="auto"/>
                <w:sz w:val="21"/>
                <w:szCs w:val="21"/>
                <w:lang w:val="en-US" w:eastAsia="zh-CN"/>
              </w:rPr>
              <w:t>发生重大疫情时应按照国家兽医防疫有关规定处置。</w:t>
            </w:r>
          </w:p>
        </w:tc>
        <w:tc>
          <w:tcPr>
            <w:tcW w:w="2178" w:type="dxa"/>
            <w:noWrap w:val="0"/>
            <w:vAlign w:val="center"/>
          </w:tcPr>
          <w:p>
            <w:pPr>
              <w:pStyle w:val="130"/>
              <w:spacing w:line="240" w:lineRule="auto"/>
              <w:ind w:firstLine="400"/>
              <w:jc w:val="left"/>
              <w:rPr>
                <w:rFonts w:hint="eastAsia" w:ascii="Times New Roman" w:hAnsi="Times New Roman" w:eastAsia="宋体"/>
                <w:color w:val="auto"/>
                <w:sz w:val="21"/>
                <w:szCs w:val="21"/>
                <w:lang w:eastAsia="zh-CN"/>
              </w:rPr>
            </w:pPr>
            <w:r>
              <w:rPr>
                <w:rFonts w:ascii="Times New Roman" w:hAnsi="Times New Roman"/>
                <w:color w:val="auto"/>
                <w:sz w:val="21"/>
                <w:szCs w:val="21"/>
              </w:rPr>
              <w:t>本项目</w:t>
            </w:r>
            <w:r>
              <w:rPr>
                <w:rFonts w:hint="eastAsia" w:ascii="Times New Roman" w:hAnsi="Times New Roman"/>
                <w:color w:val="auto"/>
                <w:sz w:val="21"/>
                <w:szCs w:val="21"/>
                <w:lang w:eastAsia="zh-CN"/>
              </w:rPr>
              <w:t>设置有污水处理区，位于项目西南侧，远离生活区，布局符合</w:t>
            </w:r>
            <w:r>
              <w:rPr>
                <w:rFonts w:hint="eastAsia" w:ascii="Times New Roman" w:hAnsi="Times New Roman"/>
                <w:color w:val="auto"/>
                <w:sz w:val="21"/>
                <w:szCs w:val="21"/>
                <w:lang w:val="en-US" w:eastAsia="zh-CN"/>
              </w:rPr>
              <w:t>NY/T682的规定。本项目粪污经过干清粪方式收集后，固液分离，干粪在堆粪间内进行好氧堆肥后全部还田利用，湿粪经过污水处理区收集处理后用作周边消纳地灌溉。</w:t>
            </w:r>
          </w:p>
          <w:p>
            <w:pPr>
              <w:pStyle w:val="130"/>
              <w:spacing w:line="240" w:lineRule="auto"/>
              <w:ind w:firstLine="400"/>
              <w:jc w:val="left"/>
              <w:rPr>
                <w:rFonts w:ascii="Times New Roman" w:hAnsi="Times New Roman"/>
                <w:color w:val="auto"/>
                <w:sz w:val="21"/>
                <w:szCs w:val="21"/>
              </w:rPr>
            </w:pPr>
          </w:p>
        </w:tc>
        <w:tc>
          <w:tcPr>
            <w:tcW w:w="372"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7"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2</w:t>
            </w:r>
          </w:p>
        </w:tc>
        <w:tc>
          <w:tcPr>
            <w:tcW w:w="5720" w:type="dxa"/>
            <w:noWrap w:val="0"/>
            <w:vAlign w:val="center"/>
          </w:tcPr>
          <w:p>
            <w:pPr>
              <w:pStyle w:val="130"/>
              <w:spacing w:line="240" w:lineRule="auto"/>
              <w:ind w:left="0" w:leftChars="0" w:firstLine="400"/>
              <w:jc w:val="left"/>
              <w:rPr>
                <w:rFonts w:hint="eastAsia" w:ascii="Times New Roman" w:hAnsi="Times New Roman"/>
                <w:color w:val="auto"/>
                <w:sz w:val="21"/>
                <w:szCs w:val="21"/>
                <w:lang w:eastAsia="zh-CN"/>
              </w:rPr>
            </w:pPr>
            <w:r>
              <w:rPr>
                <w:rFonts w:hint="eastAsia" w:ascii="Times New Roman" w:hAnsi="Times New Roman"/>
                <w:color w:val="auto"/>
                <w:sz w:val="21"/>
                <w:szCs w:val="21"/>
                <w:lang w:val="en-US" w:eastAsia="zh-CN"/>
              </w:rPr>
              <w:t>5</w:t>
            </w:r>
            <w:r>
              <w:rPr>
                <w:rFonts w:hint="eastAsia" w:ascii="Times New Roman" w:hAnsi="Times New Roman"/>
                <w:color w:val="auto"/>
                <w:sz w:val="21"/>
                <w:szCs w:val="21"/>
                <w:lang w:eastAsia="zh-CN"/>
              </w:rPr>
              <w:t>粪便处理场选址及布局：</w:t>
            </w:r>
          </w:p>
          <w:p>
            <w:pPr>
              <w:pStyle w:val="130"/>
              <w:spacing w:line="240" w:lineRule="auto"/>
              <w:ind w:left="0" w:leftChars="0" w:firstLine="400"/>
              <w:jc w:val="left"/>
              <w:rPr>
                <w:rFonts w:hint="eastAsia" w:ascii="Times New Roman" w:hAnsi="Times New Roman"/>
                <w:color w:val="auto"/>
                <w:sz w:val="21"/>
                <w:szCs w:val="21"/>
                <w:lang w:eastAsia="zh-CN"/>
              </w:rPr>
            </w:pPr>
            <w:r>
              <w:rPr>
                <w:rFonts w:hint="eastAsia" w:ascii="Times New Roman" w:hAnsi="Times New Roman"/>
                <w:color w:val="auto"/>
                <w:sz w:val="21"/>
                <w:szCs w:val="21"/>
                <w:lang w:eastAsia="zh-CN"/>
              </w:rPr>
              <w:t>5.1不应在下列区城内建设畜禽类便处理场：</w:t>
            </w:r>
          </w:p>
          <w:p>
            <w:pPr>
              <w:pStyle w:val="130"/>
              <w:spacing w:line="240" w:lineRule="auto"/>
              <w:ind w:left="0" w:leftChars="0" w:firstLine="400"/>
              <w:jc w:val="left"/>
              <w:rPr>
                <w:rFonts w:hint="eastAsia" w:ascii="Times New Roman" w:hAnsi="Times New Roman"/>
                <w:color w:val="auto"/>
                <w:sz w:val="21"/>
                <w:szCs w:val="21"/>
                <w:lang w:eastAsia="zh-CN"/>
              </w:rPr>
            </w:pPr>
            <w:r>
              <w:rPr>
                <w:rFonts w:hint="eastAsia" w:ascii="Times New Roman" w:hAnsi="Times New Roman"/>
                <w:color w:val="auto"/>
                <w:sz w:val="21"/>
                <w:szCs w:val="21"/>
                <w:lang w:eastAsia="zh-CN"/>
              </w:rPr>
              <w:t>a) 生活饮用水水源保护区、风景名胜区、自然保护区的核心区及缓冲区；</w:t>
            </w:r>
          </w:p>
          <w:p>
            <w:pPr>
              <w:pStyle w:val="130"/>
              <w:spacing w:line="240" w:lineRule="auto"/>
              <w:ind w:left="0" w:leftChars="0" w:firstLine="400"/>
              <w:jc w:val="left"/>
              <w:rPr>
                <w:rFonts w:hint="eastAsia" w:ascii="Times New Roman" w:hAnsi="Times New Roman"/>
                <w:color w:val="auto"/>
                <w:sz w:val="21"/>
                <w:szCs w:val="21"/>
                <w:lang w:eastAsia="zh-CN"/>
              </w:rPr>
            </w:pPr>
            <w:r>
              <w:rPr>
                <w:rFonts w:hint="eastAsia" w:ascii="Times New Roman" w:hAnsi="Times New Roman"/>
                <w:color w:val="auto"/>
                <w:sz w:val="21"/>
                <w:szCs w:val="21"/>
                <w:lang w:eastAsia="zh-CN"/>
              </w:rPr>
              <w:t>b)城市和城镇居民区，包括文教科研、医疗、商业和工业等人口集中地区；</w:t>
            </w:r>
          </w:p>
          <w:p>
            <w:pPr>
              <w:pStyle w:val="130"/>
              <w:spacing w:line="240" w:lineRule="auto"/>
              <w:ind w:left="0" w:leftChars="0" w:firstLine="400"/>
              <w:jc w:val="left"/>
              <w:rPr>
                <w:rFonts w:hint="eastAsia" w:ascii="Times New Roman" w:hAnsi="Times New Roman"/>
                <w:color w:val="auto"/>
                <w:sz w:val="21"/>
                <w:szCs w:val="21"/>
                <w:lang w:eastAsia="zh-CN"/>
              </w:rPr>
            </w:pPr>
            <w:r>
              <w:rPr>
                <w:rFonts w:hint="eastAsia" w:ascii="Times New Roman" w:hAnsi="Times New Roman"/>
                <w:color w:val="auto"/>
                <w:sz w:val="21"/>
                <w:szCs w:val="21"/>
                <w:lang w:eastAsia="zh-CN"/>
              </w:rPr>
              <w:t>c) 县级及县级以上人民政府依法划定的禁养区域；</w:t>
            </w:r>
          </w:p>
          <w:p>
            <w:pPr>
              <w:pStyle w:val="130"/>
              <w:spacing w:line="240" w:lineRule="auto"/>
              <w:ind w:left="0" w:leftChars="0" w:firstLine="400"/>
              <w:jc w:val="left"/>
              <w:rPr>
                <w:rFonts w:hint="eastAsia" w:ascii="Times New Roman" w:hAnsi="Times New Roman"/>
                <w:color w:val="auto"/>
                <w:sz w:val="21"/>
                <w:szCs w:val="21"/>
                <w:lang w:eastAsia="zh-CN"/>
              </w:rPr>
            </w:pPr>
            <w:r>
              <w:rPr>
                <w:rFonts w:hint="eastAsia" w:ascii="Times New Roman" w:hAnsi="Times New Roman"/>
                <w:color w:val="auto"/>
                <w:sz w:val="21"/>
                <w:szCs w:val="21"/>
                <w:lang w:eastAsia="zh-CN"/>
              </w:rPr>
              <w:t>d)国家或地方法律、法规规定需特殊保护的其他区域。</w:t>
            </w:r>
          </w:p>
          <w:p>
            <w:pPr>
              <w:pStyle w:val="130"/>
              <w:spacing w:line="240" w:lineRule="auto"/>
              <w:ind w:left="0" w:leftChars="0" w:firstLine="400"/>
              <w:jc w:val="left"/>
              <w:rPr>
                <w:rFonts w:hint="eastAsia" w:ascii="Times New Roman" w:hAnsi="Times New Roman"/>
                <w:color w:val="auto"/>
                <w:sz w:val="21"/>
                <w:szCs w:val="21"/>
                <w:lang w:eastAsia="zh-CN"/>
              </w:rPr>
            </w:pPr>
            <w:r>
              <w:rPr>
                <w:rFonts w:hint="eastAsia" w:ascii="Times New Roman" w:hAnsi="Times New Roman"/>
                <w:color w:val="auto"/>
                <w:sz w:val="21"/>
                <w:szCs w:val="21"/>
                <w:lang w:eastAsia="zh-CN"/>
              </w:rPr>
              <w:t>5.2在禁建区城附近建设畜禽类便处理场，应设在 5.1规定的禁建区城常年主导风向的下风向或侧下风向处，场界与禁建区域边界的最小距离不应小于3 km。</w:t>
            </w:r>
          </w:p>
          <w:p>
            <w:pPr>
              <w:pStyle w:val="130"/>
              <w:spacing w:line="240" w:lineRule="auto"/>
              <w:ind w:left="0" w:leftChars="0" w:firstLine="400"/>
              <w:jc w:val="left"/>
              <w:rPr>
                <w:rFonts w:hint="eastAsia" w:ascii="Times New Roman" w:hAnsi="Times New Roman"/>
                <w:color w:val="auto"/>
                <w:sz w:val="21"/>
                <w:szCs w:val="21"/>
                <w:lang w:eastAsia="zh-CN"/>
              </w:rPr>
            </w:pPr>
            <w:r>
              <w:rPr>
                <w:rFonts w:hint="eastAsia" w:ascii="Times New Roman" w:hAnsi="Times New Roman"/>
                <w:color w:val="auto"/>
                <w:sz w:val="21"/>
                <w:szCs w:val="21"/>
                <w:lang w:eastAsia="zh-CN"/>
              </w:rPr>
              <w:t>5.3 集中建立的畜禽粪便处理场与备禽养殖区域的最小距离应大于2 km。</w:t>
            </w:r>
          </w:p>
          <w:p>
            <w:pPr>
              <w:pStyle w:val="130"/>
              <w:spacing w:line="240" w:lineRule="auto"/>
              <w:ind w:left="0" w:leftChars="0" w:firstLine="400"/>
              <w:jc w:val="left"/>
              <w:rPr>
                <w:rFonts w:hint="eastAsia" w:ascii="Times New Roman" w:hAnsi="Times New Roman"/>
                <w:color w:val="auto"/>
                <w:sz w:val="21"/>
                <w:szCs w:val="21"/>
                <w:lang w:eastAsia="zh-CN"/>
              </w:rPr>
            </w:pPr>
            <w:r>
              <w:rPr>
                <w:rFonts w:hint="eastAsia" w:ascii="Times New Roman" w:hAnsi="Times New Roman"/>
                <w:color w:val="auto"/>
                <w:sz w:val="21"/>
                <w:szCs w:val="21"/>
                <w:lang w:eastAsia="zh-CN"/>
              </w:rPr>
              <w:t>5.4畜禽粪便处理场地应距离功能地表水体400 m以上。</w:t>
            </w:r>
          </w:p>
          <w:p>
            <w:pPr>
              <w:pStyle w:val="130"/>
              <w:spacing w:line="240" w:lineRule="auto"/>
              <w:ind w:left="0" w:leftChars="0" w:firstLine="400"/>
              <w:jc w:val="left"/>
              <w:rPr>
                <w:rFonts w:hint="eastAsia" w:ascii="Times New Roman" w:hAnsi="Times New Roman" w:eastAsia="宋体"/>
                <w:color w:val="auto"/>
                <w:sz w:val="21"/>
                <w:szCs w:val="21"/>
                <w:lang w:eastAsia="zh-CN"/>
              </w:rPr>
            </w:pPr>
            <w:r>
              <w:rPr>
                <w:rFonts w:hint="eastAsia" w:ascii="Times New Roman" w:hAnsi="Times New Roman"/>
                <w:color w:val="auto"/>
                <w:sz w:val="21"/>
                <w:szCs w:val="21"/>
                <w:lang w:eastAsia="zh-CN"/>
              </w:rPr>
              <w:t>5.5畜禽粪便处理场区应采取地面硬化、防渗漏、防径流和雨污分流等揩施。</w:t>
            </w:r>
          </w:p>
        </w:tc>
        <w:tc>
          <w:tcPr>
            <w:tcW w:w="2178" w:type="dxa"/>
            <w:noWrap w:val="0"/>
            <w:vAlign w:val="center"/>
          </w:tcPr>
          <w:p>
            <w:pPr>
              <w:pStyle w:val="130"/>
              <w:keepNext w:val="0"/>
              <w:keepLines w:val="0"/>
              <w:pageBreakBefore w:val="0"/>
              <w:widowControl w:val="0"/>
              <w:kinsoku/>
              <w:wordWrap/>
              <w:overflowPunct/>
              <w:topLinePunct w:val="0"/>
              <w:autoSpaceDE/>
              <w:autoSpaceDN/>
              <w:bidi w:val="0"/>
              <w:adjustRightInd w:val="0"/>
              <w:snapToGrid w:val="0"/>
              <w:spacing w:line="240" w:lineRule="auto"/>
              <w:ind w:left="0" w:leftChars="0" w:firstLine="404" w:firstLineChars="200"/>
              <w:jc w:val="left"/>
              <w:textAlignment w:val="auto"/>
              <w:rPr>
                <w:rFonts w:hint="eastAsia" w:ascii="Times New Roman" w:hAnsi="Times New Roman" w:eastAsia="宋体"/>
                <w:bCs/>
                <w:color w:val="auto"/>
                <w:spacing w:val="-4"/>
                <w:sz w:val="21"/>
                <w:szCs w:val="21"/>
                <w:lang w:eastAsia="zh-CN"/>
              </w:rPr>
            </w:pPr>
            <w:r>
              <w:rPr>
                <w:rFonts w:hint="eastAsia" w:ascii="Times New Roman" w:hAnsi="Times New Roman"/>
                <w:bCs/>
                <w:color w:val="auto"/>
                <w:spacing w:val="-4"/>
                <w:sz w:val="21"/>
                <w:szCs w:val="21"/>
              </w:rPr>
              <w:t>根据</w:t>
            </w:r>
            <w:r>
              <w:rPr>
                <w:rFonts w:hint="eastAsia" w:ascii="Times New Roman" w:hAnsi="Times New Roman"/>
                <w:bCs/>
                <w:color w:val="auto"/>
                <w:spacing w:val="-4"/>
                <w:sz w:val="21"/>
                <w:szCs w:val="21"/>
                <w:lang w:eastAsia="zh-CN"/>
              </w:rPr>
              <w:t>丹棱县仁美镇镇</w:t>
            </w:r>
            <w:r>
              <w:rPr>
                <w:rFonts w:hint="eastAsia" w:ascii="Times New Roman" w:hAnsi="Times New Roman"/>
                <w:bCs/>
                <w:color w:val="auto"/>
                <w:spacing w:val="-4"/>
                <w:sz w:val="21"/>
                <w:szCs w:val="21"/>
              </w:rPr>
              <w:t>政府提供的证明材料可知，该项目选址不属于</w:t>
            </w:r>
            <w:r>
              <w:rPr>
                <w:rFonts w:hint="eastAsia" w:ascii="Times New Roman" w:hAnsi="Times New Roman"/>
                <w:bCs/>
                <w:color w:val="auto"/>
                <w:spacing w:val="-4"/>
                <w:sz w:val="21"/>
                <w:szCs w:val="21"/>
                <w:lang w:eastAsia="zh-CN"/>
              </w:rPr>
              <w:t>丹棱县</w:t>
            </w:r>
            <w:r>
              <w:rPr>
                <w:rFonts w:hint="eastAsia" w:ascii="Times New Roman" w:hAnsi="Times New Roman"/>
                <w:bCs/>
                <w:color w:val="auto"/>
                <w:spacing w:val="-4"/>
                <w:sz w:val="21"/>
                <w:szCs w:val="21"/>
              </w:rPr>
              <w:t>畜禽养殖禁养区和限养区范围，不占用基本农田，不涉及集中饮用水源保护区</w:t>
            </w:r>
            <w:r>
              <w:rPr>
                <w:rFonts w:hint="eastAsia" w:ascii="Times New Roman" w:hAnsi="Times New Roman"/>
                <w:bCs/>
                <w:color w:val="auto"/>
                <w:spacing w:val="-4"/>
                <w:sz w:val="21"/>
                <w:szCs w:val="21"/>
                <w:lang w:eastAsia="zh-CN"/>
              </w:rPr>
              <w:t>。</w:t>
            </w:r>
          </w:p>
          <w:p>
            <w:pPr>
              <w:pStyle w:val="130"/>
              <w:keepNext w:val="0"/>
              <w:keepLines w:val="0"/>
              <w:pageBreakBefore w:val="0"/>
              <w:widowControl w:val="0"/>
              <w:kinsoku/>
              <w:wordWrap/>
              <w:overflowPunct/>
              <w:topLinePunct w:val="0"/>
              <w:autoSpaceDE/>
              <w:autoSpaceDN/>
              <w:bidi w:val="0"/>
              <w:adjustRightInd w:val="0"/>
              <w:snapToGrid w:val="0"/>
              <w:spacing w:line="240" w:lineRule="auto"/>
              <w:ind w:left="0" w:leftChars="0" w:firstLine="404" w:firstLineChars="200"/>
              <w:jc w:val="left"/>
              <w:textAlignment w:val="auto"/>
              <w:rPr>
                <w:rFonts w:ascii="Times New Roman" w:hAnsi="Times New Roman"/>
                <w:bCs/>
                <w:color w:val="auto"/>
                <w:spacing w:val="-4"/>
                <w:sz w:val="21"/>
                <w:szCs w:val="21"/>
              </w:rPr>
            </w:pPr>
            <w:r>
              <w:rPr>
                <w:rFonts w:hint="eastAsia" w:ascii="Times New Roman" w:hAnsi="Times New Roman"/>
                <w:bCs/>
                <w:color w:val="auto"/>
                <w:spacing w:val="-4"/>
                <w:sz w:val="21"/>
                <w:szCs w:val="21"/>
                <w:lang w:eastAsia="zh-CN"/>
              </w:rPr>
              <w:t>本项目粪污处理设施距离西南侧安溪河</w:t>
            </w:r>
            <w:r>
              <w:rPr>
                <w:rFonts w:hint="eastAsia" w:ascii="Times New Roman" w:hAnsi="Times New Roman"/>
                <w:bCs/>
                <w:color w:val="auto"/>
                <w:spacing w:val="-4"/>
                <w:sz w:val="21"/>
                <w:szCs w:val="21"/>
                <w:lang w:val="en-US" w:eastAsia="zh-CN"/>
              </w:rPr>
              <w:t>2.5km，并采取重点防渗。</w:t>
            </w:r>
          </w:p>
        </w:tc>
        <w:tc>
          <w:tcPr>
            <w:tcW w:w="372"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94" w:hRule="atLeast"/>
          <w:jc w:val="center"/>
        </w:trPr>
        <w:tc>
          <w:tcPr>
            <w:tcW w:w="647"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3</w:t>
            </w:r>
          </w:p>
        </w:tc>
        <w:tc>
          <w:tcPr>
            <w:tcW w:w="5720" w:type="dxa"/>
            <w:noWrap w:val="0"/>
            <w:vAlign w:val="center"/>
          </w:tcPr>
          <w:p>
            <w:pPr>
              <w:pStyle w:val="130"/>
              <w:spacing w:line="240" w:lineRule="auto"/>
              <w:ind w:left="0" w:leftChars="0" w:firstLine="400"/>
              <w:jc w:val="left"/>
              <w:rPr>
                <w:rFonts w:hint="eastAsia" w:ascii="Times New Roman" w:hAnsi="Times New Roman"/>
                <w:color w:val="auto"/>
                <w:sz w:val="21"/>
                <w:szCs w:val="21"/>
              </w:rPr>
            </w:pPr>
            <w:r>
              <w:rPr>
                <w:rFonts w:hint="eastAsia" w:ascii="Times New Roman" w:hAnsi="Times New Roman"/>
                <w:color w:val="auto"/>
                <w:sz w:val="21"/>
                <w:szCs w:val="21"/>
              </w:rPr>
              <w:t>6粪便收集、贮存和运输</w:t>
            </w:r>
          </w:p>
          <w:p>
            <w:pPr>
              <w:pStyle w:val="130"/>
              <w:spacing w:line="240" w:lineRule="auto"/>
              <w:ind w:left="0" w:leftChars="0" w:firstLine="400"/>
              <w:jc w:val="left"/>
              <w:rPr>
                <w:rFonts w:hint="eastAsia" w:ascii="Times New Roman" w:hAnsi="Times New Roman"/>
                <w:color w:val="auto"/>
                <w:sz w:val="21"/>
                <w:szCs w:val="21"/>
              </w:rPr>
            </w:pPr>
            <w:r>
              <w:rPr>
                <w:rFonts w:hint="eastAsia" w:ascii="Times New Roman" w:hAnsi="Times New Roman"/>
                <w:color w:val="auto"/>
                <w:sz w:val="21"/>
                <w:szCs w:val="21"/>
              </w:rPr>
              <w:t>6.1 畜禽生产过程宜采用干清粪工艺,实施雨污分流，减少污染物排放量。</w:t>
            </w:r>
          </w:p>
          <w:p>
            <w:pPr>
              <w:pStyle w:val="130"/>
              <w:spacing w:line="240" w:lineRule="auto"/>
              <w:ind w:left="0" w:leftChars="0" w:firstLine="400"/>
              <w:jc w:val="left"/>
              <w:rPr>
                <w:rFonts w:hint="eastAsia" w:ascii="Times New Roman" w:hAnsi="Times New Roman"/>
                <w:color w:val="auto"/>
                <w:sz w:val="21"/>
                <w:szCs w:val="21"/>
              </w:rPr>
            </w:pPr>
            <w:r>
              <w:rPr>
                <w:rFonts w:hint="eastAsia" w:ascii="Times New Roman" w:hAnsi="Times New Roman"/>
                <w:color w:val="auto"/>
                <w:sz w:val="21"/>
                <w:szCs w:val="21"/>
              </w:rPr>
              <w:t>6.2畜禽粪便贮存设施应符合GB/T 27622的规定。</w:t>
            </w:r>
          </w:p>
          <w:p>
            <w:pPr>
              <w:pStyle w:val="130"/>
              <w:spacing w:line="240" w:lineRule="auto"/>
              <w:ind w:left="0" w:leftChars="0" w:firstLine="400"/>
              <w:jc w:val="left"/>
              <w:rPr>
                <w:rFonts w:hint="eastAsia" w:ascii="Times New Roman" w:hAnsi="Times New Roman"/>
                <w:color w:val="auto"/>
                <w:sz w:val="21"/>
                <w:szCs w:val="21"/>
              </w:rPr>
            </w:pPr>
            <w:r>
              <w:rPr>
                <w:rFonts w:hint="eastAsia" w:ascii="Times New Roman" w:hAnsi="Times New Roman"/>
                <w:color w:val="auto"/>
                <w:sz w:val="21"/>
                <w:szCs w:val="21"/>
              </w:rPr>
              <w:t>6.3畜禽养殖污水贮存设施应符合GB/T 26624的规定。</w:t>
            </w:r>
          </w:p>
          <w:p>
            <w:pPr>
              <w:pStyle w:val="130"/>
              <w:spacing w:line="240" w:lineRule="auto"/>
              <w:ind w:left="0" w:leftChars="0" w:firstLine="400"/>
              <w:jc w:val="left"/>
              <w:rPr>
                <w:rFonts w:ascii="Times New Roman" w:hAnsi="Times New Roman"/>
                <w:color w:val="auto"/>
                <w:sz w:val="21"/>
                <w:szCs w:val="21"/>
              </w:rPr>
            </w:pPr>
            <w:r>
              <w:rPr>
                <w:rFonts w:hint="eastAsia" w:ascii="Times New Roman" w:hAnsi="Times New Roman"/>
                <w:color w:val="auto"/>
                <w:sz w:val="21"/>
                <w:szCs w:val="21"/>
              </w:rPr>
              <w:t>6.4畜禽粪便收集、运输过程中</w:t>
            </w:r>
            <w:r>
              <w:rPr>
                <w:rFonts w:hint="eastAsia" w:ascii="Times New Roman" w:hAnsi="Times New Roman"/>
                <w:color w:val="auto"/>
                <w:sz w:val="21"/>
                <w:szCs w:val="21"/>
                <w:lang w:eastAsia="zh-CN"/>
              </w:rPr>
              <w:t>，</w:t>
            </w:r>
            <w:r>
              <w:rPr>
                <w:rFonts w:hint="eastAsia" w:ascii="Times New Roman" w:hAnsi="Times New Roman"/>
                <w:color w:val="auto"/>
                <w:sz w:val="21"/>
                <w:szCs w:val="21"/>
              </w:rPr>
              <w:t>应采取防遗酒、防渗漏等措施</w:t>
            </w:r>
          </w:p>
        </w:tc>
        <w:tc>
          <w:tcPr>
            <w:tcW w:w="2178" w:type="dxa"/>
            <w:noWrap w:val="0"/>
            <w:vAlign w:val="center"/>
          </w:tcPr>
          <w:p>
            <w:pPr>
              <w:pStyle w:val="130"/>
              <w:spacing w:line="240" w:lineRule="auto"/>
              <w:ind w:left="0" w:leftChars="0" w:firstLine="384"/>
              <w:jc w:val="left"/>
              <w:rPr>
                <w:rFonts w:hint="eastAsia" w:ascii="Times New Roman" w:hAnsi="Times New Roman" w:eastAsia="宋体"/>
                <w:color w:val="auto"/>
                <w:sz w:val="21"/>
                <w:szCs w:val="21"/>
                <w:lang w:eastAsia="zh-CN"/>
              </w:rPr>
            </w:pPr>
            <w:r>
              <w:rPr>
                <w:rFonts w:ascii="Times New Roman" w:hAnsi="Times New Roman"/>
                <w:bCs/>
                <w:color w:val="auto"/>
                <w:spacing w:val="-4"/>
                <w:sz w:val="21"/>
                <w:szCs w:val="21"/>
              </w:rPr>
              <w:t>粪污</w:t>
            </w:r>
            <w:r>
              <w:rPr>
                <w:rFonts w:hint="eastAsia" w:ascii="Times New Roman" w:hAnsi="Times New Roman"/>
                <w:bCs/>
                <w:color w:val="auto"/>
                <w:spacing w:val="-4"/>
                <w:sz w:val="21"/>
                <w:szCs w:val="21"/>
                <w:lang w:eastAsia="zh-CN"/>
              </w:rPr>
              <w:t>采用干清粪方式</w:t>
            </w:r>
            <w:r>
              <w:rPr>
                <w:rFonts w:hint="eastAsia" w:ascii="Times New Roman" w:hAnsi="Times New Roman"/>
                <w:bCs/>
                <w:color w:val="auto"/>
                <w:spacing w:val="-4"/>
                <w:sz w:val="21"/>
                <w:szCs w:val="21"/>
              </w:rPr>
              <w:t>收集，</w:t>
            </w:r>
            <w:r>
              <w:rPr>
                <w:rFonts w:hint="eastAsia" w:ascii="Times New Roman" w:hAnsi="Times New Roman"/>
                <w:bCs/>
                <w:color w:val="auto"/>
                <w:spacing w:val="-4"/>
                <w:sz w:val="21"/>
                <w:szCs w:val="21"/>
                <w:lang w:eastAsia="zh-CN"/>
              </w:rPr>
              <w:t>污水处理区周边设置雨水沟，并进行重点防渗，专门通道与外界相通，运输不经过生活及生产区，</w:t>
            </w:r>
            <w:r>
              <w:rPr>
                <w:rFonts w:hint="eastAsia" w:ascii="Times New Roman" w:hAnsi="Times New Roman"/>
                <w:color w:val="auto"/>
                <w:sz w:val="21"/>
                <w:szCs w:val="21"/>
              </w:rPr>
              <w:t>符合GB/T 27622的规定</w:t>
            </w:r>
            <w:r>
              <w:rPr>
                <w:rFonts w:hint="eastAsia" w:ascii="Times New Roman" w:hAnsi="Times New Roman"/>
                <w:color w:val="auto"/>
                <w:sz w:val="21"/>
                <w:szCs w:val="21"/>
                <w:lang w:eastAsia="zh-CN"/>
              </w:rPr>
              <w:t>。</w:t>
            </w:r>
          </w:p>
        </w:tc>
        <w:tc>
          <w:tcPr>
            <w:tcW w:w="372"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647"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4</w:t>
            </w:r>
          </w:p>
        </w:tc>
        <w:tc>
          <w:tcPr>
            <w:tcW w:w="5720" w:type="dxa"/>
            <w:noWrap w:val="0"/>
            <w:vAlign w:val="center"/>
          </w:tcPr>
          <w:p>
            <w:pPr>
              <w:pStyle w:val="130"/>
              <w:spacing w:line="240" w:lineRule="auto"/>
              <w:ind w:left="0" w:leftChars="0" w:firstLine="400"/>
              <w:jc w:val="left"/>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eastAsia="zh-CN"/>
              </w:rPr>
              <w:t>粪便处理后利用：畜禽粪便经无害化处理后直接还田利用，应符合</w:t>
            </w:r>
            <w:r>
              <w:rPr>
                <w:rFonts w:hint="eastAsia" w:ascii="Times New Roman" w:hAnsi="Times New Roman"/>
                <w:color w:val="auto"/>
                <w:sz w:val="21"/>
                <w:szCs w:val="21"/>
                <w:lang w:val="en-US" w:eastAsia="zh-CN"/>
              </w:rPr>
              <w:t>GB/T25246的规定。生产有机肥料的，应符合NY 525的规定。</w:t>
            </w:r>
          </w:p>
        </w:tc>
        <w:tc>
          <w:tcPr>
            <w:tcW w:w="2178"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hint="eastAsia" w:ascii="Times New Roman" w:hAnsi="Times New Roman"/>
                <w:color w:val="auto"/>
                <w:sz w:val="21"/>
                <w:szCs w:val="21"/>
                <w:lang w:val="en-US" w:eastAsia="zh-CN"/>
              </w:rPr>
              <w:t>本项目粪污经过干清粪方式收集后，固液分离，干粪在堆粪间内进行好氧堆肥后还田利用，湿粪经过污水处理区收集处理后用作周边消纳地灌溉。</w:t>
            </w:r>
          </w:p>
        </w:tc>
        <w:tc>
          <w:tcPr>
            <w:tcW w:w="372" w:type="dxa"/>
            <w:noWrap w:val="0"/>
            <w:vAlign w:val="center"/>
          </w:tcPr>
          <w:p>
            <w:pPr>
              <w:pStyle w:val="130"/>
              <w:spacing w:line="240" w:lineRule="auto"/>
              <w:ind w:left="0" w:leftChars="0" w:firstLine="0" w:firstLineChars="0"/>
              <w:rPr>
                <w:rFonts w:ascii="Times New Roman" w:hAnsi="Times New Roman"/>
                <w:color w:val="auto"/>
                <w:sz w:val="21"/>
                <w:szCs w:val="21"/>
              </w:rPr>
            </w:pPr>
            <w:r>
              <w:rPr>
                <w:rFonts w:ascii="Times New Roman" w:hAnsi="Times New Roman"/>
                <w:color w:val="auto"/>
                <w:sz w:val="21"/>
                <w:szCs w:val="21"/>
              </w:rPr>
              <w:t>符合</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562" w:firstLineChars="200"/>
        <w:textAlignment w:val="auto"/>
        <w:outlineLvl w:val="1"/>
        <w:rPr>
          <w:rFonts w:ascii="Times New Roman" w:hAnsi="Times New Roman" w:eastAsia="宋体" w:cs="Times New Roman"/>
          <w:b/>
          <w:color w:val="auto"/>
          <w:sz w:val="28"/>
          <w:szCs w:val="28"/>
        </w:rPr>
      </w:pPr>
      <w:bookmarkStart w:id="10" w:name="_Toc14626"/>
      <w:r>
        <w:rPr>
          <w:rFonts w:hint="eastAsia" w:ascii="Times New Roman" w:hAnsi="Times New Roman" w:eastAsia="宋体" w:cs="Times New Roman"/>
          <w:b/>
          <w:color w:val="auto"/>
          <w:sz w:val="28"/>
          <w:szCs w:val="28"/>
          <w:lang w:eastAsia="zh-CN"/>
        </w:rPr>
        <w:t>六</w:t>
      </w:r>
      <w:r>
        <w:rPr>
          <w:rFonts w:hint="eastAsia" w:ascii="Times New Roman" w:hAnsi="Times New Roman" w:eastAsia="宋体" w:cs="Times New Roman"/>
          <w:b/>
          <w:color w:val="auto"/>
          <w:sz w:val="28"/>
          <w:szCs w:val="28"/>
        </w:rPr>
        <w:t>、主要结论</w:t>
      </w:r>
      <w:bookmarkEnd w:id="10"/>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eastAsia="宋体"/>
          <w:color w:val="auto"/>
          <w:sz w:val="24"/>
        </w:rPr>
      </w:pPr>
      <w:r>
        <w:rPr>
          <w:rFonts w:hint="eastAsia" w:ascii="Times New Roman" w:hAnsi="Times New Roman" w:eastAsia="宋体"/>
          <w:color w:val="auto"/>
          <w:sz w:val="24"/>
          <w:lang w:eastAsia="zh-CN"/>
        </w:rPr>
        <w:t>丹棱县生猪种养循环工程建设项目</w:t>
      </w:r>
      <w:r>
        <w:rPr>
          <w:rFonts w:hint="eastAsia" w:ascii="Times New Roman" w:hAnsi="Times New Roman" w:eastAsia="宋体"/>
          <w:color w:val="auto"/>
          <w:sz w:val="24"/>
        </w:rPr>
        <w:t>流转</w:t>
      </w:r>
      <w:r>
        <w:rPr>
          <w:rFonts w:hint="eastAsia" w:ascii="Times New Roman" w:hAnsi="Times New Roman" w:eastAsia="宋体"/>
          <w:color w:val="auto"/>
          <w:sz w:val="24"/>
          <w:lang w:eastAsia="zh-CN"/>
        </w:rPr>
        <w:t>眉山市丹棱县仁美镇雄义村5组</w:t>
      </w:r>
      <w:r>
        <w:rPr>
          <w:rFonts w:hint="eastAsia" w:ascii="Times New Roman" w:hAnsi="Times New Roman" w:eastAsia="宋体"/>
          <w:color w:val="auto"/>
          <w:sz w:val="24"/>
        </w:rPr>
        <w:t>共</w:t>
      </w:r>
      <w:r>
        <w:rPr>
          <w:rFonts w:hint="eastAsia" w:ascii="Times New Roman" w:hAnsi="Times New Roman" w:eastAsia="宋体"/>
          <w:color w:val="auto"/>
          <w:sz w:val="24"/>
          <w:lang w:val="en-US" w:eastAsia="zh-CN"/>
        </w:rPr>
        <w:t>90亩</w:t>
      </w:r>
      <w:r>
        <w:rPr>
          <w:rFonts w:hint="eastAsia" w:ascii="Times New Roman" w:hAnsi="Times New Roman" w:eastAsia="宋体"/>
          <w:color w:val="auto"/>
          <w:sz w:val="24"/>
        </w:rPr>
        <w:t>进行建设，选址不在禁养区、限养区范围内，项目建设符合国家产业政策，符合相关法律</w:t>
      </w:r>
      <w:r>
        <w:rPr>
          <w:rFonts w:hint="eastAsia" w:ascii="Times New Roman" w:hAnsi="Times New Roman" w:eastAsia="宋体"/>
          <w:color w:val="auto"/>
          <w:sz w:val="24"/>
          <w:lang w:eastAsia="zh-CN"/>
        </w:rPr>
        <w:t>，</w:t>
      </w:r>
      <w:r>
        <w:rPr>
          <w:rFonts w:hint="eastAsia" w:ascii="Times New Roman" w:hAnsi="Times New Roman" w:eastAsia="宋体"/>
          <w:color w:val="auto"/>
          <w:sz w:val="24"/>
        </w:rPr>
        <w:t>项目建设得到当地多数公众的支持；区域大气质量一般，声环境现状良好，地表水、地下水和土壤环境质量良好。评价认为，建设单位认真落实本报告提出的各项措施，项目运营期产生的废水、废气、噪声能够达标排放，固体废物得到合理有效处置，不会对地表水、环境空气、声环境产生明显影响，重点污染物排放符合总量控制要求，环境风险可控。从环境保护角度分析，项目建设是可行的。</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eastAsia="宋体"/>
          <w:color w:val="auto"/>
          <w:sz w:val="24"/>
        </w:rPr>
      </w:pPr>
    </w:p>
    <w:p>
      <w:pPr>
        <w:keepNext w:val="0"/>
        <w:keepLines w:val="0"/>
        <w:pageBreakBefore w:val="0"/>
        <w:widowControl/>
        <w:kinsoku/>
        <w:wordWrap/>
        <w:overflowPunct/>
        <w:topLinePunct w:val="0"/>
        <w:autoSpaceDE/>
        <w:autoSpaceDN/>
        <w:bidi w:val="0"/>
        <w:adjustRightInd w:val="0"/>
        <w:snapToGrid w:val="0"/>
        <w:spacing w:line="360" w:lineRule="auto"/>
        <w:ind w:firstLine="482" w:firstLineChars="200"/>
        <w:textAlignment w:val="auto"/>
        <w:rPr>
          <w:rFonts w:ascii="Times New Roman" w:hAnsi="Times New Roman" w:eastAsia="宋体" w:cs="Times New Roman"/>
          <w:b/>
          <w:color w:val="auto"/>
          <w:sz w:val="24"/>
          <w:szCs w:val="24"/>
        </w:rPr>
        <w:sectPr>
          <w:footerReference r:id="rId9" w:type="default"/>
          <w:pgSz w:w="11906" w:h="16838"/>
          <w:pgMar w:top="1440" w:right="1451" w:bottom="1440" w:left="1451"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4"/>
        <w:adjustRightInd w:val="0"/>
        <w:snapToGrid w:val="0"/>
        <w:spacing w:line="360" w:lineRule="auto"/>
        <w:jc w:val="center"/>
        <w:rPr>
          <w:rFonts w:ascii="Times New Roman" w:hAnsi="Times New Roman" w:eastAsia="宋体"/>
          <w:color w:val="auto"/>
          <w:sz w:val="36"/>
          <w:szCs w:val="36"/>
        </w:rPr>
      </w:pPr>
      <w:bookmarkStart w:id="11" w:name="_Toc18159"/>
      <w:bookmarkStart w:id="12" w:name="_Toc459118362"/>
      <w:bookmarkStart w:id="13" w:name="_Toc32317"/>
      <w:r>
        <w:rPr>
          <w:rFonts w:ascii="Times New Roman" w:hAnsi="Times New Roman" w:eastAsia="宋体"/>
          <w:color w:val="auto"/>
          <w:sz w:val="36"/>
          <w:szCs w:val="36"/>
        </w:rPr>
        <w:t>1总则</w:t>
      </w:r>
      <w:bookmarkEnd w:id="11"/>
      <w:bookmarkEnd w:id="12"/>
      <w:bookmarkEnd w:id="13"/>
    </w:p>
    <w:p>
      <w:pPr>
        <w:pStyle w:val="5"/>
        <w:adjustRightInd w:val="0"/>
        <w:snapToGrid w:val="0"/>
        <w:spacing w:before="0" w:after="0" w:line="360" w:lineRule="auto"/>
        <w:rPr>
          <w:rFonts w:ascii="Times New Roman" w:hAnsi="Times New Roman" w:eastAsia="宋体"/>
          <w:color w:val="auto"/>
          <w:sz w:val="30"/>
          <w:szCs w:val="30"/>
        </w:rPr>
      </w:pPr>
      <w:bookmarkStart w:id="14" w:name="_Toc459118363"/>
      <w:bookmarkStart w:id="15" w:name="_Toc9088"/>
      <w:bookmarkStart w:id="16" w:name="_Toc28576"/>
      <w:r>
        <w:rPr>
          <w:rFonts w:ascii="Times New Roman" w:hAnsi="Times New Roman" w:eastAsia="宋体"/>
          <w:color w:val="auto"/>
          <w:sz w:val="30"/>
          <w:szCs w:val="30"/>
        </w:rPr>
        <w:t>1.1</w:t>
      </w:r>
      <w:bookmarkEnd w:id="14"/>
      <w:bookmarkStart w:id="17" w:name="_Toc505029018"/>
      <w:r>
        <w:rPr>
          <w:rFonts w:ascii="Times New Roman" w:hAnsi="Times New Roman" w:eastAsia="宋体"/>
          <w:color w:val="auto"/>
          <w:sz w:val="30"/>
          <w:szCs w:val="30"/>
        </w:rPr>
        <w:t>评价原则</w:t>
      </w:r>
      <w:bookmarkEnd w:id="15"/>
      <w:bookmarkEnd w:id="16"/>
      <w:bookmarkEnd w:id="17"/>
    </w:p>
    <w:p>
      <w:pPr>
        <w:pStyle w:val="33"/>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480"/>
        <w:textAlignment w:val="auto"/>
        <w:rPr>
          <w:rFonts w:hint="eastAsia" w:ascii="Times New Roman" w:hAnsi="Times New Roman" w:eastAsia="宋体"/>
          <w:snapToGrid w:val="0"/>
          <w:color w:val="auto"/>
          <w:kern w:val="0"/>
          <w:sz w:val="24"/>
          <w:szCs w:val="24"/>
        </w:rPr>
      </w:pPr>
      <w:r>
        <w:rPr>
          <w:rFonts w:hint="eastAsia" w:ascii="Times New Roman" w:hAnsi="Times New Roman" w:eastAsia="宋体"/>
          <w:snapToGrid w:val="0"/>
          <w:color w:val="auto"/>
          <w:kern w:val="0"/>
          <w:sz w:val="24"/>
          <w:szCs w:val="24"/>
        </w:rPr>
        <w:t>按照以人为本、建设资源节约型、环境友好型社会和科学发展的要求，遵循 以下原则开展环境影响评价工作：</w:t>
      </w:r>
    </w:p>
    <w:p>
      <w:pPr>
        <w:pStyle w:val="33"/>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480"/>
        <w:textAlignment w:val="auto"/>
        <w:rPr>
          <w:rFonts w:hint="eastAsia" w:ascii="Times New Roman" w:hAnsi="Times New Roman" w:eastAsia="宋体"/>
          <w:snapToGrid w:val="0"/>
          <w:color w:val="auto"/>
          <w:kern w:val="0"/>
          <w:sz w:val="24"/>
          <w:szCs w:val="24"/>
        </w:rPr>
      </w:pPr>
      <w:r>
        <w:rPr>
          <w:rFonts w:hint="eastAsia" w:ascii="Times New Roman" w:hAnsi="Times New Roman" w:eastAsia="宋体"/>
          <w:snapToGrid w:val="0"/>
          <w:color w:val="auto"/>
          <w:kern w:val="0"/>
          <w:sz w:val="24"/>
          <w:szCs w:val="24"/>
          <w:lang w:eastAsia="zh-CN"/>
        </w:rPr>
        <w:t>（</w:t>
      </w:r>
      <w:r>
        <w:rPr>
          <w:rFonts w:hint="eastAsia" w:ascii="Times New Roman" w:hAnsi="Times New Roman" w:eastAsia="宋体"/>
          <w:snapToGrid w:val="0"/>
          <w:color w:val="auto"/>
          <w:kern w:val="0"/>
          <w:sz w:val="24"/>
          <w:szCs w:val="24"/>
          <w:lang w:val="en-US" w:eastAsia="zh-CN"/>
        </w:rPr>
        <w:t>1</w:t>
      </w:r>
      <w:r>
        <w:rPr>
          <w:rFonts w:hint="eastAsia" w:ascii="Times New Roman" w:hAnsi="Times New Roman" w:eastAsia="宋体"/>
          <w:snapToGrid w:val="0"/>
          <w:color w:val="auto"/>
          <w:kern w:val="0"/>
          <w:sz w:val="24"/>
          <w:szCs w:val="24"/>
          <w:lang w:eastAsia="zh-CN"/>
        </w:rPr>
        <w:t>）</w:t>
      </w:r>
      <w:r>
        <w:rPr>
          <w:rFonts w:hint="eastAsia" w:ascii="Times New Roman" w:hAnsi="Times New Roman" w:eastAsia="宋体"/>
          <w:snapToGrid w:val="0"/>
          <w:color w:val="auto"/>
          <w:kern w:val="0"/>
          <w:sz w:val="24"/>
          <w:szCs w:val="24"/>
        </w:rPr>
        <w:t>依法评价原则</w:t>
      </w:r>
    </w:p>
    <w:p>
      <w:pPr>
        <w:pStyle w:val="33"/>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480"/>
        <w:textAlignment w:val="auto"/>
        <w:rPr>
          <w:rFonts w:hint="eastAsia" w:ascii="Times New Roman" w:hAnsi="Times New Roman" w:eastAsia="宋体"/>
          <w:snapToGrid w:val="0"/>
          <w:color w:val="auto"/>
          <w:kern w:val="0"/>
          <w:sz w:val="24"/>
          <w:szCs w:val="24"/>
        </w:rPr>
      </w:pPr>
      <w:r>
        <w:rPr>
          <w:rFonts w:hint="eastAsia" w:ascii="Times New Roman" w:hAnsi="Times New Roman" w:eastAsia="宋体"/>
          <w:snapToGrid w:val="0"/>
          <w:color w:val="auto"/>
          <w:kern w:val="0"/>
          <w:sz w:val="24"/>
          <w:szCs w:val="24"/>
        </w:rPr>
        <w:t>贯彻执行我国环境保护相关法律法规、标准、政策和规划等，优化项目建设，服务环境管理。</w:t>
      </w:r>
    </w:p>
    <w:p>
      <w:pPr>
        <w:pStyle w:val="33"/>
        <w:keepNext w:val="0"/>
        <w:keepLines w:val="0"/>
        <w:pageBreakBefore w:val="0"/>
        <w:widowControl w:val="0"/>
        <w:numPr>
          <w:ilvl w:val="0"/>
          <w:numId w:val="1"/>
        </w:numPr>
        <w:kinsoku/>
        <w:wordWrap/>
        <w:overflowPunct/>
        <w:topLinePunct w:val="0"/>
        <w:autoSpaceDE/>
        <w:autoSpaceDN/>
        <w:bidi w:val="0"/>
        <w:adjustRightInd w:val="0"/>
        <w:snapToGrid w:val="0"/>
        <w:spacing w:after="0" w:line="360" w:lineRule="auto"/>
        <w:ind w:left="0" w:leftChars="0" w:firstLine="480"/>
        <w:textAlignment w:val="auto"/>
        <w:rPr>
          <w:rFonts w:hint="eastAsia" w:ascii="Times New Roman" w:hAnsi="Times New Roman" w:eastAsia="宋体"/>
          <w:snapToGrid w:val="0"/>
          <w:color w:val="auto"/>
          <w:kern w:val="0"/>
          <w:sz w:val="24"/>
          <w:szCs w:val="24"/>
        </w:rPr>
      </w:pPr>
      <w:r>
        <w:rPr>
          <w:rFonts w:hint="eastAsia" w:ascii="Times New Roman" w:hAnsi="Times New Roman" w:eastAsia="宋体"/>
          <w:snapToGrid w:val="0"/>
          <w:color w:val="auto"/>
          <w:kern w:val="0"/>
          <w:sz w:val="24"/>
          <w:szCs w:val="24"/>
        </w:rPr>
        <w:t>科学评价原则</w:t>
      </w:r>
    </w:p>
    <w:p>
      <w:pPr>
        <w:pStyle w:val="33"/>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480"/>
        <w:textAlignment w:val="auto"/>
        <w:rPr>
          <w:rFonts w:hint="eastAsia" w:ascii="Times New Roman" w:hAnsi="Times New Roman" w:eastAsia="宋体"/>
          <w:snapToGrid w:val="0"/>
          <w:color w:val="auto"/>
          <w:kern w:val="0"/>
          <w:sz w:val="24"/>
          <w:szCs w:val="24"/>
        </w:rPr>
      </w:pPr>
      <w:r>
        <w:rPr>
          <w:rFonts w:hint="eastAsia" w:ascii="Times New Roman" w:hAnsi="Times New Roman" w:eastAsia="宋体"/>
          <w:snapToGrid w:val="0"/>
          <w:color w:val="auto"/>
          <w:kern w:val="0"/>
          <w:sz w:val="24"/>
          <w:szCs w:val="24"/>
        </w:rPr>
        <w:t>规范环境影响评价方法，科学分析项目建设对环境质量的影响。</w:t>
      </w:r>
    </w:p>
    <w:p>
      <w:pPr>
        <w:pStyle w:val="33"/>
        <w:keepNext w:val="0"/>
        <w:keepLines w:val="0"/>
        <w:pageBreakBefore w:val="0"/>
        <w:widowControl w:val="0"/>
        <w:numPr>
          <w:ilvl w:val="0"/>
          <w:numId w:val="1"/>
        </w:numPr>
        <w:kinsoku/>
        <w:wordWrap/>
        <w:overflowPunct/>
        <w:topLinePunct w:val="0"/>
        <w:autoSpaceDE/>
        <w:autoSpaceDN/>
        <w:bidi w:val="0"/>
        <w:adjustRightInd w:val="0"/>
        <w:snapToGrid w:val="0"/>
        <w:spacing w:after="0" w:line="360" w:lineRule="auto"/>
        <w:ind w:left="0" w:leftChars="0" w:firstLine="480" w:firstLineChars="200"/>
        <w:textAlignment w:val="auto"/>
        <w:rPr>
          <w:rFonts w:hint="eastAsia" w:ascii="Times New Roman" w:hAnsi="Times New Roman" w:eastAsia="宋体"/>
          <w:snapToGrid w:val="0"/>
          <w:color w:val="auto"/>
          <w:kern w:val="0"/>
          <w:sz w:val="24"/>
          <w:szCs w:val="24"/>
        </w:rPr>
      </w:pPr>
      <w:r>
        <w:rPr>
          <w:rFonts w:hint="eastAsia" w:ascii="Times New Roman" w:hAnsi="Times New Roman" w:eastAsia="宋体"/>
          <w:snapToGrid w:val="0"/>
          <w:color w:val="auto"/>
          <w:kern w:val="0"/>
          <w:sz w:val="24"/>
          <w:szCs w:val="24"/>
        </w:rPr>
        <w:t>突出重点原则</w:t>
      </w:r>
    </w:p>
    <w:p>
      <w:pPr>
        <w:pStyle w:val="33"/>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480"/>
        <w:textAlignment w:val="auto"/>
        <w:rPr>
          <w:rFonts w:hint="eastAsia" w:ascii="Times New Roman" w:hAnsi="Times New Roman" w:eastAsia="宋体"/>
          <w:snapToGrid w:val="0"/>
          <w:color w:val="auto"/>
          <w:kern w:val="0"/>
          <w:sz w:val="24"/>
          <w:szCs w:val="24"/>
        </w:rPr>
      </w:pPr>
      <w:r>
        <w:rPr>
          <w:rFonts w:hint="eastAsia" w:ascii="Times New Roman" w:hAnsi="Times New Roman" w:eastAsia="宋体"/>
          <w:snapToGrid w:val="0"/>
          <w:color w:val="auto"/>
          <w:kern w:val="0"/>
          <w:sz w:val="24"/>
          <w:szCs w:val="24"/>
        </w:rPr>
        <w:t>根据建设项目的工程内容及其特点，明确与环境要素间的作用效应关系，根据规划环境影响评价结论和审查意见，充分利用符合时效的数据资料及成果，对建设项目主要环境影响予以重点分析和评价。</w:t>
      </w:r>
    </w:p>
    <w:p>
      <w:pPr>
        <w:pStyle w:val="5"/>
        <w:adjustRightInd w:val="0"/>
        <w:snapToGrid w:val="0"/>
        <w:spacing w:before="0" w:after="0" w:line="360" w:lineRule="auto"/>
        <w:rPr>
          <w:rFonts w:ascii="Times New Roman" w:hAnsi="Times New Roman" w:eastAsia="宋体"/>
          <w:color w:val="auto"/>
          <w:sz w:val="30"/>
          <w:szCs w:val="30"/>
        </w:rPr>
      </w:pPr>
      <w:bookmarkStart w:id="18" w:name="_Toc459118364"/>
      <w:bookmarkStart w:id="19" w:name="_Toc754"/>
      <w:bookmarkStart w:id="20" w:name="_Toc9491"/>
      <w:r>
        <w:rPr>
          <w:rFonts w:ascii="Times New Roman" w:hAnsi="Times New Roman" w:eastAsia="宋体"/>
          <w:color w:val="auto"/>
          <w:sz w:val="30"/>
          <w:szCs w:val="30"/>
        </w:rPr>
        <w:t>1.</w:t>
      </w:r>
      <w:r>
        <w:rPr>
          <w:rFonts w:hint="eastAsia" w:ascii="Times New Roman" w:hAnsi="Times New Roman" w:eastAsia="宋体"/>
          <w:color w:val="auto"/>
          <w:sz w:val="30"/>
          <w:szCs w:val="30"/>
        </w:rPr>
        <w:t>2</w:t>
      </w:r>
      <w:bookmarkEnd w:id="18"/>
      <w:bookmarkStart w:id="21" w:name="_Toc459118365"/>
      <w:r>
        <w:rPr>
          <w:rFonts w:hint="eastAsia" w:ascii="Times New Roman" w:hAnsi="Times New Roman" w:eastAsia="宋体"/>
          <w:color w:val="auto"/>
          <w:sz w:val="30"/>
          <w:szCs w:val="30"/>
        </w:rPr>
        <w:t>评价目的</w:t>
      </w:r>
      <w:bookmarkEnd w:id="19"/>
      <w:bookmarkEnd w:id="20"/>
    </w:p>
    <w:bookmarkEnd w:id="21"/>
    <w:p>
      <w:pPr>
        <w:adjustRightInd w:val="0"/>
        <w:snapToGrid w:val="0"/>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根据</w:t>
      </w:r>
      <w:r>
        <w:rPr>
          <w:rFonts w:hint="eastAsia" w:ascii="Times New Roman" w:hAnsi="Times New Roman" w:eastAsia="宋体" w:cs="Times New Roman"/>
          <w:color w:val="auto"/>
          <w:sz w:val="24"/>
          <w:szCs w:val="24"/>
          <w:lang w:eastAsia="zh-CN"/>
        </w:rPr>
        <w:t>丹棱县生猪种养循环工程建设</w:t>
      </w:r>
      <w:r>
        <w:rPr>
          <w:rFonts w:hint="eastAsia" w:ascii="Times New Roman" w:hAnsi="Times New Roman" w:eastAsia="宋体" w:cs="Times New Roman"/>
          <w:color w:val="auto"/>
          <w:sz w:val="24"/>
          <w:szCs w:val="24"/>
        </w:rPr>
        <w:t>项目，依据国家相关的法律法规，编制本报告书主要目的在于：</w:t>
      </w:r>
    </w:p>
    <w:p>
      <w:pPr>
        <w:numPr>
          <w:ilvl w:val="0"/>
          <w:numId w:val="2"/>
        </w:numPr>
        <w:adjustRightInd w:val="0"/>
        <w:snapToGrid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通过对项目地区自然环境和社会环境调查，了解区域环境现状，掌握当地环境质量现状水平，确定环境纳污容量；</w:t>
      </w:r>
    </w:p>
    <w:p>
      <w:pPr>
        <w:numPr>
          <w:ilvl w:val="0"/>
          <w:numId w:val="2"/>
        </w:numPr>
        <w:adjustRightInd w:val="0"/>
        <w:snapToGrid w:val="0"/>
        <w:spacing w:line="360" w:lineRule="auto"/>
        <w:ind w:firstLine="480" w:firstLineChars="200"/>
        <w:rPr>
          <w:rFonts w:ascii="Times New Roman" w:hAnsi="Times New Roman" w:eastAsia="宋体" w:cs="Times New Roman"/>
          <w:color w:val="auto"/>
          <w:sz w:val="24"/>
        </w:rPr>
      </w:pPr>
      <w:r>
        <w:rPr>
          <w:rFonts w:hint="eastAsia" w:ascii="Times New Roman" w:hAnsi="Times New Roman" w:eastAsia="宋体" w:cs="Times New Roman"/>
          <w:color w:val="auto"/>
          <w:sz w:val="24"/>
          <w:szCs w:val="24"/>
        </w:rPr>
        <w:t>通过对项目的工程分析和现场踏勘、监测，进一步核实工程污染产生情况，分析和预测营运期项目污染对周边环境的影响范围和程度；</w:t>
      </w:r>
    </w:p>
    <w:p>
      <w:pPr>
        <w:numPr>
          <w:ilvl w:val="0"/>
          <w:numId w:val="2"/>
        </w:numPr>
        <w:adjustRightInd w:val="0"/>
        <w:snapToGrid w:val="0"/>
        <w:spacing w:line="360" w:lineRule="auto"/>
        <w:ind w:firstLine="480" w:firstLineChars="200"/>
        <w:rPr>
          <w:rFonts w:ascii="Times New Roman" w:hAnsi="Times New Roman" w:eastAsia="宋体" w:cs="Times New Roman"/>
          <w:color w:val="auto"/>
          <w:sz w:val="24"/>
        </w:rPr>
      </w:pPr>
      <w:r>
        <w:rPr>
          <w:rFonts w:hint="eastAsia" w:ascii="Times New Roman" w:hAnsi="Times New Roman" w:eastAsia="宋体" w:cs="Times New Roman"/>
          <w:color w:val="auto"/>
          <w:sz w:val="24"/>
          <w:szCs w:val="24"/>
        </w:rPr>
        <w:t>在对本项目工程分析的基础上，以清洁生产为原则，分析工程污染治理措施的可行性，提出相应的对策措施建议，并为今后的环境管理工作提供科学依据；</w:t>
      </w:r>
    </w:p>
    <w:p>
      <w:pPr>
        <w:numPr>
          <w:ilvl w:val="0"/>
          <w:numId w:val="2"/>
        </w:numPr>
        <w:adjustRightInd w:val="0"/>
        <w:snapToGrid w:val="0"/>
        <w:spacing w:line="360" w:lineRule="auto"/>
        <w:ind w:firstLine="480" w:firstLineChars="200"/>
        <w:rPr>
          <w:rFonts w:ascii="Times New Roman" w:hAnsi="Times New Roman" w:eastAsia="宋体" w:cs="Times New Roman"/>
          <w:color w:val="auto"/>
          <w:sz w:val="24"/>
        </w:rPr>
      </w:pPr>
      <w:r>
        <w:rPr>
          <w:rFonts w:hint="eastAsia" w:ascii="Times New Roman" w:hAnsi="Times New Roman" w:eastAsia="宋体" w:cs="Times New Roman"/>
          <w:color w:val="auto"/>
          <w:sz w:val="24"/>
          <w:szCs w:val="24"/>
        </w:rPr>
        <w:t>根据预测评价结果，分析工程及选址的可行性。</w:t>
      </w:r>
    </w:p>
    <w:p>
      <w:pPr>
        <w:pStyle w:val="5"/>
        <w:adjustRightInd w:val="0"/>
        <w:snapToGrid w:val="0"/>
        <w:spacing w:before="0" w:after="0" w:line="360" w:lineRule="auto"/>
        <w:rPr>
          <w:rFonts w:ascii="Times New Roman" w:hAnsi="Times New Roman" w:eastAsia="宋体"/>
          <w:color w:val="auto"/>
          <w:sz w:val="30"/>
          <w:szCs w:val="30"/>
        </w:rPr>
      </w:pPr>
      <w:bookmarkStart w:id="22" w:name="_Toc7926"/>
      <w:bookmarkStart w:id="23" w:name="_Toc459118367"/>
      <w:bookmarkStart w:id="24" w:name="_Toc30072"/>
      <w:r>
        <w:rPr>
          <w:rFonts w:ascii="Times New Roman" w:hAnsi="Times New Roman" w:eastAsia="宋体"/>
          <w:color w:val="auto"/>
          <w:sz w:val="30"/>
          <w:szCs w:val="30"/>
        </w:rPr>
        <w:t>1.3编制依据</w:t>
      </w:r>
      <w:bookmarkEnd w:id="22"/>
      <w:bookmarkEnd w:id="23"/>
      <w:bookmarkEnd w:id="24"/>
    </w:p>
    <w:p>
      <w:pPr>
        <w:pStyle w:val="6"/>
        <w:adjustRightInd w:val="0"/>
        <w:snapToGrid w:val="0"/>
        <w:spacing w:before="0" w:after="0" w:line="360" w:lineRule="auto"/>
        <w:rPr>
          <w:rFonts w:ascii="Times New Roman" w:hAnsi="Times New Roman" w:eastAsia="宋体"/>
          <w:color w:val="auto"/>
          <w:sz w:val="28"/>
          <w:szCs w:val="28"/>
        </w:rPr>
      </w:pPr>
      <w:bookmarkStart w:id="25" w:name="_Toc459118368"/>
      <w:bookmarkStart w:id="26" w:name="_Toc12194"/>
      <w:r>
        <w:rPr>
          <w:rFonts w:ascii="Times New Roman" w:hAnsi="Times New Roman" w:eastAsia="宋体"/>
          <w:color w:val="auto"/>
          <w:sz w:val="28"/>
          <w:szCs w:val="28"/>
        </w:rPr>
        <w:t>1.3.1</w:t>
      </w:r>
      <w:bookmarkEnd w:id="25"/>
      <w:bookmarkEnd w:id="26"/>
      <w:r>
        <w:rPr>
          <w:rFonts w:ascii="Times New Roman" w:hAnsi="Times New Roman" w:eastAsia="宋体" w:cs="宋体"/>
          <w:color w:val="auto"/>
          <w:sz w:val="28"/>
          <w:szCs w:val="28"/>
        </w:rPr>
        <w:t>国家有关环境保护政策法规</w:t>
      </w:r>
    </w:p>
    <w:p>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firstLine="480" w:firstLineChars="200"/>
        <w:jc w:val="left"/>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《中华人民共和国环境保护法》（2015 年 1 月 1 日起施行）；</w:t>
      </w:r>
    </w:p>
    <w:p>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firstLine="480" w:firstLineChars="200"/>
        <w:jc w:val="left"/>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《中华人民共和国环境影响评价法》（2018 修订）；</w:t>
      </w:r>
    </w:p>
    <w:p>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firstLine="480" w:firstLineChars="200"/>
        <w:jc w:val="left"/>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《中华人民共和国水污染防治法》（2018 年 1 月 1 日起实施）；</w:t>
      </w:r>
    </w:p>
    <w:p>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firstLine="480" w:firstLineChars="200"/>
        <w:jc w:val="left"/>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《中华人民共和国大气污染防治法》（201</w:t>
      </w:r>
      <w:r>
        <w:rPr>
          <w:rFonts w:hint="eastAsia" w:ascii="Times New Roman" w:hAnsi="Times New Roman" w:eastAsia="宋体" w:cs="Times New Roman"/>
          <w:color w:val="auto"/>
          <w:sz w:val="24"/>
          <w:szCs w:val="24"/>
          <w:lang w:val="en-US" w:eastAsia="zh-CN"/>
        </w:rPr>
        <w:t>8</w:t>
      </w:r>
      <w:r>
        <w:rPr>
          <w:rFonts w:hint="default" w:ascii="Times New Roman" w:hAnsi="Times New Roman" w:eastAsia="宋体" w:cs="Times New Roman"/>
          <w:color w:val="auto"/>
          <w:sz w:val="24"/>
          <w:szCs w:val="24"/>
        </w:rPr>
        <w:t xml:space="preserve"> 年</w:t>
      </w:r>
      <w:r>
        <w:rPr>
          <w:rFonts w:hint="eastAsia" w:ascii="Times New Roman" w:hAnsi="Times New Roman" w:eastAsia="宋体" w:cs="Times New Roman"/>
          <w:color w:val="auto"/>
          <w:sz w:val="24"/>
          <w:szCs w:val="24"/>
          <w:lang w:eastAsia="zh-CN"/>
        </w:rPr>
        <w:t>修订</w:t>
      </w:r>
      <w:r>
        <w:rPr>
          <w:rFonts w:hint="default" w:ascii="Times New Roman" w:hAnsi="Times New Roman" w:eastAsia="宋体" w:cs="Times New Roman"/>
          <w:color w:val="auto"/>
          <w:sz w:val="24"/>
          <w:szCs w:val="24"/>
        </w:rPr>
        <w:t>）；</w:t>
      </w:r>
    </w:p>
    <w:p>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firstLine="480" w:firstLineChars="200"/>
        <w:jc w:val="left"/>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《中华人民共和国固体废物污染环境防治法》（</w:t>
      </w:r>
      <w:r>
        <w:rPr>
          <w:rFonts w:hint="eastAsia" w:ascii="Times New Roman" w:hAnsi="Times New Roman" w:eastAsia="宋体" w:cs="Times New Roman"/>
          <w:color w:val="auto"/>
          <w:sz w:val="24"/>
          <w:szCs w:val="24"/>
          <w:lang w:val="en-US" w:eastAsia="zh-CN"/>
        </w:rPr>
        <w:t>2020.9.1</w:t>
      </w:r>
      <w:r>
        <w:rPr>
          <w:rFonts w:hint="default" w:ascii="Times New Roman" w:hAnsi="Times New Roman" w:eastAsia="宋体" w:cs="Times New Roman"/>
          <w:color w:val="auto"/>
          <w:sz w:val="24"/>
          <w:szCs w:val="24"/>
        </w:rPr>
        <w:t>）；</w:t>
      </w:r>
    </w:p>
    <w:p>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firstLine="480" w:firstLineChars="200"/>
        <w:jc w:val="left"/>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《中华人民共和国环境噪声污染防治法》（2018 修订）；</w:t>
      </w:r>
    </w:p>
    <w:p>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firstLine="480" w:firstLineChars="200"/>
        <w:jc w:val="left"/>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《中华人民共和国土地管理法》（</w:t>
      </w:r>
      <w:r>
        <w:rPr>
          <w:rFonts w:hint="eastAsia" w:ascii="Times New Roman" w:hAnsi="Times New Roman" w:eastAsia="宋体" w:cs="Times New Roman"/>
          <w:color w:val="auto"/>
          <w:sz w:val="24"/>
          <w:szCs w:val="24"/>
          <w:lang w:val="en-US" w:eastAsia="zh-CN"/>
        </w:rPr>
        <w:t>2019年修订</w:t>
      </w:r>
      <w:r>
        <w:rPr>
          <w:rFonts w:hint="default" w:ascii="Times New Roman" w:hAnsi="Times New Roman" w:eastAsia="宋体" w:cs="Times New Roman"/>
          <w:color w:val="auto"/>
          <w:sz w:val="24"/>
          <w:szCs w:val="24"/>
        </w:rPr>
        <w:t>）；</w:t>
      </w:r>
    </w:p>
    <w:p>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firstLine="480" w:firstLineChars="200"/>
        <w:jc w:val="left"/>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《中华人民共和国安全生产法》(2014 年 12 月 1 起施行)；</w:t>
      </w:r>
    </w:p>
    <w:p>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firstLine="480" w:firstLineChars="200"/>
        <w:jc w:val="left"/>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《中华人民共和国清洁生产促进法》（2012 年 7 月 1 日起施行）；</w:t>
      </w:r>
    </w:p>
    <w:p>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firstLine="480" w:firstLineChars="200"/>
        <w:jc w:val="left"/>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《中华人民共和国传染病防治法》（20</w:t>
      </w:r>
      <w:r>
        <w:rPr>
          <w:rFonts w:hint="eastAsia"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4 年 12 月 1 日起施行）；</w:t>
      </w:r>
    </w:p>
    <w:p>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firstLine="480" w:firstLineChars="200"/>
        <w:jc w:val="left"/>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《中华人民共和国城乡规划法》（201</w:t>
      </w:r>
      <w:r>
        <w:rPr>
          <w:rFonts w:hint="eastAsia" w:ascii="Times New Roman" w:hAnsi="Times New Roman" w:eastAsia="宋体" w:cs="Times New Roman"/>
          <w:color w:val="auto"/>
          <w:sz w:val="24"/>
          <w:szCs w:val="24"/>
          <w:lang w:val="en-US" w:eastAsia="zh-CN"/>
        </w:rPr>
        <w:t>9</w:t>
      </w:r>
      <w:r>
        <w:rPr>
          <w:rFonts w:hint="default" w:ascii="Times New Roman" w:hAnsi="Times New Roman" w:eastAsia="宋体" w:cs="Times New Roman"/>
          <w:color w:val="auto"/>
          <w:sz w:val="24"/>
          <w:szCs w:val="24"/>
        </w:rPr>
        <w:t xml:space="preserve"> 年 修正）；</w:t>
      </w:r>
    </w:p>
    <w:p>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firstLine="480" w:firstLineChars="200"/>
        <w:jc w:val="left"/>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《中华人民共和国水土保持法（2010 年修订）》（国家主席令第 39 号，2011 年 3 月 1 日实施）；</w:t>
      </w:r>
    </w:p>
    <w:p>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firstLine="480" w:firstLineChars="200"/>
        <w:jc w:val="left"/>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《中华人民共和国节约能源法》（201</w:t>
      </w:r>
      <w:r>
        <w:rPr>
          <w:rFonts w:hint="eastAsia" w:ascii="Times New Roman" w:hAnsi="Times New Roman" w:eastAsia="宋体" w:cs="Times New Roman"/>
          <w:color w:val="auto"/>
          <w:sz w:val="24"/>
          <w:szCs w:val="24"/>
          <w:lang w:val="en-US" w:eastAsia="zh-CN"/>
        </w:rPr>
        <w:t>8年</w:t>
      </w:r>
      <w:r>
        <w:rPr>
          <w:rFonts w:hint="default" w:ascii="Times New Roman" w:hAnsi="Times New Roman" w:eastAsia="宋体" w:cs="Times New Roman"/>
          <w:color w:val="auto"/>
          <w:sz w:val="24"/>
          <w:szCs w:val="24"/>
        </w:rPr>
        <w:t>修订）；</w:t>
      </w:r>
    </w:p>
    <w:p>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firstLine="480" w:firstLineChars="200"/>
        <w:jc w:val="left"/>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《中华人民共和国循环经济促进法》（20</w:t>
      </w:r>
      <w:r>
        <w:rPr>
          <w:rFonts w:hint="eastAsia" w:ascii="Times New Roman" w:hAnsi="Times New Roman" w:eastAsia="宋体" w:cs="Times New Roman"/>
          <w:color w:val="auto"/>
          <w:sz w:val="24"/>
          <w:szCs w:val="24"/>
          <w:lang w:val="en-US" w:eastAsia="zh-CN"/>
        </w:rPr>
        <w:t>18</w:t>
      </w:r>
      <w:r>
        <w:rPr>
          <w:rFonts w:hint="default" w:ascii="Times New Roman" w:hAnsi="Times New Roman" w:eastAsia="宋体" w:cs="Times New Roman"/>
          <w:color w:val="auto"/>
          <w:sz w:val="24"/>
          <w:szCs w:val="24"/>
        </w:rPr>
        <w:t>）。</w:t>
      </w:r>
    </w:p>
    <w:p>
      <w:pPr>
        <w:adjustRightInd w:val="0"/>
        <w:snapToGrid w:val="0"/>
        <w:spacing w:line="360" w:lineRule="auto"/>
        <w:outlineLvl w:val="2"/>
        <w:rPr>
          <w:rFonts w:hint="eastAsia" w:ascii="Times New Roman" w:hAnsi="Times New Roman" w:eastAsia="宋体" w:cs="宋体"/>
          <w:b/>
          <w:bCs/>
          <w:color w:val="auto"/>
          <w:sz w:val="28"/>
          <w:szCs w:val="28"/>
          <w:lang w:eastAsia="zh-CN"/>
        </w:rPr>
      </w:pPr>
      <w:r>
        <w:rPr>
          <w:rFonts w:hint="eastAsia" w:ascii="Times New Roman" w:hAnsi="Times New Roman" w:eastAsia="宋体" w:cs="宋体"/>
          <w:b/>
          <w:bCs/>
          <w:color w:val="auto"/>
          <w:sz w:val="28"/>
          <w:szCs w:val="28"/>
        </w:rPr>
        <w:t>1</w:t>
      </w:r>
      <w:r>
        <w:rPr>
          <w:rFonts w:hint="eastAsia" w:ascii="Times New Roman" w:hAnsi="Times New Roman" w:eastAsia="宋体" w:cs="宋体"/>
          <w:b/>
          <w:bCs/>
          <w:color w:val="auto"/>
          <w:sz w:val="28"/>
          <w:szCs w:val="28"/>
          <w:lang w:eastAsia="zh-CN"/>
        </w:rPr>
        <w:t>.</w:t>
      </w:r>
      <w:r>
        <w:rPr>
          <w:rFonts w:hint="eastAsia" w:ascii="Times New Roman" w:hAnsi="Times New Roman" w:eastAsia="宋体" w:cs="宋体"/>
          <w:b/>
          <w:bCs/>
          <w:color w:val="auto"/>
          <w:sz w:val="28"/>
          <w:szCs w:val="28"/>
        </w:rPr>
        <w:t>3.2</w:t>
      </w:r>
      <w:r>
        <w:rPr>
          <w:rFonts w:hint="eastAsia" w:ascii="Times New Roman" w:hAnsi="Times New Roman" w:eastAsia="宋体" w:cs="宋体"/>
          <w:b/>
          <w:bCs/>
          <w:color w:val="auto"/>
          <w:sz w:val="28"/>
          <w:szCs w:val="28"/>
          <w:lang w:eastAsia="zh-CN"/>
        </w:rPr>
        <w:t>规章政策</w:t>
      </w:r>
    </w:p>
    <w:p>
      <w:pPr>
        <w:numPr>
          <w:ilvl w:val="0"/>
          <w:numId w:val="4"/>
        </w:numPr>
        <w:adjustRightInd w:val="0"/>
        <w:snapToGrid w:val="0"/>
        <w:spacing w:line="360" w:lineRule="auto"/>
        <w:ind w:firstLine="480" w:firstLineChars="200"/>
        <w:rPr>
          <w:rFonts w:hint="eastAsia" w:ascii="Times New Roman" w:hAnsi="Times New Roman" w:eastAsia="宋体" w:cs="宋体"/>
          <w:color w:val="auto"/>
          <w:sz w:val="24"/>
          <w:szCs w:val="24"/>
        </w:rPr>
      </w:pPr>
      <w:r>
        <w:rPr>
          <w:rFonts w:hint="eastAsia" w:ascii="Times New Roman" w:hAnsi="Times New Roman" w:eastAsia="宋体" w:cs="宋体"/>
          <w:color w:val="auto"/>
          <w:sz w:val="24"/>
          <w:szCs w:val="24"/>
        </w:rPr>
        <w:t>《建设项目环境保护管理条例》（国务院令第 682 号，2017.10.1 实施）；</w:t>
      </w:r>
    </w:p>
    <w:p>
      <w:pPr>
        <w:numPr>
          <w:ilvl w:val="0"/>
          <w:numId w:val="4"/>
        </w:numPr>
        <w:adjustRightInd w:val="0"/>
        <w:snapToGrid w:val="0"/>
        <w:spacing w:line="360" w:lineRule="auto"/>
        <w:ind w:firstLine="480" w:firstLineChars="200"/>
        <w:rPr>
          <w:rFonts w:hint="eastAsia" w:ascii="Times New Roman" w:hAnsi="Times New Roman" w:eastAsia="宋体" w:cs="宋体"/>
          <w:color w:val="auto"/>
          <w:sz w:val="24"/>
          <w:szCs w:val="24"/>
        </w:rPr>
      </w:pPr>
      <w:r>
        <w:rPr>
          <w:rFonts w:hint="eastAsia" w:ascii="Times New Roman" w:hAnsi="Times New Roman" w:eastAsia="宋体" w:cs="宋体"/>
          <w:color w:val="auto"/>
          <w:sz w:val="24"/>
          <w:szCs w:val="24"/>
        </w:rPr>
        <w:t>《环境影响评价公众参与办法》（生态部令第 4 号）；</w:t>
      </w:r>
    </w:p>
    <w:p>
      <w:pPr>
        <w:numPr>
          <w:ilvl w:val="0"/>
          <w:numId w:val="4"/>
        </w:numPr>
        <w:adjustRightInd w:val="0"/>
        <w:snapToGrid w:val="0"/>
        <w:spacing w:line="360" w:lineRule="auto"/>
        <w:ind w:firstLine="480" w:firstLineChars="200"/>
        <w:rPr>
          <w:rFonts w:hint="eastAsia" w:ascii="Times New Roman" w:hAnsi="Times New Roman" w:eastAsia="宋体" w:cs="宋体"/>
          <w:color w:val="auto"/>
          <w:sz w:val="24"/>
          <w:szCs w:val="24"/>
        </w:rPr>
      </w:pPr>
      <w:r>
        <w:rPr>
          <w:rFonts w:hint="eastAsia" w:ascii="Times New Roman" w:hAnsi="Times New Roman" w:eastAsia="宋体" w:cs="宋体"/>
          <w:color w:val="auto"/>
          <w:sz w:val="24"/>
          <w:szCs w:val="24"/>
        </w:rPr>
        <w:t>《国务院关于落实科学发展观加强环境保护的决定》（国发[2005]39 号，2005.12）；</w:t>
      </w:r>
    </w:p>
    <w:p>
      <w:pPr>
        <w:numPr>
          <w:ilvl w:val="0"/>
          <w:numId w:val="4"/>
        </w:numPr>
        <w:adjustRightInd w:val="0"/>
        <w:snapToGrid w:val="0"/>
        <w:spacing w:line="360" w:lineRule="auto"/>
        <w:ind w:firstLine="480" w:firstLineChars="200"/>
        <w:rPr>
          <w:rFonts w:hint="eastAsia" w:ascii="Times New Roman" w:hAnsi="Times New Roman" w:eastAsia="宋体" w:cs="宋体"/>
          <w:color w:val="auto"/>
          <w:sz w:val="24"/>
          <w:szCs w:val="24"/>
        </w:rPr>
      </w:pPr>
      <w:r>
        <w:rPr>
          <w:rFonts w:hint="eastAsia" w:ascii="Times New Roman" w:hAnsi="Times New Roman" w:eastAsia="宋体" w:cs="宋体"/>
          <w:color w:val="auto"/>
          <w:sz w:val="24"/>
          <w:szCs w:val="24"/>
        </w:rPr>
        <w:t>《产业结构调整指导目录（201</w:t>
      </w:r>
      <w:r>
        <w:rPr>
          <w:rFonts w:hint="eastAsia" w:ascii="Times New Roman" w:hAnsi="Times New Roman" w:eastAsia="宋体" w:cs="宋体"/>
          <w:color w:val="auto"/>
          <w:sz w:val="24"/>
          <w:szCs w:val="24"/>
          <w:lang w:val="en-US" w:eastAsia="zh-CN"/>
        </w:rPr>
        <w:t>9</w:t>
      </w:r>
      <w:r>
        <w:rPr>
          <w:rFonts w:hint="eastAsia" w:ascii="Times New Roman" w:hAnsi="Times New Roman" w:eastAsia="宋体" w:cs="宋体"/>
          <w:color w:val="auto"/>
          <w:sz w:val="24"/>
          <w:szCs w:val="24"/>
        </w:rPr>
        <w:t xml:space="preserve"> 年本）》（国家发展和改革委员会令第 </w:t>
      </w:r>
      <w:r>
        <w:rPr>
          <w:rFonts w:hint="eastAsia" w:ascii="Times New Roman" w:hAnsi="Times New Roman" w:eastAsia="宋体" w:cs="宋体"/>
          <w:color w:val="auto"/>
          <w:sz w:val="24"/>
          <w:szCs w:val="24"/>
          <w:lang w:val="en-US" w:eastAsia="zh-CN"/>
        </w:rPr>
        <w:t>2</w:t>
      </w:r>
      <w:r>
        <w:rPr>
          <w:rFonts w:hint="eastAsia" w:ascii="Times New Roman" w:hAnsi="Times New Roman" w:eastAsia="宋体" w:cs="宋体"/>
          <w:color w:val="auto"/>
          <w:sz w:val="24"/>
          <w:szCs w:val="24"/>
        </w:rPr>
        <w:t>9 号）；</w:t>
      </w:r>
    </w:p>
    <w:p>
      <w:pPr>
        <w:numPr>
          <w:ilvl w:val="0"/>
          <w:numId w:val="4"/>
        </w:numPr>
        <w:adjustRightInd w:val="0"/>
        <w:snapToGrid w:val="0"/>
        <w:spacing w:line="360" w:lineRule="auto"/>
        <w:ind w:firstLine="480" w:firstLineChars="200"/>
        <w:rPr>
          <w:rFonts w:hint="eastAsia" w:ascii="Times New Roman" w:hAnsi="Times New Roman" w:eastAsia="宋体" w:cs="宋体"/>
          <w:color w:val="auto"/>
          <w:sz w:val="24"/>
          <w:szCs w:val="24"/>
        </w:rPr>
      </w:pPr>
      <w:r>
        <w:rPr>
          <w:rFonts w:hint="eastAsia" w:ascii="Times New Roman" w:hAnsi="Times New Roman" w:eastAsia="宋体" w:cs="宋体"/>
          <w:color w:val="auto"/>
          <w:sz w:val="24"/>
          <w:szCs w:val="24"/>
        </w:rPr>
        <w:t>《基本农田保护条例》（</w:t>
      </w:r>
      <w:r>
        <w:rPr>
          <w:rFonts w:hint="eastAsia" w:ascii="Times New Roman" w:hAnsi="Times New Roman" w:eastAsia="宋体" w:cs="宋体"/>
          <w:color w:val="auto"/>
          <w:sz w:val="24"/>
          <w:szCs w:val="24"/>
          <w:lang w:val="en-US" w:eastAsia="zh-CN"/>
        </w:rPr>
        <w:t>2011修订</w:t>
      </w:r>
      <w:r>
        <w:rPr>
          <w:rFonts w:hint="eastAsia" w:ascii="Times New Roman" w:hAnsi="Times New Roman" w:eastAsia="宋体" w:cs="宋体"/>
          <w:color w:val="auto"/>
          <w:sz w:val="24"/>
          <w:szCs w:val="24"/>
        </w:rPr>
        <w:t>）；</w:t>
      </w:r>
    </w:p>
    <w:p>
      <w:pPr>
        <w:numPr>
          <w:ilvl w:val="0"/>
          <w:numId w:val="4"/>
        </w:numPr>
        <w:adjustRightInd w:val="0"/>
        <w:snapToGrid w:val="0"/>
        <w:spacing w:line="360" w:lineRule="auto"/>
        <w:ind w:firstLine="480" w:firstLineChars="200"/>
        <w:rPr>
          <w:rFonts w:hint="eastAsia" w:ascii="Times New Roman" w:hAnsi="Times New Roman" w:eastAsia="宋体" w:cs="宋体"/>
          <w:color w:val="auto"/>
          <w:sz w:val="24"/>
          <w:szCs w:val="24"/>
        </w:rPr>
      </w:pPr>
      <w:r>
        <w:rPr>
          <w:rFonts w:hint="eastAsia" w:ascii="Times New Roman" w:hAnsi="Times New Roman" w:eastAsia="宋体" w:cs="宋体"/>
          <w:color w:val="auto"/>
          <w:sz w:val="24"/>
          <w:szCs w:val="24"/>
        </w:rPr>
        <w:t>《国务院关于加强环境保护重点工作的意见》（国发[2011]35 号）；</w:t>
      </w:r>
    </w:p>
    <w:p>
      <w:pPr>
        <w:numPr>
          <w:ilvl w:val="0"/>
          <w:numId w:val="4"/>
        </w:numPr>
        <w:adjustRightInd w:val="0"/>
        <w:snapToGrid w:val="0"/>
        <w:spacing w:line="360" w:lineRule="auto"/>
        <w:ind w:firstLine="480" w:firstLineChars="200"/>
        <w:rPr>
          <w:rFonts w:hint="eastAsia" w:ascii="Times New Roman" w:hAnsi="Times New Roman" w:eastAsia="宋体" w:cs="宋体"/>
          <w:color w:val="auto"/>
          <w:sz w:val="24"/>
          <w:szCs w:val="24"/>
        </w:rPr>
      </w:pPr>
      <w:r>
        <w:rPr>
          <w:rFonts w:hint="eastAsia" w:ascii="Times New Roman" w:hAnsi="Times New Roman" w:eastAsia="宋体" w:cs="宋体"/>
          <w:color w:val="auto"/>
          <w:sz w:val="24"/>
          <w:szCs w:val="24"/>
        </w:rPr>
        <w:t>《国务院办公厅关于建立病死畜禽无害化处理机制的意见》（国办发 [2014]47 号）；</w:t>
      </w:r>
    </w:p>
    <w:p>
      <w:pPr>
        <w:numPr>
          <w:ilvl w:val="0"/>
          <w:numId w:val="4"/>
        </w:numPr>
        <w:adjustRightInd w:val="0"/>
        <w:snapToGrid w:val="0"/>
        <w:spacing w:line="360" w:lineRule="auto"/>
        <w:ind w:firstLine="480" w:firstLineChars="200"/>
        <w:rPr>
          <w:rFonts w:hint="eastAsia" w:ascii="Times New Roman" w:hAnsi="Times New Roman" w:eastAsia="宋体" w:cs="宋体"/>
          <w:color w:val="auto"/>
          <w:sz w:val="24"/>
          <w:szCs w:val="24"/>
        </w:rPr>
      </w:pPr>
      <w:r>
        <w:rPr>
          <w:rFonts w:hint="eastAsia" w:ascii="Times New Roman" w:hAnsi="Times New Roman" w:eastAsia="宋体" w:cs="宋体"/>
          <w:color w:val="auto"/>
          <w:sz w:val="24"/>
          <w:szCs w:val="24"/>
        </w:rPr>
        <w:t>《国务院关于深化改革严格土地管理的决定》（国发[2004]28 号）；</w:t>
      </w:r>
    </w:p>
    <w:p>
      <w:pPr>
        <w:numPr>
          <w:ilvl w:val="0"/>
          <w:numId w:val="4"/>
        </w:numPr>
        <w:adjustRightInd w:val="0"/>
        <w:snapToGrid w:val="0"/>
        <w:spacing w:line="360" w:lineRule="auto"/>
        <w:ind w:firstLine="480" w:firstLineChars="200"/>
        <w:rPr>
          <w:rFonts w:hint="eastAsia" w:ascii="Times New Roman" w:hAnsi="Times New Roman" w:eastAsia="宋体" w:cs="宋体"/>
          <w:color w:val="auto"/>
          <w:sz w:val="24"/>
          <w:szCs w:val="24"/>
        </w:rPr>
      </w:pPr>
      <w:r>
        <w:rPr>
          <w:rFonts w:hint="eastAsia" w:ascii="Times New Roman" w:hAnsi="Times New Roman" w:eastAsia="宋体" w:cs="宋体"/>
          <w:color w:val="auto"/>
          <w:sz w:val="24"/>
          <w:szCs w:val="24"/>
        </w:rPr>
        <w:t>《国务院关于落实科学发展观加强环境保护的决定》（国发[2005]39 号），2005 年 12 月 1 日；</w:t>
      </w:r>
    </w:p>
    <w:p>
      <w:pPr>
        <w:numPr>
          <w:ilvl w:val="0"/>
          <w:numId w:val="4"/>
        </w:numPr>
        <w:adjustRightInd w:val="0"/>
        <w:snapToGrid w:val="0"/>
        <w:spacing w:line="360" w:lineRule="auto"/>
        <w:ind w:firstLine="480" w:firstLineChars="200"/>
        <w:rPr>
          <w:rFonts w:hint="eastAsia" w:ascii="Times New Roman" w:hAnsi="Times New Roman" w:eastAsia="宋体" w:cs="宋体"/>
          <w:color w:val="auto"/>
          <w:sz w:val="24"/>
          <w:szCs w:val="24"/>
        </w:rPr>
      </w:pPr>
      <w:r>
        <w:rPr>
          <w:rFonts w:hint="eastAsia" w:ascii="Times New Roman" w:hAnsi="Times New Roman" w:eastAsia="宋体" w:cs="宋体"/>
          <w:color w:val="auto"/>
          <w:sz w:val="24"/>
          <w:szCs w:val="24"/>
        </w:rPr>
        <w:t>《国家环境保护“十三五”规划基本思路》（2016 年）；</w:t>
      </w:r>
    </w:p>
    <w:p>
      <w:pPr>
        <w:numPr>
          <w:ilvl w:val="0"/>
          <w:numId w:val="4"/>
        </w:numPr>
        <w:adjustRightInd w:val="0"/>
        <w:snapToGrid w:val="0"/>
        <w:spacing w:line="360" w:lineRule="auto"/>
        <w:ind w:firstLine="480" w:firstLineChars="200"/>
        <w:rPr>
          <w:rFonts w:hint="eastAsia" w:ascii="Times New Roman" w:hAnsi="Times New Roman" w:eastAsia="宋体" w:cs="宋体"/>
          <w:color w:val="auto"/>
          <w:sz w:val="24"/>
          <w:szCs w:val="24"/>
        </w:rPr>
      </w:pPr>
      <w:r>
        <w:rPr>
          <w:rFonts w:hint="eastAsia" w:ascii="Times New Roman" w:hAnsi="Times New Roman" w:eastAsia="宋体" w:cs="宋体"/>
          <w:color w:val="auto"/>
          <w:sz w:val="24"/>
          <w:szCs w:val="24"/>
        </w:rPr>
        <w:t>《清洁生产审核办法》，</w:t>
      </w:r>
      <w:r>
        <w:rPr>
          <w:rFonts w:hint="eastAsia" w:ascii="Times New Roman" w:hAnsi="Times New Roman" w:eastAsia="宋体" w:cs="宋体"/>
          <w:color w:val="auto"/>
          <w:sz w:val="24"/>
          <w:szCs w:val="24"/>
          <w:lang w:eastAsia="zh-CN"/>
        </w:rPr>
        <w:t>发展改革委、环保部令第</w:t>
      </w:r>
      <w:r>
        <w:rPr>
          <w:rFonts w:hint="eastAsia" w:ascii="Times New Roman" w:hAnsi="Times New Roman" w:eastAsia="宋体" w:cs="宋体"/>
          <w:color w:val="auto"/>
          <w:sz w:val="24"/>
          <w:szCs w:val="24"/>
          <w:lang w:val="en-US" w:eastAsia="zh-CN"/>
        </w:rPr>
        <w:t>38号</w:t>
      </w:r>
      <w:r>
        <w:rPr>
          <w:rFonts w:hint="eastAsia" w:ascii="Times New Roman" w:hAnsi="Times New Roman" w:eastAsia="宋体" w:cs="宋体"/>
          <w:color w:val="auto"/>
          <w:sz w:val="24"/>
          <w:szCs w:val="24"/>
        </w:rPr>
        <w:t>，20</w:t>
      </w:r>
      <w:r>
        <w:rPr>
          <w:rFonts w:hint="eastAsia" w:ascii="Times New Roman" w:hAnsi="Times New Roman" w:eastAsia="宋体" w:cs="宋体"/>
          <w:color w:val="auto"/>
          <w:sz w:val="24"/>
          <w:szCs w:val="24"/>
          <w:lang w:val="en-US" w:eastAsia="zh-CN"/>
        </w:rPr>
        <w:t>16</w:t>
      </w:r>
      <w:r>
        <w:rPr>
          <w:rFonts w:hint="eastAsia" w:ascii="Times New Roman" w:hAnsi="Times New Roman" w:eastAsia="宋体" w:cs="宋体"/>
          <w:color w:val="auto"/>
          <w:sz w:val="24"/>
          <w:szCs w:val="24"/>
        </w:rPr>
        <w:t xml:space="preserve"> 年 </w:t>
      </w:r>
      <w:r>
        <w:rPr>
          <w:rFonts w:hint="eastAsia" w:ascii="Times New Roman" w:hAnsi="Times New Roman" w:eastAsia="宋体" w:cs="宋体"/>
          <w:color w:val="auto"/>
          <w:sz w:val="24"/>
          <w:szCs w:val="24"/>
          <w:lang w:val="en-US" w:eastAsia="zh-CN"/>
        </w:rPr>
        <w:t>7</w:t>
      </w:r>
      <w:r>
        <w:rPr>
          <w:rFonts w:hint="eastAsia" w:ascii="Times New Roman" w:hAnsi="Times New Roman" w:eastAsia="宋体" w:cs="宋体"/>
          <w:color w:val="auto"/>
          <w:sz w:val="24"/>
          <w:szCs w:val="24"/>
        </w:rPr>
        <w:t xml:space="preserve"> 月 1 日；</w:t>
      </w:r>
    </w:p>
    <w:p>
      <w:pPr>
        <w:numPr>
          <w:ilvl w:val="0"/>
          <w:numId w:val="4"/>
        </w:numPr>
        <w:adjustRightInd w:val="0"/>
        <w:snapToGrid w:val="0"/>
        <w:spacing w:line="360" w:lineRule="auto"/>
        <w:ind w:firstLine="480" w:firstLineChars="200"/>
        <w:rPr>
          <w:rFonts w:hint="eastAsia" w:ascii="Times New Roman" w:hAnsi="Times New Roman" w:eastAsia="宋体" w:cs="宋体"/>
          <w:color w:val="auto"/>
          <w:sz w:val="24"/>
          <w:szCs w:val="24"/>
        </w:rPr>
      </w:pPr>
      <w:r>
        <w:rPr>
          <w:rFonts w:hint="eastAsia" w:ascii="Times New Roman" w:hAnsi="Times New Roman" w:eastAsia="宋体" w:cs="宋体"/>
          <w:color w:val="auto"/>
          <w:sz w:val="24"/>
          <w:szCs w:val="24"/>
        </w:rPr>
        <w:t>《国务院关于加强环境保护重点工作的意见》（国发[2011]35 号）；</w:t>
      </w:r>
    </w:p>
    <w:p>
      <w:pPr>
        <w:numPr>
          <w:ilvl w:val="0"/>
          <w:numId w:val="4"/>
        </w:numPr>
        <w:adjustRightInd w:val="0"/>
        <w:snapToGrid w:val="0"/>
        <w:spacing w:line="360" w:lineRule="auto"/>
        <w:ind w:firstLine="480" w:firstLineChars="200"/>
        <w:rPr>
          <w:rFonts w:hint="eastAsia" w:ascii="Times New Roman" w:hAnsi="Times New Roman" w:eastAsia="宋体" w:cs="宋体"/>
          <w:color w:val="auto"/>
          <w:sz w:val="24"/>
          <w:szCs w:val="24"/>
        </w:rPr>
      </w:pPr>
      <w:r>
        <w:rPr>
          <w:rFonts w:hint="eastAsia" w:ascii="Times New Roman" w:hAnsi="Times New Roman" w:eastAsia="宋体" w:cs="宋体"/>
          <w:color w:val="auto"/>
          <w:sz w:val="24"/>
          <w:szCs w:val="24"/>
        </w:rPr>
        <w:t>《建设项目环境影响评价分类管理名录》（</w:t>
      </w:r>
      <w:r>
        <w:rPr>
          <w:rFonts w:hint="eastAsia" w:ascii="Times New Roman" w:hAnsi="Times New Roman" w:eastAsia="宋体" w:cs="宋体"/>
          <w:color w:val="auto"/>
          <w:sz w:val="24"/>
          <w:szCs w:val="24"/>
          <w:lang w:val="en-US" w:eastAsia="zh-CN"/>
        </w:rPr>
        <w:t>2021年版</w:t>
      </w:r>
      <w:r>
        <w:rPr>
          <w:rFonts w:hint="eastAsia" w:ascii="Times New Roman" w:hAnsi="Times New Roman" w:eastAsia="宋体" w:cs="宋体"/>
          <w:color w:val="auto"/>
          <w:sz w:val="24"/>
          <w:szCs w:val="24"/>
        </w:rPr>
        <w:t>）；</w:t>
      </w:r>
    </w:p>
    <w:p>
      <w:pPr>
        <w:numPr>
          <w:ilvl w:val="0"/>
          <w:numId w:val="4"/>
        </w:numPr>
        <w:adjustRightInd w:val="0"/>
        <w:snapToGrid w:val="0"/>
        <w:spacing w:line="360" w:lineRule="auto"/>
        <w:ind w:firstLine="480" w:firstLineChars="200"/>
        <w:rPr>
          <w:rFonts w:hint="eastAsia" w:ascii="Times New Roman" w:hAnsi="Times New Roman" w:eastAsia="宋体" w:cs="宋体"/>
          <w:color w:val="auto"/>
          <w:sz w:val="24"/>
          <w:szCs w:val="24"/>
        </w:rPr>
      </w:pPr>
      <w:r>
        <w:rPr>
          <w:rFonts w:hint="eastAsia" w:ascii="Times New Roman" w:hAnsi="Times New Roman" w:eastAsia="宋体" w:cs="宋体"/>
          <w:color w:val="auto"/>
          <w:sz w:val="24"/>
          <w:szCs w:val="24"/>
        </w:rPr>
        <w:t>《关于加强环保审批从严控制新开工项目的通知》（环发[2006]394 号）；</w:t>
      </w:r>
    </w:p>
    <w:p>
      <w:pPr>
        <w:numPr>
          <w:ilvl w:val="0"/>
          <w:numId w:val="4"/>
        </w:numPr>
        <w:adjustRightInd w:val="0"/>
        <w:snapToGrid w:val="0"/>
        <w:spacing w:line="360" w:lineRule="auto"/>
        <w:ind w:firstLine="480" w:firstLineChars="200"/>
        <w:rPr>
          <w:rFonts w:hint="eastAsia" w:ascii="Times New Roman" w:hAnsi="Times New Roman" w:eastAsia="宋体" w:cs="宋体"/>
          <w:color w:val="auto"/>
          <w:sz w:val="24"/>
          <w:szCs w:val="24"/>
        </w:rPr>
      </w:pPr>
      <w:r>
        <w:rPr>
          <w:rFonts w:hint="eastAsia" w:ascii="Times New Roman" w:hAnsi="Times New Roman" w:eastAsia="宋体" w:cs="宋体"/>
          <w:color w:val="auto"/>
          <w:sz w:val="24"/>
          <w:szCs w:val="24"/>
        </w:rPr>
        <w:t>《关于进一步加强环境保护信息公开工作的通知》（环办[2012]134 号）；</w:t>
      </w:r>
    </w:p>
    <w:p>
      <w:pPr>
        <w:numPr>
          <w:ilvl w:val="0"/>
          <w:numId w:val="4"/>
        </w:numPr>
        <w:adjustRightInd w:val="0"/>
        <w:snapToGrid w:val="0"/>
        <w:spacing w:line="360" w:lineRule="auto"/>
        <w:ind w:firstLine="480" w:firstLineChars="200"/>
        <w:rPr>
          <w:rFonts w:hint="eastAsia" w:ascii="Times New Roman" w:hAnsi="Times New Roman" w:eastAsia="宋体" w:cs="宋体"/>
          <w:color w:val="auto"/>
          <w:sz w:val="24"/>
          <w:szCs w:val="24"/>
        </w:rPr>
      </w:pPr>
      <w:r>
        <w:rPr>
          <w:rFonts w:hint="eastAsia" w:ascii="Times New Roman" w:hAnsi="Times New Roman" w:eastAsia="宋体" w:cs="宋体"/>
          <w:color w:val="auto"/>
          <w:sz w:val="24"/>
          <w:szCs w:val="24"/>
        </w:rPr>
        <w:t>《关于进一步加强环境影响评价管理防范环境风险的通知》（环发 [2012]77 号）；</w:t>
      </w:r>
    </w:p>
    <w:p>
      <w:pPr>
        <w:numPr>
          <w:ilvl w:val="0"/>
          <w:numId w:val="4"/>
        </w:numPr>
        <w:adjustRightInd w:val="0"/>
        <w:snapToGrid w:val="0"/>
        <w:spacing w:line="360" w:lineRule="auto"/>
        <w:ind w:firstLine="480" w:firstLineChars="200"/>
        <w:rPr>
          <w:rFonts w:hint="eastAsia" w:ascii="Times New Roman" w:hAnsi="Times New Roman" w:eastAsia="宋体" w:cs="宋体"/>
          <w:color w:val="auto"/>
          <w:sz w:val="24"/>
          <w:szCs w:val="24"/>
        </w:rPr>
      </w:pPr>
      <w:r>
        <w:rPr>
          <w:rFonts w:hint="eastAsia" w:ascii="Times New Roman" w:hAnsi="Times New Roman" w:eastAsia="宋体" w:cs="宋体"/>
          <w:color w:val="auto"/>
          <w:sz w:val="24"/>
          <w:szCs w:val="24"/>
        </w:rPr>
        <w:t>《关于切实加强风险防范严格环境影响评价管理的通知》（环发 (2012)98 号）；</w:t>
      </w:r>
    </w:p>
    <w:p>
      <w:pPr>
        <w:numPr>
          <w:ilvl w:val="0"/>
          <w:numId w:val="4"/>
        </w:numPr>
        <w:adjustRightInd w:val="0"/>
        <w:snapToGrid w:val="0"/>
        <w:spacing w:line="360" w:lineRule="auto"/>
        <w:ind w:firstLine="480" w:firstLineChars="200"/>
        <w:rPr>
          <w:rFonts w:hint="eastAsia" w:ascii="Times New Roman" w:hAnsi="Times New Roman" w:eastAsia="宋体" w:cs="宋体"/>
          <w:color w:val="auto"/>
          <w:sz w:val="24"/>
          <w:szCs w:val="24"/>
        </w:rPr>
      </w:pPr>
      <w:r>
        <w:rPr>
          <w:rFonts w:hint="eastAsia" w:ascii="Times New Roman" w:hAnsi="Times New Roman" w:eastAsia="宋体" w:cs="宋体"/>
          <w:color w:val="auto"/>
          <w:sz w:val="24"/>
          <w:szCs w:val="24"/>
        </w:rPr>
        <w:t>《关于推进环境保护公众参与的指导意见》（环办[2014]48 号）；</w:t>
      </w:r>
    </w:p>
    <w:p>
      <w:pPr>
        <w:numPr>
          <w:ilvl w:val="0"/>
          <w:numId w:val="4"/>
        </w:numPr>
        <w:adjustRightInd w:val="0"/>
        <w:snapToGrid w:val="0"/>
        <w:spacing w:line="360" w:lineRule="auto"/>
        <w:ind w:firstLine="480" w:firstLineChars="200"/>
        <w:rPr>
          <w:rFonts w:hint="eastAsia" w:ascii="Times New Roman" w:hAnsi="Times New Roman" w:eastAsia="宋体" w:cs="宋体"/>
          <w:color w:val="auto"/>
          <w:sz w:val="24"/>
          <w:szCs w:val="24"/>
        </w:rPr>
      </w:pPr>
      <w:r>
        <w:rPr>
          <w:rFonts w:hint="eastAsia" w:ascii="Times New Roman" w:hAnsi="Times New Roman" w:eastAsia="宋体" w:cs="宋体"/>
          <w:color w:val="auto"/>
          <w:sz w:val="24"/>
          <w:szCs w:val="24"/>
        </w:rPr>
        <w:t>《关于实施&lt;环境空气质量标准&gt;（GB3095-2012）的通知》（环发 [2012]11 号）；</w:t>
      </w:r>
    </w:p>
    <w:p>
      <w:pPr>
        <w:numPr>
          <w:ilvl w:val="0"/>
          <w:numId w:val="4"/>
        </w:numPr>
        <w:adjustRightInd w:val="0"/>
        <w:snapToGrid w:val="0"/>
        <w:spacing w:line="360" w:lineRule="auto"/>
        <w:ind w:firstLine="480" w:firstLineChars="200"/>
        <w:rPr>
          <w:rFonts w:hint="eastAsia" w:ascii="Times New Roman" w:hAnsi="Times New Roman" w:eastAsia="宋体" w:cs="宋体"/>
          <w:color w:val="auto"/>
          <w:sz w:val="24"/>
          <w:szCs w:val="24"/>
        </w:rPr>
      </w:pPr>
      <w:r>
        <w:rPr>
          <w:rFonts w:hint="eastAsia" w:ascii="Times New Roman" w:hAnsi="Times New Roman" w:eastAsia="宋体" w:cs="宋体"/>
          <w:color w:val="auto"/>
          <w:sz w:val="24"/>
          <w:szCs w:val="24"/>
        </w:rPr>
        <w:t>《国务院关于促进畜牧业持续健康发展的意见》（国发[2007]4 号）；</w:t>
      </w:r>
    </w:p>
    <w:p>
      <w:pPr>
        <w:numPr>
          <w:ilvl w:val="0"/>
          <w:numId w:val="4"/>
        </w:numPr>
        <w:adjustRightInd w:val="0"/>
        <w:snapToGrid w:val="0"/>
        <w:spacing w:line="360" w:lineRule="auto"/>
        <w:ind w:firstLine="480" w:firstLineChars="200"/>
        <w:rPr>
          <w:rFonts w:hint="eastAsia" w:ascii="Times New Roman" w:hAnsi="Times New Roman" w:eastAsia="宋体" w:cs="宋体"/>
          <w:color w:val="auto"/>
          <w:sz w:val="24"/>
          <w:szCs w:val="24"/>
        </w:rPr>
      </w:pPr>
      <w:r>
        <w:rPr>
          <w:rFonts w:hint="eastAsia" w:ascii="Times New Roman" w:hAnsi="Times New Roman" w:eastAsia="宋体" w:cs="宋体"/>
          <w:color w:val="auto"/>
          <w:sz w:val="24"/>
          <w:szCs w:val="24"/>
        </w:rPr>
        <w:t>《关于促进规模化畜禽养殖有关用地政策的通知》（国土资发 [2007]220 号）；</w:t>
      </w:r>
    </w:p>
    <w:p>
      <w:pPr>
        <w:numPr>
          <w:ilvl w:val="0"/>
          <w:numId w:val="4"/>
        </w:numPr>
        <w:adjustRightInd w:val="0"/>
        <w:snapToGrid w:val="0"/>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宋体"/>
          <w:color w:val="auto"/>
          <w:sz w:val="24"/>
          <w:szCs w:val="24"/>
        </w:rPr>
        <w:t>《畜禽规模养殖污染防治条例》（2013 年 11 月 11 日国务院 643 号 令）；</w:t>
      </w:r>
    </w:p>
    <w:p>
      <w:pPr>
        <w:numPr>
          <w:ilvl w:val="0"/>
          <w:numId w:val="4"/>
        </w:numPr>
        <w:adjustRightInd w:val="0"/>
        <w:snapToGrid w:val="0"/>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宋体"/>
          <w:color w:val="auto"/>
          <w:sz w:val="24"/>
          <w:szCs w:val="24"/>
        </w:rPr>
        <w:t>《国家突发</w:t>
      </w:r>
      <w:r>
        <w:rPr>
          <w:rFonts w:hint="eastAsia" w:ascii="Times New Roman" w:hAnsi="Times New Roman" w:eastAsia="宋体" w:cs="宋体"/>
          <w:color w:val="auto"/>
          <w:sz w:val="24"/>
          <w:szCs w:val="24"/>
          <w:lang w:eastAsia="zh-CN"/>
        </w:rPr>
        <w:t>环境</w:t>
      </w:r>
      <w:r>
        <w:rPr>
          <w:rFonts w:hint="eastAsia" w:ascii="Times New Roman" w:hAnsi="Times New Roman" w:eastAsia="宋体" w:cs="宋体"/>
          <w:color w:val="auto"/>
          <w:sz w:val="24"/>
          <w:szCs w:val="24"/>
        </w:rPr>
        <w:t>事件应急预案》（20</w:t>
      </w:r>
      <w:r>
        <w:rPr>
          <w:rFonts w:hint="eastAsia" w:ascii="Times New Roman" w:hAnsi="Times New Roman" w:eastAsia="宋体" w:cs="宋体"/>
          <w:color w:val="auto"/>
          <w:sz w:val="24"/>
          <w:szCs w:val="24"/>
          <w:lang w:val="en-US" w:eastAsia="zh-CN"/>
        </w:rPr>
        <w:t>14</w:t>
      </w:r>
      <w:r>
        <w:rPr>
          <w:rFonts w:hint="eastAsia" w:ascii="Times New Roman" w:hAnsi="Times New Roman" w:eastAsia="宋体" w:cs="宋体"/>
          <w:color w:val="auto"/>
          <w:sz w:val="24"/>
          <w:szCs w:val="24"/>
        </w:rPr>
        <w:t xml:space="preserve"> 年 </w:t>
      </w:r>
      <w:r>
        <w:rPr>
          <w:rFonts w:hint="eastAsia" w:ascii="Times New Roman" w:hAnsi="Times New Roman" w:eastAsia="宋体" w:cs="宋体"/>
          <w:color w:val="auto"/>
          <w:sz w:val="24"/>
          <w:szCs w:val="24"/>
          <w:lang w:val="en-US" w:eastAsia="zh-CN"/>
        </w:rPr>
        <w:t>12</w:t>
      </w:r>
      <w:r>
        <w:rPr>
          <w:rFonts w:hint="eastAsia" w:ascii="Times New Roman" w:hAnsi="Times New Roman" w:eastAsia="宋体" w:cs="宋体"/>
          <w:color w:val="auto"/>
          <w:sz w:val="24"/>
          <w:szCs w:val="24"/>
        </w:rPr>
        <w:t xml:space="preserve"> 月）；</w:t>
      </w:r>
    </w:p>
    <w:p>
      <w:pPr>
        <w:numPr>
          <w:ilvl w:val="0"/>
          <w:numId w:val="4"/>
        </w:numPr>
        <w:adjustRightInd w:val="0"/>
        <w:snapToGrid w:val="0"/>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宋体"/>
          <w:color w:val="auto"/>
          <w:sz w:val="24"/>
          <w:szCs w:val="24"/>
        </w:rPr>
        <w:t>《家畜家禽防疫条例实施细则》（1992 年，农业部第 10 号）；</w:t>
      </w:r>
    </w:p>
    <w:p>
      <w:pPr>
        <w:numPr>
          <w:ilvl w:val="0"/>
          <w:numId w:val="4"/>
        </w:numPr>
        <w:adjustRightInd w:val="0"/>
        <w:snapToGrid w:val="0"/>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宋体"/>
          <w:color w:val="auto"/>
          <w:sz w:val="24"/>
          <w:szCs w:val="24"/>
        </w:rPr>
        <w:t>《关于印发&lt;病死及死因不明动物处置办法（试行）&gt;的通知》（农 医发[2005]25 号）；</w:t>
      </w:r>
    </w:p>
    <w:p>
      <w:pPr>
        <w:numPr>
          <w:ilvl w:val="0"/>
          <w:numId w:val="4"/>
        </w:numPr>
        <w:adjustRightInd w:val="0"/>
        <w:snapToGrid w:val="0"/>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宋体"/>
          <w:color w:val="auto"/>
          <w:sz w:val="24"/>
          <w:szCs w:val="24"/>
        </w:rPr>
        <w:t>《国家危险废物名录》（20</w:t>
      </w:r>
      <w:r>
        <w:rPr>
          <w:rFonts w:hint="eastAsia" w:ascii="Times New Roman" w:hAnsi="Times New Roman" w:eastAsia="宋体" w:cs="宋体"/>
          <w:color w:val="auto"/>
          <w:sz w:val="24"/>
          <w:szCs w:val="24"/>
          <w:lang w:val="en-US" w:eastAsia="zh-CN"/>
        </w:rPr>
        <w:t>21</w:t>
      </w:r>
      <w:r>
        <w:rPr>
          <w:rFonts w:hint="eastAsia" w:ascii="Times New Roman" w:hAnsi="Times New Roman" w:eastAsia="宋体" w:cs="宋体"/>
          <w:color w:val="auto"/>
          <w:sz w:val="24"/>
          <w:szCs w:val="24"/>
        </w:rPr>
        <w:t xml:space="preserve"> 年版）；</w:t>
      </w:r>
    </w:p>
    <w:p>
      <w:pPr>
        <w:numPr>
          <w:ilvl w:val="0"/>
          <w:numId w:val="4"/>
        </w:numPr>
        <w:adjustRightInd w:val="0"/>
        <w:snapToGrid w:val="0"/>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宋体"/>
          <w:color w:val="auto"/>
          <w:sz w:val="24"/>
          <w:szCs w:val="24"/>
        </w:rPr>
        <w:t>《危险废物转移联单管理办法》（国家环境保护总局，1999 年 6 月 22 日）；</w:t>
      </w:r>
    </w:p>
    <w:p>
      <w:pPr>
        <w:numPr>
          <w:ilvl w:val="0"/>
          <w:numId w:val="4"/>
        </w:numPr>
        <w:adjustRightInd w:val="0"/>
        <w:snapToGrid w:val="0"/>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宋体"/>
          <w:color w:val="auto"/>
          <w:sz w:val="24"/>
          <w:szCs w:val="24"/>
        </w:rPr>
        <w:t>《禁止在饲料和动物饮用水中使用的药物品种目录》（中华人民共和国农业部公告第 176 号）；</w:t>
      </w:r>
    </w:p>
    <w:p>
      <w:pPr>
        <w:numPr>
          <w:ilvl w:val="0"/>
          <w:numId w:val="4"/>
        </w:numPr>
        <w:adjustRightInd w:val="0"/>
        <w:snapToGrid w:val="0"/>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宋体"/>
          <w:color w:val="auto"/>
          <w:sz w:val="24"/>
          <w:szCs w:val="24"/>
        </w:rPr>
        <w:t>《饲料药物添加剂使用规范》（农业部公告第 168 号）；</w:t>
      </w:r>
    </w:p>
    <w:p>
      <w:pPr>
        <w:numPr>
          <w:ilvl w:val="0"/>
          <w:numId w:val="4"/>
        </w:numPr>
        <w:adjustRightInd w:val="0"/>
        <w:snapToGrid w:val="0"/>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宋体"/>
          <w:color w:val="auto"/>
          <w:sz w:val="24"/>
          <w:szCs w:val="24"/>
        </w:rPr>
        <w:t>《关于加强畜禽养殖业环境监管、严防高致病性禽流感疫情扩散的紧 急通知》（环发[2004]18 号）；</w:t>
      </w:r>
    </w:p>
    <w:p>
      <w:pPr>
        <w:numPr>
          <w:ilvl w:val="0"/>
          <w:numId w:val="4"/>
        </w:numPr>
        <w:adjustRightInd w:val="0"/>
        <w:snapToGrid w:val="0"/>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宋体"/>
          <w:color w:val="auto"/>
          <w:sz w:val="24"/>
          <w:szCs w:val="24"/>
        </w:rPr>
        <w:t>《关于切实加强风险防范严格环境影响评价管理的通知》，（国发 [2012]98 号）；</w:t>
      </w:r>
    </w:p>
    <w:p>
      <w:pPr>
        <w:numPr>
          <w:ilvl w:val="0"/>
          <w:numId w:val="4"/>
        </w:numPr>
        <w:adjustRightInd w:val="0"/>
        <w:snapToGrid w:val="0"/>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宋体"/>
          <w:color w:val="auto"/>
          <w:sz w:val="24"/>
          <w:szCs w:val="24"/>
        </w:rPr>
        <w:t>《建设项目环境影响评价文件分级审批规定》（中华人民共和国环境保护部令第 5 号，2009 年 3 月 1 日起施行）；</w:t>
      </w:r>
    </w:p>
    <w:p>
      <w:pPr>
        <w:numPr>
          <w:ilvl w:val="0"/>
          <w:numId w:val="4"/>
        </w:numPr>
        <w:adjustRightInd w:val="0"/>
        <w:snapToGrid w:val="0"/>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宋体"/>
          <w:color w:val="auto"/>
          <w:sz w:val="24"/>
          <w:szCs w:val="24"/>
          <w:lang w:eastAsia="zh-CN"/>
        </w:rPr>
        <w:t>农业农村部</w:t>
      </w:r>
      <w:r>
        <w:rPr>
          <w:rFonts w:hint="eastAsia" w:ascii="Times New Roman" w:hAnsi="Times New Roman" w:eastAsia="宋体" w:cs="宋体"/>
          <w:color w:val="auto"/>
          <w:sz w:val="24"/>
          <w:szCs w:val="24"/>
        </w:rPr>
        <w:t>印发《</w:t>
      </w:r>
      <w:r>
        <w:rPr>
          <w:rFonts w:hint="eastAsia" w:ascii="Times New Roman" w:hAnsi="Times New Roman" w:eastAsia="宋体" w:cs="宋体"/>
          <w:color w:val="auto"/>
          <w:sz w:val="24"/>
          <w:szCs w:val="24"/>
          <w:lang w:val="en-US" w:eastAsia="zh-CN"/>
        </w:rPr>
        <w:t>“十四五”全国畜牧兽医行业发展规划</w:t>
      </w:r>
      <w:r>
        <w:rPr>
          <w:rFonts w:hint="eastAsia" w:ascii="Times New Roman" w:hAnsi="Times New Roman" w:eastAsia="宋体" w:cs="宋体"/>
          <w:color w:val="auto"/>
          <w:sz w:val="24"/>
          <w:szCs w:val="24"/>
        </w:rPr>
        <w:t>》</w:t>
      </w:r>
      <w:r>
        <w:rPr>
          <w:rFonts w:hint="eastAsia" w:ascii="Times New Roman" w:hAnsi="Times New Roman" w:eastAsia="宋体" w:cs="宋体"/>
          <w:color w:val="auto"/>
          <w:sz w:val="24"/>
          <w:szCs w:val="24"/>
          <w:lang w:eastAsia="zh-CN"/>
        </w:rPr>
        <w:t>；</w:t>
      </w:r>
    </w:p>
    <w:p>
      <w:pPr>
        <w:numPr>
          <w:ilvl w:val="0"/>
          <w:numId w:val="4"/>
        </w:numPr>
        <w:adjustRightInd w:val="0"/>
        <w:snapToGrid w:val="0"/>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宋体"/>
          <w:color w:val="auto"/>
          <w:sz w:val="24"/>
          <w:szCs w:val="24"/>
        </w:rPr>
        <w:t>《四川省畜禽养殖污染防治技术指南（试行）》的通知（川农业函 [2017]647 号）；</w:t>
      </w:r>
    </w:p>
    <w:p>
      <w:pPr>
        <w:numPr>
          <w:ilvl w:val="0"/>
          <w:numId w:val="4"/>
        </w:numPr>
        <w:adjustRightInd w:val="0"/>
        <w:snapToGrid w:val="0"/>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宋体"/>
          <w:color w:val="auto"/>
          <w:sz w:val="24"/>
          <w:szCs w:val="24"/>
        </w:rPr>
        <w:t>《国务院关于印发（大气污染防治行动计划）的通知》（国发【2013】 37 号）中大气防治十条措施；</w:t>
      </w:r>
    </w:p>
    <w:p>
      <w:pPr>
        <w:numPr>
          <w:ilvl w:val="0"/>
          <w:numId w:val="4"/>
        </w:numPr>
        <w:adjustRightInd w:val="0"/>
        <w:snapToGrid w:val="0"/>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宋体"/>
          <w:color w:val="auto"/>
          <w:sz w:val="24"/>
          <w:szCs w:val="24"/>
        </w:rPr>
        <w:t>《国务院关于印发（水污染防治行动计划）的通知》（国发【2015】 17 号）中水防治十条措施；</w:t>
      </w:r>
    </w:p>
    <w:p>
      <w:pPr>
        <w:numPr>
          <w:ilvl w:val="0"/>
          <w:numId w:val="4"/>
        </w:numPr>
        <w:adjustRightInd w:val="0"/>
        <w:snapToGrid w:val="0"/>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宋体"/>
          <w:color w:val="auto"/>
          <w:sz w:val="24"/>
          <w:szCs w:val="24"/>
        </w:rPr>
        <w:t>《土壤污染防治行动计划》（由国务院印发，自 2016 年 5 月 28 日实 施）。</w:t>
      </w:r>
    </w:p>
    <w:p>
      <w:pPr>
        <w:pStyle w:val="6"/>
        <w:adjustRightInd w:val="0"/>
        <w:snapToGrid w:val="0"/>
        <w:spacing w:before="0" w:after="0" w:line="360" w:lineRule="auto"/>
        <w:rPr>
          <w:rFonts w:ascii="Times New Roman" w:hAnsi="Times New Roman" w:eastAsia="宋体"/>
          <w:color w:val="auto"/>
          <w:sz w:val="28"/>
          <w:szCs w:val="28"/>
        </w:rPr>
      </w:pPr>
      <w:bookmarkStart w:id="27" w:name="_Toc18018"/>
      <w:bookmarkStart w:id="28" w:name="_Toc459118369"/>
      <w:r>
        <w:rPr>
          <w:rFonts w:ascii="Times New Roman" w:hAnsi="Times New Roman" w:eastAsia="宋体"/>
          <w:color w:val="auto"/>
          <w:sz w:val="28"/>
          <w:szCs w:val="28"/>
        </w:rPr>
        <w:t>1.3.</w:t>
      </w:r>
      <w:r>
        <w:rPr>
          <w:rFonts w:hint="eastAsia" w:ascii="Times New Roman" w:hAnsi="Times New Roman" w:eastAsia="宋体"/>
          <w:color w:val="auto"/>
          <w:sz w:val="28"/>
          <w:szCs w:val="28"/>
        </w:rPr>
        <w:t>3评价</w:t>
      </w:r>
      <w:r>
        <w:rPr>
          <w:rFonts w:ascii="Times New Roman" w:hAnsi="Times New Roman" w:eastAsia="宋体"/>
          <w:color w:val="auto"/>
          <w:sz w:val="28"/>
          <w:szCs w:val="28"/>
        </w:rPr>
        <w:t>规范</w:t>
      </w:r>
      <w:bookmarkEnd w:id="27"/>
      <w:bookmarkEnd w:id="28"/>
    </w:p>
    <w:p>
      <w:pPr>
        <w:keepNext w:val="0"/>
        <w:keepLines w:val="0"/>
        <w:pageBreakBefore w:val="0"/>
        <w:widowControl w:val="0"/>
        <w:kinsoku/>
        <w:wordWrap/>
        <w:overflowPunct/>
        <w:topLinePunct w:val="0"/>
        <w:autoSpaceDE/>
        <w:bidi w:val="0"/>
        <w:adjustRightInd w:val="0"/>
        <w:snapToGrid w:val="0"/>
        <w:spacing w:line="360" w:lineRule="auto"/>
        <w:ind w:firstLine="480" w:firstLineChars="200"/>
        <w:jc w:val="left"/>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w:t>
      </w:r>
      <w:r>
        <w:rPr>
          <w:rFonts w:hint="default" w:ascii="Times New Roman" w:hAnsi="Times New Roman" w:eastAsia="宋体" w:cs="Times New Roman"/>
          <w:color w:val="auto"/>
          <w:sz w:val="24"/>
          <w:szCs w:val="24"/>
          <w:lang w:eastAsia="zh-CN"/>
        </w:rPr>
        <w:t>建设项目</w:t>
      </w:r>
      <w:r>
        <w:rPr>
          <w:rFonts w:hint="default" w:ascii="Times New Roman" w:hAnsi="Times New Roman" w:eastAsia="宋体" w:cs="Times New Roman"/>
          <w:color w:val="auto"/>
          <w:sz w:val="24"/>
          <w:szCs w:val="24"/>
        </w:rPr>
        <w:t>环境影响评价技术导则-总纲》（HJ2.</w:t>
      </w:r>
      <w:r>
        <w:rPr>
          <w:rFonts w:hint="default" w:ascii="Times New Roman" w:hAnsi="Times New Roman" w:eastAsia="宋体" w:cs="Times New Roman"/>
          <w:color w:val="auto"/>
          <w:sz w:val="24"/>
          <w:szCs w:val="24"/>
          <w:lang w:eastAsia="zh-CN"/>
        </w:rPr>
        <w:t>L</w:t>
      </w:r>
      <w:r>
        <w:rPr>
          <w:rFonts w:hint="default" w:ascii="Times New Roman" w:hAnsi="Times New Roman" w:eastAsia="宋体" w:cs="Times New Roman"/>
          <w:color w:val="auto"/>
          <w:sz w:val="24"/>
          <w:szCs w:val="24"/>
        </w:rPr>
        <w:t>-2016）；</w:t>
      </w:r>
    </w:p>
    <w:p>
      <w:pPr>
        <w:keepNext w:val="0"/>
        <w:keepLines w:val="0"/>
        <w:pageBreakBefore w:val="0"/>
        <w:widowControl w:val="0"/>
        <w:kinsoku/>
        <w:wordWrap/>
        <w:overflowPunct/>
        <w:topLinePunct w:val="0"/>
        <w:autoSpaceDE/>
        <w:bidi w:val="0"/>
        <w:adjustRightInd w:val="0"/>
        <w:snapToGrid w:val="0"/>
        <w:spacing w:line="360" w:lineRule="auto"/>
        <w:ind w:firstLine="480" w:firstLineChars="200"/>
        <w:jc w:val="left"/>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（2）《环境影响评价技术导则-大气环境》（HJ2.2-20</w:t>
      </w:r>
      <w:r>
        <w:rPr>
          <w:rFonts w:hint="default"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8）；</w:t>
      </w:r>
    </w:p>
    <w:p>
      <w:pPr>
        <w:keepNext w:val="0"/>
        <w:keepLines w:val="0"/>
        <w:pageBreakBefore w:val="0"/>
        <w:widowControl w:val="0"/>
        <w:kinsoku/>
        <w:wordWrap/>
        <w:overflowPunct/>
        <w:topLinePunct w:val="0"/>
        <w:autoSpaceDE/>
        <w:bidi w:val="0"/>
        <w:adjustRightInd w:val="0"/>
        <w:snapToGrid w:val="0"/>
        <w:spacing w:line="360" w:lineRule="auto"/>
        <w:ind w:firstLine="480" w:firstLineChars="200"/>
        <w:jc w:val="left"/>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（3）《环境影响评价技术导则-地</w:t>
      </w:r>
      <w:r>
        <w:rPr>
          <w:rFonts w:hint="default" w:ascii="Times New Roman" w:hAnsi="Times New Roman" w:eastAsia="宋体" w:cs="Times New Roman"/>
          <w:color w:val="auto"/>
          <w:sz w:val="24"/>
          <w:szCs w:val="24"/>
          <w:lang w:eastAsia="zh-CN"/>
        </w:rPr>
        <w:t>表</w:t>
      </w:r>
      <w:r>
        <w:rPr>
          <w:rFonts w:hint="default" w:ascii="Times New Roman" w:hAnsi="Times New Roman" w:eastAsia="宋体" w:cs="Times New Roman"/>
          <w:color w:val="auto"/>
          <w:sz w:val="24"/>
          <w:szCs w:val="24"/>
        </w:rPr>
        <w:t>水环境》（HJ2.3-</w:t>
      </w:r>
      <w:r>
        <w:rPr>
          <w:rFonts w:hint="default" w:ascii="Times New Roman" w:hAnsi="Times New Roman" w:eastAsia="宋体" w:cs="Times New Roman"/>
          <w:color w:val="auto"/>
          <w:sz w:val="24"/>
          <w:szCs w:val="24"/>
          <w:lang w:val="en-US" w:eastAsia="zh-CN"/>
        </w:rPr>
        <w:t>2018</w:t>
      </w:r>
      <w:r>
        <w:rPr>
          <w:rFonts w:hint="default" w:ascii="Times New Roman" w:hAnsi="Times New Roman" w:eastAsia="宋体" w:cs="Times New Roman"/>
          <w:color w:val="auto"/>
          <w:sz w:val="24"/>
          <w:szCs w:val="24"/>
        </w:rPr>
        <w:t>）；</w:t>
      </w:r>
    </w:p>
    <w:p>
      <w:pPr>
        <w:keepNext w:val="0"/>
        <w:keepLines w:val="0"/>
        <w:pageBreakBefore w:val="0"/>
        <w:widowControl w:val="0"/>
        <w:kinsoku/>
        <w:wordWrap/>
        <w:overflowPunct/>
        <w:topLinePunct w:val="0"/>
        <w:autoSpaceDE/>
        <w:bidi w:val="0"/>
        <w:adjustRightInd w:val="0"/>
        <w:snapToGrid w:val="0"/>
        <w:spacing w:line="360" w:lineRule="auto"/>
        <w:ind w:firstLine="480" w:firstLineChars="200"/>
        <w:jc w:val="left"/>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（4）《环境影响评价技术导则-地下水环境》（HJ610-2016）；</w:t>
      </w:r>
    </w:p>
    <w:p>
      <w:pPr>
        <w:keepNext w:val="0"/>
        <w:keepLines w:val="0"/>
        <w:pageBreakBefore w:val="0"/>
        <w:widowControl w:val="0"/>
        <w:kinsoku/>
        <w:wordWrap/>
        <w:overflowPunct/>
        <w:topLinePunct w:val="0"/>
        <w:autoSpaceDE/>
        <w:bidi w:val="0"/>
        <w:adjustRightInd w:val="0"/>
        <w:snapToGrid w:val="0"/>
        <w:spacing w:line="360" w:lineRule="auto"/>
        <w:ind w:firstLine="480" w:firstLineChars="200"/>
        <w:jc w:val="left"/>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（5）《环境影响评价技术导则-声环境》（HJ2.4-2009）；</w:t>
      </w:r>
    </w:p>
    <w:p>
      <w:pPr>
        <w:keepNext w:val="0"/>
        <w:keepLines w:val="0"/>
        <w:pageBreakBefore w:val="0"/>
        <w:widowControl w:val="0"/>
        <w:kinsoku/>
        <w:wordWrap/>
        <w:overflowPunct/>
        <w:topLinePunct w:val="0"/>
        <w:autoSpaceDE/>
        <w:bidi w:val="0"/>
        <w:adjustRightInd w:val="0"/>
        <w:snapToGrid w:val="0"/>
        <w:spacing w:line="360" w:lineRule="auto"/>
        <w:ind w:firstLine="480" w:firstLineChars="200"/>
        <w:jc w:val="left"/>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（6）《环境影响评价技术导则-生态影响》（HJ19-2011）；</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7</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《环境影响评价技术导则-</w:t>
      </w:r>
      <w:r>
        <w:rPr>
          <w:rFonts w:hint="default" w:ascii="Times New Roman" w:hAnsi="Times New Roman" w:eastAsia="宋体" w:cs="Times New Roman"/>
          <w:color w:val="auto"/>
          <w:sz w:val="24"/>
          <w:szCs w:val="24"/>
          <w:lang w:eastAsia="zh-CN"/>
        </w:rPr>
        <w:t>土壤环境（试行）</w:t>
      </w:r>
      <w:r>
        <w:rPr>
          <w:rFonts w:hint="default" w:ascii="Times New Roman" w:hAnsi="Times New Roman" w:eastAsia="宋体" w:cs="Times New Roman"/>
          <w:color w:val="auto"/>
          <w:sz w:val="24"/>
          <w:szCs w:val="24"/>
        </w:rPr>
        <w:t>》（HJ</w:t>
      </w:r>
      <w:r>
        <w:rPr>
          <w:rFonts w:hint="default" w:ascii="Times New Roman" w:hAnsi="Times New Roman" w:eastAsia="宋体" w:cs="Times New Roman"/>
          <w:color w:val="auto"/>
          <w:sz w:val="24"/>
          <w:szCs w:val="24"/>
          <w:lang w:val="en-US" w:eastAsia="zh-CN"/>
        </w:rPr>
        <w:t>964</w:t>
      </w:r>
      <w:r>
        <w:rPr>
          <w:rFonts w:hint="default" w:ascii="Times New Roman" w:hAnsi="Times New Roman" w:eastAsia="宋体" w:cs="Times New Roman"/>
          <w:color w:val="auto"/>
          <w:sz w:val="24"/>
          <w:szCs w:val="24"/>
        </w:rPr>
        <w:t>-20</w:t>
      </w:r>
      <w:r>
        <w:rPr>
          <w:rFonts w:hint="default" w:ascii="Times New Roman" w:hAnsi="Times New Roman" w:eastAsia="宋体" w:cs="Times New Roman"/>
          <w:color w:val="auto"/>
          <w:sz w:val="24"/>
          <w:szCs w:val="24"/>
          <w:lang w:val="en-US" w:eastAsia="zh-CN"/>
        </w:rPr>
        <w:t>18</w:t>
      </w:r>
      <w:r>
        <w:rPr>
          <w:rFonts w:hint="default" w:ascii="Times New Roman" w:hAnsi="Times New Roman" w:eastAsia="宋体" w:cs="Times New Roman"/>
          <w:color w:val="auto"/>
          <w:sz w:val="24"/>
          <w:szCs w:val="24"/>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8</w:t>
      </w:r>
      <w:r>
        <w:rPr>
          <w:rFonts w:hint="default" w:ascii="Times New Roman" w:hAnsi="Times New Roman" w:eastAsia="宋体" w:cs="Times New Roman"/>
          <w:color w:val="auto"/>
          <w:sz w:val="24"/>
          <w:szCs w:val="24"/>
        </w:rPr>
        <w:t>）《建设项目环境风险评价技术导则》（HJ169-20</w:t>
      </w:r>
      <w:r>
        <w:rPr>
          <w:rFonts w:hint="default" w:ascii="Times New Roman" w:hAnsi="Times New Roman" w:eastAsia="宋体" w:cs="Times New Roman"/>
          <w:color w:val="auto"/>
          <w:sz w:val="24"/>
          <w:szCs w:val="24"/>
          <w:lang w:val="en-US" w:eastAsia="zh-CN"/>
        </w:rPr>
        <w:t>18</w:t>
      </w:r>
      <w:r>
        <w:rPr>
          <w:rFonts w:hint="default" w:ascii="Times New Roman" w:hAnsi="Times New Roman" w:eastAsia="宋体" w:cs="Times New Roman"/>
          <w:color w:val="auto"/>
          <w:sz w:val="24"/>
          <w:szCs w:val="24"/>
        </w:rPr>
        <w:t>）；</w:t>
      </w:r>
    </w:p>
    <w:p>
      <w:pPr>
        <w:keepNext w:val="0"/>
        <w:keepLines w:val="0"/>
        <w:pageBreakBefore w:val="0"/>
        <w:widowControl w:val="0"/>
        <w:kinsoku/>
        <w:wordWrap/>
        <w:overflowPunct/>
        <w:topLinePunct w:val="0"/>
        <w:autoSpaceDE/>
        <w:bidi w:val="0"/>
        <w:adjustRightInd w:val="0"/>
        <w:snapToGrid w:val="0"/>
        <w:spacing w:line="360" w:lineRule="auto"/>
        <w:ind w:firstLine="480" w:firstLineChars="200"/>
        <w:jc w:val="left"/>
        <w:textAlignment w:val="auto"/>
        <w:outlineLvl w:val="9"/>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9</w:t>
      </w:r>
      <w:r>
        <w:rPr>
          <w:rFonts w:hint="default" w:ascii="Times New Roman" w:hAnsi="Times New Roman" w:eastAsia="宋体" w:cs="Times New Roman"/>
          <w:color w:val="auto"/>
          <w:sz w:val="24"/>
          <w:szCs w:val="24"/>
          <w:lang w:eastAsia="zh-CN"/>
        </w:rPr>
        <w:t>）《禽畜养殖业污染防治技术规范》（HJ/T81-2001）；</w:t>
      </w:r>
    </w:p>
    <w:p>
      <w:pPr>
        <w:keepNext w:val="0"/>
        <w:keepLines w:val="0"/>
        <w:pageBreakBefore w:val="0"/>
        <w:widowControl w:val="0"/>
        <w:kinsoku/>
        <w:wordWrap/>
        <w:overflowPunct/>
        <w:topLinePunct w:val="0"/>
        <w:autoSpaceDE/>
        <w:bidi w:val="0"/>
        <w:adjustRightInd w:val="0"/>
        <w:snapToGrid w:val="0"/>
        <w:spacing w:line="360" w:lineRule="auto"/>
        <w:ind w:firstLine="480" w:firstLineChars="200"/>
        <w:jc w:val="left"/>
        <w:textAlignment w:val="auto"/>
        <w:outlineLvl w:val="9"/>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10</w:t>
      </w:r>
      <w:r>
        <w:rPr>
          <w:rFonts w:hint="default" w:ascii="Times New Roman" w:hAnsi="Times New Roman" w:eastAsia="宋体" w:cs="Times New Roman"/>
          <w:color w:val="auto"/>
          <w:sz w:val="24"/>
          <w:szCs w:val="24"/>
          <w:lang w:eastAsia="zh-CN"/>
        </w:rPr>
        <w:t>）《畜禽养殖业污染治理工程技术规范》（HJ497-2009）；</w:t>
      </w:r>
    </w:p>
    <w:p>
      <w:pPr>
        <w:keepNext w:val="0"/>
        <w:keepLines w:val="0"/>
        <w:pageBreakBefore w:val="0"/>
        <w:widowControl w:val="0"/>
        <w:kinsoku/>
        <w:wordWrap/>
        <w:overflowPunct/>
        <w:topLinePunct w:val="0"/>
        <w:autoSpaceDE/>
        <w:bidi w:val="0"/>
        <w:adjustRightInd w:val="0"/>
        <w:snapToGrid w:val="0"/>
        <w:spacing w:line="360" w:lineRule="auto"/>
        <w:ind w:firstLine="480" w:firstLineChars="200"/>
        <w:jc w:val="left"/>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11</w:t>
      </w:r>
      <w:r>
        <w:rPr>
          <w:rFonts w:hint="default" w:ascii="Times New Roman" w:hAnsi="Times New Roman" w:eastAsia="宋体" w:cs="Times New Roman"/>
          <w:color w:val="auto"/>
          <w:sz w:val="24"/>
          <w:szCs w:val="24"/>
          <w:lang w:eastAsia="zh-CN"/>
        </w:rPr>
        <w:t>）《畜禽病害肉尸及其产品无害化处理规程》（GB16548-1996）。</w:t>
      </w:r>
    </w:p>
    <w:p>
      <w:pPr>
        <w:pStyle w:val="6"/>
        <w:adjustRightInd w:val="0"/>
        <w:snapToGrid w:val="0"/>
        <w:spacing w:before="0" w:after="0" w:line="360" w:lineRule="auto"/>
        <w:rPr>
          <w:rFonts w:ascii="Times New Roman" w:hAnsi="Times New Roman" w:eastAsia="宋体"/>
          <w:color w:val="auto"/>
          <w:sz w:val="28"/>
          <w:szCs w:val="28"/>
        </w:rPr>
      </w:pPr>
      <w:bookmarkStart w:id="29" w:name="_Toc459118370"/>
      <w:bookmarkStart w:id="30" w:name="_Toc796"/>
      <w:r>
        <w:rPr>
          <w:rFonts w:ascii="Times New Roman" w:hAnsi="Times New Roman" w:eastAsia="宋体"/>
          <w:color w:val="auto"/>
          <w:sz w:val="28"/>
          <w:szCs w:val="28"/>
        </w:rPr>
        <w:t>1.3.</w:t>
      </w:r>
      <w:r>
        <w:rPr>
          <w:rFonts w:hint="eastAsia" w:ascii="Times New Roman" w:hAnsi="Times New Roman" w:eastAsia="宋体"/>
          <w:color w:val="auto"/>
          <w:sz w:val="28"/>
          <w:szCs w:val="28"/>
        </w:rPr>
        <w:t>4</w:t>
      </w:r>
      <w:r>
        <w:rPr>
          <w:rFonts w:ascii="Times New Roman" w:hAnsi="Times New Roman" w:eastAsia="宋体"/>
          <w:color w:val="auto"/>
          <w:sz w:val="28"/>
          <w:szCs w:val="28"/>
        </w:rPr>
        <w:t>相关</w:t>
      </w:r>
      <w:r>
        <w:rPr>
          <w:rFonts w:hint="eastAsia" w:ascii="Times New Roman" w:hAnsi="Times New Roman" w:eastAsia="宋体"/>
          <w:color w:val="auto"/>
          <w:sz w:val="28"/>
          <w:szCs w:val="28"/>
        </w:rPr>
        <w:t>技术</w:t>
      </w:r>
      <w:bookmarkEnd w:id="29"/>
      <w:r>
        <w:rPr>
          <w:rFonts w:hint="eastAsia" w:ascii="Times New Roman" w:hAnsi="Times New Roman" w:eastAsia="宋体"/>
          <w:color w:val="auto"/>
          <w:sz w:val="28"/>
          <w:szCs w:val="28"/>
        </w:rPr>
        <w:t>资料</w:t>
      </w:r>
      <w:bookmarkEnd w:id="30"/>
    </w:p>
    <w:p>
      <w:pPr>
        <w:pStyle w:val="98"/>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hint="eastAsia" w:ascii="Times New Roman" w:hAnsi="Times New Roman" w:eastAsia="宋体" w:cs="Times New Roman"/>
          <w:color w:val="auto"/>
          <w:sz w:val="24"/>
          <w:szCs w:val="24"/>
        </w:rPr>
      </w:pPr>
      <w:bookmarkStart w:id="31" w:name="_Toc6125"/>
      <w:bookmarkStart w:id="32" w:name="_Toc459118371"/>
      <w:r>
        <w:rPr>
          <w:rFonts w:hint="eastAsia" w:ascii="Times New Roman" w:hAnsi="Times New Roman" w:eastAsia="宋体" w:cs="Times New Roman"/>
          <w:color w:val="auto"/>
          <w:sz w:val="24"/>
          <w:szCs w:val="24"/>
        </w:rPr>
        <w:t>（1）</w:t>
      </w:r>
      <w:r>
        <w:rPr>
          <w:rFonts w:hint="default" w:ascii="Times New Roman" w:hAnsi="Times New Roman" w:cs="Times New Roman"/>
          <w:color w:val="auto"/>
          <w:sz w:val="24"/>
          <w:highlight w:val="none"/>
          <w:lang w:val="en-US" w:eastAsia="zh-CN"/>
        </w:rPr>
        <w:t>丹棱县</w:t>
      </w:r>
      <w:r>
        <w:rPr>
          <w:rFonts w:hint="default" w:ascii="Times New Roman" w:hAnsi="Times New Roman" w:eastAsia="宋体" w:cs="Times New Roman"/>
          <w:color w:val="auto"/>
          <w:sz w:val="24"/>
          <w:szCs w:val="22"/>
          <w:highlight w:val="none"/>
          <w:lang w:val="en-US" w:eastAsia="zh-CN"/>
        </w:rPr>
        <w:t>发展和改革局</w:t>
      </w:r>
      <w:r>
        <w:rPr>
          <w:rFonts w:hint="default" w:ascii="Times New Roman" w:hAnsi="Times New Roman" w:cs="Times New Roman"/>
          <w:color w:val="auto"/>
          <w:sz w:val="24"/>
          <w:highlight w:val="none"/>
          <w:lang w:val="en-US" w:eastAsia="zh-CN"/>
        </w:rPr>
        <w:t>《关于同意变更丹棱县生猪种养循环工程建设项目可行性研究（代立项）内容的批复》（丹棱发改[2020]185号）</w:t>
      </w:r>
      <w:r>
        <w:rPr>
          <w:rFonts w:hint="eastAsia" w:ascii="Times New Roman" w:hAnsi="Times New Roman" w:cs="Times New Roman"/>
          <w:color w:val="auto"/>
          <w:sz w:val="24"/>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outlineLvl w:val="9"/>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（2）</w:t>
      </w:r>
      <w:r>
        <w:rPr>
          <w:rFonts w:hint="default" w:ascii="Times New Roman" w:hAnsi="Times New Roman" w:eastAsia="宋体" w:cs="Times New Roman"/>
          <w:color w:val="auto"/>
          <w:sz w:val="24"/>
          <w:szCs w:val="22"/>
          <w:highlight w:val="none"/>
          <w:lang w:val="en-US" w:eastAsia="zh-CN"/>
        </w:rPr>
        <w:t>农村土地承包经营权流转合同</w:t>
      </w:r>
      <w:r>
        <w:rPr>
          <w:rFonts w:hint="eastAsia" w:ascii="Times New Roman" w:hAnsi="Times New Roman" w:eastAsia="宋体" w:cs="Times New Roman"/>
          <w:color w:val="auto"/>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outlineLvl w:val="9"/>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（3）丹棱县仁美镇</w:t>
      </w:r>
      <w:r>
        <w:rPr>
          <w:rFonts w:hint="eastAsia" w:ascii="Times New Roman" w:hAnsi="Times New Roman" w:eastAsia="宋体" w:cs="Times New Roman"/>
          <w:color w:val="auto"/>
          <w:sz w:val="24"/>
          <w:szCs w:val="24"/>
        </w:rPr>
        <w:t>关于项目不属于禁养区、限养区范围的证明；</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outlineLvl w:val="9"/>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（4）</w:t>
      </w:r>
      <w:r>
        <w:rPr>
          <w:rFonts w:hint="eastAsia" w:ascii="Times New Roman" w:hAnsi="Times New Roman" w:eastAsia="宋体" w:cs="Times New Roman"/>
          <w:color w:val="auto"/>
          <w:sz w:val="24"/>
          <w:szCs w:val="24"/>
          <w:lang w:eastAsia="zh-CN"/>
        </w:rPr>
        <w:t>四川省丹橙现代果业有限公司</w:t>
      </w:r>
      <w:r>
        <w:rPr>
          <w:rFonts w:hint="eastAsia" w:ascii="Times New Roman" w:hAnsi="Times New Roman" w:eastAsia="宋体" w:cs="Times New Roman"/>
          <w:color w:val="auto"/>
          <w:sz w:val="24"/>
          <w:szCs w:val="24"/>
        </w:rPr>
        <w:t>《环境影响评价公众参与说明》；</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outlineLvl w:val="9"/>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（5）当地社会、经济、环境、水文、气象资料等；</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outlineLvl w:val="9"/>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（6）现状监测报告；</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outlineLvl w:val="9"/>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（7）环评委托书；</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outlineLvl w:val="9"/>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（8）与本项目有关的其他资料。</w:t>
      </w:r>
    </w:p>
    <w:p>
      <w:pPr>
        <w:pStyle w:val="5"/>
        <w:adjustRightInd w:val="0"/>
        <w:snapToGrid w:val="0"/>
        <w:spacing w:before="0" w:after="0" w:line="360" w:lineRule="auto"/>
        <w:rPr>
          <w:rFonts w:ascii="Times New Roman" w:hAnsi="Times New Roman" w:eastAsia="宋体"/>
          <w:color w:val="auto"/>
          <w:sz w:val="30"/>
          <w:szCs w:val="30"/>
        </w:rPr>
      </w:pPr>
      <w:bookmarkStart w:id="33" w:name="_Toc10278"/>
      <w:r>
        <w:rPr>
          <w:rFonts w:ascii="Times New Roman" w:hAnsi="Times New Roman" w:eastAsia="宋体"/>
          <w:color w:val="auto"/>
          <w:sz w:val="30"/>
          <w:szCs w:val="30"/>
        </w:rPr>
        <w:t>1.4评价标准</w:t>
      </w:r>
      <w:bookmarkEnd w:id="31"/>
      <w:bookmarkEnd w:id="32"/>
      <w:bookmarkEnd w:id="33"/>
    </w:p>
    <w:p>
      <w:pPr>
        <w:pStyle w:val="6"/>
        <w:adjustRightInd w:val="0"/>
        <w:snapToGrid w:val="0"/>
        <w:spacing w:before="0" w:after="0" w:line="360" w:lineRule="auto"/>
        <w:rPr>
          <w:rFonts w:ascii="Times New Roman" w:hAnsi="Times New Roman" w:eastAsia="宋体"/>
          <w:color w:val="auto"/>
          <w:sz w:val="28"/>
          <w:szCs w:val="28"/>
        </w:rPr>
      </w:pPr>
      <w:bookmarkStart w:id="34" w:name="_Toc459118372"/>
      <w:bookmarkStart w:id="35" w:name="_Toc20139"/>
      <w:r>
        <w:rPr>
          <w:rFonts w:ascii="Times New Roman" w:hAnsi="Times New Roman" w:eastAsia="宋体"/>
          <w:color w:val="auto"/>
          <w:sz w:val="28"/>
          <w:szCs w:val="28"/>
        </w:rPr>
        <w:t>1.4.1环境质量标准</w:t>
      </w:r>
      <w:bookmarkEnd w:id="34"/>
      <w:bookmarkEnd w:id="35"/>
    </w:p>
    <w:p>
      <w:pPr>
        <w:numPr>
          <w:ilvl w:val="0"/>
          <w:numId w:val="5"/>
        </w:numPr>
        <w:adjustRightInd w:val="0"/>
        <w:snapToGrid w:val="0"/>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环境空气</w:t>
      </w:r>
    </w:p>
    <w:p>
      <w:pPr>
        <w:pStyle w:val="98"/>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项目区所在地为农村地区，为二类环境空气质量功能区，SO</w:t>
      </w:r>
      <w:r>
        <w:rPr>
          <w:rFonts w:hint="eastAsia" w:ascii="Times New Roman" w:hAnsi="Times New Roman" w:eastAsia="宋体" w:cs="Times New Roman"/>
          <w:color w:val="auto"/>
          <w:sz w:val="24"/>
          <w:szCs w:val="24"/>
          <w:vertAlign w:val="subscript"/>
        </w:rPr>
        <w:t>2</w:t>
      </w:r>
      <w:r>
        <w:rPr>
          <w:rFonts w:hint="eastAsia" w:ascii="Times New Roman" w:hAnsi="Times New Roman" w:eastAsia="宋体" w:cs="Times New Roman"/>
          <w:color w:val="auto"/>
          <w:sz w:val="24"/>
          <w:szCs w:val="24"/>
        </w:rPr>
        <w:t>、NO</w:t>
      </w:r>
      <w:r>
        <w:rPr>
          <w:rFonts w:hint="eastAsia" w:ascii="Times New Roman" w:hAnsi="Times New Roman" w:eastAsia="宋体" w:cs="Times New Roman"/>
          <w:color w:val="auto"/>
          <w:sz w:val="24"/>
          <w:szCs w:val="24"/>
          <w:vertAlign w:val="subscript"/>
        </w:rPr>
        <w:t>2</w:t>
      </w:r>
      <w:r>
        <w:rPr>
          <w:rFonts w:hint="eastAsia" w:ascii="Times New Roman" w:hAnsi="Times New Roman" w:eastAsia="宋体" w:cs="Times New Roman"/>
          <w:color w:val="auto"/>
          <w:sz w:val="24"/>
          <w:szCs w:val="24"/>
        </w:rPr>
        <w:t>、PM</w:t>
      </w:r>
      <w:r>
        <w:rPr>
          <w:rFonts w:hint="eastAsia" w:ascii="Times New Roman" w:hAnsi="Times New Roman" w:eastAsia="宋体" w:cs="Times New Roman"/>
          <w:color w:val="auto"/>
          <w:sz w:val="24"/>
          <w:szCs w:val="24"/>
          <w:vertAlign w:val="subscript"/>
        </w:rPr>
        <w:t>10</w:t>
      </w:r>
      <w:r>
        <w:rPr>
          <w:rFonts w:hint="eastAsia" w:ascii="Times New Roman" w:hAnsi="Times New Roman" w:eastAsia="宋体" w:cs="Times New Roman"/>
          <w:color w:val="auto"/>
          <w:sz w:val="24"/>
          <w:szCs w:val="24"/>
        </w:rPr>
        <w:t xml:space="preserve"> 执行《环境空气质量标准》（GB3095-2012）中二级标准；H</w:t>
      </w:r>
      <w:r>
        <w:rPr>
          <w:rFonts w:hint="eastAsia" w:ascii="Times New Roman" w:hAnsi="Times New Roman" w:eastAsia="宋体" w:cs="Times New Roman"/>
          <w:color w:val="auto"/>
          <w:sz w:val="24"/>
          <w:szCs w:val="24"/>
          <w:vertAlign w:val="subscript"/>
        </w:rPr>
        <w:t>2</w:t>
      </w:r>
      <w:r>
        <w:rPr>
          <w:rFonts w:hint="eastAsia" w:ascii="Times New Roman" w:hAnsi="Times New Roman" w:eastAsia="宋体" w:cs="Times New Roman"/>
          <w:color w:val="auto"/>
          <w:sz w:val="24"/>
          <w:szCs w:val="24"/>
        </w:rPr>
        <w:t>S、NH</w:t>
      </w:r>
      <w:r>
        <w:rPr>
          <w:rFonts w:hint="eastAsia" w:ascii="Times New Roman" w:hAnsi="Times New Roman" w:eastAsia="宋体" w:cs="Times New Roman"/>
          <w:color w:val="auto"/>
          <w:sz w:val="24"/>
          <w:szCs w:val="24"/>
          <w:vertAlign w:val="subscript"/>
        </w:rPr>
        <w:t>3</w:t>
      </w:r>
      <w:r>
        <w:rPr>
          <w:rFonts w:hint="eastAsia" w:ascii="Times New Roman" w:hAnsi="Times New Roman" w:eastAsia="宋体" w:cs="Times New Roman"/>
          <w:color w:val="auto"/>
          <w:sz w:val="24"/>
          <w:szCs w:val="24"/>
        </w:rPr>
        <w:t xml:space="preserve"> 执行《环境影响评价技术导则--大气环境》（HJ2.2-2018）附录 D 其他污染物空气质量浓度参考限值，具体见表</w:t>
      </w:r>
      <w:r>
        <w:rPr>
          <w:rFonts w:hint="eastAsia" w:ascii="Times New Roman" w:hAnsi="Times New Roman" w:cs="Times New Roman"/>
          <w:color w:val="auto"/>
          <w:sz w:val="24"/>
          <w:szCs w:val="24"/>
          <w:lang w:val="en-US" w:eastAsia="zh-CN"/>
        </w:rPr>
        <w:t>1.4-1</w:t>
      </w:r>
      <w:r>
        <w:rPr>
          <w:rFonts w:hint="eastAsia" w:ascii="Times New Roman" w:hAnsi="Times New Roman" w:eastAsia="宋体" w:cs="Times New Roman"/>
          <w:color w:val="auto"/>
          <w:sz w:val="24"/>
          <w:szCs w:val="24"/>
        </w:rPr>
        <w:t>。</w:t>
      </w:r>
    </w:p>
    <w:p>
      <w:pPr>
        <w:spacing w:line="360" w:lineRule="auto"/>
        <w:jc w:val="center"/>
        <w:rPr>
          <w:rFonts w:hint="eastAsia" w:ascii="Times New Roman" w:hAnsi="Times New Roman" w:eastAsia="宋体" w:cs="Times New Roman"/>
          <w:color w:val="auto"/>
          <w:sz w:val="21"/>
          <w:szCs w:val="21"/>
          <w:lang w:eastAsia="zh-CN"/>
        </w:rPr>
      </w:pPr>
      <w:r>
        <w:rPr>
          <w:rFonts w:ascii="Times New Roman" w:hAnsi="Times New Roman" w:eastAsia="宋体" w:cs="Times New Roman"/>
          <w:b/>
          <w:color w:val="auto"/>
          <w:sz w:val="21"/>
          <w:szCs w:val="21"/>
        </w:rPr>
        <w:t>表1</w:t>
      </w:r>
      <w:r>
        <w:rPr>
          <w:rFonts w:hint="eastAsia" w:ascii="Times New Roman" w:hAnsi="Times New Roman" w:eastAsia="宋体" w:cs="Times New Roman"/>
          <w:b/>
          <w:color w:val="auto"/>
          <w:sz w:val="21"/>
          <w:szCs w:val="21"/>
        </w:rPr>
        <w:t>.4</w:t>
      </w:r>
      <w:r>
        <w:rPr>
          <w:rFonts w:ascii="Times New Roman" w:hAnsi="Times New Roman" w:eastAsia="宋体" w:cs="Times New Roman"/>
          <w:b/>
          <w:color w:val="auto"/>
          <w:sz w:val="21"/>
          <w:szCs w:val="21"/>
        </w:rPr>
        <w:t>-1  环境空气质量标准  单</w:t>
      </w:r>
      <w:r>
        <w:rPr>
          <w:rFonts w:ascii="Times New Roman" w:hAnsi="Times New Roman" w:eastAsia="宋体" w:cs="Times New Roman"/>
          <w:b/>
          <w:bCs w:val="0"/>
          <w:color w:val="auto"/>
          <w:sz w:val="21"/>
          <w:szCs w:val="21"/>
        </w:rPr>
        <w:t>位：</w:t>
      </w:r>
      <w:r>
        <w:rPr>
          <w:rFonts w:hint="eastAsia" w:ascii="Times New Roman" w:hAnsi="Times New Roman" w:eastAsia="宋体" w:cs="Times New Roman"/>
          <w:b/>
          <w:bCs w:val="0"/>
          <w:color w:val="auto"/>
          <w:sz w:val="21"/>
          <w:szCs w:val="21"/>
        </w:rPr>
        <w:t>ug</w:t>
      </w:r>
      <w:r>
        <w:rPr>
          <w:rFonts w:ascii="Times New Roman" w:hAnsi="Times New Roman" w:eastAsia="宋体" w:cs="Times New Roman"/>
          <w:b/>
          <w:bCs w:val="0"/>
          <w:color w:val="auto"/>
          <w:sz w:val="21"/>
          <w:szCs w:val="21"/>
        </w:rPr>
        <w:t>/m</w:t>
      </w:r>
      <w:r>
        <w:rPr>
          <w:rFonts w:hint="eastAsia" w:ascii="Times New Roman" w:hAnsi="Times New Roman" w:eastAsia="宋体" w:cs="Times New Roman"/>
          <w:b/>
          <w:bCs w:val="0"/>
          <w:color w:val="auto"/>
          <w:sz w:val="21"/>
          <w:szCs w:val="21"/>
          <w:vertAlign w:val="superscript"/>
          <w:lang w:val="en-US" w:eastAsia="zh-CN"/>
        </w:rPr>
        <w:t>3</w:t>
      </w:r>
    </w:p>
    <w:tbl>
      <w:tblPr>
        <w:tblStyle w:val="34"/>
        <w:tblW w:w="9220" w:type="dxa"/>
        <w:jc w:val="center"/>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087"/>
        <w:gridCol w:w="1666"/>
        <w:gridCol w:w="1810"/>
        <w:gridCol w:w="3657"/>
      </w:tblGrid>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87" w:type="dxa"/>
            <w:vMerge w:val="restart"/>
            <w:tcBorders>
              <w:tl2br w:val="nil"/>
              <w:tr2bl w:val="nil"/>
            </w:tcBorders>
            <w:vAlign w:val="center"/>
          </w:tcPr>
          <w:p>
            <w:pPr>
              <w:jc w:val="center"/>
              <w:rPr>
                <w:rFonts w:ascii="Times New Roman" w:hAnsi="Times New Roman" w:eastAsia="宋体" w:cs="Times New Roman"/>
                <w:b/>
                <w:bCs/>
                <w:color w:val="auto"/>
                <w:szCs w:val="21"/>
              </w:rPr>
            </w:pPr>
            <w:r>
              <w:rPr>
                <w:rFonts w:ascii="Times New Roman" w:hAnsi="Times New Roman" w:eastAsia="宋体" w:cs="Times New Roman"/>
                <w:b/>
                <w:bCs/>
                <w:color w:val="auto"/>
                <w:szCs w:val="21"/>
              </w:rPr>
              <w:t>污染物</w:t>
            </w:r>
          </w:p>
        </w:tc>
        <w:tc>
          <w:tcPr>
            <w:tcW w:w="3476" w:type="dxa"/>
            <w:gridSpan w:val="2"/>
            <w:tcBorders>
              <w:tl2br w:val="nil"/>
              <w:tr2bl w:val="nil"/>
            </w:tcBorders>
            <w:vAlign w:val="center"/>
          </w:tcPr>
          <w:p>
            <w:pPr>
              <w:jc w:val="center"/>
              <w:rPr>
                <w:rFonts w:ascii="Times New Roman" w:hAnsi="Times New Roman" w:eastAsia="宋体" w:cs="Times New Roman"/>
                <w:b/>
                <w:bCs/>
                <w:color w:val="auto"/>
                <w:szCs w:val="21"/>
              </w:rPr>
            </w:pPr>
            <w:r>
              <w:rPr>
                <w:rFonts w:ascii="Times New Roman" w:hAnsi="Times New Roman" w:eastAsia="宋体" w:cs="Times New Roman"/>
                <w:b/>
                <w:bCs/>
                <w:color w:val="auto"/>
                <w:szCs w:val="21"/>
              </w:rPr>
              <w:t>浓度限值</w:t>
            </w:r>
          </w:p>
        </w:tc>
        <w:tc>
          <w:tcPr>
            <w:tcW w:w="3657" w:type="dxa"/>
            <w:tcBorders>
              <w:tl2br w:val="nil"/>
              <w:tr2bl w:val="nil"/>
            </w:tcBorders>
            <w:vAlign w:val="center"/>
          </w:tcPr>
          <w:p>
            <w:pPr>
              <w:jc w:val="center"/>
              <w:rPr>
                <w:rFonts w:ascii="Times New Roman" w:hAnsi="Times New Roman" w:eastAsia="宋体" w:cs="Times New Roman"/>
                <w:b/>
                <w:bCs/>
                <w:color w:val="auto"/>
                <w:szCs w:val="21"/>
              </w:rPr>
            </w:pPr>
            <w:r>
              <w:rPr>
                <w:rFonts w:ascii="Times New Roman" w:hAnsi="Times New Roman" w:eastAsia="宋体" w:cs="Times New Roman"/>
                <w:b/>
                <w:bCs/>
                <w:color w:val="auto"/>
                <w:szCs w:val="21"/>
              </w:rPr>
              <w:t>执行标准</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87" w:type="dxa"/>
            <w:vMerge w:val="continue"/>
            <w:tcBorders>
              <w:tl2br w:val="nil"/>
              <w:tr2bl w:val="nil"/>
            </w:tcBorders>
            <w:vAlign w:val="center"/>
          </w:tcPr>
          <w:p>
            <w:pPr>
              <w:jc w:val="center"/>
              <w:rPr>
                <w:rFonts w:ascii="Times New Roman" w:hAnsi="Times New Roman" w:eastAsia="宋体" w:cs="Times New Roman"/>
                <w:color w:val="auto"/>
                <w:szCs w:val="21"/>
              </w:rPr>
            </w:pPr>
          </w:p>
        </w:tc>
        <w:tc>
          <w:tcPr>
            <w:tcW w:w="1666" w:type="dxa"/>
            <w:tcBorders>
              <w:tl2br w:val="nil"/>
              <w:tr2bl w:val="nil"/>
            </w:tcBorders>
            <w:vAlign w:val="center"/>
          </w:tcPr>
          <w:p>
            <w:pPr>
              <w:jc w:val="center"/>
              <w:rPr>
                <w:rFonts w:ascii="Times New Roman" w:hAnsi="Times New Roman" w:eastAsia="宋体" w:cs="Times New Roman"/>
                <w:b/>
                <w:bCs/>
                <w:color w:val="auto"/>
                <w:szCs w:val="21"/>
              </w:rPr>
            </w:pPr>
            <w:r>
              <w:rPr>
                <w:rFonts w:ascii="Times New Roman" w:hAnsi="Times New Roman" w:eastAsia="宋体" w:cs="Times New Roman"/>
                <w:b/>
                <w:bCs/>
                <w:color w:val="auto"/>
                <w:szCs w:val="21"/>
              </w:rPr>
              <w:t>取值时间</w:t>
            </w:r>
          </w:p>
        </w:tc>
        <w:tc>
          <w:tcPr>
            <w:tcW w:w="1810" w:type="dxa"/>
            <w:tcBorders>
              <w:tl2br w:val="nil"/>
              <w:tr2bl w:val="nil"/>
            </w:tcBorders>
            <w:vAlign w:val="center"/>
          </w:tcPr>
          <w:p>
            <w:pPr>
              <w:jc w:val="center"/>
              <w:rPr>
                <w:rFonts w:ascii="Times New Roman" w:hAnsi="Times New Roman" w:eastAsia="宋体" w:cs="Times New Roman"/>
                <w:b/>
                <w:bCs/>
                <w:color w:val="auto"/>
                <w:szCs w:val="21"/>
              </w:rPr>
            </w:pPr>
            <w:r>
              <w:rPr>
                <w:rFonts w:ascii="Times New Roman" w:hAnsi="Times New Roman" w:eastAsia="宋体" w:cs="Times New Roman"/>
                <w:b/>
                <w:bCs/>
                <w:color w:val="auto"/>
                <w:szCs w:val="21"/>
              </w:rPr>
              <w:t>二级标准</w:t>
            </w:r>
          </w:p>
        </w:tc>
        <w:tc>
          <w:tcPr>
            <w:tcW w:w="3657" w:type="dxa"/>
            <w:vMerge w:val="restart"/>
            <w:tcBorders>
              <w:tl2br w:val="nil"/>
              <w:tr2bl w:val="nil"/>
            </w:tcBorders>
            <w:vAlign w:val="center"/>
          </w:tcPr>
          <w:p>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《环境空气质量标准》（GB3095-2012）二级标准</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87" w:type="dxa"/>
            <w:vMerge w:val="restart"/>
            <w:tcBorders>
              <w:tl2br w:val="nil"/>
              <w:tr2bl w:val="nil"/>
            </w:tcBorders>
            <w:vAlign w:val="center"/>
          </w:tcPr>
          <w:p>
            <w:pPr>
              <w:jc w:val="center"/>
              <w:rPr>
                <w:rFonts w:ascii="Times New Roman" w:hAnsi="Times New Roman" w:eastAsia="宋体" w:cs="Times New Roman"/>
                <w:color w:val="auto"/>
                <w:szCs w:val="21"/>
                <w:vertAlign w:val="subscript"/>
              </w:rPr>
            </w:pPr>
            <w:r>
              <w:rPr>
                <w:rFonts w:ascii="Times New Roman" w:hAnsi="Times New Roman" w:eastAsia="宋体" w:cs="Times New Roman"/>
                <w:color w:val="auto"/>
                <w:szCs w:val="21"/>
              </w:rPr>
              <w:t>S</w:t>
            </w:r>
            <w:r>
              <w:rPr>
                <w:rFonts w:hint="eastAsia" w:ascii="Times New Roman" w:hAnsi="Times New Roman" w:eastAsia="宋体" w:cs="Times New Roman"/>
                <w:color w:val="auto"/>
                <w:szCs w:val="21"/>
              </w:rPr>
              <w:t>O</w:t>
            </w:r>
            <w:r>
              <w:rPr>
                <w:rFonts w:hint="eastAsia" w:ascii="Times New Roman" w:hAnsi="Times New Roman" w:eastAsia="宋体" w:cs="Times New Roman"/>
                <w:color w:val="auto"/>
                <w:szCs w:val="21"/>
                <w:vertAlign w:val="subscript"/>
              </w:rPr>
              <w:t>2</w:t>
            </w:r>
          </w:p>
        </w:tc>
        <w:tc>
          <w:tcPr>
            <w:tcW w:w="1666" w:type="dxa"/>
            <w:tcBorders>
              <w:tl2br w:val="nil"/>
              <w:tr2bl w:val="nil"/>
            </w:tcBorders>
            <w:vAlign w:val="center"/>
          </w:tcPr>
          <w:p>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年平均</w:t>
            </w:r>
          </w:p>
        </w:tc>
        <w:tc>
          <w:tcPr>
            <w:tcW w:w="1810" w:type="dxa"/>
            <w:tcBorders>
              <w:tl2br w:val="nil"/>
              <w:tr2bl w:val="nil"/>
            </w:tcBorders>
            <w:vAlign w:val="center"/>
          </w:tcPr>
          <w:p>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6</w:t>
            </w:r>
            <w:r>
              <w:rPr>
                <w:rFonts w:hint="eastAsia" w:ascii="Times New Roman" w:hAnsi="Times New Roman" w:eastAsia="宋体" w:cs="Times New Roman"/>
                <w:color w:val="auto"/>
                <w:szCs w:val="21"/>
              </w:rPr>
              <w:t>0</w:t>
            </w:r>
          </w:p>
        </w:tc>
        <w:tc>
          <w:tcPr>
            <w:tcW w:w="3657" w:type="dxa"/>
            <w:vMerge w:val="continue"/>
            <w:tcBorders>
              <w:tl2br w:val="nil"/>
              <w:tr2bl w:val="nil"/>
            </w:tcBorders>
            <w:vAlign w:val="center"/>
          </w:tcPr>
          <w:p>
            <w:pPr>
              <w:jc w:val="center"/>
              <w:rPr>
                <w:rFonts w:ascii="Times New Roman" w:hAnsi="Times New Roman" w:eastAsia="宋体" w:cs="Times New Roman"/>
                <w:color w:val="auto"/>
                <w:szCs w:val="21"/>
              </w:rPr>
            </w:pP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87" w:type="dxa"/>
            <w:vMerge w:val="continue"/>
            <w:tcBorders>
              <w:tl2br w:val="nil"/>
              <w:tr2bl w:val="nil"/>
            </w:tcBorders>
            <w:vAlign w:val="center"/>
          </w:tcPr>
          <w:p>
            <w:pPr>
              <w:jc w:val="center"/>
              <w:rPr>
                <w:rFonts w:ascii="Times New Roman" w:hAnsi="Times New Roman" w:eastAsia="宋体" w:cs="Times New Roman"/>
                <w:color w:val="auto"/>
                <w:szCs w:val="21"/>
              </w:rPr>
            </w:pPr>
          </w:p>
        </w:tc>
        <w:tc>
          <w:tcPr>
            <w:tcW w:w="1666" w:type="dxa"/>
            <w:tcBorders>
              <w:tl2br w:val="nil"/>
              <w:tr2bl w:val="nil"/>
            </w:tcBorders>
            <w:vAlign w:val="center"/>
          </w:tcPr>
          <w:p>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24小时平均</w:t>
            </w:r>
          </w:p>
        </w:tc>
        <w:tc>
          <w:tcPr>
            <w:tcW w:w="1810" w:type="dxa"/>
            <w:tcBorders>
              <w:tl2br w:val="nil"/>
              <w:tr2bl w:val="nil"/>
            </w:tcBorders>
            <w:vAlign w:val="center"/>
          </w:tcPr>
          <w:p>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15</w:t>
            </w:r>
            <w:r>
              <w:rPr>
                <w:rFonts w:hint="eastAsia" w:ascii="Times New Roman" w:hAnsi="Times New Roman" w:eastAsia="宋体" w:cs="Times New Roman"/>
                <w:color w:val="auto"/>
                <w:szCs w:val="21"/>
              </w:rPr>
              <w:t>0</w:t>
            </w:r>
          </w:p>
        </w:tc>
        <w:tc>
          <w:tcPr>
            <w:tcW w:w="3657" w:type="dxa"/>
            <w:vMerge w:val="continue"/>
            <w:tcBorders>
              <w:tl2br w:val="nil"/>
              <w:tr2bl w:val="nil"/>
            </w:tcBorders>
            <w:vAlign w:val="center"/>
          </w:tcPr>
          <w:p>
            <w:pPr>
              <w:jc w:val="center"/>
              <w:rPr>
                <w:rFonts w:ascii="Times New Roman" w:hAnsi="Times New Roman" w:eastAsia="宋体" w:cs="Times New Roman"/>
                <w:color w:val="auto"/>
                <w:szCs w:val="21"/>
              </w:rPr>
            </w:pP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87" w:type="dxa"/>
            <w:vMerge w:val="continue"/>
            <w:tcBorders>
              <w:tl2br w:val="nil"/>
              <w:tr2bl w:val="nil"/>
            </w:tcBorders>
            <w:vAlign w:val="center"/>
          </w:tcPr>
          <w:p>
            <w:pPr>
              <w:jc w:val="center"/>
              <w:rPr>
                <w:rFonts w:ascii="Times New Roman" w:hAnsi="Times New Roman" w:eastAsia="宋体" w:cs="Times New Roman"/>
                <w:color w:val="auto"/>
                <w:szCs w:val="21"/>
              </w:rPr>
            </w:pPr>
          </w:p>
        </w:tc>
        <w:tc>
          <w:tcPr>
            <w:tcW w:w="1666" w:type="dxa"/>
            <w:tcBorders>
              <w:tl2br w:val="nil"/>
              <w:tr2bl w:val="nil"/>
            </w:tcBorders>
            <w:vAlign w:val="center"/>
          </w:tcPr>
          <w:p>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1小时平均</w:t>
            </w:r>
          </w:p>
        </w:tc>
        <w:tc>
          <w:tcPr>
            <w:tcW w:w="1810" w:type="dxa"/>
            <w:tcBorders>
              <w:tl2br w:val="nil"/>
              <w:tr2bl w:val="nil"/>
            </w:tcBorders>
            <w:vAlign w:val="center"/>
          </w:tcPr>
          <w:p>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50</w:t>
            </w:r>
            <w:r>
              <w:rPr>
                <w:rFonts w:hint="eastAsia" w:ascii="Times New Roman" w:hAnsi="Times New Roman" w:eastAsia="宋体" w:cs="Times New Roman"/>
                <w:color w:val="auto"/>
                <w:szCs w:val="21"/>
              </w:rPr>
              <w:t>0</w:t>
            </w:r>
          </w:p>
        </w:tc>
        <w:tc>
          <w:tcPr>
            <w:tcW w:w="3657" w:type="dxa"/>
            <w:vMerge w:val="continue"/>
            <w:tcBorders>
              <w:tl2br w:val="nil"/>
              <w:tr2bl w:val="nil"/>
            </w:tcBorders>
            <w:vAlign w:val="center"/>
          </w:tcPr>
          <w:p>
            <w:pPr>
              <w:jc w:val="center"/>
              <w:rPr>
                <w:rFonts w:ascii="Times New Roman" w:hAnsi="Times New Roman" w:eastAsia="宋体" w:cs="Times New Roman"/>
                <w:color w:val="auto"/>
                <w:szCs w:val="21"/>
              </w:rPr>
            </w:pP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87" w:type="dxa"/>
            <w:vMerge w:val="restart"/>
            <w:tcBorders>
              <w:tl2br w:val="nil"/>
              <w:tr2bl w:val="nil"/>
            </w:tcBorders>
            <w:vAlign w:val="center"/>
          </w:tcPr>
          <w:p>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N</w:t>
            </w:r>
            <w:r>
              <w:rPr>
                <w:rFonts w:hint="eastAsia" w:ascii="Times New Roman" w:hAnsi="Times New Roman" w:eastAsia="宋体" w:cs="Times New Roman"/>
                <w:color w:val="auto"/>
                <w:szCs w:val="21"/>
              </w:rPr>
              <w:t>O</w:t>
            </w:r>
            <w:r>
              <w:rPr>
                <w:rFonts w:hint="eastAsia" w:ascii="Times New Roman" w:hAnsi="Times New Roman" w:eastAsia="宋体" w:cs="Times New Roman"/>
                <w:color w:val="auto"/>
                <w:szCs w:val="21"/>
                <w:vertAlign w:val="subscript"/>
              </w:rPr>
              <w:t>2</w:t>
            </w:r>
          </w:p>
        </w:tc>
        <w:tc>
          <w:tcPr>
            <w:tcW w:w="1666" w:type="dxa"/>
            <w:tcBorders>
              <w:tl2br w:val="nil"/>
              <w:tr2bl w:val="nil"/>
            </w:tcBorders>
            <w:vAlign w:val="center"/>
          </w:tcPr>
          <w:p>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年平均</w:t>
            </w:r>
          </w:p>
        </w:tc>
        <w:tc>
          <w:tcPr>
            <w:tcW w:w="1810" w:type="dxa"/>
            <w:tcBorders>
              <w:tl2br w:val="nil"/>
              <w:tr2bl w:val="nil"/>
            </w:tcBorders>
            <w:vAlign w:val="center"/>
          </w:tcPr>
          <w:p>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4</w:t>
            </w:r>
            <w:r>
              <w:rPr>
                <w:rFonts w:hint="eastAsia" w:ascii="Times New Roman" w:hAnsi="Times New Roman" w:eastAsia="宋体" w:cs="Times New Roman"/>
                <w:color w:val="auto"/>
                <w:szCs w:val="21"/>
              </w:rPr>
              <w:t>0</w:t>
            </w:r>
          </w:p>
        </w:tc>
        <w:tc>
          <w:tcPr>
            <w:tcW w:w="3657" w:type="dxa"/>
            <w:vMerge w:val="continue"/>
            <w:tcBorders>
              <w:tl2br w:val="nil"/>
              <w:tr2bl w:val="nil"/>
            </w:tcBorders>
            <w:vAlign w:val="center"/>
          </w:tcPr>
          <w:p>
            <w:pPr>
              <w:jc w:val="center"/>
              <w:rPr>
                <w:rFonts w:ascii="Times New Roman" w:hAnsi="Times New Roman" w:eastAsia="宋体" w:cs="Times New Roman"/>
                <w:color w:val="auto"/>
                <w:szCs w:val="21"/>
              </w:rPr>
            </w:pP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87" w:type="dxa"/>
            <w:vMerge w:val="continue"/>
            <w:tcBorders>
              <w:tl2br w:val="nil"/>
              <w:tr2bl w:val="nil"/>
            </w:tcBorders>
            <w:vAlign w:val="center"/>
          </w:tcPr>
          <w:p>
            <w:pPr>
              <w:jc w:val="center"/>
              <w:rPr>
                <w:rFonts w:ascii="Times New Roman" w:hAnsi="Times New Roman" w:eastAsia="宋体" w:cs="Times New Roman"/>
                <w:color w:val="auto"/>
                <w:szCs w:val="21"/>
              </w:rPr>
            </w:pPr>
          </w:p>
        </w:tc>
        <w:tc>
          <w:tcPr>
            <w:tcW w:w="1666" w:type="dxa"/>
            <w:tcBorders>
              <w:tl2br w:val="nil"/>
              <w:tr2bl w:val="nil"/>
            </w:tcBorders>
            <w:vAlign w:val="center"/>
          </w:tcPr>
          <w:p>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24小时平均</w:t>
            </w:r>
          </w:p>
        </w:tc>
        <w:tc>
          <w:tcPr>
            <w:tcW w:w="1810" w:type="dxa"/>
            <w:tcBorders>
              <w:tl2br w:val="nil"/>
              <w:tr2bl w:val="nil"/>
            </w:tcBorders>
            <w:vAlign w:val="center"/>
          </w:tcPr>
          <w:p>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8</w:t>
            </w:r>
            <w:r>
              <w:rPr>
                <w:rFonts w:hint="eastAsia" w:ascii="Times New Roman" w:hAnsi="Times New Roman" w:eastAsia="宋体" w:cs="Times New Roman"/>
                <w:color w:val="auto"/>
                <w:szCs w:val="21"/>
              </w:rPr>
              <w:t>0</w:t>
            </w:r>
          </w:p>
        </w:tc>
        <w:tc>
          <w:tcPr>
            <w:tcW w:w="3657" w:type="dxa"/>
            <w:vMerge w:val="continue"/>
            <w:tcBorders>
              <w:tl2br w:val="nil"/>
              <w:tr2bl w:val="nil"/>
            </w:tcBorders>
            <w:vAlign w:val="center"/>
          </w:tcPr>
          <w:p>
            <w:pPr>
              <w:jc w:val="center"/>
              <w:rPr>
                <w:rFonts w:ascii="Times New Roman" w:hAnsi="Times New Roman" w:eastAsia="宋体" w:cs="Times New Roman"/>
                <w:color w:val="auto"/>
                <w:szCs w:val="21"/>
              </w:rPr>
            </w:pP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87" w:type="dxa"/>
            <w:vMerge w:val="continue"/>
            <w:tcBorders>
              <w:tl2br w:val="nil"/>
              <w:tr2bl w:val="nil"/>
            </w:tcBorders>
            <w:vAlign w:val="center"/>
          </w:tcPr>
          <w:p>
            <w:pPr>
              <w:jc w:val="center"/>
              <w:rPr>
                <w:rFonts w:ascii="Times New Roman" w:hAnsi="Times New Roman" w:eastAsia="宋体" w:cs="Times New Roman"/>
                <w:color w:val="auto"/>
                <w:szCs w:val="21"/>
              </w:rPr>
            </w:pPr>
          </w:p>
        </w:tc>
        <w:tc>
          <w:tcPr>
            <w:tcW w:w="1666" w:type="dxa"/>
            <w:tcBorders>
              <w:tl2br w:val="nil"/>
              <w:tr2bl w:val="nil"/>
            </w:tcBorders>
            <w:vAlign w:val="center"/>
          </w:tcPr>
          <w:p>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1小时平均</w:t>
            </w:r>
          </w:p>
        </w:tc>
        <w:tc>
          <w:tcPr>
            <w:tcW w:w="1810" w:type="dxa"/>
            <w:tcBorders>
              <w:tl2br w:val="nil"/>
              <w:tr2bl w:val="nil"/>
            </w:tcBorders>
            <w:vAlign w:val="center"/>
          </w:tcPr>
          <w:p>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2</w:t>
            </w:r>
            <w:r>
              <w:rPr>
                <w:rFonts w:hint="eastAsia" w:ascii="Times New Roman" w:hAnsi="Times New Roman" w:eastAsia="宋体" w:cs="Times New Roman"/>
                <w:color w:val="auto"/>
                <w:szCs w:val="21"/>
              </w:rPr>
              <w:t>00</w:t>
            </w:r>
          </w:p>
        </w:tc>
        <w:tc>
          <w:tcPr>
            <w:tcW w:w="3657" w:type="dxa"/>
            <w:vMerge w:val="continue"/>
            <w:tcBorders>
              <w:tl2br w:val="nil"/>
              <w:tr2bl w:val="nil"/>
            </w:tcBorders>
            <w:vAlign w:val="center"/>
          </w:tcPr>
          <w:p>
            <w:pPr>
              <w:jc w:val="center"/>
              <w:rPr>
                <w:rFonts w:ascii="Times New Roman" w:hAnsi="Times New Roman" w:eastAsia="宋体" w:cs="Times New Roman"/>
                <w:color w:val="auto"/>
                <w:szCs w:val="21"/>
              </w:rPr>
            </w:pP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87" w:type="dxa"/>
            <w:vMerge w:val="restart"/>
            <w:tcBorders>
              <w:tl2br w:val="nil"/>
              <w:tr2bl w:val="nil"/>
            </w:tcBorders>
            <w:vAlign w:val="center"/>
          </w:tcPr>
          <w:p>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TSP</w:t>
            </w:r>
          </w:p>
        </w:tc>
        <w:tc>
          <w:tcPr>
            <w:tcW w:w="1666" w:type="dxa"/>
            <w:tcBorders>
              <w:tl2br w:val="nil"/>
              <w:tr2bl w:val="nil"/>
            </w:tcBorders>
            <w:vAlign w:val="center"/>
          </w:tcPr>
          <w:p>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年平均</w:t>
            </w:r>
          </w:p>
        </w:tc>
        <w:tc>
          <w:tcPr>
            <w:tcW w:w="1810" w:type="dxa"/>
            <w:tcBorders>
              <w:tl2br w:val="nil"/>
              <w:tr2bl w:val="nil"/>
            </w:tcBorders>
            <w:vAlign w:val="center"/>
          </w:tcPr>
          <w:p>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20</w:t>
            </w:r>
            <w:r>
              <w:rPr>
                <w:rFonts w:hint="eastAsia" w:ascii="Times New Roman" w:hAnsi="Times New Roman" w:eastAsia="宋体" w:cs="Times New Roman"/>
                <w:color w:val="auto"/>
                <w:szCs w:val="21"/>
              </w:rPr>
              <w:t>0</w:t>
            </w:r>
          </w:p>
        </w:tc>
        <w:tc>
          <w:tcPr>
            <w:tcW w:w="3657" w:type="dxa"/>
            <w:vMerge w:val="continue"/>
            <w:tcBorders>
              <w:tl2br w:val="nil"/>
              <w:tr2bl w:val="nil"/>
            </w:tcBorders>
            <w:vAlign w:val="center"/>
          </w:tcPr>
          <w:p>
            <w:pPr>
              <w:jc w:val="center"/>
              <w:rPr>
                <w:rFonts w:ascii="Times New Roman" w:hAnsi="Times New Roman" w:eastAsia="宋体" w:cs="Times New Roman"/>
                <w:color w:val="auto"/>
                <w:szCs w:val="21"/>
              </w:rPr>
            </w:pP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87" w:type="dxa"/>
            <w:vMerge w:val="continue"/>
            <w:tcBorders>
              <w:tl2br w:val="nil"/>
              <w:tr2bl w:val="nil"/>
            </w:tcBorders>
            <w:vAlign w:val="center"/>
          </w:tcPr>
          <w:p>
            <w:pPr>
              <w:jc w:val="center"/>
              <w:rPr>
                <w:rFonts w:ascii="Times New Roman" w:hAnsi="Times New Roman" w:eastAsia="宋体" w:cs="Times New Roman"/>
                <w:color w:val="auto"/>
                <w:szCs w:val="21"/>
              </w:rPr>
            </w:pPr>
          </w:p>
        </w:tc>
        <w:tc>
          <w:tcPr>
            <w:tcW w:w="1666" w:type="dxa"/>
            <w:tcBorders>
              <w:tl2br w:val="nil"/>
              <w:tr2bl w:val="nil"/>
            </w:tcBorders>
            <w:vAlign w:val="center"/>
          </w:tcPr>
          <w:p>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24小时平均</w:t>
            </w:r>
          </w:p>
        </w:tc>
        <w:tc>
          <w:tcPr>
            <w:tcW w:w="1810" w:type="dxa"/>
            <w:tcBorders>
              <w:tl2br w:val="nil"/>
              <w:tr2bl w:val="nil"/>
            </w:tcBorders>
            <w:vAlign w:val="center"/>
          </w:tcPr>
          <w:p>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30</w:t>
            </w:r>
            <w:r>
              <w:rPr>
                <w:rFonts w:hint="eastAsia" w:ascii="Times New Roman" w:hAnsi="Times New Roman" w:eastAsia="宋体" w:cs="Times New Roman"/>
                <w:color w:val="auto"/>
                <w:szCs w:val="21"/>
              </w:rPr>
              <w:t>0</w:t>
            </w:r>
          </w:p>
        </w:tc>
        <w:tc>
          <w:tcPr>
            <w:tcW w:w="3657" w:type="dxa"/>
            <w:vMerge w:val="continue"/>
            <w:tcBorders>
              <w:tl2br w:val="nil"/>
              <w:tr2bl w:val="nil"/>
            </w:tcBorders>
            <w:vAlign w:val="center"/>
          </w:tcPr>
          <w:p>
            <w:pPr>
              <w:jc w:val="center"/>
              <w:rPr>
                <w:rFonts w:ascii="Times New Roman" w:hAnsi="Times New Roman" w:eastAsia="宋体" w:cs="Times New Roman"/>
                <w:color w:val="auto"/>
                <w:szCs w:val="21"/>
              </w:rPr>
            </w:pP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87" w:type="dxa"/>
            <w:vMerge w:val="restart"/>
            <w:tcBorders>
              <w:tl2br w:val="nil"/>
              <w:tr2bl w:val="nil"/>
            </w:tcBorders>
            <w:vAlign w:val="center"/>
          </w:tcPr>
          <w:p>
            <w:pPr>
              <w:jc w:val="center"/>
              <w:rPr>
                <w:rFonts w:ascii="Times New Roman" w:hAnsi="Times New Roman" w:eastAsia="宋体" w:cs="Times New Roman"/>
                <w:color w:val="auto"/>
                <w:szCs w:val="21"/>
                <w:vertAlign w:val="subscript"/>
              </w:rPr>
            </w:pPr>
            <w:r>
              <w:rPr>
                <w:rFonts w:ascii="Times New Roman" w:hAnsi="Times New Roman" w:eastAsia="宋体" w:cs="Times New Roman"/>
                <w:color w:val="auto"/>
                <w:szCs w:val="21"/>
              </w:rPr>
              <w:t>P</w:t>
            </w:r>
            <w:r>
              <w:rPr>
                <w:rFonts w:hint="eastAsia" w:ascii="Times New Roman" w:hAnsi="Times New Roman" w:eastAsia="宋体" w:cs="Times New Roman"/>
                <w:color w:val="auto"/>
                <w:szCs w:val="21"/>
              </w:rPr>
              <w:t>M</w:t>
            </w:r>
            <w:r>
              <w:rPr>
                <w:rFonts w:hint="eastAsia" w:ascii="Times New Roman" w:hAnsi="Times New Roman" w:eastAsia="宋体" w:cs="Times New Roman"/>
                <w:color w:val="auto"/>
                <w:szCs w:val="21"/>
                <w:vertAlign w:val="subscript"/>
              </w:rPr>
              <w:t>10</w:t>
            </w:r>
          </w:p>
        </w:tc>
        <w:tc>
          <w:tcPr>
            <w:tcW w:w="1666" w:type="dxa"/>
            <w:tcBorders>
              <w:tl2br w:val="nil"/>
              <w:tr2bl w:val="nil"/>
            </w:tcBorders>
            <w:vAlign w:val="center"/>
          </w:tcPr>
          <w:p>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年平均</w:t>
            </w:r>
          </w:p>
        </w:tc>
        <w:tc>
          <w:tcPr>
            <w:tcW w:w="1810" w:type="dxa"/>
            <w:tcBorders>
              <w:tl2br w:val="nil"/>
              <w:tr2bl w:val="nil"/>
            </w:tcBorders>
            <w:vAlign w:val="center"/>
          </w:tcPr>
          <w:p>
            <w:pPr>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70</w:t>
            </w:r>
          </w:p>
        </w:tc>
        <w:tc>
          <w:tcPr>
            <w:tcW w:w="3657" w:type="dxa"/>
            <w:vMerge w:val="continue"/>
            <w:tcBorders>
              <w:tl2br w:val="nil"/>
              <w:tr2bl w:val="nil"/>
            </w:tcBorders>
            <w:vAlign w:val="center"/>
          </w:tcPr>
          <w:p>
            <w:pPr>
              <w:jc w:val="center"/>
              <w:rPr>
                <w:rFonts w:ascii="Times New Roman" w:hAnsi="Times New Roman" w:eastAsia="宋体" w:cs="Times New Roman"/>
                <w:color w:val="auto"/>
                <w:szCs w:val="21"/>
              </w:rPr>
            </w:pP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87" w:type="dxa"/>
            <w:vMerge w:val="continue"/>
            <w:tcBorders>
              <w:tl2br w:val="nil"/>
              <w:tr2bl w:val="nil"/>
            </w:tcBorders>
            <w:vAlign w:val="center"/>
          </w:tcPr>
          <w:p>
            <w:pPr>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w:t>
            </w:r>
          </w:p>
        </w:tc>
        <w:tc>
          <w:tcPr>
            <w:tcW w:w="1666" w:type="dxa"/>
            <w:tcBorders>
              <w:tl2br w:val="nil"/>
              <w:tr2bl w:val="nil"/>
            </w:tcBorders>
            <w:vAlign w:val="center"/>
          </w:tcPr>
          <w:p>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24小时平均</w:t>
            </w:r>
          </w:p>
        </w:tc>
        <w:tc>
          <w:tcPr>
            <w:tcW w:w="1810" w:type="dxa"/>
            <w:tcBorders>
              <w:tl2br w:val="nil"/>
              <w:tr2bl w:val="nil"/>
            </w:tcBorders>
            <w:vAlign w:val="center"/>
          </w:tcPr>
          <w:p>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15</w:t>
            </w:r>
            <w:r>
              <w:rPr>
                <w:rFonts w:hint="eastAsia" w:ascii="Times New Roman" w:hAnsi="Times New Roman" w:eastAsia="宋体" w:cs="Times New Roman"/>
                <w:color w:val="auto"/>
                <w:szCs w:val="21"/>
              </w:rPr>
              <w:t>0</w:t>
            </w:r>
          </w:p>
        </w:tc>
        <w:tc>
          <w:tcPr>
            <w:tcW w:w="3657" w:type="dxa"/>
            <w:vMerge w:val="continue"/>
            <w:tcBorders>
              <w:tl2br w:val="nil"/>
              <w:tr2bl w:val="nil"/>
            </w:tcBorders>
            <w:vAlign w:val="center"/>
          </w:tcPr>
          <w:p>
            <w:pPr>
              <w:jc w:val="center"/>
              <w:rPr>
                <w:rFonts w:ascii="Times New Roman" w:hAnsi="Times New Roman" w:eastAsia="宋体" w:cs="Times New Roman"/>
                <w:color w:val="auto"/>
                <w:szCs w:val="21"/>
              </w:rPr>
            </w:pP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87"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ascii="Times New Roman" w:hAnsi="Times New Roman" w:eastAsia="宋体" w:cs="Times New Roman"/>
                <w:color w:val="auto"/>
                <w:szCs w:val="21"/>
              </w:rPr>
            </w:pPr>
            <w:r>
              <w:rPr>
                <w:rFonts w:hint="default" w:ascii="Times New Roman" w:hAnsi="Times New Roman" w:eastAsia="宋体" w:cs="Times New Roman"/>
                <w:color w:val="auto"/>
                <w:sz w:val="21"/>
                <w:szCs w:val="21"/>
                <w:lang w:val="en-US" w:eastAsia="zh-CN"/>
              </w:rPr>
              <w:t>CO</w:t>
            </w:r>
          </w:p>
        </w:tc>
        <w:tc>
          <w:tcPr>
            <w:tcW w:w="166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ascii="Times New Roman" w:hAnsi="Times New Roman" w:eastAsia="宋体" w:cs="Times New Roman"/>
                <w:color w:val="auto"/>
                <w:szCs w:val="21"/>
              </w:rPr>
            </w:pPr>
            <w:r>
              <w:rPr>
                <w:rFonts w:hint="default" w:ascii="Times New Roman" w:hAnsi="Times New Roman" w:eastAsia="宋体" w:cs="Times New Roman"/>
                <w:color w:val="auto"/>
                <w:sz w:val="21"/>
                <w:szCs w:val="21"/>
              </w:rPr>
              <w:t>24小时平均</w:t>
            </w:r>
          </w:p>
        </w:tc>
        <w:tc>
          <w:tcPr>
            <w:tcW w:w="18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ascii="Times New Roman" w:hAnsi="Times New Roman" w:eastAsia="宋体" w:cs="Times New Roman"/>
                <w:color w:val="auto"/>
                <w:szCs w:val="21"/>
              </w:rPr>
            </w:pPr>
            <w:r>
              <w:rPr>
                <w:rFonts w:hint="default" w:ascii="Times New Roman" w:hAnsi="Times New Roman" w:eastAsia="宋体" w:cs="Times New Roman"/>
                <w:color w:val="auto"/>
                <w:sz w:val="21"/>
                <w:szCs w:val="21"/>
                <w:lang w:val="en-US" w:eastAsia="zh-CN"/>
              </w:rPr>
              <w:t>4</w:t>
            </w:r>
          </w:p>
        </w:tc>
        <w:tc>
          <w:tcPr>
            <w:tcW w:w="3657" w:type="dxa"/>
            <w:vMerge w:val="continue"/>
            <w:tcBorders>
              <w:tl2br w:val="nil"/>
              <w:tr2bl w:val="nil"/>
            </w:tcBorders>
            <w:vAlign w:val="center"/>
          </w:tcPr>
          <w:p>
            <w:pPr>
              <w:jc w:val="center"/>
              <w:rPr>
                <w:rFonts w:ascii="Times New Roman" w:hAnsi="Times New Roman" w:eastAsia="宋体" w:cs="Times New Roman"/>
                <w:color w:val="auto"/>
                <w:szCs w:val="21"/>
              </w:rPr>
            </w:pP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8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ascii="Times New Roman" w:hAnsi="Times New Roman" w:eastAsia="宋体" w:cs="Times New Roman"/>
                <w:color w:val="auto"/>
                <w:szCs w:val="21"/>
              </w:rPr>
            </w:pPr>
          </w:p>
        </w:tc>
        <w:tc>
          <w:tcPr>
            <w:tcW w:w="166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ascii="Times New Roman" w:hAnsi="Times New Roman" w:eastAsia="宋体" w:cs="Times New Roman"/>
                <w:color w:val="auto"/>
                <w:szCs w:val="21"/>
              </w:rPr>
            </w:pPr>
            <w:r>
              <w:rPr>
                <w:rFonts w:hint="default" w:ascii="Times New Roman" w:hAnsi="Times New Roman" w:eastAsia="宋体" w:cs="Times New Roman"/>
                <w:color w:val="auto"/>
                <w:sz w:val="21"/>
                <w:szCs w:val="21"/>
              </w:rPr>
              <w:t>1小时平均</w:t>
            </w:r>
          </w:p>
        </w:tc>
        <w:tc>
          <w:tcPr>
            <w:tcW w:w="18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ascii="Times New Roman" w:hAnsi="Times New Roman" w:eastAsia="宋体" w:cs="Times New Roman"/>
                <w:color w:val="auto"/>
                <w:szCs w:val="21"/>
              </w:rPr>
            </w:pPr>
            <w:r>
              <w:rPr>
                <w:rFonts w:hint="default" w:ascii="Times New Roman" w:hAnsi="Times New Roman" w:eastAsia="宋体" w:cs="Times New Roman"/>
                <w:color w:val="auto"/>
                <w:sz w:val="21"/>
                <w:szCs w:val="21"/>
                <w:lang w:val="en-US" w:eastAsia="zh-CN"/>
              </w:rPr>
              <w:t>10</w:t>
            </w:r>
          </w:p>
        </w:tc>
        <w:tc>
          <w:tcPr>
            <w:tcW w:w="3657" w:type="dxa"/>
            <w:vMerge w:val="continue"/>
            <w:tcBorders>
              <w:tl2br w:val="nil"/>
              <w:tr2bl w:val="nil"/>
            </w:tcBorders>
            <w:vAlign w:val="center"/>
          </w:tcPr>
          <w:p>
            <w:pPr>
              <w:jc w:val="center"/>
              <w:rPr>
                <w:rFonts w:ascii="Times New Roman" w:hAnsi="Times New Roman" w:eastAsia="宋体" w:cs="Times New Roman"/>
                <w:color w:val="auto"/>
                <w:szCs w:val="21"/>
              </w:rPr>
            </w:pP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87"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ascii="Times New Roman" w:hAnsi="Times New Roman" w:eastAsia="宋体" w:cs="Times New Roman"/>
                <w:color w:val="auto"/>
                <w:szCs w:val="21"/>
              </w:rPr>
            </w:pPr>
            <w:r>
              <w:rPr>
                <w:rFonts w:hint="default" w:ascii="Times New Roman" w:hAnsi="Times New Roman" w:eastAsia="宋体" w:cs="Times New Roman"/>
                <w:color w:val="auto"/>
                <w:sz w:val="21"/>
                <w:szCs w:val="21"/>
                <w:lang w:val="en-US" w:eastAsia="zh-CN"/>
              </w:rPr>
              <w:t>臭氧</w:t>
            </w:r>
          </w:p>
        </w:tc>
        <w:tc>
          <w:tcPr>
            <w:tcW w:w="166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ascii="Times New Roman" w:hAnsi="Times New Roman" w:eastAsia="宋体" w:cs="Times New Roman"/>
                <w:color w:val="auto"/>
                <w:szCs w:val="21"/>
              </w:rPr>
            </w:pPr>
            <w:r>
              <w:rPr>
                <w:rFonts w:hint="default" w:ascii="Times New Roman" w:hAnsi="Times New Roman" w:eastAsia="宋体" w:cs="Times New Roman"/>
                <w:color w:val="auto"/>
                <w:sz w:val="21"/>
                <w:szCs w:val="21"/>
                <w:lang w:val="en-US" w:eastAsia="zh-CN"/>
              </w:rPr>
              <w:t>8</w:t>
            </w:r>
            <w:r>
              <w:rPr>
                <w:rFonts w:hint="default" w:ascii="Times New Roman" w:hAnsi="Times New Roman" w:eastAsia="宋体" w:cs="Times New Roman"/>
                <w:color w:val="auto"/>
                <w:sz w:val="21"/>
                <w:szCs w:val="21"/>
              </w:rPr>
              <w:t>小时平均</w:t>
            </w:r>
          </w:p>
        </w:tc>
        <w:tc>
          <w:tcPr>
            <w:tcW w:w="18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ascii="Times New Roman" w:hAnsi="Times New Roman" w:eastAsia="宋体" w:cs="Times New Roman"/>
                <w:color w:val="auto"/>
                <w:szCs w:val="21"/>
              </w:rPr>
            </w:pPr>
            <w:r>
              <w:rPr>
                <w:rFonts w:hint="default" w:ascii="Times New Roman" w:hAnsi="Times New Roman" w:eastAsia="宋体" w:cs="Times New Roman"/>
                <w:color w:val="auto"/>
                <w:sz w:val="21"/>
                <w:szCs w:val="21"/>
                <w:lang w:val="en-US" w:eastAsia="zh-CN"/>
              </w:rPr>
              <w:t>160</w:t>
            </w:r>
          </w:p>
        </w:tc>
        <w:tc>
          <w:tcPr>
            <w:tcW w:w="3657" w:type="dxa"/>
            <w:vMerge w:val="continue"/>
            <w:tcBorders>
              <w:tl2br w:val="nil"/>
              <w:tr2bl w:val="nil"/>
            </w:tcBorders>
            <w:vAlign w:val="center"/>
          </w:tcPr>
          <w:p>
            <w:pPr>
              <w:jc w:val="center"/>
              <w:rPr>
                <w:rFonts w:ascii="Times New Roman" w:hAnsi="Times New Roman" w:eastAsia="宋体" w:cs="Times New Roman"/>
                <w:color w:val="auto"/>
                <w:szCs w:val="21"/>
              </w:rPr>
            </w:pP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8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ascii="Times New Roman" w:hAnsi="Times New Roman" w:eastAsia="宋体" w:cs="Times New Roman"/>
                <w:color w:val="auto"/>
                <w:szCs w:val="21"/>
              </w:rPr>
            </w:pPr>
          </w:p>
        </w:tc>
        <w:tc>
          <w:tcPr>
            <w:tcW w:w="166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ascii="Times New Roman" w:hAnsi="Times New Roman" w:eastAsia="宋体" w:cs="Times New Roman"/>
                <w:color w:val="auto"/>
                <w:szCs w:val="21"/>
              </w:rPr>
            </w:pPr>
            <w:r>
              <w:rPr>
                <w:rFonts w:hint="default" w:ascii="Times New Roman" w:hAnsi="Times New Roman" w:eastAsia="宋体" w:cs="Times New Roman"/>
                <w:color w:val="auto"/>
                <w:sz w:val="21"/>
                <w:szCs w:val="21"/>
              </w:rPr>
              <w:t>1小时平均</w:t>
            </w:r>
          </w:p>
        </w:tc>
        <w:tc>
          <w:tcPr>
            <w:tcW w:w="18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ascii="Times New Roman" w:hAnsi="Times New Roman" w:eastAsia="宋体" w:cs="Times New Roman"/>
                <w:color w:val="auto"/>
                <w:szCs w:val="21"/>
              </w:rPr>
            </w:pPr>
            <w:r>
              <w:rPr>
                <w:rFonts w:hint="default" w:ascii="Times New Roman" w:hAnsi="Times New Roman" w:eastAsia="宋体" w:cs="Times New Roman"/>
                <w:color w:val="auto"/>
                <w:sz w:val="21"/>
                <w:szCs w:val="21"/>
                <w:lang w:val="en-US" w:eastAsia="zh-CN"/>
              </w:rPr>
              <w:t>200</w:t>
            </w:r>
          </w:p>
        </w:tc>
        <w:tc>
          <w:tcPr>
            <w:tcW w:w="3657" w:type="dxa"/>
            <w:vMerge w:val="continue"/>
            <w:tcBorders>
              <w:tl2br w:val="nil"/>
              <w:tr2bl w:val="nil"/>
            </w:tcBorders>
            <w:vAlign w:val="center"/>
          </w:tcPr>
          <w:p>
            <w:pPr>
              <w:jc w:val="center"/>
              <w:rPr>
                <w:rFonts w:ascii="Times New Roman" w:hAnsi="Times New Roman" w:eastAsia="宋体" w:cs="Times New Roman"/>
                <w:color w:val="auto"/>
                <w:szCs w:val="21"/>
              </w:rPr>
            </w:pP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87"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ascii="Times New Roman" w:hAnsi="Times New Roman" w:eastAsia="宋体" w:cs="Times New Roman"/>
                <w:color w:val="auto"/>
                <w:szCs w:val="21"/>
              </w:rPr>
            </w:pPr>
            <w:r>
              <w:rPr>
                <w:rFonts w:hint="default" w:ascii="Times New Roman" w:hAnsi="Times New Roman" w:eastAsia="宋体" w:cs="Times New Roman"/>
                <w:color w:val="auto"/>
                <w:sz w:val="21"/>
                <w:szCs w:val="21"/>
                <w:lang w:eastAsia="zh-CN"/>
              </w:rPr>
              <w:t>PM</w:t>
            </w:r>
            <w:r>
              <w:rPr>
                <w:rFonts w:hint="default" w:ascii="Times New Roman" w:hAnsi="Times New Roman" w:eastAsia="宋体" w:cs="Times New Roman"/>
                <w:color w:val="auto"/>
                <w:sz w:val="21"/>
                <w:szCs w:val="21"/>
                <w:vertAlign w:val="subscript"/>
                <w:lang w:eastAsia="zh-CN"/>
              </w:rPr>
              <w:t>2.5</w:t>
            </w:r>
          </w:p>
        </w:tc>
        <w:tc>
          <w:tcPr>
            <w:tcW w:w="166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ascii="Times New Roman" w:hAnsi="Times New Roman" w:eastAsia="宋体" w:cs="Times New Roman"/>
                <w:color w:val="auto"/>
                <w:szCs w:val="21"/>
              </w:rPr>
            </w:pPr>
            <w:r>
              <w:rPr>
                <w:rFonts w:hint="default" w:ascii="Times New Roman" w:hAnsi="Times New Roman" w:eastAsia="宋体" w:cs="Times New Roman"/>
                <w:color w:val="auto"/>
                <w:sz w:val="21"/>
                <w:szCs w:val="21"/>
              </w:rPr>
              <w:t>年平均</w:t>
            </w:r>
          </w:p>
        </w:tc>
        <w:tc>
          <w:tcPr>
            <w:tcW w:w="18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ascii="Times New Roman" w:hAnsi="Times New Roman" w:eastAsia="宋体" w:cs="Times New Roman"/>
                <w:color w:val="auto"/>
                <w:szCs w:val="21"/>
              </w:rPr>
            </w:pPr>
            <w:r>
              <w:rPr>
                <w:rFonts w:hint="default" w:ascii="Times New Roman" w:hAnsi="Times New Roman" w:eastAsia="宋体" w:cs="Times New Roman"/>
                <w:color w:val="auto"/>
                <w:sz w:val="21"/>
                <w:szCs w:val="21"/>
                <w:lang w:val="en-US" w:eastAsia="zh-CN"/>
              </w:rPr>
              <w:t>35</w:t>
            </w:r>
          </w:p>
        </w:tc>
        <w:tc>
          <w:tcPr>
            <w:tcW w:w="3657" w:type="dxa"/>
            <w:vMerge w:val="continue"/>
            <w:tcBorders>
              <w:tl2br w:val="nil"/>
              <w:tr2bl w:val="nil"/>
            </w:tcBorders>
            <w:vAlign w:val="center"/>
          </w:tcPr>
          <w:p>
            <w:pPr>
              <w:jc w:val="center"/>
              <w:rPr>
                <w:rFonts w:ascii="Times New Roman" w:hAnsi="Times New Roman" w:eastAsia="宋体" w:cs="Times New Roman"/>
                <w:color w:val="auto"/>
                <w:szCs w:val="21"/>
              </w:rPr>
            </w:pP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8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ascii="Times New Roman" w:hAnsi="Times New Roman" w:eastAsia="宋体" w:cs="Times New Roman"/>
                <w:color w:val="auto"/>
                <w:szCs w:val="21"/>
              </w:rPr>
            </w:pPr>
          </w:p>
        </w:tc>
        <w:tc>
          <w:tcPr>
            <w:tcW w:w="166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ascii="Times New Roman" w:hAnsi="Times New Roman" w:eastAsia="宋体" w:cs="Times New Roman"/>
                <w:color w:val="auto"/>
                <w:szCs w:val="21"/>
              </w:rPr>
            </w:pPr>
            <w:r>
              <w:rPr>
                <w:rFonts w:hint="default" w:ascii="Times New Roman" w:hAnsi="Times New Roman" w:eastAsia="宋体" w:cs="Times New Roman"/>
                <w:color w:val="auto"/>
                <w:sz w:val="21"/>
                <w:szCs w:val="21"/>
              </w:rPr>
              <w:t>24小时平均</w:t>
            </w:r>
          </w:p>
        </w:tc>
        <w:tc>
          <w:tcPr>
            <w:tcW w:w="181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ascii="Times New Roman" w:hAnsi="Times New Roman" w:eastAsia="宋体" w:cs="Times New Roman"/>
                <w:color w:val="auto"/>
                <w:szCs w:val="21"/>
              </w:rPr>
            </w:pPr>
            <w:r>
              <w:rPr>
                <w:rFonts w:hint="default" w:ascii="Times New Roman" w:hAnsi="Times New Roman" w:eastAsia="宋体" w:cs="Times New Roman"/>
                <w:color w:val="auto"/>
                <w:sz w:val="21"/>
                <w:szCs w:val="21"/>
                <w:lang w:val="en-US" w:eastAsia="zh-CN"/>
              </w:rPr>
              <w:t>75</w:t>
            </w:r>
          </w:p>
        </w:tc>
        <w:tc>
          <w:tcPr>
            <w:tcW w:w="3657" w:type="dxa"/>
            <w:vMerge w:val="continue"/>
            <w:tcBorders>
              <w:tl2br w:val="nil"/>
              <w:tr2bl w:val="nil"/>
            </w:tcBorders>
            <w:vAlign w:val="center"/>
          </w:tcPr>
          <w:p>
            <w:pPr>
              <w:jc w:val="center"/>
              <w:rPr>
                <w:rFonts w:ascii="Times New Roman" w:hAnsi="Times New Roman" w:eastAsia="宋体" w:cs="Times New Roman"/>
                <w:color w:val="auto"/>
                <w:szCs w:val="21"/>
              </w:rPr>
            </w:pP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87" w:type="dxa"/>
            <w:tcBorders>
              <w:tl2br w:val="nil"/>
              <w:tr2bl w:val="nil"/>
            </w:tcBorders>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NH</w:t>
            </w:r>
            <w:r>
              <w:rPr>
                <w:rFonts w:hint="eastAsia" w:ascii="Times New Roman" w:hAnsi="Times New Roman" w:eastAsia="宋体" w:cs="Times New Roman"/>
                <w:color w:val="auto"/>
                <w:szCs w:val="21"/>
                <w:vertAlign w:val="subscript"/>
                <w:lang w:val="en-US" w:eastAsia="zh-CN"/>
              </w:rPr>
              <w:t>3</w:t>
            </w:r>
          </w:p>
        </w:tc>
        <w:tc>
          <w:tcPr>
            <w:tcW w:w="1666" w:type="dxa"/>
            <w:tcBorders>
              <w:tl2br w:val="nil"/>
              <w:tr2bl w:val="nil"/>
            </w:tcBorders>
            <w:vAlign w:val="center"/>
          </w:tcPr>
          <w:p>
            <w:pPr>
              <w:jc w:val="center"/>
              <w:rPr>
                <w:rFonts w:ascii="Times New Roman" w:hAnsi="Times New Roman" w:eastAsia="宋体" w:cs="Times New Roman"/>
                <w:color w:val="auto"/>
                <w:szCs w:val="21"/>
              </w:rPr>
            </w:pPr>
            <w:r>
              <w:rPr>
                <w:rFonts w:hint="default" w:ascii="Times New Roman" w:hAnsi="Times New Roman" w:eastAsia="宋体" w:cs="Times New Roman"/>
                <w:color w:val="auto"/>
                <w:sz w:val="21"/>
                <w:szCs w:val="21"/>
              </w:rPr>
              <w:t>1小时平均</w:t>
            </w:r>
          </w:p>
        </w:tc>
        <w:tc>
          <w:tcPr>
            <w:tcW w:w="1810" w:type="dxa"/>
            <w:tcBorders>
              <w:tl2br w:val="nil"/>
              <w:tr2bl w:val="nil"/>
            </w:tcBorders>
            <w:vAlign w:val="center"/>
          </w:tcPr>
          <w:p>
            <w:pPr>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200</w:t>
            </w:r>
          </w:p>
        </w:tc>
        <w:tc>
          <w:tcPr>
            <w:tcW w:w="3657" w:type="dxa"/>
            <w:vMerge w:val="restart"/>
            <w:tcBorders>
              <w:tl2br w:val="nil"/>
              <w:tr2bl w:val="nil"/>
            </w:tcBorders>
            <w:vAlign w:val="center"/>
          </w:tcPr>
          <w:p>
            <w:pPr>
              <w:jc w:val="center"/>
              <w:rPr>
                <w:rFonts w:ascii="Times New Roman" w:hAnsi="Times New Roman" w:eastAsia="宋体" w:cs="Times New Roman"/>
                <w:color w:val="auto"/>
                <w:szCs w:val="21"/>
              </w:rPr>
            </w:pPr>
            <w:r>
              <w:rPr>
                <w:rFonts w:hint="eastAsia"/>
                <w:color w:val="auto"/>
                <w:sz w:val="21"/>
              </w:rPr>
              <w:t>《环境影响评价技术导则--大气环境》（HJ2.2-2018）附录 D 其他污染物空气质量浓度参考限值</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87" w:type="dxa"/>
            <w:tcBorders>
              <w:tl2br w:val="nil"/>
              <w:tr2bl w:val="nil"/>
            </w:tcBorders>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t>
            </w:r>
            <w:r>
              <w:rPr>
                <w:rFonts w:hint="eastAsia" w:ascii="Times New Roman" w:hAnsi="Times New Roman" w:eastAsia="宋体" w:cs="Times New Roman"/>
                <w:color w:val="auto"/>
                <w:szCs w:val="21"/>
                <w:vertAlign w:val="subscript"/>
                <w:lang w:val="en-US" w:eastAsia="zh-CN"/>
              </w:rPr>
              <w:t>2</w:t>
            </w:r>
            <w:r>
              <w:rPr>
                <w:rFonts w:hint="eastAsia" w:ascii="Times New Roman" w:hAnsi="Times New Roman" w:eastAsia="宋体" w:cs="Times New Roman"/>
                <w:color w:val="auto"/>
                <w:szCs w:val="21"/>
                <w:lang w:val="en-US" w:eastAsia="zh-CN"/>
              </w:rPr>
              <w:t>S</w:t>
            </w:r>
          </w:p>
        </w:tc>
        <w:tc>
          <w:tcPr>
            <w:tcW w:w="1666" w:type="dxa"/>
            <w:tcBorders>
              <w:tl2br w:val="nil"/>
              <w:tr2bl w:val="nil"/>
            </w:tcBorders>
            <w:vAlign w:val="center"/>
          </w:tcPr>
          <w:p>
            <w:pPr>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1</w:t>
            </w:r>
            <w:r>
              <w:rPr>
                <w:rFonts w:hint="eastAsia" w:ascii="Times New Roman" w:hAnsi="Times New Roman" w:eastAsia="宋体" w:cs="Times New Roman"/>
                <w:color w:val="auto"/>
                <w:szCs w:val="21"/>
              </w:rPr>
              <w:t>小时均值</w:t>
            </w:r>
          </w:p>
        </w:tc>
        <w:tc>
          <w:tcPr>
            <w:tcW w:w="1810" w:type="dxa"/>
            <w:tcBorders>
              <w:tl2br w:val="nil"/>
              <w:tr2bl w:val="nil"/>
            </w:tcBorders>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10</w:t>
            </w:r>
          </w:p>
        </w:tc>
        <w:tc>
          <w:tcPr>
            <w:tcW w:w="3657" w:type="dxa"/>
            <w:vMerge w:val="continue"/>
            <w:tcBorders>
              <w:tl2br w:val="nil"/>
              <w:tr2bl w:val="nil"/>
            </w:tcBorders>
            <w:vAlign w:val="center"/>
          </w:tcPr>
          <w:p>
            <w:pPr>
              <w:jc w:val="center"/>
              <w:rPr>
                <w:rFonts w:ascii="Times New Roman" w:hAnsi="Times New Roman" w:eastAsia="宋体" w:cs="Times New Roman"/>
                <w:color w:val="auto"/>
                <w:szCs w:val="21"/>
              </w:rPr>
            </w:pPr>
          </w:p>
        </w:tc>
      </w:tr>
    </w:tbl>
    <w:p>
      <w:pPr>
        <w:spacing w:line="360" w:lineRule="auto"/>
        <w:jc w:val="left"/>
        <w:rPr>
          <w:rFonts w:ascii="Times New Roman" w:hAnsi="Times New Roman" w:eastAsia="宋体" w:cs="Times New Roman"/>
          <w:color w:val="auto"/>
          <w:szCs w:val="21"/>
        </w:rPr>
      </w:pPr>
      <w:r>
        <w:rPr>
          <w:rFonts w:ascii="Times New Roman" w:hAnsi="Times New Roman" w:eastAsia="宋体" w:cs="Times New Roman"/>
          <w:color w:val="auto"/>
          <w:szCs w:val="21"/>
        </w:rPr>
        <w:t>注：总悬浮颗粒物、颗粒物的一小时浓度限值，按该标准的日均浓度3倍考核。</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2、</w:t>
      </w:r>
      <w:r>
        <w:rPr>
          <w:rFonts w:ascii="Times New Roman" w:hAnsi="Times New Roman" w:eastAsia="宋体" w:cs="Times New Roman"/>
          <w:color w:val="auto"/>
          <w:sz w:val="24"/>
          <w:szCs w:val="24"/>
        </w:rPr>
        <w:t>地表水</w:t>
      </w:r>
    </w:p>
    <w:p>
      <w:pPr>
        <w:pStyle w:val="2"/>
        <w:spacing w:line="360" w:lineRule="auto"/>
        <w:ind w:firstLine="480" w:firstLineChars="200"/>
        <w:rPr>
          <w:rFonts w:ascii="Times New Roman" w:hAnsi="Times New Roman"/>
          <w:color w:val="auto"/>
          <w:sz w:val="24"/>
          <w:szCs w:val="24"/>
        </w:rPr>
      </w:pPr>
      <w:r>
        <w:rPr>
          <w:rFonts w:hint="eastAsia" w:ascii="Times New Roman" w:hAnsi="Times New Roman"/>
          <w:color w:val="auto"/>
          <w:sz w:val="24"/>
        </w:rPr>
        <w:t>本项目所处区域内最近的地表水体为</w:t>
      </w:r>
      <w:r>
        <w:rPr>
          <w:rFonts w:hint="eastAsia" w:ascii="Times New Roman" w:hAnsi="Times New Roman"/>
          <w:color w:val="auto"/>
          <w:sz w:val="24"/>
          <w:lang w:val="en-US" w:eastAsia="zh-CN"/>
        </w:rPr>
        <w:t>2.5k</w:t>
      </w:r>
      <w:r>
        <w:rPr>
          <w:rFonts w:hint="eastAsia" w:ascii="Times New Roman" w:hAnsi="Times New Roman"/>
          <w:color w:val="auto"/>
          <w:sz w:val="24"/>
        </w:rPr>
        <w:t>m外的</w:t>
      </w:r>
      <w:r>
        <w:rPr>
          <w:rFonts w:hint="eastAsia" w:ascii="Times New Roman" w:hAnsi="Times New Roman"/>
          <w:color w:val="auto"/>
          <w:sz w:val="24"/>
          <w:lang w:eastAsia="zh-CN"/>
        </w:rPr>
        <w:t>安溪河</w:t>
      </w:r>
      <w:r>
        <w:rPr>
          <w:rFonts w:hint="eastAsia" w:ascii="Times New Roman" w:hAnsi="Times New Roman"/>
          <w:color w:val="auto"/>
          <w:sz w:val="24"/>
        </w:rPr>
        <w:t xml:space="preserve">，其环境功能区划为 Ⅲ类区，水质执行《地表水环境质量标准》（GB3838-2002）Ⅲ类标准。具体标准详见表 </w:t>
      </w:r>
      <w:r>
        <w:rPr>
          <w:rFonts w:hint="eastAsia" w:ascii="Times New Roman" w:hAnsi="Times New Roman"/>
          <w:color w:val="auto"/>
          <w:sz w:val="24"/>
          <w:lang w:val="en-US" w:eastAsia="zh-CN"/>
        </w:rPr>
        <w:t>1.4-2</w:t>
      </w:r>
      <w:r>
        <w:rPr>
          <w:rFonts w:hint="eastAsia" w:ascii="Times New Roman" w:hAnsi="Times New Roman"/>
          <w:color w:val="auto"/>
          <w:sz w:val="24"/>
        </w:rPr>
        <w:t>。</w:t>
      </w:r>
    </w:p>
    <w:p>
      <w:pPr>
        <w:spacing w:line="360" w:lineRule="auto"/>
        <w:jc w:val="center"/>
        <w:rPr>
          <w:rFonts w:ascii="Times New Roman" w:hAnsi="Times New Roman" w:eastAsia="宋体" w:cs="Times New Roman"/>
          <w:b/>
          <w:color w:val="auto"/>
          <w:sz w:val="21"/>
          <w:szCs w:val="21"/>
        </w:rPr>
      </w:pPr>
    </w:p>
    <w:p>
      <w:pPr>
        <w:spacing w:line="360" w:lineRule="auto"/>
        <w:jc w:val="center"/>
        <w:rPr>
          <w:rFonts w:ascii="Times New Roman" w:hAnsi="Times New Roman" w:eastAsia="宋体" w:cs="Times New Roman"/>
          <w:b/>
          <w:color w:val="auto"/>
          <w:sz w:val="21"/>
          <w:szCs w:val="21"/>
        </w:rPr>
      </w:pPr>
    </w:p>
    <w:p>
      <w:pPr>
        <w:spacing w:line="360" w:lineRule="auto"/>
        <w:jc w:val="center"/>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表1</w:t>
      </w:r>
      <w:r>
        <w:rPr>
          <w:rFonts w:hint="eastAsia" w:ascii="Times New Roman" w:hAnsi="Times New Roman" w:eastAsia="宋体" w:cs="Times New Roman"/>
          <w:b/>
          <w:color w:val="auto"/>
          <w:sz w:val="21"/>
          <w:szCs w:val="21"/>
        </w:rPr>
        <w:t>.4</w:t>
      </w:r>
      <w:r>
        <w:rPr>
          <w:rFonts w:ascii="Times New Roman" w:hAnsi="Times New Roman" w:eastAsia="宋体" w:cs="Times New Roman"/>
          <w:b/>
          <w:color w:val="auto"/>
          <w:sz w:val="21"/>
          <w:szCs w:val="21"/>
        </w:rPr>
        <w:t>-2  地表水环境质量标准</w:t>
      </w:r>
      <w:r>
        <w:rPr>
          <w:rFonts w:hint="eastAsia" w:ascii="Times New Roman" w:hAnsi="Times New Roman" w:eastAsia="宋体" w:cs="Times New Roman"/>
          <w:b/>
          <w:color w:val="auto"/>
          <w:sz w:val="21"/>
          <w:szCs w:val="21"/>
        </w:rPr>
        <w:t>限值</w:t>
      </w:r>
    </w:p>
    <w:tbl>
      <w:tblPr>
        <w:tblStyle w:val="34"/>
        <w:tblW w:w="922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184"/>
        <w:gridCol w:w="503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184" w:type="dxa"/>
            <w:tcBorders>
              <w:tl2br w:val="nil"/>
              <w:tr2bl w:val="nil"/>
            </w:tcBorders>
            <w:vAlign w:val="center"/>
          </w:tcPr>
          <w:p>
            <w:pPr>
              <w:tabs>
                <w:tab w:val="left" w:pos="2205"/>
              </w:tabs>
              <w:jc w:val="center"/>
              <w:rPr>
                <w:rFonts w:ascii="Times New Roman" w:hAnsi="Times New Roman" w:eastAsia="宋体" w:cs="Times New Roman"/>
                <w:b/>
                <w:bCs/>
                <w:color w:val="auto"/>
                <w:szCs w:val="21"/>
              </w:rPr>
            </w:pPr>
            <w:r>
              <w:rPr>
                <w:rFonts w:ascii="Times New Roman" w:hAnsi="Times New Roman" w:eastAsia="宋体" w:cs="Times New Roman"/>
                <w:b/>
                <w:bCs/>
                <w:color w:val="auto"/>
                <w:szCs w:val="21"/>
              </w:rPr>
              <w:t>项目</w:t>
            </w:r>
          </w:p>
        </w:tc>
        <w:tc>
          <w:tcPr>
            <w:tcW w:w="5036" w:type="dxa"/>
            <w:tcBorders>
              <w:tl2br w:val="nil"/>
              <w:tr2bl w:val="nil"/>
            </w:tcBorders>
            <w:vAlign w:val="center"/>
          </w:tcPr>
          <w:p>
            <w:pPr>
              <w:tabs>
                <w:tab w:val="left" w:pos="2205"/>
              </w:tabs>
              <w:jc w:val="center"/>
              <w:rPr>
                <w:rFonts w:ascii="Times New Roman" w:hAnsi="Times New Roman" w:eastAsia="宋体" w:cs="Times New Roman"/>
                <w:b/>
                <w:bCs/>
                <w:color w:val="auto"/>
                <w:szCs w:val="21"/>
              </w:rPr>
            </w:pPr>
            <w:r>
              <w:rPr>
                <w:rFonts w:ascii="Times New Roman" w:hAnsi="Times New Roman" w:eastAsia="宋体" w:cs="Times New Roman"/>
                <w:b/>
                <w:bCs/>
                <w:color w:val="auto"/>
                <w:szCs w:val="21"/>
              </w:rPr>
              <w:t>标准值（除pH外单位为mg/</w:t>
            </w:r>
            <w:r>
              <w:rPr>
                <w:rFonts w:hint="eastAsia" w:ascii="Times New Roman" w:hAnsi="Times New Roman" w:eastAsia="宋体" w:cs="Times New Roman"/>
                <w:b/>
                <w:bCs/>
                <w:color w:val="auto"/>
                <w:szCs w:val="21"/>
                <w:lang w:eastAsia="zh-CN"/>
              </w:rPr>
              <w:t>L</w:t>
            </w:r>
            <w:r>
              <w:rPr>
                <w:rFonts w:ascii="Times New Roman" w:hAnsi="Times New Roman" w:eastAsia="宋体" w:cs="Times New Roman"/>
                <w:b/>
                <w:bCs/>
                <w:color w:val="auto"/>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184" w:type="dxa"/>
            <w:tcBorders>
              <w:tl2br w:val="nil"/>
              <w:tr2bl w:val="nil"/>
            </w:tcBorders>
            <w:vAlign w:val="center"/>
          </w:tcPr>
          <w:p>
            <w:pPr>
              <w:tabs>
                <w:tab w:val="left" w:pos="2205"/>
              </w:tabs>
              <w:jc w:val="center"/>
              <w:rPr>
                <w:rFonts w:ascii="Times New Roman" w:hAnsi="Times New Roman" w:eastAsia="宋体" w:cs="Times New Roman"/>
                <w:color w:val="auto"/>
                <w:szCs w:val="21"/>
              </w:rPr>
            </w:pPr>
            <w:r>
              <w:rPr>
                <w:rFonts w:ascii="Times New Roman" w:hAnsi="Times New Roman" w:eastAsia="宋体" w:cs="Times New Roman"/>
                <w:color w:val="auto"/>
                <w:szCs w:val="21"/>
              </w:rPr>
              <w:t>pH</w:t>
            </w:r>
          </w:p>
        </w:tc>
        <w:tc>
          <w:tcPr>
            <w:tcW w:w="5036" w:type="dxa"/>
            <w:tcBorders>
              <w:tl2br w:val="nil"/>
              <w:tr2bl w:val="nil"/>
            </w:tcBorders>
            <w:vAlign w:val="center"/>
          </w:tcPr>
          <w:p>
            <w:pPr>
              <w:tabs>
                <w:tab w:val="left" w:pos="2205"/>
              </w:tabs>
              <w:jc w:val="center"/>
              <w:rPr>
                <w:rFonts w:ascii="Times New Roman" w:hAnsi="Times New Roman" w:eastAsia="宋体" w:cs="Times New Roman"/>
                <w:color w:val="auto"/>
                <w:szCs w:val="21"/>
              </w:rPr>
            </w:pPr>
            <w:r>
              <w:rPr>
                <w:rFonts w:ascii="Times New Roman" w:hAnsi="Times New Roman" w:eastAsia="宋体" w:cs="Times New Roman"/>
                <w:color w:val="auto"/>
                <w:szCs w:val="21"/>
              </w:rPr>
              <w:t>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184" w:type="dxa"/>
            <w:tcBorders>
              <w:tl2br w:val="nil"/>
              <w:tr2bl w:val="nil"/>
            </w:tcBorders>
            <w:vAlign w:val="center"/>
          </w:tcPr>
          <w:p>
            <w:pPr>
              <w:tabs>
                <w:tab w:val="left" w:pos="2205"/>
              </w:tabs>
              <w:jc w:val="center"/>
              <w:rPr>
                <w:rFonts w:ascii="Times New Roman" w:hAnsi="Times New Roman" w:eastAsia="宋体" w:cs="Times New Roman"/>
                <w:color w:val="auto"/>
                <w:szCs w:val="21"/>
                <w:vertAlign w:val="subscript"/>
              </w:rPr>
            </w:pPr>
            <w:r>
              <w:rPr>
                <w:rFonts w:hint="eastAsia" w:ascii="Times New Roman" w:hAnsi="Times New Roman" w:eastAsia="宋体" w:cs="Times New Roman"/>
                <w:color w:val="auto"/>
                <w:szCs w:val="21"/>
              </w:rPr>
              <w:t>COD</w:t>
            </w:r>
          </w:p>
        </w:tc>
        <w:tc>
          <w:tcPr>
            <w:tcW w:w="5036" w:type="dxa"/>
            <w:tcBorders>
              <w:tl2br w:val="nil"/>
              <w:tr2bl w:val="nil"/>
            </w:tcBorders>
            <w:vAlign w:val="center"/>
          </w:tcPr>
          <w:p>
            <w:pPr>
              <w:tabs>
                <w:tab w:val="left" w:pos="2205"/>
              </w:tabs>
              <w:jc w:val="center"/>
              <w:rPr>
                <w:rFonts w:ascii="Times New Roman" w:hAnsi="Times New Roman" w:eastAsia="宋体" w:cs="Times New Roman"/>
                <w:color w:val="auto"/>
                <w:szCs w:val="21"/>
              </w:rPr>
            </w:pPr>
            <w:r>
              <w:rPr>
                <w:rFonts w:hint="default" w:ascii="Times New Roman" w:hAnsi="Times New Roman" w:eastAsia="宋体" w:cs="Times New Roman"/>
                <w:color w:val="auto"/>
                <w:sz w:val="21"/>
                <w:szCs w:val="21"/>
              </w:rPr>
              <w:t>≤</w:t>
            </w:r>
            <w:r>
              <w:rPr>
                <w:rFonts w:ascii="Times New Roman" w:hAnsi="Times New Roman" w:eastAsia="宋体" w:cs="Times New Roman"/>
                <w:color w:val="auto"/>
                <w:szCs w:val="21"/>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184" w:type="dxa"/>
            <w:tcBorders>
              <w:tl2br w:val="nil"/>
              <w:tr2bl w:val="nil"/>
            </w:tcBorders>
            <w:vAlign w:val="center"/>
          </w:tcPr>
          <w:p>
            <w:pPr>
              <w:tabs>
                <w:tab w:val="left" w:pos="2205"/>
              </w:tabs>
              <w:jc w:val="center"/>
              <w:rPr>
                <w:rFonts w:ascii="Times New Roman" w:hAnsi="Times New Roman" w:eastAsia="宋体" w:cs="Times New Roman"/>
                <w:color w:val="auto"/>
                <w:szCs w:val="21"/>
              </w:rPr>
            </w:pPr>
            <w:r>
              <w:rPr>
                <w:rFonts w:ascii="Times New Roman" w:hAnsi="Times New Roman" w:eastAsia="宋体" w:cs="Times New Roman"/>
                <w:color w:val="auto"/>
                <w:szCs w:val="21"/>
              </w:rPr>
              <w:t>BO</w:t>
            </w:r>
            <w:r>
              <w:rPr>
                <w:rFonts w:hint="eastAsia" w:ascii="Times New Roman" w:hAnsi="Times New Roman" w:eastAsia="宋体" w:cs="Times New Roman"/>
                <w:color w:val="auto"/>
                <w:szCs w:val="21"/>
              </w:rPr>
              <w:t>D</w:t>
            </w:r>
            <w:r>
              <w:rPr>
                <w:rFonts w:hint="eastAsia" w:ascii="Times New Roman" w:hAnsi="Times New Roman" w:eastAsia="宋体" w:cs="Times New Roman"/>
                <w:color w:val="auto"/>
                <w:szCs w:val="21"/>
                <w:vertAlign w:val="subscript"/>
              </w:rPr>
              <w:t>5</w:t>
            </w:r>
          </w:p>
        </w:tc>
        <w:tc>
          <w:tcPr>
            <w:tcW w:w="5036" w:type="dxa"/>
            <w:tcBorders>
              <w:tl2br w:val="nil"/>
              <w:tr2bl w:val="nil"/>
            </w:tcBorders>
            <w:vAlign w:val="center"/>
          </w:tcPr>
          <w:p>
            <w:pPr>
              <w:tabs>
                <w:tab w:val="left" w:pos="2205"/>
              </w:tabs>
              <w:jc w:val="center"/>
              <w:rPr>
                <w:rFonts w:ascii="Times New Roman" w:hAnsi="Times New Roman" w:eastAsia="宋体" w:cs="Times New Roman"/>
                <w:color w:val="auto"/>
                <w:szCs w:val="21"/>
              </w:rPr>
            </w:pPr>
            <w:r>
              <w:rPr>
                <w:rFonts w:hint="default" w:ascii="Times New Roman" w:hAnsi="Times New Roman" w:eastAsia="宋体" w:cs="Times New Roman"/>
                <w:color w:val="auto"/>
                <w:sz w:val="21"/>
                <w:szCs w:val="21"/>
              </w:rPr>
              <w:t>≤</w:t>
            </w:r>
            <w:r>
              <w:rPr>
                <w:rFonts w:ascii="Times New Roman" w:hAnsi="Times New Roman" w:eastAsia="宋体" w:cs="Times New Roman"/>
                <w:color w:val="auto"/>
                <w:szCs w:val="21"/>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4184" w:type="dxa"/>
            <w:tcBorders>
              <w:tl2br w:val="nil"/>
              <w:tr2bl w:val="nil"/>
            </w:tcBorders>
            <w:vAlign w:val="center"/>
          </w:tcPr>
          <w:p>
            <w:pPr>
              <w:tabs>
                <w:tab w:val="left" w:pos="2205"/>
              </w:tabs>
              <w:jc w:val="center"/>
              <w:rPr>
                <w:rFonts w:ascii="Times New Roman" w:hAnsi="Times New Roman" w:eastAsia="宋体" w:cs="Times New Roman"/>
                <w:color w:val="auto"/>
                <w:szCs w:val="21"/>
              </w:rPr>
            </w:pPr>
            <w:r>
              <w:rPr>
                <w:rFonts w:ascii="Times New Roman" w:hAnsi="Times New Roman" w:eastAsia="宋体" w:cs="Times New Roman"/>
                <w:color w:val="auto"/>
                <w:szCs w:val="21"/>
              </w:rPr>
              <w:t>氨氮（N</w:t>
            </w:r>
            <w:r>
              <w:rPr>
                <w:rFonts w:hint="eastAsia" w:ascii="Times New Roman" w:hAnsi="Times New Roman" w:eastAsia="宋体" w:cs="Times New Roman"/>
                <w:color w:val="auto"/>
                <w:szCs w:val="21"/>
              </w:rPr>
              <w:t>H</w:t>
            </w:r>
            <w:r>
              <w:rPr>
                <w:rFonts w:hint="eastAsia" w:ascii="Times New Roman" w:hAnsi="Times New Roman" w:eastAsia="宋体" w:cs="Times New Roman"/>
                <w:color w:val="auto"/>
                <w:szCs w:val="21"/>
                <w:vertAlign w:val="subscript"/>
              </w:rPr>
              <w:t>3</w:t>
            </w:r>
            <w:r>
              <w:rPr>
                <w:rFonts w:ascii="Times New Roman" w:hAnsi="Times New Roman" w:eastAsia="宋体" w:cs="Times New Roman"/>
                <w:color w:val="auto"/>
                <w:szCs w:val="21"/>
              </w:rPr>
              <w:t>-N）</w:t>
            </w:r>
          </w:p>
        </w:tc>
        <w:tc>
          <w:tcPr>
            <w:tcW w:w="5036" w:type="dxa"/>
            <w:tcBorders>
              <w:tl2br w:val="nil"/>
              <w:tr2bl w:val="nil"/>
            </w:tcBorders>
            <w:vAlign w:val="center"/>
          </w:tcPr>
          <w:p>
            <w:pPr>
              <w:tabs>
                <w:tab w:val="left" w:pos="2205"/>
              </w:tabs>
              <w:jc w:val="center"/>
              <w:rPr>
                <w:rFonts w:ascii="Times New Roman" w:hAnsi="Times New Roman" w:eastAsia="宋体" w:cs="Times New Roman"/>
                <w:color w:val="auto"/>
                <w:szCs w:val="21"/>
              </w:rPr>
            </w:pPr>
            <w:r>
              <w:rPr>
                <w:rFonts w:hint="default" w:ascii="Times New Roman" w:hAnsi="Times New Roman" w:eastAsia="宋体" w:cs="Times New Roman"/>
                <w:color w:val="auto"/>
                <w:sz w:val="21"/>
                <w:szCs w:val="21"/>
              </w:rPr>
              <w:t>≤</w:t>
            </w:r>
            <w:r>
              <w:rPr>
                <w:rFonts w:ascii="Times New Roman" w:hAnsi="Times New Roman" w:eastAsia="宋体" w:cs="Times New Roman"/>
                <w:color w:val="auto"/>
                <w:szCs w:val="21"/>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4184" w:type="dxa"/>
            <w:tcBorders>
              <w:tl2br w:val="nil"/>
              <w:tr2bl w:val="nil"/>
            </w:tcBorders>
            <w:vAlign w:val="center"/>
          </w:tcPr>
          <w:p>
            <w:pPr>
              <w:tabs>
                <w:tab w:val="left" w:pos="2205"/>
              </w:tabs>
              <w:jc w:val="center"/>
              <w:rPr>
                <w:rFonts w:ascii="Times New Roman" w:hAnsi="Times New Roman" w:eastAsia="宋体" w:cs="Times New Roman"/>
                <w:color w:val="auto"/>
                <w:szCs w:val="21"/>
              </w:rPr>
            </w:pPr>
            <w:r>
              <w:rPr>
                <w:rFonts w:ascii="Times New Roman" w:hAnsi="Times New Roman" w:eastAsia="宋体" w:cs="Times New Roman"/>
                <w:color w:val="auto"/>
                <w:szCs w:val="21"/>
              </w:rPr>
              <w:t>总氮</w:t>
            </w:r>
          </w:p>
        </w:tc>
        <w:tc>
          <w:tcPr>
            <w:tcW w:w="5036" w:type="dxa"/>
            <w:tcBorders>
              <w:tl2br w:val="nil"/>
              <w:tr2bl w:val="nil"/>
            </w:tcBorders>
            <w:vAlign w:val="center"/>
          </w:tcPr>
          <w:p>
            <w:pPr>
              <w:tabs>
                <w:tab w:val="left" w:pos="2205"/>
              </w:tabs>
              <w:jc w:val="center"/>
              <w:rPr>
                <w:rFonts w:ascii="Times New Roman" w:hAnsi="Times New Roman" w:eastAsia="宋体" w:cs="Times New Roman"/>
                <w:color w:val="auto"/>
                <w:szCs w:val="21"/>
              </w:rPr>
            </w:pPr>
            <w:r>
              <w:rPr>
                <w:rFonts w:hint="default" w:ascii="Times New Roman" w:hAnsi="Times New Roman" w:eastAsia="宋体" w:cs="Times New Roman"/>
                <w:color w:val="auto"/>
                <w:sz w:val="21"/>
                <w:szCs w:val="21"/>
              </w:rPr>
              <w:t>≤</w:t>
            </w:r>
            <w:r>
              <w:rPr>
                <w:rFonts w:ascii="Times New Roman" w:hAnsi="Times New Roman" w:eastAsia="宋体" w:cs="Times New Roman"/>
                <w:color w:val="auto"/>
                <w:szCs w:val="21"/>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4184" w:type="dxa"/>
            <w:tcBorders>
              <w:tl2br w:val="nil"/>
              <w:tr2bl w:val="nil"/>
            </w:tcBorders>
            <w:vAlign w:val="center"/>
          </w:tcPr>
          <w:p>
            <w:pPr>
              <w:tabs>
                <w:tab w:val="left" w:pos="2205"/>
              </w:tabs>
              <w:jc w:val="center"/>
              <w:rPr>
                <w:rFonts w:ascii="Times New Roman" w:hAnsi="Times New Roman" w:eastAsia="宋体" w:cs="Times New Roman"/>
                <w:color w:val="auto"/>
                <w:szCs w:val="21"/>
              </w:rPr>
            </w:pPr>
            <w:r>
              <w:rPr>
                <w:rFonts w:ascii="Times New Roman" w:hAnsi="Times New Roman" w:eastAsia="宋体" w:cs="Times New Roman"/>
                <w:color w:val="auto"/>
                <w:szCs w:val="21"/>
              </w:rPr>
              <w:t>总磷(以P计)</w:t>
            </w:r>
          </w:p>
        </w:tc>
        <w:tc>
          <w:tcPr>
            <w:tcW w:w="5036" w:type="dxa"/>
            <w:tcBorders>
              <w:tl2br w:val="nil"/>
              <w:tr2bl w:val="nil"/>
            </w:tcBorders>
            <w:vAlign w:val="center"/>
          </w:tcPr>
          <w:p>
            <w:pPr>
              <w:tabs>
                <w:tab w:val="left" w:pos="2205"/>
              </w:tabs>
              <w:jc w:val="center"/>
              <w:rPr>
                <w:rFonts w:ascii="Times New Roman" w:hAnsi="Times New Roman" w:eastAsia="宋体" w:cs="Times New Roman"/>
                <w:color w:val="auto"/>
                <w:szCs w:val="21"/>
              </w:rPr>
            </w:pPr>
            <w:r>
              <w:rPr>
                <w:rFonts w:hint="default" w:ascii="Times New Roman" w:hAnsi="Times New Roman" w:eastAsia="宋体" w:cs="Times New Roman"/>
                <w:color w:val="auto"/>
                <w:sz w:val="21"/>
                <w:szCs w:val="21"/>
              </w:rPr>
              <w:t>≤</w:t>
            </w:r>
            <w:r>
              <w:rPr>
                <w:rFonts w:ascii="Times New Roman" w:hAnsi="Times New Roman" w:eastAsia="宋体" w:cs="Times New Roman"/>
                <w:color w:val="auto"/>
                <w:szCs w:val="21"/>
              </w:rPr>
              <w:t>0.2（湖、库取0.05）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4184" w:type="dxa"/>
            <w:tcBorders>
              <w:tl2br w:val="nil"/>
              <w:tr2bl w:val="nil"/>
            </w:tcBorders>
            <w:vAlign w:val="center"/>
          </w:tcPr>
          <w:p>
            <w:pPr>
              <w:tabs>
                <w:tab w:val="left" w:pos="2205"/>
              </w:tabs>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类大肠菌群（个</w:t>
            </w:r>
            <w:r>
              <w:rPr>
                <w:rFonts w:hint="eastAsia" w:ascii="Times New Roman" w:hAnsi="Times New Roman" w:eastAsia="宋体" w:cs="Times New Roman"/>
                <w:color w:val="auto"/>
                <w:szCs w:val="21"/>
                <w:lang w:val="en-US" w:eastAsia="zh-CN"/>
              </w:rPr>
              <w:t>/L</w:t>
            </w:r>
            <w:r>
              <w:rPr>
                <w:rFonts w:hint="eastAsia" w:ascii="Times New Roman" w:hAnsi="Times New Roman" w:eastAsia="宋体" w:cs="Times New Roman"/>
                <w:color w:val="auto"/>
                <w:szCs w:val="21"/>
                <w:lang w:eastAsia="zh-CN"/>
              </w:rPr>
              <w:t>）</w:t>
            </w:r>
          </w:p>
        </w:tc>
        <w:tc>
          <w:tcPr>
            <w:tcW w:w="5036" w:type="dxa"/>
            <w:tcBorders>
              <w:tl2br w:val="nil"/>
              <w:tr2bl w:val="nil"/>
            </w:tcBorders>
            <w:vAlign w:val="center"/>
          </w:tcPr>
          <w:p>
            <w:pPr>
              <w:tabs>
                <w:tab w:val="left" w:pos="2205"/>
              </w:tabs>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10000个/L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4184" w:type="dxa"/>
            <w:tcBorders>
              <w:tl2br w:val="nil"/>
              <w:tr2bl w:val="nil"/>
            </w:tcBorders>
            <w:vAlign w:val="center"/>
          </w:tcPr>
          <w:p>
            <w:pPr>
              <w:tabs>
                <w:tab w:val="left" w:pos="2205"/>
              </w:tabs>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溶解氧</w:t>
            </w:r>
          </w:p>
        </w:tc>
        <w:tc>
          <w:tcPr>
            <w:tcW w:w="5036" w:type="dxa"/>
            <w:tcBorders>
              <w:tl2br w:val="nil"/>
              <w:tr2bl w:val="nil"/>
            </w:tcBorders>
            <w:vAlign w:val="center"/>
          </w:tcPr>
          <w:p>
            <w:pPr>
              <w:tabs>
                <w:tab w:val="left" w:pos="2205"/>
              </w:tabs>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Cs w:val="21"/>
                <w:lang w:val="en-US" w:eastAsia="zh-CN"/>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4184" w:type="dxa"/>
            <w:tcBorders>
              <w:tl2br w:val="nil"/>
              <w:tr2bl w:val="nil"/>
            </w:tcBorders>
            <w:vAlign w:val="center"/>
          </w:tcPr>
          <w:p>
            <w:pPr>
              <w:tabs>
                <w:tab w:val="left" w:pos="2205"/>
              </w:tabs>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高锰酸盐指数</w:t>
            </w:r>
          </w:p>
        </w:tc>
        <w:tc>
          <w:tcPr>
            <w:tcW w:w="5036" w:type="dxa"/>
            <w:tcBorders>
              <w:tl2br w:val="nil"/>
              <w:tr2bl w:val="nil"/>
            </w:tcBorders>
            <w:vAlign w:val="center"/>
          </w:tcPr>
          <w:p>
            <w:pPr>
              <w:tabs>
                <w:tab w:val="left" w:pos="2205"/>
              </w:tabs>
              <w:jc w:val="center"/>
              <w:rPr>
                <w:rFonts w:hint="eastAsia" w:ascii="Times New Roman" w:hAnsi="Times New Roman" w:eastAsia="宋体" w:cs="Times New Roman"/>
                <w:color w:val="auto"/>
                <w:szCs w:val="21"/>
                <w:lang w:val="en-US" w:eastAsia="zh-CN"/>
              </w:rPr>
            </w:pP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6</w:t>
            </w:r>
          </w:p>
        </w:tc>
      </w:tr>
    </w:tbl>
    <w:p>
      <w:pPr>
        <w:spacing w:line="360" w:lineRule="auto"/>
        <w:ind w:firstLine="480" w:firstLineChars="200"/>
        <w:jc w:val="left"/>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3、</w:t>
      </w:r>
      <w:r>
        <w:rPr>
          <w:rFonts w:ascii="Times New Roman" w:hAnsi="Times New Roman" w:eastAsia="宋体" w:cs="Times New Roman"/>
          <w:color w:val="auto"/>
          <w:sz w:val="24"/>
          <w:szCs w:val="24"/>
        </w:rPr>
        <w:t>地下水</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评价区域地下水没有进行功能划分，根据“以人体健康为依据，主要适用于集中式生活饮用水水源及工、农业用水”的应执行《地下水质量标准》（GB/T14848-2017）Ⅲ类标准，具体指标见表</w:t>
      </w:r>
      <w:r>
        <w:rPr>
          <w:rFonts w:hint="eastAsia" w:ascii="Times New Roman" w:hAnsi="Times New Roman" w:eastAsia="宋体" w:cs="Times New Roman"/>
          <w:color w:val="auto"/>
          <w:sz w:val="24"/>
          <w:szCs w:val="24"/>
          <w:lang w:val="en-US" w:eastAsia="zh-CN"/>
        </w:rPr>
        <w:t>1.4-3</w:t>
      </w:r>
      <w:r>
        <w:rPr>
          <w:rFonts w:hint="eastAsia" w:ascii="Times New Roman" w:hAnsi="Times New Roman" w:eastAsia="宋体" w:cs="Times New Roman"/>
          <w:color w:val="auto"/>
          <w:sz w:val="24"/>
          <w:szCs w:val="24"/>
        </w:rPr>
        <w:t>。</w:t>
      </w:r>
    </w:p>
    <w:p>
      <w:pPr>
        <w:ind w:firstLine="482"/>
        <w:jc w:val="center"/>
        <w:rPr>
          <w:rFonts w:ascii="Times New Roman" w:hAnsi="Times New Roman" w:eastAsia="宋体"/>
          <w:b/>
          <w:color w:val="auto"/>
          <w:sz w:val="21"/>
          <w:szCs w:val="21"/>
        </w:rPr>
      </w:pPr>
      <w:r>
        <w:rPr>
          <w:rFonts w:hint="eastAsia" w:ascii="Times New Roman" w:hAnsi="Times New Roman" w:eastAsia="宋体"/>
          <w:b/>
          <w:color w:val="auto"/>
          <w:sz w:val="21"/>
          <w:szCs w:val="21"/>
        </w:rPr>
        <w:t>表</w:t>
      </w:r>
      <w:r>
        <w:rPr>
          <w:rFonts w:ascii="Times New Roman" w:hAnsi="Times New Roman" w:eastAsia="宋体" w:cs="Times New Roman"/>
          <w:b/>
          <w:color w:val="auto"/>
          <w:sz w:val="21"/>
          <w:szCs w:val="21"/>
        </w:rPr>
        <w:t>1</w:t>
      </w:r>
      <w:r>
        <w:rPr>
          <w:rFonts w:hint="eastAsia" w:ascii="Times New Roman" w:hAnsi="Times New Roman" w:eastAsia="宋体" w:cs="Times New Roman"/>
          <w:b/>
          <w:color w:val="auto"/>
          <w:sz w:val="21"/>
          <w:szCs w:val="21"/>
        </w:rPr>
        <w:t>.4</w:t>
      </w:r>
      <w:r>
        <w:rPr>
          <w:rFonts w:ascii="Times New Roman" w:hAnsi="Times New Roman" w:eastAsia="宋体" w:cs="Times New Roman"/>
          <w:b/>
          <w:color w:val="auto"/>
          <w:sz w:val="21"/>
          <w:szCs w:val="21"/>
        </w:rPr>
        <w:t>-3</w:t>
      </w:r>
      <w:r>
        <w:rPr>
          <w:rFonts w:hint="eastAsia" w:ascii="Times New Roman" w:hAnsi="Times New Roman" w:eastAsia="宋体"/>
          <w:b/>
          <w:color w:val="auto"/>
          <w:sz w:val="21"/>
          <w:szCs w:val="21"/>
        </w:rPr>
        <w:t xml:space="preserve">  地下水质量标准</w:t>
      </w:r>
    </w:p>
    <w:tbl>
      <w:tblPr>
        <w:tblStyle w:val="34"/>
        <w:tblW w:w="9004"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2218"/>
        <w:gridCol w:w="3785"/>
        <w:gridCol w:w="3001"/>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218" w:type="dxa"/>
            <w:tcBorders>
              <w:tl2br w:val="nil"/>
              <w:tr2bl w:val="nil"/>
            </w:tcBorders>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序号</w:t>
            </w:r>
          </w:p>
        </w:tc>
        <w:tc>
          <w:tcPr>
            <w:tcW w:w="3785" w:type="dxa"/>
            <w:tcBorders>
              <w:tl2br w:val="nil"/>
              <w:tr2bl w:val="nil"/>
            </w:tcBorders>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项目</w:t>
            </w:r>
          </w:p>
        </w:tc>
        <w:tc>
          <w:tcPr>
            <w:tcW w:w="3001" w:type="dxa"/>
            <w:tcBorders>
              <w:tl2br w:val="nil"/>
              <w:tr2bl w:val="nil"/>
            </w:tcBorders>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Ⅲ类标准</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2218" w:type="dxa"/>
            <w:tcBorders>
              <w:tl2br w:val="nil"/>
              <w:tr2bl w:val="nil"/>
            </w:tcBorders>
            <w:vAlign w:val="center"/>
          </w:tcPr>
          <w:p>
            <w:pPr>
              <w:ind w:left="0" w:leftChars="0" w:right="0" w:rightChars="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c>
          <w:tcPr>
            <w:tcW w:w="3785" w:type="dxa"/>
            <w:tcBorders>
              <w:tl2br w:val="nil"/>
              <w:tr2bl w:val="nil"/>
            </w:tcBorders>
            <w:vAlign w:val="center"/>
          </w:tcPr>
          <w:p>
            <w:pPr>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pH（无量纲）</w:t>
            </w:r>
          </w:p>
        </w:tc>
        <w:tc>
          <w:tcPr>
            <w:tcW w:w="3001" w:type="dxa"/>
            <w:tcBorders>
              <w:tl2br w:val="nil"/>
              <w:tr2bl w:val="nil"/>
            </w:tcBorders>
            <w:vAlign w:val="center"/>
          </w:tcPr>
          <w:p>
            <w:pPr>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6.5~8.5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218" w:type="dxa"/>
            <w:tcBorders>
              <w:tl2br w:val="nil"/>
              <w:tr2bl w:val="nil"/>
            </w:tcBorders>
            <w:vAlign w:val="center"/>
          </w:tcPr>
          <w:p>
            <w:pPr>
              <w:ind w:left="0" w:leftChars="0" w:right="0" w:rightChars="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p>
        </w:tc>
        <w:tc>
          <w:tcPr>
            <w:tcW w:w="3785" w:type="dxa"/>
            <w:tcBorders>
              <w:tl2br w:val="nil"/>
              <w:tr2bl w:val="nil"/>
            </w:tcBorders>
            <w:vAlign w:val="center"/>
          </w:tcPr>
          <w:p>
            <w:pPr>
              <w:ind w:left="0" w:leftChars="0" w:right="0" w:rightChars="0" w:firstLine="0" w:firstLineChars="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总硬度（以</w:t>
            </w:r>
            <w:r>
              <w:rPr>
                <w:rFonts w:hint="eastAsia" w:ascii="Times New Roman" w:hAnsi="Times New Roman" w:eastAsia="宋体" w:cs="Times New Roman"/>
                <w:color w:val="auto"/>
                <w:sz w:val="21"/>
                <w:szCs w:val="21"/>
                <w:lang w:val="en-US" w:eastAsia="zh-CN"/>
              </w:rPr>
              <w:t>CaCO</w:t>
            </w:r>
            <w:r>
              <w:rPr>
                <w:rFonts w:hint="eastAsia" w:ascii="Times New Roman" w:hAnsi="Times New Roman" w:eastAsia="宋体" w:cs="Times New Roman"/>
                <w:color w:val="auto"/>
                <w:sz w:val="21"/>
                <w:szCs w:val="21"/>
                <w:vertAlign w:val="subscript"/>
                <w:lang w:val="en-US" w:eastAsia="zh-CN"/>
              </w:rPr>
              <w:t>3</w:t>
            </w:r>
            <w:r>
              <w:rPr>
                <w:rFonts w:hint="eastAsia" w:ascii="Times New Roman" w:hAnsi="Times New Roman" w:eastAsia="宋体" w:cs="Times New Roman"/>
                <w:color w:val="auto"/>
                <w:sz w:val="21"/>
                <w:szCs w:val="21"/>
                <w:lang w:val="en-US" w:eastAsia="zh-CN"/>
              </w:rPr>
              <w:t>计</w:t>
            </w:r>
            <w:r>
              <w:rPr>
                <w:rFonts w:hint="eastAsia" w:ascii="Times New Roman" w:hAnsi="Times New Roman" w:eastAsia="宋体" w:cs="Times New Roman"/>
                <w:color w:val="auto"/>
                <w:sz w:val="21"/>
                <w:szCs w:val="21"/>
                <w:lang w:eastAsia="zh-CN"/>
              </w:rPr>
              <w:t>）</w:t>
            </w:r>
          </w:p>
        </w:tc>
        <w:tc>
          <w:tcPr>
            <w:tcW w:w="3001" w:type="dxa"/>
            <w:tcBorders>
              <w:tl2br w:val="nil"/>
              <w:tr2bl w:val="nil"/>
            </w:tcBorders>
            <w:vAlign w:val="center"/>
          </w:tcPr>
          <w:p>
            <w:pPr>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450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218" w:type="dxa"/>
            <w:tcBorders>
              <w:tl2br w:val="nil"/>
              <w:tr2bl w:val="nil"/>
            </w:tcBorders>
            <w:vAlign w:val="center"/>
          </w:tcPr>
          <w:p>
            <w:pPr>
              <w:ind w:left="0" w:leftChars="0" w:right="0" w:rightChars="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w:t>
            </w:r>
          </w:p>
        </w:tc>
        <w:tc>
          <w:tcPr>
            <w:tcW w:w="3785" w:type="dxa"/>
            <w:tcBorders>
              <w:tl2br w:val="nil"/>
              <w:tr2bl w:val="nil"/>
            </w:tcBorders>
            <w:vAlign w:val="center"/>
          </w:tcPr>
          <w:p>
            <w:pPr>
              <w:ind w:left="0" w:leftChars="0" w:right="0" w:rightChars="0" w:firstLine="0" w:firstLineChars="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氨氮</w:t>
            </w:r>
          </w:p>
        </w:tc>
        <w:tc>
          <w:tcPr>
            <w:tcW w:w="3001" w:type="dxa"/>
            <w:tcBorders>
              <w:tl2br w:val="nil"/>
              <w:tr2bl w:val="nil"/>
            </w:tcBorders>
            <w:vAlign w:val="center"/>
          </w:tcPr>
          <w:p>
            <w:pPr>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0.5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311" w:hRule="atLeast"/>
        </w:trPr>
        <w:tc>
          <w:tcPr>
            <w:tcW w:w="2218" w:type="dxa"/>
            <w:tcBorders>
              <w:tl2br w:val="nil"/>
              <w:tr2bl w:val="nil"/>
            </w:tcBorders>
            <w:vAlign w:val="center"/>
          </w:tcPr>
          <w:p>
            <w:pPr>
              <w:ind w:left="0" w:leftChars="0" w:right="0" w:rightChars="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w:t>
            </w:r>
          </w:p>
        </w:tc>
        <w:tc>
          <w:tcPr>
            <w:tcW w:w="3785" w:type="dxa"/>
            <w:tcBorders>
              <w:tl2br w:val="nil"/>
              <w:tr2bl w:val="nil"/>
            </w:tcBorders>
            <w:vAlign w:val="center"/>
          </w:tcPr>
          <w:p>
            <w:pPr>
              <w:ind w:left="0" w:leftChars="0" w:right="0" w:rightChars="0" w:firstLine="0" w:firstLineChars="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硝酸盐（以</w:t>
            </w:r>
            <w:r>
              <w:rPr>
                <w:rFonts w:hint="eastAsia" w:ascii="Times New Roman" w:hAnsi="Times New Roman" w:eastAsia="宋体" w:cs="Times New Roman"/>
                <w:color w:val="auto"/>
                <w:sz w:val="21"/>
                <w:szCs w:val="21"/>
                <w:lang w:val="en-US" w:eastAsia="zh-CN"/>
              </w:rPr>
              <w:t>N计</w:t>
            </w:r>
            <w:r>
              <w:rPr>
                <w:rFonts w:hint="eastAsia" w:ascii="Times New Roman" w:hAnsi="Times New Roman" w:eastAsia="宋体" w:cs="Times New Roman"/>
                <w:color w:val="auto"/>
                <w:sz w:val="21"/>
                <w:szCs w:val="21"/>
                <w:lang w:eastAsia="zh-CN"/>
              </w:rPr>
              <w:t>）</w:t>
            </w:r>
          </w:p>
        </w:tc>
        <w:tc>
          <w:tcPr>
            <w:tcW w:w="3001" w:type="dxa"/>
            <w:tcBorders>
              <w:tl2br w:val="nil"/>
              <w:tr2bl w:val="nil"/>
            </w:tcBorders>
            <w:vAlign w:val="center"/>
          </w:tcPr>
          <w:p>
            <w:pPr>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20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218" w:type="dxa"/>
            <w:tcBorders>
              <w:tl2br w:val="nil"/>
              <w:tr2bl w:val="nil"/>
            </w:tcBorders>
            <w:vAlign w:val="center"/>
          </w:tcPr>
          <w:p>
            <w:pPr>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w:t>
            </w:r>
          </w:p>
        </w:tc>
        <w:tc>
          <w:tcPr>
            <w:tcW w:w="3785" w:type="dxa"/>
            <w:tcBorders>
              <w:tl2br w:val="nil"/>
              <w:tr2bl w:val="nil"/>
            </w:tcBorders>
            <w:vAlign w:val="center"/>
          </w:tcPr>
          <w:p>
            <w:pPr>
              <w:ind w:left="0" w:leftChars="0" w:right="0" w:rightChars="0" w:firstLine="0" w:firstLineChars="0"/>
              <w:jc w:val="center"/>
              <w:rPr>
                <w:rFonts w:hint="eastAsia" w:ascii="Times New Roman" w:hAnsi="Times New Roman" w:cs="Times New Roman" w:eastAsiaTheme="minorEastAsia"/>
                <w:color w:val="auto"/>
                <w:sz w:val="21"/>
                <w:szCs w:val="21"/>
                <w:lang w:eastAsia="zh-CN"/>
              </w:rPr>
            </w:pPr>
            <w:r>
              <w:rPr>
                <w:rFonts w:hint="eastAsia" w:ascii="Times New Roman" w:hAnsi="Times New Roman" w:cs="Times New Roman"/>
                <w:color w:val="auto"/>
                <w:sz w:val="21"/>
                <w:szCs w:val="21"/>
                <w:lang w:eastAsia="zh-CN"/>
              </w:rPr>
              <w:t>亚硝酸盐</w:t>
            </w:r>
            <w:r>
              <w:rPr>
                <w:rFonts w:hint="eastAsia" w:ascii="Times New Roman" w:hAnsi="Times New Roman" w:eastAsia="宋体" w:cs="Times New Roman"/>
                <w:color w:val="auto"/>
                <w:sz w:val="21"/>
                <w:szCs w:val="21"/>
                <w:lang w:eastAsia="zh-CN"/>
              </w:rPr>
              <w:t>（以</w:t>
            </w:r>
            <w:r>
              <w:rPr>
                <w:rFonts w:hint="eastAsia" w:ascii="Times New Roman" w:hAnsi="Times New Roman" w:eastAsia="宋体" w:cs="Times New Roman"/>
                <w:color w:val="auto"/>
                <w:sz w:val="21"/>
                <w:szCs w:val="21"/>
                <w:lang w:val="en-US" w:eastAsia="zh-CN"/>
              </w:rPr>
              <w:t>N计</w:t>
            </w:r>
            <w:r>
              <w:rPr>
                <w:rFonts w:hint="eastAsia" w:ascii="Times New Roman" w:hAnsi="Times New Roman" w:eastAsia="宋体" w:cs="Times New Roman"/>
                <w:color w:val="auto"/>
                <w:sz w:val="21"/>
                <w:szCs w:val="21"/>
                <w:lang w:eastAsia="zh-CN"/>
              </w:rPr>
              <w:t>）</w:t>
            </w:r>
          </w:p>
        </w:tc>
        <w:tc>
          <w:tcPr>
            <w:tcW w:w="3001" w:type="dxa"/>
            <w:tcBorders>
              <w:tl2br w:val="nil"/>
              <w:tr2bl w:val="nil"/>
            </w:tcBorders>
            <w:vAlign w:val="center"/>
          </w:tcPr>
          <w:p>
            <w:pPr>
              <w:ind w:left="0" w:leftChars="0" w:right="0" w:rightChars="0" w:firstLine="0" w:firstLineChars="0"/>
              <w:jc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311" w:hRule="atLeast"/>
        </w:trPr>
        <w:tc>
          <w:tcPr>
            <w:tcW w:w="2218" w:type="dxa"/>
            <w:tcBorders>
              <w:tl2br w:val="nil"/>
              <w:tr2bl w:val="nil"/>
            </w:tcBorders>
            <w:vAlign w:val="center"/>
          </w:tcPr>
          <w:p>
            <w:pPr>
              <w:ind w:left="0" w:leftChars="0" w:right="0" w:rightChars="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w:t>
            </w:r>
          </w:p>
        </w:tc>
        <w:tc>
          <w:tcPr>
            <w:tcW w:w="3785" w:type="dxa"/>
            <w:tcBorders>
              <w:tl2br w:val="nil"/>
              <w:tr2bl w:val="nil"/>
            </w:tcBorders>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宋体" w:cs="Times New Roman"/>
                <w:color w:val="auto"/>
                <w:kern w:val="2"/>
                <w:sz w:val="21"/>
                <w:szCs w:val="21"/>
                <w:lang w:val="zh-CN" w:eastAsia="zh-CN" w:bidi="zh-CN"/>
              </w:rPr>
            </w:pPr>
            <w:r>
              <w:rPr>
                <w:rFonts w:hint="eastAsia" w:ascii="Times New Roman" w:hAnsi="Times New Roman" w:cs="Times New Roman"/>
                <w:color w:val="auto"/>
                <w:sz w:val="21"/>
                <w:szCs w:val="21"/>
                <w:lang w:eastAsia="zh-CN"/>
              </w:rPr>
              <w:t>溶解性总固体</w:t>
            </w:r>
          </w:p>
        </w:tc>
        <w:tc>
          <w:tcPr>
            <w:tcW w:w="3001" w:type="dxa"/>
            <w:tcBorders>
              <w:tl2br w:val="nil"/>
              <w:tr2bl w:val="nil"/>
            </w:tcBorders>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kern w:val="2"/>
                <w:sz w:val="21"/>
                <w:szCs w:val="21"/>
                <w:lang w:val="en-US" w:eastAsia="zh-CN" w:bidi="zh-CN"/>
              </w:rPr>
            </w:pPr>
            <w:r>
              <w:rPr>
                <w:rFonts w:hint="default" w:ascii="Times New Roman" w:hAnsi="Times New Roman" w:eastAsia="宋体" w:cs="Times New Roman"/>
                <w:color w:val="auto"/>
                <w:sz w:val="21"/>
                <w:szCs w:val="21"/>
              </w:rPr>
              <w:t>≤</w:t>
            </w:r>
            <w:r>
              <w:rPr>
                <w:rFonts w:hint="eastAsia" w:ascii="Times New Roman" w:hAnsi="Times New Roman" w:cs="Times New Roman"/>
                <w:color w:val="auto"/>
                <w:sz w:val="21"/>
                <w:szCs w:val="21"/>
                <w:lang w:val="en-US" w:eastAsia="zh-CN"/>
              </w:rPr>
              <w:t>1000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218" w:type="dxa"/>
            <w:tcBorders>
              <w:tl2br w:val="nil"/>
              <w:tr2bl w:val="nil"/>
            </w:tcBorders>
            <w:vAlign w:val="center"/>
          </w:tcPr>
          <w:p>
            <w:pPr>
              <w:ind w:left="0" w:leftChars="0" w:right="0" w:rightChars="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w:t>
            </w:r>
          </w:p>
        </w:tc>
        <w:tc>
          <w:tcPr>
            <w:tcW w:w="3785" w:type="dxa"/>
            <w:tcBorders>
              <w:tl2br w:val="nil"/>
              <w:tr2bl w:val="nil"/>
            </w:tcBorders>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硫酸盐</w:t>
            </w:r>
          </w:p>
        </w:tc>
        <w:tc>
          <w:tcPr>
            <w:tcW w:w="3001" w:type="dxa"/>
            <w:tcBorders>
              <w:tl2br w:val="nil"/>
              <w:tr2bl w:val="nil"/>
            </w:tcBorders>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250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218" w:type="dxa"/>
            <w:tcBorders>
              <w:tl2br w:val="nil"/>
              <w:tr2bl w:val="nil"/>
            </w:tcBorders>
            <w:vAlign w:val="center"/>
          </w:tcPr>
          <w:p>
            <w:pPr>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w:t>
            </w:r>
          </w:p>
        </w:tc>
        <w:tc>
          <w:tcPr>
            <w:tcW w:w="3785" w:type="dxa"/>
            <w:tcBorders>
              <w:tl2br w:val="nil"/>
              <w:tr2bl w:val="nil"/>
            </w:tcBorders>
            <w:vAlign w:val="center"/>
          </w:tcPr>
          <w:p>
            <w:pPr>
              <w:ind w:left="0" w:leftChars="0" w:right="0" w:rightChars="0" w:firstLine="0" w:firstLineChars="0"/>
              <w:jc w:val="center"/>
              <w:rPr>
                <w:rFonts w:hint="eastAsia" w:ascii="Times New Roman" w:hAnsi="Times New Roman" w:cs="Times New Roman" w:eastAsiaTheme="minorEastAsia"/>
                <w:color w:val="auto"/>
                <w:sz w:val="21"/>
                <w:szCs w:val="21"/>
                <w:lang w:eastAsia="zh-CN"/>
              </w:rPr>
            </w:pPr>
            <w:r>
              <w:rPr>
                <w:rFonts w:hint="eastAsia" w:ascii="Times New Roman" w:hAnsi="Times New Roman" w:cs="Times New Roman"/>
                <w:color w:val="auto"/>
                <w:sz w:val="21"/>
                <w:szCs w:val="21"/>
                <w:lang w:eastAsia="zh-CN"/>
              </w:rPr>
              <w:t>挥发性酚类（以苯酚计）</w:t>
            </w:r>
          </w:p>
        </w:tc>
        <w:tc>
          <w:tcPr>
            <w:tcW w:w="3001" w:type="dxa"/>
            <w:tcBorders>
              <w:tl2br w:val="nil"/>
              <w:tr2bl w:val="nil"/>
            </w:tcBorders>
            <w:vAlign w:val="center"/>
          </w:tcPr>
          <w:p>
            <w:pPr>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0.002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218" w:type="dxa"/>
            <w:tcBorders>
              <w:tl2br w:val="nil"/>
              <w:tr2bl w:val="nil"/>
            </w:tcBorders>
            <w:vAlign w:val="center"/>
          </w:tcPr>
          <w:p>
            <w:pPr>
              <w:ind w:left="0" w:leftChars="0" w:right="0" w:rightChars="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9</w:t>
            </w:r>
          </w:p>
        </w:tc>
        <w:tc>
          <w:tcPr>
            <w:tcW w:w="3785" w:type="dxa"/>
            <w:tcBorders>
              <w:tl2br w:val="nil"/>
              <w:tr2bl w:val="nil"/>
            </w:tcBorders>
            <w:vAlign w:val="center"/>
          </w:tcPr>
          <w:p>
            <w:pPr>
              <w:ind w:left="0" w:leftChars="0" w:right="0" w:rightChars="0" w:firstLine="0" w:firstLineChars="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六价铬</w:t>
            </w:r>
          </w:p>
        </w:tc>
        <w:tc>
          <w:tcPr>
            <w:tcW w:w="3001" w:type="dxa"/>
            <w:tcBorders>
              <w:tl2br w:val="nil"/>
              <w:tr2bl w:val="nil"/>
            </w:tcBorders>
            <w:vAlign w:val="center"/>
          </w:tcPr>
          <w:p>
            <w:pPr>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0.05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218" w:type="dxa"/>
            <w:tcBorders>
              <w:tl2br w:val="nil"/>
              <w:tr2bl w:val="nil"/>
            </w:tcBorders>
            <w:vAlign w:val="center"/>
          </w:tcPr>
          <w:p>
            <w:pPr>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w:t>
            </w:r>
          </w:p>
        </w:tc>
        <w:tc>
          <w:tcPr>
            <w:tcW w:w="3785" w:type="dxa"/>
            <w:tcBorders>
              <w:tl2br w:val="nil"/>
              <w:tr2bl w:val="nil"/>
            </w:tcBorders>
            <w:vAlign w:val="center"/>
          </w:tcPr>
          <w:p>
            <w:pPr>
              <w:ind w:left="0" w:leftChars="0" w:right="0" w:rightChars="0" w:firstLine="0" w:firstLineChars="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氯化物</w:t>
            </w:r>
          </w:p>
        </w:tc>
        <w:tc>
          <w:tcPr>
            <w:tcW w:w="3001" w:type="dxa"/>
            <w:tcBorders>
              <w:tl2br w:val="nil"/>
              <w:tr2bl w:val="nil"/>
            </w:tcBorders>
            <w:vAlign w:val="center"/>
          </w:tcPr>
          <w:p>
            <w:pPr>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250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218" w:type="dxa"/>
            <w:tcBorders>
              <w:tl2br w:val="nil"/>
              <w:tr2bl w:val="nil"/>
            </w:tcBorders>
            <w:vAlign w:val="center"/>
          </w:tcPr>
          <w:p>
            <w:pPr>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w:t>
            </w:r>
          </w:p>
        </w:tc>
        <w:tc>
          <w:tcPr>
            <w:tcW w:w="3785" w:type="dxa"/>
            <w:tcBorders>
              <w:tl2br w:val="nil"/>
              <w:tr2bl w:val="nil"/>
            </w:tcBorders>
            <w:vAlign w:val="center"/>
          </w:tcPr>
          <w:p>
            <w:pPr>
              <w:ind w:left="0" w:leftChars="0" w:right="0" w:rightChars="0" w:firstLine="0" w:firstLineChars="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高锰酸盐指数/耗氧量（以 CODmn</w:t>
            </w:r>
          </w:p>
          <w:p>
            <w:pPr>
              <w:ind w:left="0" w:leftChars="0" w:right="0" w:rightChars="0" w:firstLine="0" w:firstLineChars="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法，以 O</w:t>
            </w:r>
            <w:r>
              <w:rPr>
                <w:rFonts w:hint="eastAsia" w:ascii="Times New Roman" w:hAnsi="Times New Roman" w:eastAsia="宋体" w:cs="Times New Roman"/>
                <w:color w:val="auto"/>
                <w:sz w:val="21"/>
                <w:szCs w:val="21"/>
                <w:vertAlign w:val="subscript"/>
                <w:lang w:eastAsia="zh-CN"/>
              </w:rPr>
              <w:t>2</w:t>
            </w:r>
            <w:r>
              <w:rPr>
                <w:rFonts w:hint="eastAsia" w:ascii="Times New Roman" w:hAnsi="Times New Roman" w:eastAsia="宋体" w:cs="Times New Roman"/>
                <w:color w:val="auto"/>
                <w:sz w:val="21"/>
                <w:szCs w:val="21"/>
                <w:lang w:eastAsia="zh-CN"/>
              </w:rPr>
              <w:t xml:space="preserve"> 计）</w:t>
            </w:r>
          </w:p>
        </w:tc>
        <w:tc>
          <w:tcPr>
            <w:tcW w:w="3001" w:type="dxa"/>
            <w:tcBorders>
              <w:tl2br w:val="nil"/>
              <w:tr2bl w:val="nil"/>
            </w:tcBorders>
            <w:vAlign w:val="center"/>
          </w:tcPr>
          <w:p>
            <w:pPr>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3.0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218" w:type="dxa"/>
            <w:tcBorders>
              <w:tl2br w:val="nil"/>
              <w:tr2bl w:val="nil"/>
            </w:tcBorders>
            <w:vAlign w:val="center"/>
          </w:tcPr>
          <w:p>
            <w:pPr>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12</w:t>
            </w:r>
          </w:p>
        </w:tc>
        <w:tc>
          <w:tcPr>
            <w:tcW w:w="3785" w:type="dxa"/>
            <w:tcBorders>
              <w:tl2br w:val="nil"/>
              <w:tr2bl w:val="nil"/>
            </w:tcBorders>
            <w:vAlign w:val="center"/>
          </w:tcPr>
          <w:p>
            <w:pPr>
              <w:ind w:left="0" w:leftChars="0" w:right="0" w:rightChars="0" w:firstLine="0" w:firstLineChars="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总大肠菌群</w:t>
            </w:r>
          </w:p>
        </w:tc>
        <w:tc>
          <w:tcPr>
            <w:tcW w:w="3001" w:type="dxa"/>
            <w:tcBorders>
              <w:tl2br w:val="nil"/>
              <w:tr2bl w:val="nil"/>
            </w:tcBorders>
            <w:vAlign w:val="center"/>
          </w:tcPr>
          <w:p>
            <w:pPr>
              <w:ind w:left="0" w:leftChars="0" w:right="0" w:rightChars="0" w:firstLine="0" w:firstLineChars="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3.0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218" w:type="dxa"/>
            <w:tcBorders>
              <w:tl2br w:val="nil"/>
              <w:tr2bl w:val="nil"/>
            </w:tcBorders>
            <w:vAlign w:val="center"/>
          </w:tcPr>
          <w:p>
            <w:pPr>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13</w:t>
            </w:r>
          </w:p>
        </w:tc>
        <w:tc>
          <w:tcPr>
            <w:tcW w:w="3785" w:type="dxa"/>
            <w:tcBorders>
              <w:tl2br w:val="nil"/>
              <w:tr2bl w:val="nil"/>
            </w:tcBorders>
            <w:vAlign w:val="center"/>
          </w:tcPr>
          <w:p>
            <w:pPr>
              <w:ind w:left="0" w:leftChars="0" w:right="0" w:rightChars="0" w:firstLine="0" w:firstLineChars="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细菌总数</w:t>
            </w:r>
          </w:p>
        </w:tc>
        <w:tc>
          <w:tcPr>
            <w:tcW w:w="3001" w:type="dxa"/>
            <w:tcBorders>
              <w:tl2br w:val="nil"/>
              <w:tr2bl w:val="nil"/>
            </w:tcBorders>
            <w:vAlign w:val="center"/>
          </w:tcPr>
          <w:p>
            <w:pPr>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100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218" w:type="dxa"/>
            <w:tcBorders>
              <w:tl2br w:val="nil"/>
              <w:tr2bl w:val="nil"/>
            </w:tcBorders>
            <w:vAlign w:val="center"/>
          </w:tcPr>
          <w:p>
            <w:pPr>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14</w:t>
            </w:r>
          </w:p>
        </w:tc>
        <w:tc>
          <w:tcPr>
            <w:tcW w:w="3785" w:type="dxa"/>
            <w:tcBorders>
              <w:tl2br w:val="nil"/>
              <w:tr2bl w:val="nil"/>
            </w:tcBorders>
            <w:vAlign w:val="center"/>
          </w:tcPr>
          <w:p>
            <w:pPr>
              <w:ind w:left="0" w:leftChars="0" w:right="0" w:rightChars="0" w:firstLine="0" w:firstLineChars="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氰化物</w:t>
            </w:r>
          </w:p>
        </w:tc>
        <w:tc>
          <w:tcPr>
            <w:tcW w:w="3001" w:type="dxa"/>
            <w:tcBorders>
              <w:tl2br w:val="nil"/>
              <w:tr2bl w:val="nil"/>
            </w:tcBorders>
            <w:vAlign w:val="center"/>
          </w:tcPr>
          <w:p>
            <w:pPr>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0.05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312" w:hRule="atLeast"/>
        </w:trPr>
        <w:tc>
          <w:tcPr>
            <w:tcW w:w="2218" w:type="dxa"/>
            <w:tcBorders>
              <w:tl2br w:val="nil"/>
              <w:tr2bl w:val="nil"/>
            </w:tcBorders>
            <w:vAlign w:val="center"/>
          </w:tcPr>
          <w:p>
            <w:pPr>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3785" w:type="dxa"/>
            <w:tcBorders>
              <w:tl2br w:val="nil"/>
              <w:tr2bl w:val="nil"/>
            </w:tcBorders>
            <w:vAlign w:val="center"/>
          </w:tcPr>
          <w:p>
            <w:pPr>
              <w:pStyle w:val="98"/>
              <w:keepNext w:val="0"/>
              <w:keepLines w:val="0"/>
              <w:pageBreakBefore w:val="0"/>
              <w:widowControl w:val="0"/>
              <w:tabs>
                <w:tab w:val="left" w:pos="853"/>
              </w:tabs>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宋体" w:cs="Times New Roman"/>
                <w:color w:val="auto"/>
                <w:kern w:val="2"/>
                <w:sz w:val="21"/>
                <w:szCs w:val="21"/>
                <w:lang w:val="zh-CN" w:eastAsia="zh-CN" w:bidi="zh-CN"/>
              </w:rPr>
            </w:pPr>
            <w:r>
              <w:rPr>
                <w:rFonts w:hint="eastAsia" w:ascii="Times New Roman" w:hAnsi="Times New Roman" w:cs="Times New Roman"/>
                <w:color w:val="auto"/>
                <w:sz w:val="21"/>
                <w:szCs w:val="21"/>
                <w:lang w:eastAsia="zh-CN"/>
              </w:rPr>
              <w:t>汞</w:t>
            </w:r>
          </w:p>
        </w:tc>
        <w:tc>
          <w:tcPr>
            <w:tcW w:w="3001" w:type="dxa"/>
            <w:tcBorders>
              <w:tl2br w:val="nil"/>
              <w:tr2bl w:val="nil"/>
            </w:tcBorders>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kern w:val="2"/>
                <w:sz w:val="21"/>
                <w:szCs w:val="21"/>
                <w:lang w:val="en-US" w:eastAsia="zh-CN" w:bidi="zh-CN"/>
              </w:rPr>
            </w:pPr>
            <w:r>
              <w:rPr>
                <w:rFonts w:hint="default" w:ascii="Times New Roman" w:hAnsi="Times New Roman" w:eastAsia="宋体" w:cs="Times New Roman"/>
                <w:color w:val="auto"/>
                <w:sz w:val="21"/>
                <w:szCs w:val="21"/>
              </w:rPr>
              <w:t>≤</w:t>
            </w:r>
            <w:r>
              <w:rPr>
                <w:rFonts w:hint="eastAsia" w:ascii="Times New Roman" w:hAnsi="Times New Roman" w:cs="Times New Roman"/>
                <w:color w:val="auto"/>
                <w:sz w:val="21"/>
                <w:szCs w:val="21"/>
                <w:lang w:val="en-US" w:eastAsia="zh-CN"/>
              </w:rPr>
              <w:t>0.001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312" w:hRule="atLeast"/>
        </w:trPr>
        <w:tc>
          <w:tcPr>
            <w:tcW w:w="2218" w:type="dxa"/>
            <w:tcBorders>
              <w:tl2br w:val="nil"/>
              <w:tr2bl w:val="nil"/>
            </w:tcBorders>
            <w:vAlign w:val="center"/>
          </w:tcPr>
          <w:p>
            <w:pPr>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16</w:t>
            </w:r>
          </w:p>
        </w:tc>
        <w:tc>
          <w:tcPr>
            <w:tcW w:w="3785" w:type="dxa"/>
            <w:tcBorders>
              <w:tl2br w:val="nil"/>
              <w:tr2bl w:val="nil"/>
            </w:tcBorders>
            <w:vAlign w:val="center"/>
          </w:tcPr>
          <w:p>
            <w:pPr>
              <w:ind w:left="0" w:leftChars="0" w:right="0" w:rightChars="0" w:firstLine="0" w:firstLineChars="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铁</w:t>
            </w:r>
          </w:p>
        </w:tc>
        <w:tc>
          <w:tcPr>
            <w:tcW w:w="3001" w:type="dxa"/>
            <w:tcBorders>
              <w:tl2br w:val="nil"/>
              <w:tr2bl w:val="nil"/>
            </w:tcBorders>
            <w:vAlign w:val="center"/>
          </w:tcPr>
          <w:p>
            <w:pPr>
              <w:ind w:left="0" w:leftChars="0" w:right="0" w:rightChars="0" w:firstLine="0" w:firstLineChars="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rPr>
              <w:t>≤</w:t>
            </w:r>
            <w:r>
              <w:rPr>
                <w:rFonts w:hint="eastAsia" w:ascii="Times New Roman" w:hAnsi="Times New Roman" w:cs="Times New Roman"/>
                <w:color w:val="auto"/>
                <w:sz w:val="21"/>
                <w:szCs w:val="21"/>
                <w:lang w:val="en-US" w:eastAsia="zh-CN"/>
              </w:rPr>
              <w:t>0.3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218" w:type="dxa"/>
            <w:tcBorders>
              <w:tl2br w:val="nil"/>
              <w:tr2bl w:val="nil"/>
            </w:tcBorders>
            <w:vAlign w:val="center"/>
          </w:tcPr>
          <w:p>
            <w:pPr>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17</w:t>
            </w:r>
          </w:p>
        </w:tc>
        <w:tc>
          <w:tcPr>
            <w:tcW w:w="3785" w:type="dxa"/>
            <w:tcBorders>
              <w:tl2br w:val="nil"/>
              <w:tr2bl w:val="nil"/>
            </w:tcBorders>
            <w:vAlign w:val="center"/>
          </w:tcPr>
          <w:p>
            <w:pPr>
              <w:ind w:left="0" w:leftChars="0" w:right="0" w:rightChars="0" w:firstLine="0" w:firstLineChars="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锰</w:t>
            </w:r>
          </w:p>
        </w:tc>
        <w:tc>
          <w:tcPr>
            <w:tcW w:w="3001" w:type="dxa"/>
            <w:tcBorders>
              <w:tl2br w:val="nil"/>
              <w:tr2bl w:val="nil"/>
            </w:tcBorders>
            <w:vAlign w:val="center"/>
          </w:tcPr>
          <w:p>
            <w:pPr>
              <w:ind w:left="0" w:leftChars="0" w:right="0" w:rightChars="0" w:firstLine="0" w:firstLineChars="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rPr>
              <w:t>≤</w:t>
            </w:r>
            <w:r>
              <w:rPr>
                <w:rFonts w:hint="eastAsia" w:ascii="Times New Roman" w:hAnsi="Times New Roman" w:cs="Times New Roman"/>
                <w:color w:val="auto"/>
                <w:sz w:val="21"/>
                <w:szCs w:val="21"/>
                <w:lang w:val="en-US" w:eastAsia="zh-CN"/>
              </w:rPr>
              <w:t>0.1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312" w:hRule="atLeast"/>
        </w:trPr>
        <w:tc>
          <w:tcPr>
            <w:tcW w:w="2218" w:type="dxa"/>
            <w:tcBorders>
              <w:tl2br w:val="nil"/>
              <w:tr2bl w:val="nil"/>
            </w:tcBorders>
            <w:vAlign w:val="center"/>
          </w:tcPr>
          <w:p>
            <w:pPr>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18</w:t>
            </w:r>
          </w:p>
        </w:tc>
        <w:tc>
          <w:tcPr>
            <w:tcW w:w="3785" w:type="dxa"/>
            <w:tcBorders>
              <w:tl2br w:val="nil"/>
              <w:tr2bl w:val="nil"/>
            </w:tcBorders>
            <w:vAlign w:val="center"/>
          </w:tcPr>
          <w:p>
            <w:pPr>
              <w:ind w:left="0" w:leftChars="0" w:right="0" w:rightChars="0" w:firstLine="0" w:firstLineChars="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氟</w:t>
            </w:r>
          </w:p>
        </w:tc>
        <w:tc>
          <w:tcPr>
            <w:tcW w:w="3001" w:type="dxa"/>
            <w:tcBorders>
              <w:tl2br w:val="nil"/>
              <w:tr2bl w:val="nil"/>
            </w:tcBorders>
            <w:vAlign w:val="center"/>
          </w:tcPr>
          <w:p>
            <w:pPr>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1.0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312" w:hRule="atLeast"/>
        </w:trPr>
        <w:tc>
          <w:tcPr>
            <w:tcW w:w="2218" w:type="dxa"/>
            <w:tcBorders>
              <w:tl2br w:val="nil"/>
              <w:tr2bl w:val="nil"/>
            </w:tcBorders>
            <w:vAlign w:val="center"/>
          </w:tcPr>
          <w:p>
            <w:pPr>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19</w:t>
            </w:r>
          </w:p>
        </w:tc>
        <w:tc>
          <w:tcPr>
            <w:tcW w:w="3785" w:type="dxa"/>
            <w:tcBorders>
              <w:tl2br w:val="nil"/>
              <w:tr2bl w:val="nil"/>
            </w:tcBorders>
            <w:vAlign w:val="center"/>
          </w:tcPr>
          <w:p>
            <w:pPr>
              <w:ind w:left="0" w:leftChars="0" w:right="0" w:rightChars="0" w:firstLine="0" w:firstLineChars="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砷</w:t>
            </w:r>
          </w:p>
        </w:tc>
        <w:tc>
          <w:tcPr>
            <w:tcW w:w="3001" w:type="dxa"/>
            <w:tcBorders>
              <w:tl2br w:val="nil"/>
              <w:tr2bl w:val="nil"/>
            </w:tcBorders>
            <w:vAlign w:val="center"/>
          </w:tcPr>
          <w:p>
            <w:pPr>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0.01</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218" w:type="dxa"/>
            <w:tcBorders>
              <w:tl2br w:val="nil"/>
              <w:tr2bl w:val="nil"/>
            </w:tcBorders>
            <w:vAlign w:val="center"/>
          </w:tcPr>
          <w:p>
            <w:pPr>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w:t>
            </w:r>
          </w:p>
        </w:tc>
        <w:tc>
          <w:tcPr>
            <w:tcW w:w="3785" w:type="dxa"/>
            <w:tcBorders>
              <w:tl2br w:val="nil"/>
              <w:tr2bl w:val="nil"/>
            </w:tcBorders>
            <w:vAlign w:val="center"/>
          </w:tcPr>
          <w:p>
            <w:pPr>
              <w:ind w:left="0" w:leftChars="0" w:right="0" w:rightChars="0" w:firstLine="0" w:firstLineChars="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镉</w:t>
            </w:r>
          </w:p>
        </w:tc>
        <w:tc>
          <w:tcPr>
            <w:tcW w:w="3001" w:type="dxa"/>
            <w:tcBorders>
              <w:tl2br w:val="nil"/>
              <w:tr2bl w:val="nil"/>
            </w:tcBorders>
            <w:vAlign w:val="center"/>
          </w:tcPr>
          <w:p>
            <w:pPr>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0.005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218" w:type="dxa"/>
            <w:tcBorders>
              <w:tl2br w:val="nil"/>
              <w:tr2bl w:val="nil"/>
            </w:tcBorders>
            <w:vAlign w:val="center"/>
          </w:tcPr>
          <w:p>
            <w:pPr>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21</w:t>
            </w:r>
          </w:p>
        </w:tc>
        <w:tc>
          <w:tcPr>
            <w:tcW w:w="3785" w:type="dxa"/>
            <w:tcBorders>
              <w:tl2br w:val="nil"/>
              <w:tr2bl w:val="nil"/>
            </w:tcBorders>
            <w:vAlign w:val="center"/>
          </w:tcPr>
          <w:p>
            <w:pPr>
              <w:ind w:left="0" w:leftChars="0" w:right="0" w:rightChars="0" w:firstLine="0" w:firstLineChars="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铅</w:t>
            </w:r>
          </w:p>
        </w:tc>
        <w:tc>
          <w:tcPr>
            <w:tcW w:w="3001" w:type="dxa"/>
            <w:tcBorders>
              <w:tl2br w:val="nil"/>
              <w:tr2bl w:val="nil"/>
            </w:tcBorders>
            <w:vAlign w:val="center"/>
          </w:tcPr>
          <w:p>
            <w:pPr>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0.01</w:t>
            </w:r>
          </w:p>
        </w:tc>
      </w:tr>
    </w:tbl>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4、</w:t>
      </w:r>
      <w:r>
        <w:rPr>
          <w:rFonts w:ascii="Times New Roman" w:hAnsi="Times New Roman" w:eastAsia="宋体" w:cs="Times New Roman"/>
          <w:color w:val="auto"/>
          <w:sz w:val="24"/>
          <w:szCs w:val="24"/>
        </w:rPr>
        <w:t>声环境</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olor w:val="auto"/>
          <w:sz w:val="24"/>
        </w:rPr>
        <w:t>本项目拟建地块属于声环境功能分区</w:t>
      </w:r>
      <w:r>
        <w:rPr>
          <w:rFonts w:hint="eastAsia" w:ascii="Times New Roman" w:hAnsi="Times New Roman" w:eastAsia="宋体"/>
          <w:color w:val="auto"/>
          <w:sz w:val="24"/>
          <w:lang w:val="en-US" w:eastAsia="zh-CN"/>
        </w:rPr>
        <w:t>2</w:t>
      </w:r>
      <w:r>
        <w:rPr>
          <w:rFonts w:hint="eastAsia" w:ascii="Times New Roman" w:hAnsi="Times New Roman" w:eastAsia="宋体"/>
          <w:color w:val="auto"/>
          <w:sz w:val="24"/>
        </w:rPr>
        <w:t>类区</w:t>
      </w:r>
      <w:r>
        <w:rPr>
          <w:rFonts w:ascii="Times New Roman" w:hAnsi="Times New Roman" w:eastAsia="宋体" w:cs="Times New Roman"/>
          <w:color w:val="auto"/>
          <w:sz w:val="24"/>
        </w:rPr>
        <w:t>。根据《声环境质量标准》（GB3096-2008）及《声环境功能区划分技术规范》（GB/T15190-2014），项目所在区域执行《声环境质量标准》（GB3096-2008）</w:t>
      </w:r>
      <w:r>
        <w:rPr>
          <w:rFonts w:hint="eastAsia" w:ascii="Times New Roman" w:hAnsi="Times New Roman" w:eastAsia="宋体" w:cs="Times New Roman"/>
          <w:color w:val="auto"/>
          <w:sz w:val="24"/>
          <w:lang w:val="en-US" w:eastAsia="zh-CN"/>
        </w:rPr>
        <w:t>2</w:t>
      </w:r>
      <w:r>
        <w:rPr>
          <w:rFonts w:ascii="Times New Roman" w:hAnsi="Times New Roman" w:eastAsia="宋体" w:cs="Times New Roman"/>
          <w:color w:val="auto"/>
          <w:sz w:val="24"/>
        </w:rPr>
        <w:t>类区标准</w:t>
      </w:r>
      <w:r>
        <w:rPr>
          <w:rFonts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eastAsia="zh-CN"/>
        </w:rPr>
        <w:t>周边无居民，</w:t>
      </w:r>
      <w:r>
        <w:rPr>
          <w:rFonts w:ascii="Times New Roman" w:hAnsi="Times New Roman" w:eastAsia="宋体" w:cs="Times New Roman"/>
          <w:color w:val="auto"/>
          <w:sz w:val="24"/>
          <w:szCs w:val="24"/>
        </w:rPr>
        <w:t>标准限值见</w:t>
      </w:r>
      <w:r>
        <w:rPr>
          <w:rFonts w:hint="eastAsia" w:ascii="Times New Roman" w:hAnsi="Times New Roman" w:eastAsia="宋体" w:cs="Times New Roman"/>
          <w:color w:val="auto"/>
          <w:sz w:val="24"/>
          <w:szCs w:val="24"/>
        </w:rPr>
        <w:t>下</w:t>
      </w:r>
      <w:r>
        <w:rPr>
          <w:rFonts w:ascii="Times New Roman" w:hAnsi="Times New Roman" w:eastAsia="宋体" w:cs="Times New Roman"/>
          <w:color w:val="auto"/>
          <w:sz w:val="24"/>
          <w:szCs w:val="24"/>
        </w:rPr>
        <w:t>表</w:t>
      </w:r>
      <w:r>
        <w:rPr>
          <w:rFonts w:hint="eastAsia" w:ascii="Times New Roman" w:hAnsi="Times New Roman" w:eastAsia="宋体" w:cs="Times New Roman"/>
          <w:color w:val="auto"/>
          <w:sz w:val="24"/>
          <w:szCs w:val="24"/>
        </w:rPr>
        <w:t>：</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表1</w:t>
      </w:r>
      <w:r>
        <w:rPr>
          <w:rFonts w:hint="eastAsia" w:ascii="Times New Roman" w:hAnsi="Times New Roman" w:eastAsia="宋体" w:cs="Times New Roman"/>
          <w:b/>
          <w:color w:val="auto"/>
          <w:sz w:val="21"/>
          <w:szCs w:val="21"/>
        </w:rPr>
        <w:t>.4</w:t>
      </w:r>
      <w:r>
        <w:rPr>
          <w:rFonts w:hint="default" w:ascii="Times New Roman" w:hAnsi="Times New Roman" w:eastAsia="宋体" w:cs="Times New Roman"/>
          <w:b/>
          <w:color w:val="auto"/>
          <w:sz w:val="21"/>
          <w:szCs w:val="21"/>
        </w:rPr>
        <w:t>-4  声环境质量标准（GB3096-2008）</w:t>
      </w:r>
    </w:p>
    <w:tbl>
      <w:tblPr>
        <w:tblStyle w:val="34"/>
        <w:tblW w:w="9220" w:type="dxa"/>
        <w:tblInd w:w="0" w:type="dxa"/>
        <w:tblBorders>
          <w:top w:val="single" w:color="000000" w:themeColor="text1" w:sz="12" w:space="0"/>
          <w:left w:val="none" w:color="auto" w:sz="0" w:space="0"/>
          <w:bottom w:val="single" w:color="000000" w:themeColor="text1" w:sz="12" w:space="0"/>
          <w:right w:val="none" w:color="auto" w:sz="0" w:space="0"/>
          <w:insideH w:val="single" w:color="000000" w:themeColor="text1" w:sz="2" w:space="0"/>
          <w:insideV w:val="single" w:color="000000" w:themeColor="text1" w:sz="2" w:space="0"/>
        </w:tblBorders>
        <w:tblLayout w:type="fixed"/>
        <w:tblCellMar>
          <w:top w:w="0" w:type="dxa"/>
          <w:left w:w="108" w:type="dxa"/>
          <w:bottom w:w="0" w:type="dxa"/>
          <w:right w:w="108" w:type="dxa"/>
        </w:tblCellMar>
      </w:tblPr>
      <w:tblGrid>
        <w:gridCol w:w="3073"/>
        <w:gridCol w:w="3073"/>
        <w:gridCol w:w="3074"/>
      </w:tblGrid>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2" w:space="0"/>
            <w:insideV w:val="single" w:color="000000" w:themeColor="text1" w:sz="2" w:space="0"/>
          </w:tblBorders>
          <w:tblCellMar>
            <w:top w:w="0" w:type="dxa"/>
            <w:left w:w="108" w:type="dxa"/>
            <w:bottom w:w="0" w:type="dxa"/>
            <w:right w:w="108" w:type="dxa"/>
          </w:tblCellMar>
        </w:tblPrEx>
        <w:tc>
          <w:tcPr>
            <w:tcW w:w="3073" w:type="dxa"/>
            <w:tcBorders>
              <w:tl2br w:val="nil"/>
              <w:tr2bl w:val="nil"/>
            </w:tcBorders>
          </w:tcPr>
          <w:p>
            <w:pPr>
              <w:jc w:val="center"/>
              <w:rPr>
                <w:rFonts w:ascii="Times New Roman" w:hAnsi="Times New Roman" w:eastAsia="宋体" w:cs="Times New Roman"/>
                <w:b/>
                <w:bCs/>
                <w:color w:val="auto"/>
                <w:szCs w:val="21"/>
              </w:rPr>
            </w:pPr>
            <w:r>
              <w:rPr>
                <w:rFonts w:ascii="Times New Roman" w:hAnsi="Times New Roman" w:eastAsia="宋体" w:cs="Times New Roman"/>
                <w:b/>
                <w:bCs/>
                <w:color w:val="auto"/>
                <w:szCs w:val="21"/>
              </w:rPr>
              <w:t>类别</w:t>
            </w:r>
          </w:p>
        </w:tc>
        <w:tc>
          <w:tcPr>
            <w:tcW w:w="3073" w:type="dxa"/>
            <w:tcBorders>
              <w:tl2br w:val="nil"/>
              <w:tr2bl w:val="nil"/>
            </w:tcBorders>
          </w:tcPr>
          <w:p>
            <w:pPr>
              <w:jc w:val="center"/>
              <w:rPr>
                <w:rFonts w:ascii="Times New Roman" w:hAnsi="Times New Roman" w:eastAsia="宋体" w:cs="Times New Roman"/>
                <w:b/>
                <w:bCs/>
                <w:color w:val="auto"/>
                <w:szCs w:val="21"/>
              </w:rPr>
            </w:pPr>
            <w:r>
              <w:rPr>
                <w:rFonts w:ascii="Times New Roman" w:hAnsi="Times New Roman" w:eastAsia="宋体" w:cs="Times New Roman"/>
                <w:b/>
                <w:bCs/>
                <w:color w:val="auto"/>
                <w:szCs w:val="21"/>
              </w:rPr>
              <w:t>昼间  [dB（A）]</w:t>
            </w:r>
          </w:p>
        </w:tc>
        <w:tc>
          <w:tcPr>
            <w:tcW w:w="3074" w:type="dxa"/>
            <w:tcBorders>
              <w:tl2br w:val="nil"/>
              <w:tr2bl w:val="nil"/>
            </w:tcBorders>
          </w:tcPr>
          <w:p>
            <w:pPr>
              <w:jc w:val="center"/>
              <w:rPr>
                <w:rFonts w:ascii="Times New Roman" w:hAnsi="Times New Roman" w:eastAsia="宋体" w:cs="Times New Roman"/>
                <w:b/>
                <w:bCs/>
                <w:color w:val="auto"/>
                <w:szCs w:val="21"/>
              </w:rPr>
            </w:pPr>
            <w:r>
              <w:rPr>
                <w:rFonts w:ascii="Times New Roman" w:hAnsi="Times New Roman" w:eastAsia="宋体" w:cs="Times New Roman"/>
                <w:b/>
                <w:bCs/>
                <w:color w:val="auto"/>
                <w:szCs w:val="21"/>
              </w:rPr>
              <w:t>夜间  [dB（A）]</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2" w:space="0"/>
            <w:insideV w:val="single" w:color="000000" w:themeColor="text1" w:sz="2" w:space="0"/>
          </w:tblBorders>
          <w:tblCellMar>
            <w:top w:w="0" w:type="dxa"/>
            <w:left w:w="108" w:type="dxa"/>
            <w:bottom w:w="0" w:type="dxa"/>
            <w:right w:w="108" w:type="dxa"/>
          </w:tblCellMar>
        </w:tblPrEx>
        <w:tc>
          <w:tcPr>
            <w:tcW w:w="3073" w:type="dxa"/>
            <w:tcBorders>
              <w:tl2br w:val="nil"/>
              <w:tr2bl w:val="nil"/>
            </w:tcBorders>
          </w:tcPr>
          <w:p>
            <w:pPr>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2</w:t>
            </w:r>
            <w:r>
              <w:rPr>
                <w:rFonts w:ascii="Times New Roman" w:hAnsi="Times New Roman" w:eastAsia="宋体" w:cs="Times New Roman"/>
                <w:color w:val="auto"/>
                <w:szCs w:val="21"/>
              </w:rPr>
              <w:t>类</w:t>
            </w:r>
          </w:p>
        </w:tc>
        <w:tc>
          <w:tcPr>
            <w:tcW w:w="3073" w:type="dxa"/>
            <w:tcBorders>
              <w:tl2br w:val="nil"/>
              <w:tr2bl w:val="nil"/>
            </w:tcBorders>
          </w:tcPr>
          <w:p>
            <w:pPr>
              <w:jc w:val="center"/>
              <w:rPr>
                <w:rFonts w:hint="eastAsia" w:ascii="Times New Roman" w:hAnsi="Times New Roman" w:eastAsia="宋体" w:cs="Times New Roman"/>
                <w:color w:val="auto"/>
                <w:szCs w:val="21"/>
                <w:lang w:val="en-US" w:eastAsia="zh-CN"/>
              </w:rPr>
            </w:pPr>
            <w:r>
              <w:rPr>
                <w:rFonts w:ascii="Times New Roman" w:hAnsi="Times New Roman" w:eastAsia="宋体" w:cs="Times New Roman"/>
                <w:color w:val="auto"/>
                <w:szCs w:val="21"/>
              </w:rPr>
              <w:t>6</w:t>
            </w:r>
            <w:r>
              <w:rPr>
                <w:rFonts w:hint="eastAsia" w:ascii="Times New Roman" w:hAnsi="Times New Roman" w:eastAsia="宋体" w:cs="Times New Roman"/>
                <w:color w:val="auto"/>
                <w:szCs w:val="21"/>
                <w:lang w:val="en-US" w:eastAsia="zh-CN"/>
              </w:rPr>
              <w:t>0</w:t>
            </w:r>
          </w:p>
        </w:tc>
        <w:tc>
          <w:tcPr>
            <w:tcW w:w="3074" w:type="dxa"/>
            <w:tcBorders>
              <w:tl2br w:val="nil"/>
              <w:tr2bl w:val="nil"/>
            </w:tcBorders>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rPr>
              <w:t>5</w:t>
            </w:r>
            <w:r>
              <w:rPr>
                <w:rFonts w:hint="eastAsia" w:ascii="Times New Roman" w:hAnsi="Times New Roman" w:eastAsia="宋体" w:cs="Times New Roman"/>
                <w:color w:val="auto"/>
                <w:szCs w:val="21"/>
                <w:lang w:val="en-US" w:eastAsia="zh-CN"/>
              </w:rPr>
              <w:t>0</w:t>
            </w:r>
          </w:p>
        </w:tc>
      </w:tr>
    </w:tbl>
    <w:p>
      <w:pPr>
        <w:adjustRightInd w:val="0"/>
        <w:snapToGrid w:val="0"/>
        <w:spacing w:line="360" w:lineRule="auto"/>
        <w:ind w:firstLine="480" w:firstLineChars="200"/>
        <w:rPr>
          <w:rFonts w:ascii="Times New Roman" w:hAnsi="Times New Roman" w:eastAsia="宋体" w:cs="Times New Roman"/>
          <w:color w:val="auto"/>
          <w:sz w:val="24"/>
          <w:szCs w:val="24"/>
        </w:rPr>
      </w:pPr>
      <w:bookmarkStart w:id="36" w:name="_Toc459118373"/>
      <w:bookmarkStart w:id="37" w:name="_Toc2128"/>
      <w:r>
        <w:rPr>
          <w:rFonts w:hint="eastAsia" w:ascii="Times New Roman" w:hAnsi="Times New Roman" w:eastAsia="宋体" w:cs="Times New Roman"/>
          <w:color w:val="auto"/>
          <w:sz w:val="24"/>
          <w:szCs w:val="24"/>
        </w:rPr>
        <w:t>5、土壤环境质量标准</w:t>
      </w:r>
    </w:p>
    <w:p>
      <w:pPr>
        <w:pStyle w:val="14"/>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hint="eastAsia" w:ascii="Times New Roman" w:hAnsi="Times New Roman" w:eastAsia="宋体" w:cstheme="minorBidi"/>
          <w:color w:val="auto"/>
          <w:kern w:val="2"/>
          <w:sz w:val="24"/>
          <w:szCs w:val="22"/>
          <w:lang w:val="en-US" w:eastAsia="zh-CN" w:bidi="ar-SA"/>
        </w:rPr>
      </w:pPr>
      <w:r>
        <w:rPr>
          <w:rFonts w:hint="eastAsia" w:ascii="Times New Roman" w:hAnsi="Times New Roman" w:eastAsia="宋体" w:cstheme="minorBidi"/>
          <w:color w:val="auto"/>
          <w:kern w:val="2"/>
          <w:sz w:val="24"/>
          <w:szCs w:val="22"/>
          <w:lang w:val="en-US" w:eastAsia="zh-CN" w:bidi="ar-SA"/>
        </w:rPr>
        <w:t>土壤环境质量现状执行《土壤环境质量标准 农用地土壤污染风险管控标准》（试行）（GB15618-2018）中表 1 农用地土壤污染风险筛选值（基本项目）限值要求。本项目环评拟执行的环境质量标准限值见下表。</w:t>
      </w:r>
    </w:p>
    <w:p>
      <w:pPr>
        <w:adjustRightInd w:val="0"/>
        <w:snapToGrid w:val="0"/>
        <w:jc w:val="both"/>
        <w:rPr>
          <w:rFonts w:hint="default" w:ascii="Times New Roman" w:hAnsi="Times New Roman" w:cs="Times New Roman" w:eastAsiaTheme="minorEastAsia"/>
          <w:color w:val="auto"/>
          <w:sz w:val="21"/>
        </w:rPr>
      </w:pPr>
      <w:r>
        <w:rPr>
          <w:rFonts w:hint="eastAsia" w:ascii="Times New Roman" w:hAnsi="Times New Roman" w:eastAsia="宋体"/>
          <w:b/>
          <w:bCs/>
          <w:color w:val="auto"/>
          <w:sz w:val="21"/>
          <w:szCs w:val="21"/>
          <w:lang w:val="en-US" w:eastAsia="zh-CN"/>
        </w:rPr>
        <w:t xml:space="preserve">                        </w:t>
      </w:r>
      <w:r>
        <w:rPr>
          <w:rFonts w:hint="eastAsia" w:ascii="Times New Roman" w:hAnsi="Times New Roman" w:eastAsia="宋体"/>
          <w:b/>
          <w:bCs/>
          <w:color w:val="auto"/>
          <w:sz w:val="21"/>
          <w:szCs w:val="21"/>
        </w:rPr>
        <w:t>表1.4-5</w:t>
      </w:r>
      <w:r>
        <w:rPr>
          <w:rFonts w:hint="eastAsia" w:ascii="Times New Roman" w:hAnsi="Times New Roman" w:eastAsia="宋体"/>
          <w:b/>
          <w:bCs/>
          <w:color w:val="auto"/>
          <w:sz w:val="21"/>
          <w:szCs w:val="21"/>
          <w:lang w:val="en-US" w:eastAsia="zh-CN"/>
        </w:rPr>
        <w:t xml:space="preserve">  </w:t>
      </w:r>
      <w:r>
        <w:rPr>
          <w:rFonts w:hint="eastAsia" w:eastAsia="宋体"/>
          <w:b/>
          <w:color w:val="auto"/>
          <w:sz w:val="21"/>
          <w:lang w:eastAsia="zh-CN"/>
        </w:rPr>
        <w:t>土壤环境质量标准</w:t>
      </w:r>
      <w:r>
        <w:rPr>
          <w:rFonts w:hint="eastAsia" w:ascii="Times New Roman" w:hAnsi="Times New Roman" w:eastAsia="宋体"/>
          <w:b/>
          <w:bCs/>
          <w:color w:val="auto"/>
          <w:sz w:val="21"/>
          <w:szCs w:val="21"/>
          <w:lang w:val="en-US" w:eastAsia="zh-CN"/>
        </w:rPr>
        <w:t xml:space="preserve">          单位：</w:t>
      </w:r>
      <w:r>
        <w:rPr>
          <w:rFonts w:hint="default" w:ascii="Times New Roman" w:hAnsi="Times New Roman" w:cs="Times New Roman" w:eastAsiaTheme="minorEastAsia"/>
          <w:color w:val="auto"/>
          <w:sz w:val="21"/>
        </w:rPr>
        <w:t>mg/kg</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4"/>
        <w:gridCol w:w="1943"/>
        <w:gridCol w:w="1045"/>
        <w:gridCol w:w="985"/>
        <w:gridCol w:w="1084"/>
        <w:gridCol w:w="1084"/>
        <w:gridCol w:w="1084"/>
        <w:gridCol w:w="10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 w:type="dxa"/>
            <w:vAlign w:val="center"/>
          </w:tcPr>
          <w:p>
            <w:pPr>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环境因素</w:t>
            </w:r>
          </w:p>
        </w:tc>
        <w:tc>
          <w:tcPr>
            <w:tcW w:w="1943" w:type="dxa"/>
            <w:vAlign w:val="center"/>
          </w:tcPr>
          <w:p>
            <w:pPr>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执行标准</w:t>
            </w:r>
          </w:p>
        </w:tc>
        <w:tc>
          <w:tcPr>
            <w:tcW w:w="2030" w:type="dxa"/>
            <w:gridSpan w:val="2"/>
            <w:vAlign w:val="center"/>
          </w:tcPr>
          <w:p>
            <w:pPr>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污染因子</w:t>
            </w:r>
          </w:p>
        </w:tc>
        <w:tc>
          <w:tcPr>
            <w:tcW w:w="2168" w:type="dxa"/>
            <w:gridSpan w:val="2"/>
            <w:vAlign w:val="center"/>
          </w:tcPr>
          <w:p>
            <w:pPr>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标准限值</w:t>
            </w:r>
          </w:p>
        </w:tc>
        <w:tc>
          <w:tcPr>
            <w:tcW w:w="2095" w:type="dxa"/>
            <w:gridSpan w:val="2"/>
            <w:vAlign w:val="center"/>
          </w:tcPr>
          <w:p>
            <w:pPr>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 w:type="dxa"/>
            <w:vMerge w:val="restart"/>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土壤环境</w:t>
            </w:r>
          </w:p>
        </w:tc>
        <w:tc>
          <w:tcPr>
            <w:tcW w:w="1943" w:type="dxa"/>
            <w:vMerge w:val="restart"/>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《土壤环境质量标准  农用地土壤污染风险管控标准（试行）》（GB15618-2018）单位：mg/kg</w:t>
            </w:r>
          </w:p>
        </w:tc>
        <w:tc>
          <w:tcPr>
            <w:tcW w:w="2030" w:type="dxa"/>
            <w:gridSpan w:val="2"/>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pH</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pH</w:t>
            </w: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5.5</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5.5＜pH</w:t>
            </w: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6.5</w:t>
            </w:r>
          </w:p>
        </w:tc>
        <w:tc>
          <w:tcPr>
            <w:tcW w:w="1084" w:type="dxa"/>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6.5＜pH</w:t>
            </w: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7.5</w:t>
            </w:r>
          </w:p>
        </w:tc>
        <w:tc>
          <w:tcPr>
            <w:tcW w:w="1011" w:type="dxa"/>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7.5＜pH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 w:type="dxa"/>
            <w:vMerge w:val="continue"/>
            <w:vAlign w:val="center"/>
          </w:tcPr>
          <w:p>
            <w:pPr>
              <w:jc w:val="center"/>
              <w:rPr>
                <w:rFonts w:hint="eastAsia" w:ascii="Times New Roman" w:hAnsi="Times New Roman" w:eastAsia="宋体" w:cs="Times New Roman"/>
                <w:color w:val="auto"/>
                <w:szCs w:val="21"/>
                <w:lang w:val="en-US" w:eastAsia="zh-CN"/>
              </w:rPr>
            </w:pPr>
          </w:p>
        </w:tc>
        <w:tc>
          <w:tcPr>
            <w:tcW w:w="1943" w:type="dxa"/>
            <w:vMerge w:val="continue"/>
            <w:vAlign w:val="center"/>
          </w:tcPr>
          <w:p>
            <w:pPr>
              <w:jc w:val="center"/>
              <w:rPr>
                <w:rFonts w:hint="eastAsia" w:ascii="Times New Roman" w:hAnsi="Times New Roman" w:eastAsia="宋体" w:cs="Times New Roman"/>
                <w:color w:val="auto"/>
                <w:szCs w:val="21"/>
                <w:lang w:val="en-US" w:eastAsia="zh-CN"/>
              </w:rPr>
            </w:pPr>
          </w:p>
        </w:tc>
        <w:tc>
          <w:tcPr>
            <w:tcW w:w="1045" w:type="dxa"/>
            <w:vMerge w:val="restart"/>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镉</w:t>
            </w:r>
          </w:p>
        </w:tc>
        <w:tc>
          <w:tcPr>
            <w:tcW w:w="985" w:type="dxa"/>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水田</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0.3</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0.4</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0.6</w:t>
            </w:r>
          </w:p>
        </w:tc>
        <w:tc>
          <w:tcPr>
            <w:tcW w:w="1011"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 w:type="dxa"/>
            <w:vMerge w:val="continue"/>
            <w:vAlign w:val="center"/>
          </w:tcPr>
          <w:p>
            <w:pPr>
              <w:jc w:val="center"/>
              <w:rPr>
                <w:rFonts w:hint="eastAsia" w:ascii="Times New Roman" w:hAnsi="Times New Roman" w:eastAsia="宋体" w:cs="Times New Roman"/>
                <w:color w:val="auto"/>
                <w:szCs w:val="21"/>
                <w:lang w:val="en-US" w:eastAsia="zh-CN"/>
              </w:rPr>
            </w:pPr>
          </w:p>
        </w:tc>
        <w:tc>
          <w:tcPr>
            <w:tcW w:w="1943" w:type="dxa"/>
            <w:vMerge w:val="continue"/>
            <w:vAlign w:val="center"/>
          </w:tcPr>
          <w:p>
            <w:pPr>
              <w:jc w:val="center"/>
              <w:rPr>
                <w:rFonts w:hint="eastAsia" w:ascii="Times New Roman" w:hAnsi="Times New Roman" w:eastAsia="宋体" w:cs="Times New Roman"/>
                <w:color w:val="auto"/>
                <w:szCs w:val="21"/>
                <w:lang w:val="en-US" w:eastAsia="zh-CN"/>
              </w:rPr>
            </w:pPr>
          </w:p>
        </w:tc>
        <w:tc>
          <w:tcPr>
            <w:tcW w:w="1045" w:type="dxa"/>
            <w:vMerge w:val="continue"/>
            <w:vAlign w:val="center"/>
          </w:tcPr>
          <w:p>
            <w:pPr>
              <w:jc w:val="center"/>
              <w:rPr>
                <w:rFonts w:hint="eastAsia" w:ascii="Times New Roman" w:hAnsi="Times New Roman" w:eastAsia="宋体" w:cs="Times New Roman"/>
                <w:color w:val="auto"/>
                <w:szCs w:val="21"/>
                <w:lang w:val="en-US" w:eastAsia="zh-CN"/>
              </w:rPr>
            </w:pPr>
          </w:p>
        </w:tc>
        <w:tc>
          <w:tcPr>
            <w:tcW w:w="985" w:type="dxa"/>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其他</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0.3</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0.3</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0.3</w:t>
            </w:r>
          </w:p>
        </w:tc>
        <w:tc>
          <w:tcPr>
            <w:tcW w:w="1011"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 w:type="dxa"/>
            <w:vMerge w:val="continue"/>
            <w:vAlign w:val="center"/>
          </w:tcPr>
          <w:p>
            <w:pPr>
              <w:jc w:val="center"/>
              <w:rPr>
                <w:rFonts w:hint="eastAsia" w:ascii="Times New Roman" w:hAnsi="Times New Roman" w:eastAsia="宋体" w:cs="Times New Roman"/>
                <w:color w:val="auto"/>
                <w:szCs w:val="21"/>
                <w:lang w:val="en-US" w:eastAsia="zh-CN"/>
              </w:rPr>
            </w:pPr>
          </w:p>
        </w:tc>
        <w:tc>
          <w:tcPr>
            <w:tcW w:w="1943" w:type="dxa"/>
            <w:vMerge w:val="continue"/>
            <w:vAlign w:val="center"/>
          </w:tcPr>
          <w:p>
            <w:pPr>
              <w:jc w:val="center"/>
              <w:rPr>
                <w:rFonts w:hint="eastAsia" w:ascii="Times New Roman" w:hAnsi="Times New Roman" w:eastAsia="宋体" w:cs="Times New Roman"/>
                <w:color w:val="auto"/>
                <w:szCs w:val="21"/>
                <w:lang w:val="en-US" w:eastAsia="zh-CN"/>
              </w:rPr>
            </w:pPr>
          </w:p>
        </w:tc>
        <w:tc>
          <w:tcPr>
            <w:tcW w:w="1045" w:type="dxa"/>
            <w:vMerge w:val="restart"/>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汞</w:t>
            </w:r>
          </w:p>
        </w:tc>
        <w:tc>
          <w:tcPr>
            <w:tcW w:w="985" w:type="dxa"/>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水田</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0.5</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0.5</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0.6</w:t>
            </w:r>
          </w:p>
        </w:tc>
        <w:tc>
          <w:tcPr>
            <w:tcW w:w="1011"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 w:type="dxa"/>
            <w:vMerge w:val="continue"/>
            <w:vAlign w:val="center"/>
          </w:tcPr>
          <w:p>
            <w:pPr>
              <w:jc w:val="center"/>
              <w:rPr>
                <w:rFonts w:hint="eastAsia" w:ascii="Times New Roman" w:hAnsi="Times New Roman" w:eastAsia="宋体" w:cs="Times New Roman"/>
                <w:color w:val="auto"/>
                <w:szCs w:val="21"/>
                <w:lang w:val="en-US" w:eastAsia="zh-CN"/>
              </w:rPr>
            </w:pPr>
          </w:p>
        </w:tc>
        <w:tc>
          <w:tcPr>
            <w:tcW w:w="1943" w:type="dxa"/>
            <w:vMerge w:val="continue"/>
            <w:vAlign w:val="center"/>
          </w:tcPr>
          <w:p>
            <w:pPr>
              <w:jc w:val="center"/>
              <w:rPr>
                <w:rFonts w:hint="eastAsia" w:ascii="Times New Roman" w:hAnsi="Times New Roman" w:eastAsia="宋体" w:cs="Times New Roman"/>
                <w:color w:val="auto"/>
                <w:szCs w:val="21"/>
                <w:lang w:val="en-US" w:eastAsia="zh-CN"/>
              </w:rPr>
            </w:pPr>
          </w:p>
        </w:tc>
        <w:tc>
          <w:tcPr>
            <w:tcW w:w="1045" w:type="dxa"/>
            <w:vMerge w:val="continue"/>
            <w:vAlign w:val="center"/>
          </w:tcPr>
          <w:p>
            <w:pPr>
              <w:jc w:val="center"/>
              <w:rPr>
                <w:rFonts w:hint="eastAsia" w:ascii="Times New Roman" w:hAnsi="Times New Roman" w:eastAsia="宋体" w:cs="Times New Roman"/>
                <w:color w:val="auto"/>
                <w:szCs w:val="21"/>
                <w:lang w:val="en-US" w:eastAsia="zh-CN"/>
              </w:rPr>
            </w:pPr>
          </w:p>
        </w:tc>
        <w:tc>
          <w:tcPr>
            <w:tcW w:w="985" w:type="dxa"/>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其他</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1.3</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1.8</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2.4</w:t>
            </w:r>
          </w:p>
        </w:tc>
        <w:tc>
          <w:tcPr>
            <w:tcW w:w="1011"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 w:type="dxa"/>
            <w:vMerge w:val="continue"/>
            <w:vAlign w:val="center"/>
          </w:tcPr>
          <w:p>
            <w:pPr>
              <w:jc w:val="center"/>
              <w:rPr>
                <w:rFonts w:hint="eastAsia" w:ascii="Times New Roman" w:hAnsi="Times New Roman" w:eastAsia="宋体" w:cs="Times New Roman"/>
                <w:color w:val="auto"/>
                <w:szCs w:val="21"/>
                <w:lang w:val="en-US" w:eastAsia="zh-CN"/>
              </w:rPr>
            </w:pPr>
          </w:p>
        </w:tc>
        <w:tc>
          <w:tcPr>
            <w:tcW w:w="1943" w:type="dxa"/>
            <w:vMerge w:val="continue"/>
            <w:vAlign w:val="center"/>
          </w:tcPr>
          <w:p>
            <w:pPr>
              <w:jc w:val="center"/>
              <w:rPr>
                <w:rFonts w:hint="eastAsia" w:ascii="Times New Roman" w:hAnsi="Times New Roman" w:eastAsia="宋体" w:cs="Times New Roman"/>
                <w:color w:val="auto"/>
                <w:szCs w:val="21"/>
                <w:lang w:val="en-US" w:eastAsia="zh-CN"/>
              </w:rPr>
            </w:pPr>
          </w:p>
        </w:tc>
        <w:tc>
          <w:tcPr>
            <w:tcW w:w="1045" w:type="dxa"/>
            <w:vMerge w:val="restart"/>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砷</w:t>
            </w:r>
          </w:p>
        </w:tc>
        <w:tc>
          <w:tcPr>
            <w:tcW w:w="985" w:type="dxa"/>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水田</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30</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30</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25</w:t>
            </w:r>
          </w:p>
        </w:tc>
        <w:tc>
          <w:tcPr>
            <w:tcW w:w="1011"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 w:type="dxa"/>
            <w:vMerge w:val="continue"/>
            <w:vAlign w:val="center"/>
          </w:tcPr>
          <w:p>
            <w:pPr>
              <w:jc w:val="center"/>
              <w:rPr>
                <w:rFonts w:hint="eastAsia" w:ascii="Times New Roman" w:hAnsi="Times New Roman" w:eastAsia="宋体" w:cs="Times New Roman"/>
                <w:color w:val="auto"/>
                <w:szCs w:val="21"/>
                <w:lang w:val="en-US" w:eastAsia="zh-CN"/>
              </w:rPr>
            </w:pPr>
          </w:p>
        </w:tc>
        <w:tc>
          <w:tcPr>
            <w:tcW w:w="1943" w:type="dxa"/>
            <w:vMerge w:val="continue"/>
            <w:vAlign w:val="center"/>
          </w:tcPr>
          <w:p>
            <w:pPr>
              <w:jc w:val="center"/>
              <w:rPr>
                <w:rFonts w:hint="eastAsia" w:ascii="Times New Roman" w:hAnsi="Times New Roman" w:eastAsia="宋体" w:cs="Times New Roman"/>
                <w:color w:val="auto"/>
                <w:szCs w:val="21"/>
                <w:lang w:val="en-US" w:eastAsia="zh-CN"/>
              </w:rPr>
            </w:pPr>
          </w:p>
        </w:tc>
        <w:tc>
          <w:tcPr>
            <w:tcW w:w="1045" w:type="dxa"/>
            <w:vMerge w:val="continue"/>
            <w:vAlign w:val="center"/>
          </w:tcPr>
          <w:p>
            <w:pPr>
              <w:jc w:val="center"/>
              <w:rPr>
                <w:rFonts w:hint="eastAsia" w:ascii="Times New Roman" w:hAnsi="Times New Roman" w:eastAsia="宋体" w:cs="Times New Roman"/>
                <w:color w:val="auto"/>
                <w:szCs w:val="21"/>
                <w:lang w:val="en-US" w:eastAsia="zh-CN"/>
              </w:rPr>
            </w:pPr>
          </w:p>
        </w:tc>
        <w:tc>
          <w:tcPr>
            <w:tcW w:w="985" w:type="dxa"/>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其他</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40</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40</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30</w:t>
            </w:r>
          </w:p>
        </w:tc>
        <w:tc>
          <w:tcPr>
            <w:tcW w:w="1011"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 w:type="dxa"/>
            <w:vMerge w:val="continue"/>
            <w:vAlign w:val="center"/>
          </w:tcPr>
          <w:p>
            <w:pPr>
              <w:jc w:val="center"/>
              <w:rPr>
                <w:rFonts w:hint="eastAsia" w:ascii="Times New Roman" w:hAnsi="Times New Roman" w:eastAsia="宋体" w:cs="Times New Roman"/>
                <w:color w:val="auto"/>
                <w:szCs w:val="21"/>
                <w:lang w:val="en-US" w:eastAsia="zh-CN"/>
              </w:rPr>
            </w:pPr>
          </w:p>
        </w:tc>
        <w:tc>
          <w:tcPr>
            <w:tcW w:w="1943" w:type="dxa"/>
            <w:vMerge w:val="continue"/>
            <w:vAlign w:val="center"/>
          </w:tcPr>
          <w:p>
            <w:pPr>
              <w:jc w:val="center"/>
              <w:rPr>
                <w:rFonts w:hint="eastAsia" w:ascii="Times New Roman" w:hAnsi="Times New Roman" w:eastAsia="宋体" w:cs="Times New Roman"/>
                <w:color w:val="auto"/>
                <w:szCs w:val="21"/>
                <w:lang w:val="en-US" w:eastAsia="zh-CN"/>
              </w:rPr>
            </w:pPr>
          </w:p>
        </w:tc>
        <w:tc>
          <w:tcPr>
            <w:tcW w:w="1045" w:type="dxa"/>
            <w:vMerge w:val="restart"/>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铅</w:t>
            </w:r>
          </w:p>
        </w:tc>
        <w:tc>
          <w:tcPr>
            <w:tcW w:w="985" w:type="dxa"/>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水田</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80</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100</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140</w:t>
            </w:r>
          </w:p>
        </w:tc>
        <w:tc>
          <w:tcPr>
            <w:tcW w:w="1011"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 w:type="dxa"/>
            <w:vMerge w:val="continue"/>
            <w:vAlign w:val="center"/>
          </w:tcPr>
          <w:p>
            <w:pPr>
              <w:jc w:val="center"/>
              <w:rPr>
                <w:rFonts w:hint="eastAsia" w:ascii="Times New Roman" w:hAnsi="Times New Roman" w:eastAsia="宋体" w:cs="Times New Roman"/>
                <w:color w:val="auto"/>
                <w:szCs w:val="21"/>
                <w:lang w:val="en-US" w:eastAsia="zh-CN"/>
              </w:rPr>
            </w:pPr>
          </w:p>
        </w:tc>
        <w:tc>
          <w:tcPr>
            <w:tcW w:w="1943" w:type="dxa"/>
            <w:vMerge w:val="continue"/>
            <w:vAlign w:val="center"/>
          </w:tcPr>
          <w:p>
            <w:pPr>
              <w:jc w:val="center"/>
              <w:rPr>
                <w:rFonts w:hint="eastAsia" w:ascii="Times New Roman" w:hAnsi="Times New Roman" w:eastAsia="宋体" w:cs="Times New Roman"/>
                <w:color w:val="auto"/>
                <w:szCs w:val="21"/>
                <w:lang w:val="en-US" w:eastAsia="zh-CN"/>
              </w:rPr>
            </w:pPr>
          </w:p>
        </w:tc>
        <w:tc>
          <w:tcPr>
            <w:tcW w:w="1045" w:type="dxa"/>
            <w:vMerge w:val="continue"/>
            <w:vAlign w:val="center"/>
          </w:tcPr>
          <w:p>
            <w:pPr>
              <w:jc w:val="center"/>
              <w:rPr>
                <w:rFonts w:hint="eastAsia" w:ascii="Times New Roman" w:hAnsi="Times New Roman" w:eastAsia="宋体" w:cs="Times New Roman"/>
                <w:color w:val="auto"/>
                <w:szCs w:val="21"/>
                <w:lang w:val="en-US" w:eastAsia="zh-CN"/>
              </w:rPr>
            </w:pPr>
          </w:p>
        </w:tc>
        <w:tc>
          <w:tcPr>
            <w:tcW w:w="985" w:type="dxa"/>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其他</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70</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120</w:t>
            </w:r>
          </w:p>
        </w:tc>
        <w:tc>
          <w:tcPr>
            <w:tcW w:w="1011"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 w:type="dxa"/>
            <w:vMerge w:val="continue"/>
            <w:vAlign w:val="center"/>
          </w:tcPr>
          <w:p>
            <w:pPr>
              <w:jc w:val="center"/>
              <w:rPr>
                <w:rFonts w:hint="eastAsia" w:ascii="Times New Roman" w:hAnsi="Times New Roman" w:eastAsia="宋体" w:cs="Times New Roman"/>
                <w:color w:val="auto"/>
                <w:szCs w:val="21"/>
                <w:lang w:val="en-US" w:eastAsia="zh-CN"/>
              </w:rPr>
            </w:pPr>
          </w:p>
        </w:tc>
        <w:tc>
          <w:tcPr>
            <w:tcW w:w="1943" w:type="dxa"/>
            <w:vMerge w:val="continue"/>
            <w:vAlign w:val="center"/>
          </w:tcPr>
          <w:p>
            <w:pPr>
              <w:jc w:val="center"/>
              <w:rPr>
                <w:rFonts w:hint="eastAsia" w:ascii="Times New Roman" w:hAnsi="Times New Roman" w:eastAsia="宋体" w:cs="Times New Roman"/>
                <w:color w:val="auto"/>
                <w:szCs w:val="21"/>
                <w:lang w:val="en-US" w:eastAsia="zh-CN"/>
              </w:rPr>
            </w:pPr>
          </w:p>
        </w:tc>
        <w:tc>
          <w:tcPr>
            <w:tcW w:w="1045" w:type="dxa"/>
            <w:vMerge w:val="restart"/>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铬</w:t>
            </w:r>
          </w:p>
        </w:tc>
        <w:tc>
          <w:tcPr>
            <w:tcW w:w="985" w:type="dxa"/>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水田</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250</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250</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300</w:t>
            </w:r>
          </w:p>
        </w:tc>
        <w:tc>
          <w:tcPr>
            <w:tcW w:w="1011"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 w:type="dxa"/>
            <w:vMerge w:val="continue"/>
            <w:vAlign w:val="center"/>
          </w:tcPr>
          <w:p>
            <w:pPr>
              <w:jc w:val="center"/>
              <w:rPr>
                <w:rFonts w:hint="eastAsia" w:ascii="Times New Roman" w:hAnsi="Times New Roman" w:eastAsia="宋体" w:cs="Times New Roman"/>
                <w:color w:val="auto"/>
                <w:szCs w:val="21"/>
                <w:lang w:val="en-US" w:eastAsia="zh-CN"/>
              </w:rPr>
            </w:pPr>
          </w:p>
        </w:tc>
        <w:tc>
          <w:tcPr>
            <w:tcW w:w="1943" w:type="dxa"/>
            <w:vMerge w:val="continue"/>
            <w:vAlign w:val="center"/>
          </w:tcPr>
          <w:p>
            <w:pPr>
              <w:jc w:val="center"/>
              <w:rPr>
                <w:rFonts w:hint="eastAsia" w:ascii="Times New Roman" w:hAnsi="Times New Roman" w:eastAsia="宋体" w:cs="Times New Roman"/>
                <w:color w:val="auto"/>
                <w:szCs w:val="21"/>
                <w:lang w:val="en-US" w:eastAsia="zh-CN"/>
              </w:rPr>
            </w:pPr>
          </w:p>
        </w:tc>
        <w:tc>
          <w:tcPr>
            <w:tcW w:w="1045" w:type="dxa"/>
            <w:vMerge w:val="continue"/>
            <w:vAlign w:val="center"/>
          </w:tcPr>
          <w:p>
            <w:pPr>
              <w:jc w:val="center"/>
              <w:rPr>
                <w:rFonts w:hint="eastAsia" w:ascii="Times New Roman" w:hAnsi="Times New Roman" w:eastAsia="宋体" w:cs="Times New Roman"/>
                <w:color w:val="auto"/>
                <w:szCs w:val="21"/>
                <w:lang w:val="en-US" w:eastAsia="zh-CN"/>
              </w:rPr>
            </w:pPr>
          </w:p>
        </w:tc>
        <w:tc>
          <w:tcPr>
            <w:tcW w:w="985" w:type="dxa"/>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其他</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150</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150</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200</w:t>
            </w:r>
          </w:p>
        </w:tc>
        <w:tc>
          <w:tcPr>
            <w:tcW w:w="1011"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 w:type="dxa"/>
            <w:vMerge w:val="continue"/>
            <w:vAlign w:val="center"/>
          </w:tcPr>
          <w:p>
            <w:pPr>
              <w:jc w:val="center"/>
              <w:rPr>
                <w:rFonts w:hint="eastAsia" w:ascii="Times New Roman" w:hAnsi="Times New Roman" w:eastAsia="宋体" w:cs="Times New Roman"/>
                <w:color w:val="auto"/>
                <w:szCs w:val="21"/>
                <w:lang w:val="en-US" w:eastAsia="zh-CN"/>
              </w:rPr>
            </w:pPr>
          </w:p>
        </w:tc>
        <w:tc>
          <w:tcPr>
            <w:tcW w:w="1943" w:type="dxa"/>
            <w:vMerge w:val="continue"/>
            <w:vAlign w:val="center"/>
          </w:tcPr>
          <w:p>
            <w:pPr>
              <w:jc w:val="center"/>
              <w:rPr>
                <w:rFonts w:hint="eastAsia" w:ascii="Times New Roman" w:hAnsi="Times New Roman" w:eastAsia="宋体" w:cs="Times New Roman"/>
                <w:color w:val="auto"/>
                <w:szCs w:val="21"/>
                <w:lang w:val="en-US" w:eastAsia="zh-CN"/>
              </w:rPr>
            </w:pPr>
          </w:p>
        </w:tc>
        <w:tc>
          <w:tcPr>
            <w:tcW w:w="1045" w:type="dxa"/>
            <w:vMerge w:val="restart"/>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铜</w:t>
            </w:r>
          </w:p>
        </w:tc>
        <w:tc>
          <w:tcPr>
            <w:tcW w:w="985" w:type="dxa"/>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果园</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150</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150</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200</w:t>
            </w:r>
          </w:p>
        </w:tc>
        <w:tc>
          <w:tcPr>
            <w:tcW w:w="1011"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 w:type="dxa"/>
            <w:vMerge w:val="continue"/>
            <w:vAlign w:val="center"/>
          </w:tcPr>
          <w:p>
            <w:pPr>
              <w:jc w:val="center"/>
              <w:rPr>
                <w:rFonts w:hint="eastAsia" w:ascii="Times New Roman" w:hAnsi="Times New Roman" w:eastAsia="宋体" w:cs="Times New Roman"/>
                <w:color w:val="auto"/>
                <w:szCs w:val="21"/>
                <w:lang w:val="en-US" w:eastAsia="zh-CN"/>
              </w:rPr>
            </w:pPr>
          </w:p>
        </w:tc>
        <w:tc>
          <w:tcPr>
            <w:tcW w:w="1943" w:type="dxa"/>
            <w:vMerge w:val="continue"/>
            <w:vAlign w:val="center"/>
          </w:tcPr>
          <w:p>
            <w:pPr>
              <w:jc w:val="center"/>
              <w:rPr>
                <w:rFonts w:hint="eastAsia" w:ascii="Times New Roman" w:hAnsi="Times New Roman" w:eastAsia="宋体" w:cs="Times New Roman"/>
                <w:color w:val="auto"/>
                <w:szCs w:val="21"/>
                <w:lang w:val="en-US" w:eastAsia="zh-CN"/>
              </w:rPr>
            </w:pPr>
          </w:p>
        </w:tc>
        <w:tc>
          <w:tcPr>
            <w:tcW w:w="1045" w:type="dxa"/>
            <w:vMerge w:val="continue"/>
            <w:vAlign w:val="center"/>
          </w:tcPr>
          <w:p>
            <w:pPr>
              <w:jc w:val="center"/>
              <w:rPr>
                <w:rFonts w:hint="eastAsia" w:ascii="Times New Roman" w:hAnsi="Times New Roman" w:eastAsia="宋体" w:cs="Times New Roman"/>
                <w:color w:val="auto"/>
                <w:szCs w:val="21"/>
                <w:lang w:val="en-US" w:eastAsia="zh-CN"/>
              </w:rPr>
            </w:pPr>
          </w:p>
        </w:tc>
        <w:tc>
          <w:tcPr>
            <w:tcW w:w="985" w:type="dxa"/>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其他</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50</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50</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100</w:t>
            </w:r>
          </w:p>
        </w:tc>
        <w:tc>
          <w:tcPr>
            <w:tcW w:w="1011"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 w:type="dxa"/>
            <w:vMerge w:val="continue"/>
            <w:vAlign w:val="center"/>
          </w:tcPr>
          <w:p>
            <w:pPr>
              <w:jc w:val="center"/>
              <w:rPr>
                <w:rFonts w:hint="eastAsia" w:ascii="Times New Roman" w:hAnsi="Times New Roman" w:eastAsia="宋体" w:cs="Times New Roman"/>
                <w:color w:val="auto"/>
                <w:szCs w:val="21"/>
                <w:lang w:val="en-US" w:eastAsia="zh-CN"/>
              </w:rPr>
            </w:pPr>
          </w:p>
        </w:tc>
        <w:tc>
          <w:tcPr>
            <w:tcW w:w="1943" w:type="dxa"/>
            <w:vMerge w:val="continue"/>
            <w:vAlign w:val="center"/>
          </w:tcPr>
          <w:p>
            <w:pPr>
              <w:jc w:val="center"/>
              <w:rPr>
                <w:rFonts w:hint="eastAsia" w:ascii="Times New Roman" w:hAnsi="Times New Roman" w:eastAsia="宋体" w:cs="Times New Roman"/>
                <w:color w:val="auto"/>
                <w:szCs w:val="21"/>
                <w:lang w:val="en-US" w:eastAsia="zh-CN"/>
              </w:rPr>
            </w:pPr>
          </w:p>
        </w:tc>
        <w:tc>
          <w:tcPr>
            <w:tcW w:w="2030" w:type="dxa"/>
            <w:gridSpan w:val="2"/>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镍</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60</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70</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100</w:t>
            </w:r>
          </w:p>
        </w:tc>
        <w:tc>
          <w:tcPr>
            <w:tcW w:w="1011"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 w:type="dxa"/>
            <w:vMerge w:val="continue"/>
            <w:vAlign w:val="center"/>
          </w:tcPr>
          <w:p>
            <w:pPr>
              <w:jc w:val="center"/>
              <w:rPr>
                <w:rFonts w:hint="eastAsia" w:ascii="Times New Roman" w:hAnsi="Times New Roman" w:eastAsia="宋体" w:cs="Times New Roman"/>
                <w:color w:val="auto"/>
                <w:szCs w:val="21"/>
                <w:lang w:val="en-US" w:eastAsia="zh-CN"/>
              </w:rPr>
            </w:pPr>
          </w:p>
        </w:tc>
        <w:tc>
          <w:tcPr>
            <w:tcW w:w="1943" w:type="dxa"/>
            <w:vMerge w:val="continue"/>
            <w:vAlign w:val="center"/>
          </w:tcPr>
          <w:p>
            <w:pPr>
              <w:jc w:val="center"/>
              <w:rPr>
                <w:rFonts w:hint="eastAsia" w:ascii="Times New Roman" w:hAnsi="Times New Roman" w:eastAsia="宋体" w:cs="Times New Roman"/>
                <w:color w:val="auto"/>
                <w:szCs w:val="21"/>
                <w:lang w:val="en-US" w:eastAsia="zh-CN"/>
              </w:rPr>
            </w:pPr>
          </w:p>
        </w:tc>
        <w:tc>
          <w:tcPr>
            <w:tcW w:w="2030" w:type="dxa"/>
            <w:gridSpan w:val="2"/>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锌</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200</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200</w:t>
            </w:r>
          </w:p>
        </w:tc>
        <w:tc>
          <w:tcPr>
            <w:tcW w:w="1084"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250</w:t>
            </w:r>
          </w:p>
        </w:tc>
        <w:tc>
          <w:tcPr>
            <w:tcW w:w="1011"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300</w:t>
            </w:r>
          </w:p>
        </w:tc>
      </w:tr>
    </w:tbl>
    <w:p>
      <w:pPr>
        <w:pStyle w:val="33"/>
        <w:ind w:left="0" w:leftChars="0" w:firstLine="0" w:firstLineChars="0"/>
        <w:rPr>
          <w:rFonts w:hint="eastAsia"/>
          <w:color w:val="auto"/>
          <w:lang w:eastAsia="zh-CN"/>
        </w:rPr>
      </w:pPr>
    </w:p>
    <w:p>
      <w:pPr>
        <w:pStyle w:val="6"/>
        <w:adjustRightInd w:val="0"/>
        <w:snapToGrid w:val="0"/>
        <w:spacing w:before="0" w:after="0" w:line="360" w:lineRule="auto"/>
        <w:rPr>
          <w:rFonts w:ascii="Times New Roman" w:hAnsi="Times New Roman" w:eastAsia="宋体"/>
          <w:color w:val="auto"/>
          <w:sz w:val="28"/>
          <w:szCs w:val="28"/>
        </w:rPr>
      </w:pPr>
      <w:r>
        <w:rPr>
          <w:rFonts w:ascii="Times New Roman" w:hAnsi="Times New Roman" w:eastAsia="宋体"/>
          <w:color w:val="auto"/>
          <w:sz w:val="28"/>
          <w:szCs w:val="28"/>
        </w:rPr>
        <w:t>1.4.2排放标准</w:t>
      </w:r>
      <w:bookmarkEnd w:id="36"/>
      <w:bookmarkEnd w:id="37"/>
    </w:p>
    <w:p>
      <w:pPr>
        <w:adjustRightInd w:val="0"/>
        <w:snapToGrid w:val="0"/>
        <w:spacing w:line="360" w:lineRule="auto"/>
        <w:ind w:firstLine="482" w:firstLineChars="200"/>
        <w:rPr>
          <w:rFonts w:ascii="Times New Roman" w:hAnsi="Times New Roman" w:eastAsia="宋体" w:cs="Times New Roman"/>
          <w:b/>
          <w:bCs/>
          <w:color w:val="auto"/>
          <w:sz w:val="24"/>
          <w:szCs w:val="24"/>
        </w:rPr>
      </w:pPr>
      <w:r>
        <w:rPr>
          <w:rFonts w:hint="eastAsia" w:ascii="Times New Roman" w:hAnsi="Times New Roman" w:eastAsia="宋体" w:cs="Times New Roman"/>
          <w:b/>
          <w:bCs/>
          <w:color w:val="auto"/>
          <w:sz w:val="24"/>
          <w:szCs w:val="24"/>
        </w:rPr>
        <w:t>1、废气排放标准</w:t>
      </w:r>
    </w:p>
    <w:p>
      <w:pPr>
        <w:adjustRightInd w:val="0"/>
        <w:snapToGrid w:val="0"/>
        <w:spacing w:line="360" w:lineRule="auto"/>
        <w:ind w:firstLine="480" w:firstLineChars="200"/>
        <w:rPr>
          <w:color w:val="auto"/>
        </w:rPr>
      </w:pPr>
      <w:r>
        <w:rPr>
          <w:rFonts w:hint="eastAsia" w:ascii="Times New Roman" w:hAnsi="Times New Roman" w:eastAsia="宋体" w:cs="Times New Roman"/>
          <w:color w:val="auto"/>
          <w:sz w:val="24"/>
          <w:szCs w:val="24"/>
          <w:lang w:eastAsia="zh-CN"/>
        </w:rPr>
        <w:t>本项目废气污染源主要为各猪舍、污水处理区以及堆粪间产生的恶臭，</w:t>
      </w:r>
      <w:r>
        <w:rPr>
          <w:rFonts w:hint="eastAsia" w:ascii="Times New Roman" w:hAnsi="Times New Roman" w:eastAsia="宋体" w:cs="Times New Roman"/>
          <w:color w:val="auto"/>
          <w:sz w:val="24"/>
          <w:szCs w:val="24"/>
        </w:rPr>
        <w:t>NH</w:t>
      </w:r>
      <w:r>
        <w:rPr>
          <w:rFonts w:hint="eastAsia" w:ascii="Times New Roman" w:hAnsi="Times New Roman" w:eastAsia="宋体" w:cs="Times New Roman"/>
          <w:color w:val="auto"/>
          <w:sz w:val="24"/>
          <w:szCs w:val="24"/>
          <w:vertAlign w:val="subscript"/>
        </w:rPr>
        <w:t>3</w:t>
      </w:r>
      <w:r>
        <w:rPr>
          <w:rFonts w:hint="eastAsia" w:ascii="Times New Roman" w:hAnsi="Times New Roman" w:eastAsia="宋体" w:cs="Times New Roman"/>
          <w:color w:val="auto"/>
          <w:sz w:val="24"/>
          <w:szCs w:val="24"/>
        </w:rPr>
        <w:t>、H</w:t>
      </w:r>
      <w:r>
        <w:rPr>
          <w:rFonts w:hint="eastAsia" w:ascii="Times New Roman" w:hAnsi="Times New Roman" w:eastAsia="宋体" w:cs="Times New Roman"/>
          <w:color w:val="auto"/>
          <w:sz w:val="24"/>
          <w:szCs w:val="24"/>
          <w:vertAlign w:val="subscript"/>
        </w:rPr>
        <w:t>2</w:t>
      </w:r>
      <w:r>
        <w:rPr>
          <w:rFonts w:hint="eastAsia" w:ascii="Times New Roman" w:hAnsi="Times New Roman" w:eastAsia="宋体" w:cs="Times New Roman"/>
          <w:color w:val="auto"/>
          <w:sz w:val="24"/>
          <w:szCs w:val="24"/>
        </w:rPr>
        <w:t>S 无组织排放执行《恶臭污染物排放标准》（GB14554-93） 表 1 恶臭污染物厂界标准值的规定；臭气浓度执行《畜禽养殖业污染物排放标准》 （GB18596-2001）中表 7 集约化畜禽养殖业恶臭污染物排放标准的规定；食堂油烟参照执行《饮食业油烟排放标准（试行）》（GB18483-2001）中相关标准。</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color w:val="auto"/>
          <w:sz w:val="21"/>
          <w:szCs w:val="21"/>
          <w:lang w:eastAsia="zh-CN"/>
        </w:rPr>
      </w:pPr>
      <w:r>
        <w:rPr>
          <w:rFonts w:hint="default" w:ascii="Times New Roman" w:hAnsi="Times New Roman" w:eastAsia="宋体" w:cs="Times New Roman"/>
          <w:b/>
          <w:color w:val="auto"/>
          <w:sz w:val="21"/>
          <w:szCs w:val="21"/>
        </w:rPr>
        <w:t>表1.4-</w:t>
      </w:r>
      <w:r>
        <w:rPr>
          <w:rFonts w:hint="eastAsia" w:ascii="Times New Roman" w:hAnsi="Times New Roman" w:eastAsia="宋体" w:cs="Times New Roman"/>
          <w:b/>
          <w:color w:val="auto"/>
          <w:sz w:val="21"/>
          <w:szCs w:val="21"/>
          <w:lang w:val="en-US" w:eastAsia="zh-CN"/>
        </w:rPr>
        <w:t>6</w:t>
      </w:r>
      <w:r>
        <w:rPr>
          <w:rFonts w:hint="default" w:ascii="Times New Roman" w:hAnsi="Times New Roman" w:eastAsia="宋体" w:cs="Times New Roman"/>
          <w:b/>
          <w:color w:val="auto"/>
          <w:sz w:val="21"/>
          <w:szCs w:val="21"/>
        </w:rPr>
        <w:t xml:space="preserve"> </w:t>
      </w:r>
      <w:r>
        <w:rPr>
          <w:rFonts w:hint="eastAsia" w:ascii="Times New Roman" w:hAnsi="Times New Roman" w:eastAsia="宋体" w:cs="Times New Roman"/>
          <w:b/>
          <w:color w:val="auto"/>
          <w:sz w:val="21"/>
          <w:szCs w:val="21"/>
          <w:lang w:eastAsia="zh-CN"/>
        </w:rPr>
        <w:t>大气污染物排放标准</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5"/>
        <w:gridCol w:w="915"/>
        <w:gridCol w:w="1305"/>
        <w:gridCol w:w="1170"/>
        <w:gridCol w:w="1155"/>
        <w:gridCol w:w="1830"/>
        <w:gridCol w:w="2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pPr>
              <w:autoSpaceDE w:val="0"/>
              <w:autoSpaceDN w:val="0"/>
              <w:jc w:val="center"/>
              <w:rPr>
                <w:rFonts w:hint="eastAsia" w:ascii="Times New Roman" w:hAnsi="Times New Roman" w:eastAsia="宋体"/>
                <w:b/>
                <w:bCs/>
                <w:color w:val="auto"/>
                <w:szCs w:val="21"/>
                <w:lang w:eastAsia="zh-CN"/>
              </w:rPr>
            </w:pPr>
            <w:r>
              <w:rPr>
                <w:rFonts w:hint="eastAsia" w:ascii="Times New Roman" w:hAnsi="Times New Roman" w:eastAsia="宋体"/>
                <w:b/>
                <w:bCs/>
                <w:color w:val="auto"/>
                <w:szCs w:val="21"/>
                <w:lang w:eastAsia="zh-CN"/>
              </w:rPr>
              <w:t>序号</w:t>
            </w:r>
          </w:p>
        </w:tc>
        <w:tc>
          <w:tcPr>
            <w:tcW w:w="915" w:type="dxa"/>
            <w:vAlign w:val="center"/>
          </w:tcPr>
          <w:p>
            <w:pPr>
              <w:autoSpaceDE w:val="0"/>
              <w:autoSpaceDN w:val="0"/>
              <w:jc w:val="center"/>
              <w:rPr>
                <w:rFonts w:hint="eastAsia" w:ascii="Times New Roman" w:hAnsi="Times New Roman" w:eastAsia="宋体"/>
                <w:b/>
                <w:bCs/>
                <w:color w:val="auto"/>
                <w:szCs w:val="21"/>
                <w:lang w:eastAsia="zh-CN"/>
              </w:rPr>
            </w:pPr>
            <w:r>
              <w:rPr>
                <w:rFonts w:hint="eastAsia" w:ascii="Times New Roman" w:hAnsi="Times New Roman" w:eastAsia="宋体"/>
                <w:b/>
                <w:bCs/>
                <w:color w:val="auto"/>
                <w:szCs w:val="21"/>
                <w:lang w:eastAsia="zh-CN"/>
              </w:rPr>
              <w:t>污染物</w:t>
            </w:r>
          </w:p>
        </w:tc>
        <w:tc>
          <w:tcPr>
            <w:tcW w:w="1305" w:type="dxa"/>
            <w:vAlign w:val="center"/>
          </w:tcPr>
          <w:p>
            <w:pPr>
              <w:autoSpaceDE w:val="0"/>
              <w:autoSpaceDN w:val="0"/>
              <w:jc w:val="center"/>
              <w:rPr>
                <w:rFonts w:hint="eastAsia" w:ascii="Times New Roman" w:hAnsi="Times New Roman" w:eastAsia="宋体"/>
                <w:b/>
                <w:bCs/>
                <w:color w:val="auto"/>
                <w:szCs w:val="21"/>
                <w:lang w:eastAsia="zh-CN"/>
              </w:rPr>
            </w:pPr>
            <w:r>
              <w:rPr>
                <w:rFonts w:hint="eastAsia" w:ascii="Times New Roman" w:hAnsi="Times New Roman" w:eastAsia="宋体"/>
                <w:b/>
                <w:bCs/>
                <w:color w:val="auto"/>
                <w:szCs w:val="21"/>
                <w:lang w:eastAsia="zh-CN"/>
              </w:rPr>
              <w:t>允许排放浓度（</w:t>
            </w:r>
            <w:r>
              <w:rPr>
                <w:rFonts w:hint="eastAsia" w:ascii="Times New Roman" w:hAnsi="Times New Roman" w:eastAsia="宋体"/>
                <w:b/>
                <w:bCs/>
                <w:color w:val="auto"/>
                <w:szCs w:val="21"/>
                <w:lang w:val="en-US" w:eastAsia="zh-CN"/>
              </w:rPr>
              <w:t>mg/m</w:t>
            </w:r>
            <w:r>
              <w:rPr>
                <w:rFonts w:hint="eastAsia" w:ascii="Times New Roman" w:hAnsi="Times New Roman" w:eastAsia="宋体"/>
                <w:b/>
                <w:bCs/>
                <w:color w:val="auto"/>
                <w:szCs w:val="21"/>
                <w:vertAlign w:val="superscript"/>
                <w:lang w:val="en-US" w:eastAsia="zh-CN"/>
              </w:rPr>
              <w:t>3</w:t>
            </w:r>
            <w:r>
              <w:rPr>
                <w:rFonts w:hint="eastAsia" w:ascii="Times New Roman" w:hAnsi="Times New Roman" w:eastAsia="宋体"/>
                <w:b/>
                <w:bCs/>
                <w:color w:val="auto"/>
                <w:szCs w:val="21"/>
                <w:lang w:eastAsia="zh-CN"/>
              </w:rPr>
              <w:t>）</w:t>
            </w:r>
          </w:p>
        </w:tc>
        <w:tc>
          <w:tcPr>
            <w:tcW w:w="1170" w:type="dxa"/>
            <w:vAlign w:val="center"/>
          </w:tcPr>
          <w:p>
            <w:pPr>
              <w:autoSpaceDE w:val="0"/>
              <w:autoSpaceDN w:val="0"/>
              <w:jc w:val="center"/>
              <w:rPr>
                <w:rFonts w:hint="eastAsia" w:ascii="Times New Roman" w:hAnsi="Times New Roman" w:eastAsia="宋体"/>
                <w:b/>
                <w:bCs/>
                <w:color w:val="auto"/>
                <w:szCs w:val="21"/>
                <w:lang w:eastAsia="zh-CN"/>
              </w:rPr>
            </w:pPr>
            <w:r>
              <w:rPr>
                <w:rFonts w:hint="eastAsia" w:ascii="Times New Roman" w:hAnsi="Times New Roman" w:eastAsia="宋体"/>
                <w:b/>
                <w:bCs/>
                <w:color w:val="auto"/>
                <w:szCs w:val="21"/>
                <w:lang w:eastAsia="zh-CN"/>
              </w:rPr>
              <w:t>排气筒高度（</w:t>
            </w:r>
            <w:r>
              <w:rPr>
                <w:rFonts w:hint="eastAsia" w:ascii="Times New Roman" w:hAnsi="Times New Roman" w:eastAsia="宋体"/>
                <w:b/>
                <w:bCs/>
                <w:color w:val="auto"/>
                <w:szCs w:val="21"/>
                <w:lang w:val="en-US" w:eastAsia="zh-CN"/>
              </w:rPr>
              <w:t>m</w:t>
            </w:r>
            <w:r>
              <w:rPr>
                <w:rFonts w:hint="eastAsia" w:ascii="Times New Roman" w:hAnsi="Times New Roman" w:eastAsia="宋体"/>
                <w:b/>
                <w:bCs/>
                <w:color w:val="auto"/>
                <w:szCs w:val="21"/>
                <w:lang w:eastAsia="zh-CN"/>
              </w:rPr>
              <w:t>）</w:t>
            </w:r>
          </w:p>
        </w:tc>
        <w:tc>
          <w:tcPr>
            <w:tcW w:w="1155" w:type="dxa"/>
            <w:vAlign w:val="center"/>
          </w:tcPr>
          <w:p>
            <w:pPr>
              <w:autoSpaceDE w:val="0"/>
              <w:autoSpaceDN w:val="0"/>
              <w:jc w:val="center"/>
              <w:rPr>
                <w:rFonts w:hint="eastAsia" w:ascii="Times New Roman" w:hAnsi="Times New Roman" w:eastAsia="宋体"/>
                <w:b/>
                <w:bCs/>
                <w:color w:val="auto"/>
                <w:szCs w:val="21"/>
                <w:lang w:eastAsia="zh-CN"/>
              </w:rPr>
            </w:pPr>
            <w:r>
              <w:rPr>
                <w:rFonts w:hint="eastAsia" w:ascii="Times New Roman" w:hAnsi="Times New Roman" w:eastAsia="宋体"/>
                <w:b/>
                <w:bCs/>
                <w:color w:val="auto"/>
                <w:szCs w:val="21"/>
                <w:lang w:eastAsia="zh-CN"/>
              </w:rPr>
              <w:t>排放速率（</w:t>
            </w:r>
            <w:r>
              <w:rPr>
                <w:rFonts w:hint="eastAsia" w:ascii="Times New Roman" w:hAnsi="Times New Roman" w:eastAsia="宋体"/>
                <w:b/>
                <w:bCs/>
                <w:color w:val="auto"/>
                <w:szCs w:val="21"/>
                <w:lang w:val="en-US" w:eastAsia="zh-CN"/>
              </w:rPr>
              <w:t>kg/h</w:t>
            </w:r>
            <w:r>
              <w:rPr>
                <w:rFonts w:hint="eastAsia" w:ascii="Times New Roman" w:hAnsi="Times New Roman" w:eastAsia="宋体"/>
                <w:b/>
                <w:bCs/>
                <w:color w:val="auto"/>
                <w:szCs w:val="21"/>
                <w:lang w:eastAsia="zh-CN"/>
              </w:rPr>
              <w:t>）</w:t>
            </w:r>
          </w:p>
        </w:tc>
        <w:tc>
          <w:tcPr>
            <w:tcW w:w="1830" w:type="dxa"/>
            <w:vAlign w:val="center"/>
          </w:tcPr>
          <w:p>
            <w:pPr>
              <w:autoSpaceDE w:val="0"/>
              <w:autoSpaceDN w:val="0"/>
              <w:jc w:val="center"/>
              <w:rPr>
                <w:rFonts w:hint="eastAsia" w:ascii="Times New Roman" w:hAnsi="Times New Roman" w:eastAsia="宋体"/>
                <w:b/>
                <w:bCs/>
                <w:color w:val="auto"/>
                <w:szCs w:val="21"/>
                <w:lang w:eastAsia="zh-CN"/>
              </w:rPr>
            </w:pPr>
            <w:r>
              <w:rPr>
                <w:rFonts w:hint="eastAsia" w:ascii="Times New Roman" w:hAnsi="Times New Roman" w:eastAsia="宋体"/>
                <w:b/>
                <w:bCs/>
                <w:color w:val="auto"/>
                <w:szCs w:val="21"/>
                <w:lang w:eastAsia="zh-CN"/>
              </w:rPr>
              <w:t>无组织排放监控点浓度（</w:t>
            </w:r>
            <w:r>
              <w:rPr>
                <w:rFonts w:hint="eastAsia" w:ascii="Times New Roman" w:hAnsi="Times New Roman" w:eastAsia="宋体"/>
                <w:b/>
                <w:bCs/>
                <w:color w:val="auto"/>
                <w:szCs w:val="21"/>
                <w:lang w:val="en-US" w:eastAsia="zh-CN"/>
              </w:rPr>
              <w:t>mg/m</w:t>
            </w:r>
            <w:r>
              <w:rPr>
                <w:rFonts w:hint="eastAsia" w:ascii="Times New Roman" w:hAnsi="Times New Roman" w:eastAsia="宋体"/>
                <w:b/>
                <w:bCs/>
                <w:color w:val="auto"/>
                <w:szCs w:val="21"/>
                <w:vertAlign w:val="superscript"/>
                <w:lang w:val="en-US" w:eastAsia="zh-CN"/>
              </w:rPr>
              <w:t>3</w:t>
            </w:r>
            <w:r>
              <w:rPr>
                <w:rFonts w:hint="eastAsia" w:ascii="Times New Roman" w:hAnsi="Times New Roman" w:eastAsia="宋体"/>
                <w:b/>
                <w:bCs/>
                <w:color w:val="auto"/>
                <w:szCs w:val="21"/>
                <w:lang w:eastAsia="zh-CN"/>
              </w:rPr>
              <w:t>）</w:t>
            </w:r>
          </w:p>
        </w:tc>
        <w:tc>
          <w:tcPr>
            <w:tcW w:w="2400" w:type="dxa"/>
            <w:vAlign w:val="center"/>
          </w:tcPr>
          <w:p>
            <w:pPr>
              <w:autoSpaceDE w:val="0"/>
              <w:autoSpaceDN w:val="0"/>
              <w:jc w:val="center"/>
              <w:rPr>
                <w:rFonts w:hint="eastAsia" w:ascii="Times New Roman" w:hAnsi="Times New Roman" w:eastAsia="宋体"/>
                <w:b/>
                <w:bCs/>
                <w:color w:val="auto"/>
                <w:szCs w:val="21"/>
                <w:lang w:eastAsia="zh-CN"/>
              </w:rPr>
            </w:pPr>
            <w:r>
              <w:rPr>
                <w:rFonts w:hint="eastAsia" w:ascii="Times New Roman" w:hAnsi="Times New Roman" w:eastAsia="宋体"/>
                <w:b/>
                <w:bCs/>
                <w:color w:val="auto"/>
                <w:szCs w:val="21"/>
                <w:lang w:eastAsia="zh-CN"/>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pPr>
              <w:autoSpaceDE w:val="0"/>
              <w:autoSpaceDN w:val="0"/>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1</w:t>
            </w:r>
          </w:p>
        </w:tc>
        <w:tc>
          <w:tcPr>
            <w:tcW w:w="915" w:type="dxa"/>
            <w:vAlign w:val="center"/>
          </w:tcPr>
          <w:p>
            <w:pPr>
              <w:autoSpaceDE w:val="0"/>
              <w:autoSpaceDN w:val="0"/>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NH</w:t>
            </w:r>
            <w:r>
              <w:rPr>
                <w:rFonts w:hint="eastAsia" w:ascii="Times New Roman" w:hAnsi="Times New Roman" w:eastAsia="宋体"/>
                <w:color w:val="auto"/>
                <w:szCs w:val="21"/>
                <w:vertAlign w:val="subscript"/>
                <w:lang w:val="en-US" w:eastAsia="zh-CN"/>
              </w:rPr>
              <w:t>3</w:t>
            </w:r>
          </w:p>
        </w:tc>
        <w:tc>
          <w:tcPr>
            <w:tcW w:w="1305" w:type="dxa"/>
            <w:vAlign w:val="center"/>
          </w:tcPr>
          <w:p>
            <w:pPr>
              <w:autoSpaceDE w:val="0"/>
              <w:autoSpaceDN w:val="0"/>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w:t>
            </w:r>
          </w:p>
        </w:tc>
        <w:tc>
          <w:tcPr>
            <w:tcW w:w="1170" w:type="dxa"/>
            <w:vAlign w:val="center"/>
          </w:tcPr>
          <w:p>
            <w:pPr>
              <w:autoSpaceDE w:val="0"/>
              <w:autoSpaceDN w:val="0"/>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15</w:t>
            </w:r>
          </w:p>
        </w:tc>
        <w:tc>
          <w:tcPr>
            <w:tcW w:w="1155" w:type="dxa"/>
            <w:vAlign w:val="center"/>
          </w:tcPr>
          <w:p>
            <w:pPr>
              <w:autoSpaceDE w:val="0"/>
              <w:autoSpaceDN w:val="0"/>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4.9</w:t>
            </w:r>
          </w:p>
        </w:tc>
        <w:tc>
          <w:tcPr>
            <w:tcW w:w="1830" w:type="dxa"/>
            <w:vAlign w:val="center"/>
          </w:tcPr>
          <w:p>
            <w:pPr>
              <w:autoSpaceDE w:val="0"/>
              <w:autoSpaceDN w:val="0"/>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1.5</w:t>
            </w:r>
          </w:p>
        </w:tc>
        <w:tc>
          <w:tcPr>
            <w:tcW w:w="2400" w:type="dxa"/>
            <w:vMerge w:val="restart"/>
            <w:vAlign w:val="center"/>
          </w:tcPr>
          <w:p>
            <w:pPr>
              <w:autoSpaceDE w:val="0"/>
              <w:autoSpaceDN w:val="0"/>
              <w:jc w:val="center"/>
              <w:rPr>
                <w:rFonts w:hint="default" w:ascii="Times New Roman" w:hAnsi="Times New Roman" w:eastAsia="宋体"/>
                <w:color w:val="auto"/>
                <w:szCs w:val="21"/>
              </w:rPr>
            </w:pPr>
            <w:r>
              <w:rPr>
                <w:rFonts w:hint="default" w:ascii="Times New Roman" w:hAnsi="Times New Roman" w:eastAsia="宋体"/>
                <w:color w:val="auto"/>
                <w:szCs w:val="21"/>
              </w:rPr>
              <w:t>《恶臭污染物排放标准》 （GB14554-93） 中表 1 新扩改建二级标准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pPr>
              <w:autoSpaceDE w:val="0"/>
              <w:autoSpaceDN w:val="0"/>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2</w:t>
            </w:r>
          </w:p>
        </w:tc>
        <w:tc>
          <w:tcPr>
            <w:tcW w:w="915" w:type="dxa"/>
            <w:vAlign w:val="center"/>
          </w:tcPr>
          <w:p>
            <w:pPr>
              <w:autoSpaceDE w:val="0"/>
              <w:autoSpaceDN w:val="0"/>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H</w:t>
            </w:r>
            <w:r>
              <w:rPr>
                <w:rFonts w:hint="eastAsia" w:ascii="Times New Roman" w:hAnsi="Times New Roman" w:eastAsia="宋体"/>
                <w:color w:val="auto"/>
                <w:szCs w:val="21"/>
                <w:vertAlign w:val="subscript"/>
                <w:lang w:val="en-US" w:eastAsia="zh-CN"/>
              </w:rPr>
              <w:t>2</w:t>
            </w:r>
            <w:r>
              <w:rPr>
                <w:rFonts w:hint="eastAsia" w:ascii="Times New Roman" w:hAnsi="Times New Roman" w:eastAsia="宋体"/>
                <w:color w:val="auto"/>
                <w:szCs w:val="21"/>
                <w:lang w:val="en-US" w:eastAsia="zh-CN"/>
              </w:rPr>
              <w:t>S</w:t>
            </w:r>
          </w:p>
        </w:tc>
        <w:tc>
          <w:tcPr>
            <w:tcW w:w="1305" w:type="dxa"/>
            <w:vAlign w:val="center"/>
          </w:tcPr>
          <w:p>
            <w:pPr>
              <w:autoSpaceDE w:val="0"/>
              <w:autoSpaceDN w:val="0"/>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w:t>
            </w:r>
          </w:p>
        </w:tc>
        <w:tc>
          <w:tcPr>
            <w:tcW w:w="1170" w:type="dxa"/>
            <w:vAlign w:val="center"/>
          </w:tcPr>
          <w:p>
            <w:pPr>
              <w:autoSpaceDE w:val="0"/>
              <w:autoSpaceDN w:val="0"/>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15</w:t>
            </w:r>
          </w:p>
        </w:tc>
        <w:tc>
          <w:tcPr>
            <w:tcW w:w="1155" w:type="dxa"/>
            <w:vAlign w:val="center"/>
          </w:tcPr>
          <w:p>
            <w:pPr>
              <w:autoSpaceDE w:val="0"/>
              <w:autoSpaceDN w:val="0"/>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0.33</w:t>
            </w:r>
          </w:p>
        </w:tc>
        <w:tc>
          <w:tcPr>
            <w:tcW w:w="1830" w:type="dxa"/>
            <w:vAlign w:val="center"/>
          </w:tcPr>
          <w:p>
            <w:pPr>
              <w:autoSpaceDE w:val="0"/>
              <w:autoSpaceDN w:val="0"/>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0.06</w:t>
            </w:r>
          </w:p>
        </w:tc>
        <w:tc>
          <w:tcPr>
            <w:tcW w:w="2400" w:type="dxa"/>
            <w:vMerge w:val="continue"/>
            <w:vAlign w:val="center"/>
          </w:tcPr>
          <w:p>
            <w:pPr>
              <w:autoSpaceDE w:val="0"/>
              <w:autoSpaceDN w:val="0"/>
              <w:jc w:val="center"/>
              <w:rPr>
                <w:rFonts w:hint="default"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pPr>
              <w:autoSpaceDE w:val="0"/>
              <w:autoSpaceDN w:val="0"/>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3</w:t>
            </w:r>
          </w:p>
        </w:tc>
        <w:tc>
          <w:tcPr>
            <w:tcW w:w="915" w:type="dxa"/>
            <w:vAlign w:val="center"/>
          </w:tcPr>
          <w:p>
            <w:pPr>
              <w:autoSpaceDE w:val="0"/>
              <w:autoSpaceDN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臭气浓度</w:t>
            </w:r>
          </w:p>
        </w:tc>
        <w:tc>
          <w:tcPr>
            <w:tcW w:w="1305" w:type="dxa"/>
            <w:vAlign w:val="center"/>
          </w:tcPr>
          <w:p>
            <w:pPr>
              <w:autoSpaceDE w:val="0"/>
              <w:autoSpaceDN w:val="0"/>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70（无量纲）</w:t>
            </w:r>
          </w:p>
        </w:tc>
        <w:tc>
          <w:tcPr>
            <w:tcW w:w="1170" w:type="dxa"/>
            <w:vAlign w:val="center"/>
          </w:tcPr>
          <w:p>
            <w:pPr>
              <w:autoSpaceDE w:val="0"/>
              <w:autoSpaceDN w:val="0"/>
              <w:jc w:val="center"/>
              <w:rPr>
                <w:rFonts w:hint="default"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val="en-US" w:eastAsia="zh-CN"/>
              </w:rPr>
              <w:t>/</w:t>
            </w:r>
          </w:p>
        </w:tc>
        <w:tc>
          <w:tcPr>
            <w:tcW w:w="1155" w:type="dxa"/>
            <w:vAlign w:val="center"/>
          </w:tcPr>
          <w:p>
            <w:pPr>
              <w:autoSpaceDE w:val="0"/>
              <w:autoSpaceDN w:val="0"/>
              <w:jc w:val="center"/>
              <w:rPr>
                <w:rFonts w:hint="default"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val="en-US" w:eastAsia="zh-CN"/>
              </w:rPr>
              <w:t>/</w:t>
            </w:r>
          </w:p>
        </w:tc>
        <w:tc>
          <w:tcPr>
            <w:tcW w:w="1830" w:type="dxa"/>
            <w:vAlign w:val="center"/>
          </w:tcPr>
          <w:p>
            <w:pPr>
              <w:autoSpaceDE w:val="0"/>
              <w:autoSpaceDN w:val="0"/>
              <w:jc w:val="center"/>
              <w:rPr>
                <w:rFonts w:hint="default"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val="en-US" w:eastAsia="zh-CN"/>
              </w:rPr>
              <w:t>/</w:t>
            </w:r>
          </w:p>
        </w:tc>
        <w:tc>
          <w:tcPr>
            <w:tcW w:w="2400" w:type="dxa"/>
            <w:vAlign w:val="center"/>
          </w:tcPr>
          <w:p>
            <w:pPr>
              <w:autoSpaceDE w:val="0"/>
              <w:autoSpaceDN w:val="0"/>
              <w:jc w:val="center"/>
              <w:rPr>
                <w:rFonts w:hint="default" w:ascii="Times New Roman" w:hAnsi="Times New Roman" w:eastAsia="宋体"/>
                <w:color w:val="auto"/>
                <w:szCs w:val="21"/>
              </w:rPr>
            </w:pPr>
            <w:r>
              <w:rPr>
                <w:rFonts w:hint="default" w:ascii="Times New Roman" w:hAnsi="Times New Roman" w:eastAsia="宋体"/>
                <w:color w:val="auto"/>
                <w:szCs w:val="21"/>
              </w:rPr>
              <w:t>《畜禽养殖业污染物排放标准》（GB18596-2001）中表 7 集约化畜禽养殖业恶臭污染物排放标准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pPr>
              <w:autoSpaceDE w:val="0"/>
              <w:autoSpaceDN w:val="0"/>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4</w:t>
            </w:r>
          </w:p>
        </w:tc>
        <w:tc>
          <w:tcPr>
            <w:tcW w:w="915" w:type="dxa"/>
            <w:vAlign w:val="center"/>
          </w:tcPr>
          <w:p>
            <w:pPr>
              <w:autoSpaceDE w:val="0"/>
              <w:autoSpaceDN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油烟</w:t>
            </w:r>
          </w:p>
        </w:tc>
        <w:tc>
          <w:tcPr>
            <w:tcW w:w="1305" w:type="dxa"/>
            <w:vAlign w:val="center"/>
          </w:tcPr>
          <w:p>
            <w:pPr>
              <w:autoSpaceDE w:val="0"/>
              <w:autoSpaceDN w:val="0"/>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2.0</w:t>
            </w:r>
          </w:p>
        </w:tc>
        <w:tc>
          <w:tcPr>
            <w:tcW w:w="1170" w:type="dxa"/>
            <w:vAlign w:val="center"/>
          </w:tcPr>
          <w:p>
            <w:pPr>
              <w:autoSpaceDE w:val="0"/>
              <w:autoSpaceDN w:val="0"/>
              <w:jc w:val="center"/>
              <w:rPr>
                <w:rFonts w:hint="default"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val="en-US" w:eastAsia="zh-CN"/>
              </w:rPr>
              <w:t>/</w:t>
            </w:r>
          </w:p>
        </w:tc>
        <w:tc>
          <w:tcPr>
            <w:tcW w:w="1155" w:type="dxa"/>
            <w:vAlign w:val="center"/>
          </w:tcPr>
          <w:p>
            <w:pPr>
              <w:autoSpaceDE w:val="0"/>
              <w:autoSpaceDN w:val="0"/>
              <w:jc w:val="center"/>
              <w:rPr>
                <w:rFonts w:hint="default"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val="en-US" w:eastAsia="zh-CN"/>
              </w:rPr>
              <w:t>/</w:t>
            </w:r>
          </w:p>
        </w:tc>
        <w:tc>
          <w:tcPr>
            <w:tcW w:w="1830" w:type="dxa"/>
            <w:vAlign w:val="center"/>
          </w:tcPr>
          <w:p>
            <w:pPr>
              <w:autoSpaceDE w:val="0"/>
              <w:autoSpaceDN w:val="0"/>
              <w:jc w:val="center"/>
              <w:rPr>
                <w:rFonts w:hint="default"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val="en-US" w:eastAsia="zh-CN"/>
              </w:rPr>
              <w:t>/</w:t>
            </w:r>
          </w:p>
        </w:tc>
        <w:tc>
          <w:tcPr>
            <w:tcW w:w="2400" w:type="dxa"/>
            <w:vAlign w:val="center"/>
          </w:tcPr>
          <w:p>
            <w:pPr>
              <w:autoSpaceDE w:val="0"/>
              <w:autoSpaceDN w:val="0"/>
              <w:jc w:val="center"/>
              <w:rPr>
                <w:rFonts w:hint="default" w:ascii="Times New Roman" w:hAnsi="Times New Roman" w:eastAsia="宋体"/>
                <w:color w:val="auto"/>
                <w:szCs w:val="21"/>
              </w:rPr>
            </w:pPr>
            <w:r>
              <w:rPr>
                <w:rFonts w:hint="default" w:ascii="Times New Roman" w:hAnsi="Times New Roman" w:eastAsia="宋体"/>
                <w:color w:val="auto"/>
                <w:szCs w:val="21"/>
              </w:rPr>
              <w:t>《饮食业油烟排放标准（试行）》（GB18483-2001）</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ascii="Times New Roman" w:hAnsi="Times New Roman" w:eastAsia="宋体" w:cs="Times New Roman"/>
          <w:b/>
          <w:bCs/>
          <w:color w:val="auto"/>
          <w:sz w:val="24"/>
        </w:rPr>
      </w:pPr>
      <w:r>
        <w:rPr>
          <w:rFonts w:hint="eastAsia" w:ascii="Times New Roman" w:hAnsi="Times New Roman" w:eastAsia="宋体" w:cs="Times New Roman"/>
          <w:b/>
          <w:bCs/>
          <w:color w:val="auto"/>
          <w:sz w:val="24"/>
        </w:rPr>
        <w:t>2、废水排放标准</w:t>
      </w:r>
    </w:p>
    <w:p>
      <w:pPr>
        <w:pStyle w:val="15"/>
        <w:keepNext w:val="0"/>
        <w:keepLines w:val="0"/>
        <w:pageBreakBefore w:val="0"/>
        <w:widowControl w:val="0"/>
        <w:suppressLineNumbers w:val="0"/>
        <w:tabs>
          <w:tab w:val="left" w:pos="2370"/>
        </w:tabs>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jc w:val="both"/>
        <w:textAlignment w:val="auto"/>
        <w:rPr>
          <w:rFonts w:hint="default" w:ascii="Times New Roman" w:hAnsi="Times New Roman" w:cs="Times New Roman" w:eastAsiaTheme="minorEastAsia"/>
          <w:color w:val="auto"/>
          <w:kern w:val="2"/>
          <w:sz w:val="24"/>
          <w:szCs w:val="24"/>
          <w:lang w:val="en-US" w:eastAsia="zh-CN" w:bidi="ar-SA"/>
        </w:rPr>
      </w:pPr>
      <w:r>
        <w:rPr>
          <w:rFonts w:hint="default" w:ascii="Times New Roman" w:hAnsi="Times New Roman" w:cs="Times New Roman" w:eastAsiaTheme="minorEastAsia"/>
          <w:color w:val="auto"/>
          <w:kern w:val="2"/>
          <w:sz w:val="24"/>
          <w:szCs w:val="24"/>
          <w:lang w:val="en-US" w:eastAsia="zh-CN" w:bidi="ar-SA"/>
        </w:rPr>
        <w:t>本项目产生的废水，主要为生活污水、养殖废水和食堂废水。生活污水经化粪池处理</w:t>
      </w:r>
      <w:r>
        <w:rPr>
          <w:rFonts w:hint="eastAsia" w:ascii="Times New Roman" w:hAnsi="Times New Roman" w:cs="Times New Roman"/>
          <w:color w:val="auto"/>
          <w:kern w:val="2"/>
          <w:sz w:val="24"/>
          <w:szCs w:val="24"/>
          <w:lang w:val="en-US" w:eastAsia="zh-CN" w:bidi="ar-SA"/>
        </w:rPr>
        <w:t>、</w:t>
      </w:r>
      <w:r>
        <w:rPr>
          <w:rFonts w:hint="default" w:ascii="Times New Roman" w:hAnsi="Times New Roman" w:cs="Times New Roman" w:eastAsiaTheme="minorEastAsia"/>
          <w:color w:val="auto"/>
          <w:kern w:val="2"/>
          <w:sz w:val="24"/>
          <w:szCs w:val="24"/>
          <w:lang w:val="en-US" w:eastAsia="zh-CN" w:bidi="ar-SA"/>
        </w:rPr>
        <w:t>食堂废水经隔油池处理后与养殖废水一起经</w:t>
      </w:r>
      <w:r>
        <w:rPr>
          <w:rFonts w:hint="eastAsia" w:ascii="Times New Roman" w:hAnsi="Times New Roman" w:cs="Times New Roman"/>
          <w:color w:val="auto"/>
          <w:kern w:val="2"/>
          <w:sz w:val="24"/>
          <w:szCs w:val="24"/>
          <w:lang w:val="en-US" w:eastAsia="zh-CN" w:bidi="ar-SA"/>
        </w:rPr>
        <w:t>污水处理区</w:t>
      </w:r>
      <w:r>
        <w:rPr>
          <w:rFonts w:hint="default" w:ascii="Times New Roman" w:hAnsi="Times New Roman" w:cs="Times New Roman" w:eastAsiaTheme="minorEastAsia"/>
          <w:color w:val="auto"/>
          <w:kern w:val="2"/>
          <w:sz w:val="24"/>
          <w:szCs w:val="24"/>
          <w:lang w:val="en-US" w:eastAsia="zh-CN" w:bidi="ar-SA"/>
        </w:rPr>
        <w:t>处理后用于</w:t>
      </w:r>
      <w:r>
        <w:rPr>
          <w:rFonts w:hint="eastAsia" w:ascii="Times New Roman" w:hAnsi="Times New Roman" w:cs="Times New Roman"/>
          <w:color w:val="auto"/>
          <w:kern w:val="2"/>
          <w:sz w:val="24"/>
          <w:szCs w:val="24"/>
          <w:lang w:val="en-US" w:eastAsia="zh-CN" w:bidi="ar-SA"/>
        </w:rPr>
        <w:t>周边消纳地灌溉</w:t>
      </w:r>
      <w:r>
        <w:rPr>
          <w:rFonts w:hint="default" w:ascii="Times New Roman" w:hAnsi="Times New Roman" w:cs="Times New Roman" w:eastAsiaTheme="minorEastAsia"/>
          <w:color w:val="auto"/>
          <w:kern w:val="2"/>
          <w:sz w:val="24"/>
          <w:szCs w:val="24"/>
          <w:lang w:val="en-US" w:eastAsia="zh-CN" w:bidi="ar-SA"/>
        </w:rPr>
        <w:t>，不外排。</w:t>
      </w:r>
    </w:p>
    <w:p>
      <w:pPr>
        <w:pStyle w:val="15"/>
        <w:keepNext w:val="0"/>
        <w:keepLines w:val="0"/>
        <w:pageBreakBefore w:val="0"/>
        <w:widowControl w:val="0"/>
        <w:suppressLineNumbers w:val="0"/>
        <w:tabs>
          <w:tab w:val="left" w:pos="2370"/>
        </w:tabs>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jc w:val="both"/>
        <w:textAlignment w:val="auto"/>
        <w:rPr>
          <w:rFonts w:hint="default" w:ascii="Times New Roman" w:hAnsi="Times New Roman" w:cs="Times New Roman" w:eastAsiaTheme="minorEastAsia"/>
          <w:color w:val="auto"/>
          <w:kern w:val="2"/>
          <w:sz w:val="24"/>
          <w:szCs w:val="24"/>
          <w:lang w:val="en-US" w:eastAsia="zh-CN" w:bidi="ar-SA"/>
        </w:rPr>
      </w:pPr>
      <w:r>
        <w:rPr>
          <w:rFonts w:hint="default" w:ascii="Times New Roman" w:hAnsi="Times New Roman" w:cs="Times New Roman" w:eastAsiaTheme="minorEastAsia"/>
          <w:color w:val="auto"/>
          <w:kern w:val="2"/>
          <w:sz w:val="24"/>
          <w:szCs w:val="24"/>
          <w:lang w:val="en-US" w:eastAsia="zh-CN" w:bidi="ar-SA"/>
        </w:rPr>
        <w:t>废水排水量执行集约化畜禽养殖业干清粪工艺最高允许排水量见表 1.</w:t>
      </w:r>
      <w:r>
        <w:rPr>
          <w:rFonts w:hint="eastAsia" w:ascii="Times New Roman" w:hAnsi="Times New Roman" w:cs="Times New Roman"/>
          <w:color w:val="auto"/>
          <w:kern w:val="2"/>
          <w:sz w:val="24"/>
          <w:szCs w:val="24"/>
          <w:lang w:val="en-US" w:eastAsia="zh-CN" w:bidi="ar-SA"/>
        </w:rPr>
        <w:t>4-7</w:t>
      </w:r>
      <w:r>
        <w:rPr>
          <w:rFonts w:hint="default" w:ascii="Times New Roman" w:hAnsi="Times New Roman" w:cs="Times New Roman" w:eastAsiaTheme="minorEastAsia"/>
          <w:color w:val="auto"/>
          <w:kern w:val="2"/>
          <w:sz w:val="24"/>
          <w:szCs w:val="24"/>
          <w:lang w:val="en-US" w:eastAsia="zh-CN" w:bidi="ar-SA"/>
        </w:rPr>
        <w:t>。</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表1.4-</w:t>
      </w:r>
      <w:r>
        <w:rPr>
          <w:rFonts w:hint="eastAsia" w:ascii="Times New Roman" w:hAnsi="Times New Roman" w:eastAsia="宋体" w:cs="Times New Roman"/>
          <w:b/>
          <w:color w:val="auto"/>
          <w:sz w:val="21"/>
          <w:szCs w:val="21"/>
          <w:lang w:val="en-US" w:eastAsia="zh-CN"/>
        </w:rPr>
        <w:t>7</w:t>
      </w:r>
      <w:r>
        <w:rPr>
          <w:rFonts w:hint="default" w:ascii="Times New Roman" w:hAnsi="Times New Roman" w:eastAsia="宋体" w:cs="Times New Roman"/>
          <w:b/>
          <w:color w:val="auto"/>
          <w:sz w:val="21"/>
          <w:szCs w:val="21"/>
        </w:rPr>
        <w:t xml:space="preserve">  集约化畜禽养殖业干清粪工业最高允许排水量及畜禽养殖业污染物排放标准</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b/>
          <w:color w:val="auto"/>
          <w:sz w:val="21"/>
          <w:szCs w:val="21"/>
        </w:rPr>
        <w:t xml:space="preserve"> </w:t>
      </w:r>
    </w:p>
    <w:tbl>
      <w:tblPr>
        <w:tblStyle w:val="34"/>
        <w:tblW w:w="4996" w:type="pct"/>
        <w:jc w:val="center"/>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002"/>
        <w:gridCol w:w="1513"/>
        <w:gridCol w:w="1419"/>
        <w:gridCol w:w="1285"/>
        <w:gridCol w:w="2453"/>
        <w:gridCol w:w="1541"/>
      </w:tblGrid>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135" w:type="pct"/>
            <w:gridSpan w:val="3"/>
            <w:tcBorders>
              <w:tl2br w:val="nil"/>
              <w:tr2bl w:val="nil"/>
            </w:tcBorders>
            <w:vAlign w:val="center"/>
          </w:tcPr>
          <w:p>
            <w:pPr>
              <w:jc w:val="center"/>
              <w:rPr>
                <w:rFonts w:hint="eastAsia" w:ascii="Times New Roman" w:hAnsi="Times New Roman" w:eastAsia="宋体" w:cs="Times New Roman"/>
                <w:b/>
                <w:bCs/>
                <w:color w:val="auto"/>
                <w:szCs w:val="21"/>
                <w:lang w:eastAsia="zh-CN"/>
              </w:rPr>
            </w:pPr>
            <w:r>
              <w:rPr>
                <w:rFonts w:hint="eastAsia" w:ascii="Times New Roman" w:hAnsi="Times New Roman" w:eastAsia="宋体" w:cs="Times New Roman"/>
                <w:b/>
                <w:bCs/>
                <w:color w:val="auto"/>
                <w:szCs w:val="21"/>
                <w:lang w:eastAsia="zh-CN"/>
              </w:rPr>
              <w:t>最高允许排水量</w:t>
            </w:r>
          </w:p>
        </w:tc>
        <w:tc>
          <w:tcPr>
            <w:tcW w:w="2864" w:type="pct"/>
            <w:gridSpan w:val="3"/>
            <w:tcBorders>
              <w:tl2br w:val="nil"/>
              <w:tr2bl w:val="nil"/>
            </w:tcBorders>
            <w:vAlign w:val="center"/>
          </w:tcPr>
          <w:p>
            <w:pPr>
              <w:jc w:val="center"/>
              <w:rPr>
                <w:rFonts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最高允许日均排放浓度</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544" w:type="pct"/>
            <w:tcBorders>
              <w:tl2br w:val="nil"/>
              <w:tr2bl w:val="nil"/>
            </w:tcBorders>
            <w:vAlign w:val="center"/>
          </w:tcPr>
          <w:p>
            <w:pPr>
              <w:jc w:val="center"/>
              <w:rPr>
                <w:rFonts w:hint="eastAsia" w:ascii="Times New Roman" w:hAnsi="Times New Roman" w:eastAsia="宋体" w:cs="Times New Roman"/>
                <w:b/>
                <w:bCs/>
                <w:color w:val="auto"/>
                <w:szCs w:val="21"/>
                <w:lang w:eastAsia="zh-CN"/>
              </w:rPr>
            </w:pPr>
            <w:r>
              <w:rPr>
                <w:rFonts w:hint="eastAsia" w:ascii="Times New Roman" w:hAnsi="Times New Roman" w:eastAsia="宋体" w:cs="Times New Roman"/>
                <w:b/>
                <w:bCs/>
                <w:color w:val="auto"/>
                <w:szCs w:val="21"/>
                <w:lang w:eastAsia="zh-CN"/>
              </w:rPr>
              <w:t>种类</w:t>
            </w:r>
          </w:p>
        </w:tc>
        <w:tc>
          <w:tcPr>
            <w:tcW w:w="1590" w:type="pct"/>
            <w:gridSpan w:val="2"/>
            <w:tcBorders>
              <w:tl2br w:val="nil"/>
              <w:tr2bl w:val="nil"/>
            </w:tcBorders>
            <w:vAlign w:val="center"/>
          </w:tcPr>
          <w:p>
            <w:pPr>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猪[m</w:t>
            </w:r>
            <w:r>
              <w:rPr>
                <w:rFonts w:hint="eastAsia" w:ascii="Times New Roman" w:hAnsi="Times New Roman" w:eastAsia="宋体" w:cs="Times New Roman"/>
                <w:b/>
                <w:bCs/>
                <w:color w:val="auto"/>
                <w:szCs w:val="21"/>
                <w:vertAlign w:val="superscript"/>
                <w:lang w:val="en-US" w:eastAsia="zh-CN"/>
              </w:rPr>
              <w:t>3</w:t>
            </w:r>
            <w:r>
              <w:rPr>
                <w:rFonts w:hint="eastAsia" w:ascii="Times New Roman" w:hAnsi="Times New Roman" w:eastAsia="宋体" w:cs="Times New Roman"/>
                <w:b/>
                <w:bCs/>
                <w:color w:val="auto"/>
                <w:szCs w:val="21"/>
                <w:vertAlign w:val="baseline"/>
                <w:lang w:val="en-US" w:eastAsia="zh-CN"/>
              </w:rPr>
              <w:t>/（百头.天）</w:t>
            </w:r>
            <w:r>
              <w:rPr>
                <w:rFonts w:hint="eastAsia" w:ascii="Times New Roman" w:hAnsi="Times New Roman" w:eastAsia="宋体" w:cs="Times New Roman"/>
                <w:b/>
                <w:bCs/>
                <w:color w:val="auto"/>
                <w:szCs w:val="21"/>
                <w:lang w:val="en-US" w:eastAsia="zh-CN"/>
              </w:rPr>
              <w:t>]</w:t>
            </w:r>
          </w:p>
        </w:tc>
        <w:tc>
          <w:tcPr>
            <w:tcW w:w="697" w:type="pct"/>
            <w:tcBorders>
              <w:tl2br w:val="nil"/>
              <w:tr2bl w:val="nil"/>
            </w:tcBorders>
            <w:vAlign w:val="center"/>
          </w:tcPr>
          <w:p>
            <w:pPr>
              <w:jc w:val="center"/>
              <w:rPr>
                <w:rFonts w:ascii="Times New Roman" w:hAnsi="Times New Roman" w:eastAsia="宋体" w:cs="Times New Roman"/>
                <w:b/>
                <w:bCs/>
                <w:color w:val="auto"/>
                <w:szCs w:val="21"/>
              </w:rPr>
            </w:pPr>
            <w:r>
              <w:rPr>
                <w:rFonts w:hint="eastAsia" w:ascii="Times New Roman" w:hAnsi="Times New Roman" w:eastAsia="宋体" w:cs="Times New Roman"/>
                <w:b/>
                <w:bCs/>
                <w:color w:val="auto"/>
                <w:szCs w:val="21"/>
                <w:lang w:val="en-US" w:eastAsia="zh-CN"/>
              </w:rPr>
              <w:t>控制项目</w:t>
            </w:r>
          </w:p>
        </w:tc>
        <w:tc>
          <w:tcPr>
            <w:tcW w:w="1331" w:type="pct"/>
            <w:tcBorders>
              <w:tl2br w:val="nil"/>
              <w:tr2bl w:val="nil"/>
            </w:tcBorders>
            <w:vAlign w:val="center"/>
          </w:tcPr>
          <w:p>
            <w:pPr>
              <w:jc w:val="center"/>
              <w:rPr>
                <w:rFonts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粪大肠菌群数（个/ml）</w:t>
            </w:r>
          </w:p>
        </w:tc>
        <w:tc>
          <w:tcPr>
            <w:tcW w:w="836" w:type="pct"/>
            <w:tcBorders>
              <w:tl2br w:val="nil"/>
              <w:tr2bl w:val="nil"/>
            </w:tcBorders>
            <w:vAlign w:val="center"/>
          </w:tcPr>
          <w:p>
            <w:pPr>
              <w:jc w:val="center"/>
              <w:rPr>
                <w:rFonts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蛔虫卵（个/l）</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544" w:type="pct"/>
            <w:tcBorders>
              <w:tl2br w:val="nil"/>
              <w:tr2bl w:val="nil"/>
            </w:tcBorders>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季节</w:t>
            </w:r>
          </w:p>
        </w:tc>
        <w:tc>
          <w:tcPr>
            <w:tcW w:w="821" w:type="pct"/>
            <w:tcBorders>
              <w:tl2br w:val="nil"/>
              <w:tr2bl w:val="nil"/>
            </w:tcBorders>
            <w:vAlign w:val="center"/>
          </w:tcPr>
          <w:p>
            <w:pPr>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冬季</w:t>
            </w:r>
          </w:p>
        </w:tc>
        <w:tc>
          <w:tcPr>
            <w:tcW w:w="769" w:type="pct"/>
            <w:tcBorders>
              <w:tl2br w:val="nil"/>
              <w:tr2bl w:val="nil"/>
            </w:tcBorders>
            <w:vAlign w:val="center"/>
          </w:tcPr>
          <w:p>
            <w:pPr>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夏季</w:t>
            </w:r>
          </w:p>
        </w:tc>
        <w:tc>
          <w:tcPr>
            <w:tcW w:w="697" w:type="pct"/>
            <w:vMerge w:val="restart"/>
            <w:tcBorders>
              <w:tl2br w:val="nil"/>
              <w:tr2bl w:val="nil"/>
            </w:tcBorders>
            <w:vAlign w:val="center"/>
          </w:tcPr>
          <w:p>
            <w:pPr>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标准值</w:t>
            </w:r>
          </w:p>
        </w:tc>
        <w:tc>
          <w:tcPr>
            <w:tcW w:w="1331" w:type="pct"/>
            <w:vMerge w:val="restart"/>
            <w:tcBorders>
              <w:tl2br w:val="nil"/>
              <w:tr2bl w:val="nil"/>
            </w:tcBorders>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10000</w:t>
            </w:r>
          </w:p>
        </w:tc>
        <w:tc>
          <w:tcPr>
            <w:tcW w:w="836" w:type="pct"/>
            <w:vMerge w:val="restart"/>
            <w:tcBorders>
              <w:tl2br w:val="nil"/>
              <w:tr2bl w:val="nil"/>
            </w:tcBorders>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544" w:type="pct"/>
            <w:tcBorders>
              <w:tl2br w:val="nil"/>
              <w:tr2bl w:val="nil"/>
            </w:tcBorders>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标准值</w:t>
            </w:r>
          </w:p>
        </w:tc>
        <w:tc>
          <w:tcPr>
            <w:tcW w:w="821" w:type="pct"/>
            <w:tcBorders>
              <w:tl2br w:val="nil"/>
              <w:tr2bl w:val="nil"/>
            </w:tcBorders>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1.2</w:t>
            </w:r>
          </w:p>
        </w:tc>
        <w:tc>
          <w:tcPr>
            <w:tcW w:w="769" w:type="pct"/>
            <w:tcBorders>
              <w:tl2br w:val="nil"/>
              <w:tr2bl w:val="nil"/>
            </w:tcBorders>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1.8</w:t>
            </w:r>
          </w:p>
        </w:tc>
        <w:tc>
          <w:tcPr>
            <w:tcW w:w="697" w:type="pct"/>
            <w:vMerge w:val="continue"/>
            <w:tcBorders>
              <w:tl2br w:val="nil"/>
              <w:tr2bl w:val="nil"/>
            </w:tcBorders>
            <w:vAlign w:val="center"/>
          </w:tcPr>
          <w:p>
            <w:pPr>
              <w:jc w:val="center"/>
              <w:rPr>
                <w:rFonts w:ascii="Times New Roman" w:hAnsi="Times New Roman" w:eastAsia="宋体" w:cs="Times New Roman"/>
                <w:color w:val="auto"/>
                <w:szCs w:val="21"/>
              </w:rPr>
            </w:pPr>
          </w:p>
        </w:tc>
        <w:tc>
          <w:tcPr>
            <w:tcW w:w="1331" w:type="pct"/>
            <w:vMerge w:val="continue"/>
            <w:tcBorders>
              <w:tl2br w:val="nil"/>
              <w:tr2bl w:val="nil"/>
            </w:tcBorders>
            <w:vAlign w:val="center"/>
          </w:tcPr>
          <w:p>
            <w:pPr>
              <w:jc w:val="center"/>
              <w:rPr>
                <w:rFonts w:ascii="Times New Roman" w:hAnsi="Times New Roman" w:eastAsia="宋体" w:cs="Times New Roman"/>
                <w:color w:val="auto"/>
                <w:szCs w:val="21"/>
              </w:rPr>
            </w:pPr>
          </w:p>
        </w:tc>
        <w:tc>
          <w:tcPr>
            <w:tcW w:w="836" w:type="pct"/>
            <w:vMerge w:val="continue"/>
            <w:tcBorders>
              <w:tl2br w:val="nil"/>
              <w:tr2bl w:val="nil"/>
            </w:tcBorders>
            <w:vAlign w:val="center"/>
          </w:tcPr>
          <w:p>
            <w:pPr>
              <w:jc w:val="center"/>
              <w:rPr>
                <w:rFonts w:ascii="Times New Roman" w:hAnsi="Times New Roman" w:eastAsia="宋体" w:cs="Times New Roman"/>
                <w:color w:val="auto"/>
                <w:szCs w:val="21"/>
              </w:rPr>
            </w:pPr>
          </w:p>
        </w:tc>
      </w:tr>
    </w:tbl>
    <w:p>
      <w:pPr>
        <w:pStyle w:val="15"/>
        <w:keepNext w:val="0"/>
        <w:keepLines w:val="0"/>
        <w:pageBreakBefore w:val="0"/>
        <w:widowControl w:val="0"/>
        <w:suppressLineNumbers w:val="0"/>
        <w:tabs>
          <w:tab w:val="left" w:pos="2370"/>
        </w:tabs>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jc w:val="both"/>
        <w:textAlignment w:val="auto"/>
        <w:rPr>
          <w:rFonts w:hint="default" w:ascii="Times New Roman" w:hAnsi="Times New Roman" w:cs="Times New Roman" w:eastAsiaTheme="minorEastAsia"/>
          <w:color w:val="auto"/>
          <w:kern w:val="2"/>
          <w:sz w:val="24"/>
          <w:szCs w:val="24"/>
          <w:lang w:val="en-US" w:eastAsia="zh-CN" w:bidi="ar-SA"/>
        </w:rPr>
      </w:pPr>
      <w:r>
        <w:rPr>
          <w:rFonts w:hint="default" w:ascii="Times New Roman" w:hAnsi="Times New Roman" w:cs="Times New Roman" w:eastAsiaTheme="minorEastAsia"/>
          <w:color w:val="auto"/>
          <w:kern w:val="2"/>
          <w:sz w:val="24"/>
          <w:szCs w:val="24"/>
          <w:lang w:val="en-US" w:eastAsia="zh-CN" w:bidi="ar-SA"/>
        </w:rPr>
        <w:t>本项目坚持种养平衡的原则，对养殖场的污水实行污水资源化利用。污废水经处理</w:t>
      </w:r>
    </w:p>
    <w:p>
      <w:pPr>
        <w:pStyle w:val="15"/>
        <w:keepNext w:val="0"/>
        <w:keepLines w:val="0"/>
        <w:pageBreakBefore w:val="0"/>
        <w:widowControl w:val="0"/>
        <w:suppressLineNumbers w:val="0"/>
        <w:tabs>
          <w:tab w:val="left" w:pos="2370"/>
        </w:tabs>
        <w:kinsoku/>
        <w:wordWrap/>
        <w:overflowPunct/>
        <w:topLinePunct w:val="0"/>
        <w:autoSpaceDE/>
        <w:autoSpaceDN/>
        <w:bidi w:val="0"/>
        <w:adjustRightInd w:val="0"/>
        <w:snapToGrid w:val="0"/>
        <w:spacing w:before="0" w:beforeAutospacing="0" w:after="0" w:afterAutospacing="0" w:line="360" w:lineRule="auto"/>
        <w:ind w:left="0" w:leftChars="0" w:right="0" w:firstLine="0" w:firstLineChars="0"/>
        <w:jc w:val="both"/>
        <w:textAlignment w:val="auto"/>
        <w:rPr>
          <w:rFonts w:hint="default" w:ascii="Times New Roman" w:hAnsi="Times New Roman" w:cs="Times New Roman" w:eastAsiaTheme="minorEastAsia"/>
          <w:color w:val="auto"/>
          <w:kern w:val="2"/>
          <w:sz w:val="24"/>
          <w:szCs w:val="24"/>
          <w:lang w:val="en-US" w:eastAsia="zh-CN" w:bidi="ar-SA"/>
        </w:rPr>
      </w:pPr>
      <w:r>
        <w:rPr>
          <w:rFonts w:hint="default" w:ascii="Times New Roman" w:hAnsi="Times New Roman" w:cs="Times New Roman" w:eastAsiaTheme="minorEastAsia"/>
          <w:color w:val="auto"/>
          <w:kern w:val="2"/>
          <w:sz w:val="24"/>
          <w:szCs w:val="24"/>
          <w:lang w:val="en-US" w:eastAsia="zh-CN" w:bidi="ar-SA"/>
        </w:rPr>
        <w:t>后用于</w:t>
      </w:r>
      <w:r>
        <w:rPr>
          <w:rFonts w:hint="eastAsia" w:ascii="Times New Roman" w:hAnsi="Times New Roman" w:cs="Times New Roman"/>
          <w:color w:val="auto"/>
          <w:kern w:val="2"/>
          <w:sz w:val="24"/>
          <w:szCs w:val="24"/>
          <w:lang w:val="en-US" w:eastAsia="zh-CN" w:bidi="ar-SA"/>
        </w:rPr>
        <w:t>周边</w:t>
      </w:r>
      <w:r>
        <w:rPr>
          <w:rFonts w:hint="default" w:ascii="Times New Roman" w:hAnsi="Times New Roman" w:cs="Times New Roman" w:eastAsiaTheme="minorEastAsia"/>
          <w:color w:val="auto"/>
          <w:kern w:val="2"/>
          <w:sz w:val="24"/>
          <w:szCs w:val="24"/>
          <w:lang w:val="en-US" w:eastAsia="zh-CN" w:bidi="ar-SA"/>
        </w:rPr>
        <w:t>果树灌溉用水，不排放。排水水质执行《农田灌溉水质标准》（</w:t>
      </w:r>
      <w:r>
        <w:rPr>
          <w:rFonts w:hint="eastAsia" w:ascii="Times New Roman" w:hAnsi="Times New Roman" w:cs="Times New Roman"/>
          <w:color w:val="auto"/>
          <w:kern w:val="2"/>
          <w:sz w:val="24"/>
          <w:szCs w:val="24"/>
          <w:lang w:val="en-US" w:eastAsia="zh-CN" w:bidi="ar-SA"/>
        </w:rPr>
        <w:t>GB5084-2021</w:t>
      </w:r>
      <w:r>
        <w:rPr>
          <w:rFonts w:hint="default" w:ascii="Times New Roman" w:hAnsi="Times New Roman" w:cs="Times New Roman" w:eastAsiaTheme="minorEastAsia"/>
          <w:color w:val="auto"/>
          <w:kern w:val="2"/>
          <w:sz w:val="24"/>
          <w:szCs w:val="24"/>
          <w:lang w:val="en-US" w:eastAsia="zh-CN" w:bidi="ar-SA"/>
        </w:rPr>
        <w:t>）表 1.</w:t>
      </w:r>
      <w:r>
        <w:rPr>
          <w:rFonts w:hint="eastAsia" w:ascii="Times New Roman" w:hAnsi="Times New Roman" w:cs="Times New Roman"/>
          <w:color w:val="auto"/>
          <w:kern w:val="2"/>
          <w:sz w:val="24"/>
          <w:szCs w:val="24"/>
          <w:lang w:val="en-US" w:eastAsia="zh-CN" w:bidi="ar-SA"/>
        </w:rPr>
        <w:t>4</w:t>
      </w:r>
      <w:r>
        <w:rPr>
          <w:rFonts w:hint="default" w:ascii="Times New Roman" w:hAnsi="Times New Roman" w:cs="Times New Roman" w:eastAsiaTheme="minorEastAsia"/>
          <w:color w:val="auto"/>
          <w:kern w:val="2"/>
          <w:sz w:val="24"/>
          <w:szCs w:val="24"/>
          <w:lang w:val="en-US" w:eastAsia="zh-CN" w:bidi="ar-SA"/>
        </w:rPr>
        <w:t>-8 中的旱作标准。</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auto"/>
          <w:kern w:val="2"/>
          <w:sz w:val="24"/>
          <w:szCs w:val="24"/>
          <w:lang w:val="en-US" w:eastAsia="zh-CN" w:bidi="ar-SA"/>
        </w:rPr>
      </w:pPr>
      <w:r>
        <w:rPr>
          <w:rFonts w:hint="default" w:ascii="Times New Roman" w:hAnsi="Times New Roman" w:eastAsia="宋体" w:cs="Times New Roman"/>
          <w:b/>
          <w:color w:val="auto"/>
          <w:sz w:val="21"/>
          <w:szCs w:val="21"/>
        </w:rPr>
        <w:t>表1.4-</w:t>
      </w:r>
      <w:r>
        <w:rPr>
          <w:rFonts w:hint="eastAsia" w:ascii="Times New Roman" w:hAnsi="Times New Roman" w:eastAsia="宋体" w:cs="Times New Roman"/>
          <w:b/>
          <w:color w:val="auto"/>
          <w:sz w:val="21"/>
          <w:szCs w:val="21"/>
          <w:lang w:val="en-US" w:eastAsia="zh-CN"/>
        </w:rPr>
        <w:t>8</w:t>
      </w:r>
      <w:r>
        <w:rPr>
          <w:rFonts w:hint="default" w:ascii="Times New Roman" w:hAnsi="Times New Roman" w:eastAsia="宋体" w:cs="Times New Roman"/>
          <w:b/>
          <w:color w:val="auto"/>
          <w:sz w:val="21"/>
          <w:szCs w:val="21"/>
        </w:rPr>
        <w:t xml:space="preserve">  农田灌溉水质标准</w:t>
      </w:r>
    </w:p>
    <w:tbl>
      <w:tblPr>
        <w:tblStyle w:val="34"/>
        <w:tblW w:w="9220" w:type="dxa"/>
        <w:jc w:val="center"/>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906"/>
        <w:gridCol w:w="3264"/>
        <w:gridCol w:w="3050"/>
      </w:tblGrid>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906" w:type="dxa"/>
            <w:tcBorders>
              <w:tl2br w:val="nil"/>
              <w:tr2bl w:val="nil"/>
            </w:tcBorders>
            <w:vAlign w:val="center"/>
          </w:tcPr>
          <w:p>
            <w:pPr>
              <w:jc w:val="center"/>
              <w:rPr>
                <w:rFonts w:hint="eastAsia" w:ascii="Times New Roman" w:hAnsi="Times New Roman" w:eastAsia="宋体" w:cs="Times New Roman"/>
                <w:b/>
                <w:bCs/>
                <w:color w:val="auto"/>
                <w:szCs w:val="21"/>
                <w:lang w:eastAsia="zh-CN"/>
              </w:rPr>
            </w:pPr>
            <w:r>
              <w:rPr>
                <w:rFonts w:hint="eastAsia" w:ascii="Times New Roman" w:hAnsi="Times New Roman" w:eastAsia="宋体" w:cs="Times New Roman"/>
                <w:b/>
                <w:bCs/>
                <w:color w:val="auto"/>
                <w:szCs w:val="21"/>
                <w:lang w:eastAsia="zh-CN"/>
              </w:rPr>
              <w:t>项目</w:t>
            </w:r>
          </w:p>
        </w:tc>
        <w:tc>
          <w:tcPr>
            <w:tcW w:w="3264" w:type="dxa"/>
            <w:tcBorders>
              <w:tl2br w:val="nil"/>
              <w:tr2bl w:val="nil"/>
            </w:tcBorders>
            <w:vAlign w:val="center"/>
          </w:tcPr>
          <w:p>
            <w:pPr>
              <w:jc w:val="center"/>
              <w:rPr>
                <w:rFonts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旱作标准浓度限值（mg/L）</w:t>
            </w:r>
          </w:p>
        </w:tc>
        <w:tc>
          <w:tcPr>
            <w:tcW w:w="3050" w:type="dxa"/>
            <w:tcBorders>
              <w:tl2br w:val="nil"/>
              <w:tr2bl w:val="nil"/>
            </w:tcBorders>
            <w:vAlign w:val="center"/>
          </w:tcPr>
          <w:p>
            <w:pPr>
              <w:jc w:val="center"/>
              <w:rPr>
                <w:rFonts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标准来源</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906" w:type="dxa"/>
            <w:tcBorders>
              <w:tl2br w:val="nil"/>
              <w:tr2bl w:val="nil"/>
            </w:tcBorders>
            <w:vAlign w:val="center"/>
          </w:tcPr>
          <w:p>
            <w:pPr>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pH</w:t>
            </w:r>
          </w:p>
        </w:tc>
        <w:tc>
          <w:tcPr>
            <w:tcW w:w="3264" w:type="dxa"/>
            <w:tcBorders>
              <w:tl2br w:val="nil"/>
              <w:tr2bl w:val="nil"/>
            </w:tcBorders>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5.5-8.5（无量纲）</w:t>
            </w:r>
          </w:p>
        </w:tc>
        <w:tc>
          <w:tcPr>
            <w:tcW w:w="3050" w:type="dxa"/>
            <w:vMerge w:val="restart"/>
            <w:tcBorders>
              <w:tl2br w:val="nil"/>
              <w:tr2bl w:val="nil"/>
            </w:tcBorders>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《农业灌溉水质标准》（GB5084-2021）标准</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906" w:type="dxa"/>
            <w:tcBorders>
              <w:tl2br w:val="nil"/>
              <w:tr2bl w:val="nil"/>
            </w:tcBorders>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CODcr</w:t>
            </w:r>
          </w:p>
        </w:tc>
        <w:tc>
          <w:tcPr>
            <w:tcW w:w="3264" w:type="dxa"/>
            <w:tcBorders>
              <w:tl2br w:val="nil"/>
              <w:tr2bl w:val="nil"/>
            </w:tcBorders>
            <w:vAlign w:val="center"/>
          </w:tcPr>
          <w:p>
            <w:pPr>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≤200</w:t>
            </w:r>
          </w:p>
        </w:tc>
        <w:tc>
          <w:tcPr>
            <w:tcW w:w="3050" w:type="dxa"/>
            <w:vMerge w:val="continue"/>
            <w:tcBorders>
              <w:tl2br w:val="nil"/>
              <w:tr2bl w:val="nil"/>
            </w:tcBorders>
            <w:vAlign w:val="center"/>
          </w:tcPr>
          <w:p>
            <w:pPr>
              <w:jc w:val="center"/>
              <w:rPr>
                <w:rFonts w:ascii="Times New Roman" w:hAnsi="Times New Roman" w:eastAsia="宋体" w:cs="Times New Roman"/>
                <w:color w:val="auto"/>
                <w:szCs w:val="21"/>
              </w:rPr>
            </w:pP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906" w:type="dxa"/>
            <w:tcBorders>
              <w:tl2br w:val="nil"/>
              <w:tr2bl w:val="nil"/>
            </w:tcBorders>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BOD</w:t>
            </w:r>
            <w:r>
              <w:rPr>
                <w:rFonts w:hint="eastAsia" w:ascii="Times New Roman" w:hAnsi="Times New Roman" w:eastAsia="宋体" w:cs="Times New Roman"/>
                <w:color w:val="auto"/>
                <w:szCs w:val="21"/>
                <w:vertAlign w:val="subscript"/>
                <w:lang w:val="en-US" w:eastAsia="zh-CN"/>
              </w:rPr>
              <w:t>5</w:t>
            </w:r>
          </w:p>
        </w:tc>
        <w:tc>
          <w:tcPr>
            <w:tcW w:w="3264" w:type="dxa"/>
            <w:tcBorders>
              <w:tl2br w:val="nil"/>
              <w:tr2bl w:val="nil"/>
            </w:tcBorders>
            <w:vAlign w:val="center"/>
          </w:tcPr>
          <w:p>
            <w:pPr>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≤100</w:t>
            </w:r>
          </w:p>
        </w:tc>
        <w:tc>
          <w:tcPr>
            <w:tcW w:w="3050" w:type="dxa"/>
            <w:vMerge w:val="continue"/>
            <w:tcBorders>
              <w:tl2br w:val="nil"/>
              <w:tr2bl w:val="nil"/>
            </w:tcBorders>
            <w:vAlign w:val="center"/>
          </w:tcPr>
          <w:p>
            <w:pPr>
              <w:jc w:val="center"/>
              <w:rPr>
                <w:rFonts w:ascii="Times New Roman" w:hAnsi="Times New Roman" w:eastAsia="宋体" w:cs="Times New Roman"/>
                <w:color w:val="auto"/>
                <w:szCs w:val="21"/>
              </w:rPr>
            </w:pP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906" w:type="dxa"/>
            <w:tcBorders>
              <w:tl2br w:val="nil"/>
              <w:tr2bl w:val="nil"/>
            </w:tcBorders>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SS</w:t>
            </w:r>
          </w:p>
        </w:tc>
        <w:tc>
          <w:tcPr>
            <w:tcW w:w="3264" w:type="dxa"/>
            <w:tcBorders>
              <w:tl2br w:val="nil"/>
              <w:tr2bl w:val="nil"/>
            </w:tcBorders>
            <w:vAlign w:val="center"/>
          </w:tcPr>
          <w:p>
            <w:pPr>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≤100</w:t>
            </w:r>
          </w:p>
        </w:tc>
        <w:tc>
          <w:tcPr>
            <w:tcW w:w="3050" w:type="dxa"/>
            <w:vMerge w:val="continue"/>
            <w:tcBorders>
              <w:tl2br w:val="nil"/>
              <w:tr2bl w:val="nil"/>
            </w:tcBorders>
            <w:vAlign w:val="center"/>
          </w:tcPr>
          <w:p>
            <w:pPr>
              <w:jc w:val="center"/>
              <w:rPr>
                <w:rFonts w:ascii="Times New Roman" w:hAnsi="Times New Roman" w:eastAsia="宋体" w:cs="Times New Roman"/>
                <w:color w:val="auto"/>
                <w:szCs w:val="21"/>
              </w:rPr>
            </w:pP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906" w:type="dxa"/>
            <w:tcBorders>
              <w:tl2br w:val="nil"/>
              <w:tr2bl w:val="nil"/>
            </w:tcBorders>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粪大肠菌群</w:t>
            </w:r>
          </w:p>
        </w:tc>
        <w:tc>
          <w:tcPr>
            <w:tcW w:w="3264" w:type="dxa"/>
            <w:tcBorders>
              <w:tl2br w:val="nil"/>
              <w:tr2bl w:val="nil"/>
            </w:tcBorders>
            <w:vAlign w:val="center"/>
          </w:tcPr>
          <w:p>
            <w:pPr>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≤4000</w:t>
            </w:r>
            <w:r>
              <w:rPr>
                <w:rFonts w:hint="eastAsia" w:ascii="Times New Roman" w:hAnsi="Times New Roman" w:eastAsia="宋体" w:cs="Times New Roman"/>
                <w:color w:val="auto"/>
                <w:szCs w:val="21"/>
                <w:lang w:val="en-US" w:eastAsia="zh-CN"/>
              </w:rPr>
              <w:t>0</w:t>
            </w:r>
            <w:r>
              <w:rPr>
                <w:rFonts w:hint="eastAsia" w:ascii="Times New Roman" w:hAnsi="Times New Roman" w:eastAsia="宋体" w:cs="Times New Roman"/>
                <w:color w:val="auto"/>
                <w:szCs w:val="21"/>
              </w:rPr>
              <w:t>（MPN/L）</w:t>
            </w:r>
          </w:p>
        </w:tc>
        <w:tc>
          <w:tcPr>
            <w:tcW w:w="3050" w:type="dxa"/>
            <w:vMerge w:val="continue"/>
            <w:tcBorders>
              <w:tl2br w:val="nil"/>
              <w:tr2bl w:val="nil"/>
            </w:tcBorders>
            <w:vAlign w:val="center"/>
          </w:tcPr>
          <w:p>
            <w:pPr>
              <w:jc w:val="center"/>
              <w:rPr>
                <w:rFonts w:ascii="Times New Roman" w:hAnsi="Times New Roman" w:eastAsia="宋体" w:cs="Times New Roman"/>
                <w:color w:val="auto"/>
                <w:szCs w:val="21"/>
              </w:rPr>
            </w:pP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906" w:type="dxa"/>
            <w:tcBorders>
              <w:tl2br w:val="nil"/>
              <w:tr2bl w:val="nil"/>
            </w:tcBorders>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蛔虫卵数</w:t>
            </w:r>
          </w:p>
        </w:tc>
        <w:tc>
          <w:tcPr>
            <w:tcW w:w="3264" w:type="dxa"/>
            <w:tcBorders>
              <w:tl2br w:val="nil"/>
              <w:tr2bl w:val="nil"/>
            </w:tcBorders>
            <w:vAlign w:val="center"/>
          </w:tcPr>
          <w:p>
            <w:pPr>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≤2（个/L）</w:t>
            </w:r>
          </w:p>
        </w:tc>
        <w:tc>
          <w:tcPr>
            <w:tcW w:w="3050" w:type="dxa"/>
            <w:vMerge w:val="continue"/>
            <w:tcBorders>
              <w:tl2br w:val="nil"/>
              <w:tr2bl w:val="nil"/>
            </w:tcBorders>
            <w:vAlign w:val="center"/>
          </w:tcPr>
          <w:p>
            <w:pPr>
              <w:jc w:val="center"/>
              <w:rPr>
                <w:rFonts w:ascii="Times New Roman" w:hAnsi="Times New Roman" w:eastAsia="宋体" w:cs="Times New Roman"/>
                <w:color w:val="auto"/>
                <w:szCs w:val="21"/>
              </w:rPr>
            </w:pP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906" w:type="dxa"/>
            <w:tcBorders>
              <w:tl2br w:val="nil"/>
              <w:tr2bl w:val="nil"/>
            </w:tcBorders>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氨氮</w:t>
            </w:r>
          </w:p>
        </w:tc>
        <w:tc>
          <w:tcPr>
            <w:tcW w:w="3264" w:type="dxa"/>
            <w:tcBorders>
              <w:tl2br w:val="nil"/>
              <w:tr2bl w:val="nil"/>
            </w:tcBorders>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80</w:t>
            </w:r>
          </w:p>
        </w:tc>
        <w:tc>
          <w:tcPr>
            <w:tcW w:w="3050" w:type="dxa"/>
            <w:vMerge w:val="restart"/>
            <w:tcBorders>
              <w:tl2br w:val="nil"/>
              <w:tr2bl w:val="nil"/>
            </w:tcBorders>
            <w:vAlign w:val="center"/>
          </w:tcPr>
          <w:p>
            <w:pPr>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《畜禽养殖业污染物排放标准》（GB18596-2001）</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906" w:type="dxa"/>
            <w:tcBorders>
              <w:tl2br w:val="nil"/>
              <w:tr2bl w:val="nil"/>
            </w:tcBorders>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总磷</w:t>
            </w:r>
          </w:p>
        </w:tc>
        <w:tc>
          <w:tcPr>
            <w:tcW w:w="3264" w:type="dxa"/>
            <w:tcBorders>
              <w:tl2br w:val="nil"/>
              <w:tr2bl w:val="nil"/>
            </w:tcBorders>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8.0</w:t>
            </w:r>
          </w:p>
        </w:tc>
        <w:tc>
          <w:tcPr>
            <w:tcW w:w="3050" w:type="dxa"/>
            <w:vMerge w:val="continue"/>
            <w:tcBorders>
              <w:tl2br w:val="nil"/>
              <w:tr2bl w:val="nil"/>
            </w:tcBorders>
            <w:vAlign w:val="center"/>
          </w:tcPr>
          <w:p>
            <w:pPr>
              <w:jc w:val="center"/>
              <w:rPr>
                <w:rFonts w:ascii="Times New Roman" w:hAnsi="Times New Roman" w:eastAsia="宋体" w:cs="Times New Roman"/>
                <w:color w:val="auto"/>
                <w:szCs w:val="21"/>
              </w:rPr>
            </w:pP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Times New Roman" w:hAnsi="Times New Roman" w:eastAsia="宋体" w:cs="Times New Roman"/>
          <w:b/>
          <w:bCs/>
          <w:color w:val="auto"/>
          <w:sz w:val="24"/>
        </w:rPr>
      </w:pPr>
      <w:r>
        <w:rPr>
          <w:rFonts w:hint="eastAsia" w:ascii="Times New Roman" w:hAnsi="Times New Roman" w:eastAsia="宋体" w:cs="Times New Roman"/>
          <w:b/>
          <w:bCs/>
          <w:color w:val="auto"/>
          <w:sz w:val="24"/>
        </w:rPr>
        <w:t>3、噪声</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施工期噪声执行《建筑施工场界环境噪声排放标准》（GB12523-2011），标准值见</w:t>
      </w:r>
      <w:r>
        <w:rPr>
          <w:rFonts w:hint="eastAsia" w:ascii="Times New Roman" w:hAnsi="Times New Roman" w:eastAsia="宋体" w:cs="Times New Roman"/>
          <w:color w:val="auto"/>
          <w:sz w:val="24"/>
          <w:szCs w:val="24"/>
        </w:rPr>
        <w:t>下</w:t>
      </w:r>
      <w:r>
        <w:rPr>
          <w:rFonts w:ascii="Times New Roman" w:hAnsi="Times New Roman" w:eastAsia="宋体" w:cs="Times New Roman"/>
          <w:color w:val="auto"/>
          <w:sz w:val="24"/>
          <w:szCs w:val="24"/>
        </w:rPr>
        <w:t>表。</w:t>
      </w:r>
      <w:r>
        <w:rPr>
          <w:rFonts w:hint="eastAsia" w:ascii="Times New Roman" w:hAnsi="Times New Roman" w:eastAsia="宋体" w:cs="Times New Roman"/>
          <w:color w:val="auto"/>
          <w:sz w:val="24"/>
          <w:szCs w:val="24"/>
        </w:rPr>
        <w:t>运营期</w:t>
      </w:r>
      <w:r>
        <w:rPr>
          <w:rFonts w:ascii="Times New Roman" w:hAnsi="Times New Roman" w:eastAsia="宋体" w:cs="Times New Roman"/>
          <w:color w:val="auto"/>
          <w:sz w:val="24"/>
          <w:szCs w:val="24"/>
        </w:rPr>
        <w:t>噪声执行《工业企业厂界环境噪声排放标准》（GB12348-2008）</w:t>
      </w:r>
      <w:r>
        <w:rPr>
          <w:rFonts w:hint="eastAsia" w:ascii="Times New Roman" w:hAnsi="Times New Roman" w:eastAsia="宋体" w:cs="Times New Roman"/>
          <w:color w:val="auto"/>
          <w:sz w:val="24"/>
          <w:szCs w:val="24"/>
          <w:lang w:val="en-US" w:eastAsia="zh-CN"/>
        </w:rPr>
        <w:t>2</w:t>
      </w:r>
      <w:r>
        <w:rPr>
          <w:rFonts w:ascii="Times New Roman" w:hAnsi="Times New Roman" w:eastAsia="宋体" w:cs="Times New Roman"/>
          <w:color w:val="auto"/>
          <w:sz w:val="24"/>
          <w:szCs w:val="24"/>
        </w:rPr>
        <w:t>类标准，见</w:t>
      </w:r>
      <w:r>
        <w:rPr>
          <w:rFonts w:hint="eastAsia" w:ascii="Times New Roman" w:hAnsi="Times New Roman" w:eastAsia="宋体" w:cs="Times New Roman"/>
          <w:color w:val="auto"/>
          <w:sz w:val="24"/>
          <w:szCs w:val="24"/>
        </w:rPr>
        <w:t>下</w:t>
      </w:r>
      <w:r>
        <w:rPr>
          <w:rFonts w:ascii="Times New Roman" w:hAnsi="Times New Roman" w:eastAsia="宋体" w:cs="Times New Roman"/>
          <w:color w:val="auto"/>
          <w:sz w:val="24"/>
          <w:szCs w:val="24"/>
        </w:rPr>
        <w:t>表</w:t>
      </w:r>
      <w:r>
        <w:rPr>
          <w:rFonts w:hint="eastAsia" w:ascii="Times New Roman" w:hAnsi="Times New Roman" w:eastAsia="宋体" w:cs="Times New Roman"/>
          <w:color w:val="auto"/>
          <w:sz w:val="24"/>
          <w:szCs w:val="24"/>
        </w:rPr>
        <w:t>：</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b/>
          <w:color w:val="auto"/>
          <w:sz w:val="21"/>
          <w:szCs w:val="21"/>
        </w:rPr>
        <w:t>表1.4-</w:t>
      </w:r>
      <w:r>
        <w:rPr>
          <w:rFonts w:hint="eastAsia" w:ascii="Times New Roman" w:hAnsi="Times New Roman" w:eastAsia="宋体" w:cs="Times New Roman"/>
          <w:b/>
          <w:color w:val="auto"/>
          <w:sz w:val="21"/>
          <w:szCs w:val="21"/>
          <w:lang w:val="en-US" w:eastAsia="zh-CN"/>
        </w:rPr>
        <w:t>9</w:t>
      </w:r>
      <w:r>
        <w:rPr>
          <w:rFonts w:hint="default" w:ascii="Times New Roman" w:hAnsi="Times New Roman" w:eastAsia="宋体" w:cs="Times New Roman"/>
          <w:b/>
          <w:color w:val="auto"/>
          <w:sz w:val="21"/>
          <w:szCs w:val="21"/>
        </w:rPr>
        <w:t xml:space="preserve">  建筑施工场界环境噪声排放限值  单位：</w:t>
      </w:r>
      <w:r>
        <w:rPr>
          <w:rFonts w:hint="default" w:ascii="Times New Roman" w:hAnsi="Times New Roman" w:eastAsia="宋体" w:cs="Times New Roman"/>
          <w:color w:val="auto"/>
          <w:sz w:val="21"/>
          <w:szCs w:val="21"/>
        </w:rPr>
        <w:t>dB（A）</w:t>
      </w:r>
    </w:p>
    <w:tbl>
      <w:tblPr>
        <w:tblStyle w:val="34"/>
        <w:tblW w:w="9220" w:type="dxa"/>
        <w:jc w:val="center"/>
        <w:tblBorders>
          <w:top w:val="single" w:color="000000" w:themeColor="text1" w:sz="12" w:space="0"/>
          <w:left w:val="none" w:color="auto" w:sz="0" w:space="0"/>
          <w:bottom w:val="single" w:color="000000" w:themeColor="text1" w:sz="12" w:space="0"/>
          <w:right w:val="none" w:color="auto" w:sz="0" w:space="0"/>
          <w:insideH w:val="single" w:color="000000" w:themeColor="text1" w:sz="2" w:space="0"/>
          <w:insideV w:val="single" w:color="000000" w:themeColor="text1" w:sz="2" w:space="0"/>
        </w:tblBorders>
        <w:tblLayout w:type="fixed"/>
        <w:tblCellMar>
          <w:top w:w="0" w:type="dxa"/>
          <w:left w:w="108" w:type="dxa"/>
          <w:bottom w:w="0" w:type="dxa"/>
          <w:right w:w="108" w:type="dxa"/>
        </w:tblCellMar>
      </w:tblPr>
      <w:tblGrid>
        <w:gridCol w:w="4510"/>
        <w:gridCol w:w="4710"/>
      </w:tblGrid>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2" w:space="0"/>
            <w:insideV w:val="single" w:color="000000" w:themeColor="text1" w:sz="2" w:space="0"/>
          </w:tblBorders>
        </w:tblPrEx>
        <w:trPr>
          <w:jc w:val="center"/>
        </w:trPr>
        <w:tc>
          <w:tcPr>
            <w:tcW w:w="4510" w:type="dxa"/>
            <w:tcBorders>
              <w:tl2br w:val="nil"/>
              <w:tr2bl w:val="nil"/>
            </w:tcBorders>
          </w:tcPr>
          <w:p>
            <w:pPr>
              <w:jc w:val="center"/>
              <w:rPr>
                <w:rFonts w:ascii="Times New Roman" w:hAnsi="Times New Roman" w:eastAsia="宋体" w:cs="Times New Roman"/>
                <w:b/>
                <w:bCs/>
                <w:color w:val="auto"/>
                <w:szCs w:val="21"/>
              </w:rPr>
            </w:pPr>
            <w:r>
              <w:rPr>
                <w:rFonts w:ascii="Times New Roman" w:hAnsi="Times New Roman" w:eastAsia="宋体" w:cs="Times New Roman"/>
                <w:b/>
                <w:bCs/>
                <w:color w:val="auto"/>
                <w:szCs w:val="21"/>
              </w:rPr>
              <w:t>昼间  [dB（A）]</w:t>
            </w:r>
          </w:p>
        </w:tc>
        <w:tc>
          <w:tcPr>
            <w:tcW w:w="4710" w:type="dxa"/>
            <w:tcBorders>
              <w:tl2br w:val="nil"/>
              <w:tr2bl w:val="nil"/>
            </w:tcBorders>
          </w:tcPr>
          <w:p>
            <w:pPr>
              <w:jc w:val="center"/>
              <w:rPr>
                <w:rFonts w:ascii="Times New Roman" w:hAnsi="Times New Roman" w:eastAsia="宋体" w:cs="Times New Roman"/>
                <w:b/>
                <w:bCs/>
                <w:color w:val="auto"/>
                <w:szCs w:val="21"/>
              </w:rPr>
            </w:pPr>
            <w:r>
              <w:rPr>
                <w:rFonts w:ascii="Times New Roman" w:hAnsi="Times New Roman" w:eastAsia="宋体" w:cs="Times New Roman"/>
                <w:b/>
                <w:bCs/>
                <w:color w:val="auto"/>
                <w:szCs w:val="21"/>
              </w:rPr>
              <w:t>夜间  [dB（A）]</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2" w:space="0"/>
            <w:insideV w:val="single" w:color="000000" w:themeColor="text1" w:sz="2" w:space="0"/>
          </w:tblBorders>
        </w:tblPrEx>
        <w:trPr>
          <w:jc w:val="center"/>
        </w:trPr>
        <w:tc>
          <w:tcPr>
            <w:tcW w:w="4510" w:type="dxa"/>
            <w:tcBorders>
              <w:tl2br w:val="nil"/>
              <w:tr2bl w:val="nil"/>
            </w:tcBorders>
          </w:tcPr>
          <w:p>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70</w:t>
            </w:r>
          </w:p>
        </w:tc>
        <w:tc>
          <w:tcPr>
            <w:tcW w:w="4710" w:type="dxa"/>
            <w:tcBorders>
              <w:tl2br w:val="nil"/>
              <w:tr2bl w:val="nil"/>
            </w:tcBorders>
          </w:tcPr>
          <w:p>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55</w:t>
            </w:r>
          </w:p>
        </w:tc>
      </w:tr>
    </w:tbl>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表1</w:t>
      </w:r>
      <w:r>
        <w:rPr>
          <w:rFonts w:hint="eastAsia" w:ascii="Times New Roman" w:hAnsi="Times New Roman" w:eastAsia="宋体" w:cs="Times New Roman"/>
          <w:b/>
          <w:color w:val="auto"/>
          <w:sz w:val="21"/>
          <w:szCs w:val="21"/>
        </w:rPr>
        <w:t>.4</w:t>
      </w:r>
      <w:r>
        <w:rPr>
          <w:rFonts w:hint="default" w:ascii="Times New Roman" w:hAnsi="Times New Roman" w:eastAsia="宋体" w:cs="Times New Roman"/>
          <w:b/>
          <w:color w:val="auto"/>
          <w:sz w:val="21"/>
          <w:szCs w:val="21"/>
        </w:rPr>
        <w:t>-</w:t>
      </w:r>
      <w:r>
        <w:rPr>
          <w:rFonts w:hint="eastAsia" w:ascii="Times New Roman" w:hAnsi="Times New Roman" w:eastAsia="宋体" w:cs="Times New Roman"/>
          <w:b/>
          <w:color w:val="auto"/>
          <w:sz w:val="21"/>
          <w:szCs w:val="21"/>
          <w:lang w:val="en-US" w:eastAsia="zh-CN"/>
        </w:rPr>
        <w:t>10</w:t>
      </w:r>
      <w:r>
        <w:rPr>
          <w:rFonts w:hint="default" w:ascii="Times New Roman" w:hAnsi="Times New Roman" w:eastAsia="宋体" w:cs="Times New Roman"/>
          <w:b/>
          <w:color w:val="auto"/>
          <w:sz w:val="21"/>
          <w:szCs w:val="21"/>
        </w:rPr>
        <w:t xml:space="preserve">  工业企业厂界环境噪声排放限值  单位：dB（A）</w:t>
      </w:r>
    </w:p>
    <w:tbl>
      <w:tblPr>
        <w:tblStyle w:val="34"/>
        <w:tblW w:w="9220" w:type="dxa"/>
        <w:jc w:val="center"/>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906"/>
        <w:gridCol w:w="3264"/>
        <w:gridCol w:w="3050"/>
      </w:tblGrid>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PrEx>
        <w:trPr>
          <w:jc w:val="center"/>
        </w:trPr>
        <w:tc>
          <w:tcPr>
            <w:tcW w:w="2906" w:type="dxa"/>
            <w:tcBorders>
              <w:tl2br w:val="nil"/>
              <w:tr2bl w:val="nil"/>
            </w:tcBorders>
          </w:tcPr>
          <w:p>
            <w:pPr>
              <w:jc w:val="center"/>
              <w:rPr>
                <w:rFonts w:ascii="Times New Roman" w:hAnsi="Times New Roman" w:eastAsia="宋体" w:cs="Times New Roman"/>
                <w:b/>
                <w:bCs/>
                <w:color w:val="auto"/>
                <w:szCs w:val="21"/>
              </w:rPr>
            </w:pPr>
            <w:r>
              <w:rPr>
                <w:rFonts w:ascii="Times New Roman" w:hAnsi="Times New Roman" w:eastAsia="宋体" w:cs="Times New Roman"/>
                <w:b/>
                <w:bCs/>
                <w:color w:val="auto"/>
                <w:szCs w:val="21"/>
              </w:rPr>
              <w:t>类别</w:t>
            </w:r>
          </w:p>
        </w:tc>
        <w:tc>
          <w:tcPr>
            <w:tcW w:w="3264" w:type="dxa"/>
            <w:tcBorders>
              <w:tl2br w:val="nil"/>
              <w:tr2bl w:val="nil"/>
            </w:tcBorders>
          </w:tcPr>
          <w:p>
            <w:pPr>
              <w:jc w:val="center"/>
              <w:rPr>
                <w:rFonts w:ascii="Times New Roman" w:hAnsi="Times New Roman" w:eastAsia="宋体" w:cs="Times New Roman"/>
                <w:b/>
                <w:bCs/>
                <w:color w:val="auto"/>
                <w:szCs w:val="21"/>
              </w:rPr>
            </w:pPr>
            <w:r>
              <w:rPr>
                <w:rFonts w:ascii="Times New Roman" w:hAnsi="Times New Roman" w:eastAsia="宋体" w:cs="Times New Roman"/>
                <w:b/>
                <w:bCs/>
                <w:color w:val="auto"/>
                <w:szCs w:val="21"/>
              </w:rPr>
              <w:t>昼间  [dB（A）]</w:t>
            </w:r>
          </w:p>
        </w:tc>
        <w:tc>
          <w:tcPr>
            <w:tcW w:w="3050" w:type="dxa"/>
            <w:tcBorders>
              <w:tl2br w:val="nil"/>
              <w:tr2bl w:val="nil"/>
            </w:tcBorders>
          </w:tcPr>
          <w:p>
            <w:pPr>
              <w:jc w:val="center"/>
              <w:rPr>
                <w:rFonts w:ascii="Times New Roman" w:hAnsi="Times New Roman" w:eastAsia="宋体" w:cs="Times New Roman"/>
                <w:b/>
                <w:bCs/>
                <w:color w:val="auto"/>
                <w:szCs w:val="21"/>
              </w:rPr>
            </w:pPr>
            <w:r>
              <w:rPr>
                <w:rFonts w:ascii="Times New Roman" w:hAnsi="Times New Roman" w:eastAsia="宋体" w:cs="Times New Roman"/>
                <w:b/>
                <w:bCs/>
                <w:color w:val="auto"/>
                <w:szCs w:val="21"/>
              </w:rPr>
              <w:t>夜间  [dB（A）]</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906" w:type="dxa"/>
            <w:tcBorders>
              <w:tl2br w:val="nil"/>
              <w:tr2bl w:val="nil"/>
            </w:tcBorders>
          </w:tcPr>
          <w:p>
            <w:pPr>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2</w:t>
            </w:r>
            <w:r>
              <w:rPr>
                <w:rFonts w:ascii="Times New Roman" w:hAnsi="Times New Roman" w:eastAsia="宋体" w:cs="Times New Roman"/>
                <w:color w:val="auto"/>
                <w:szCs w:val="21"/>
              </w:rPr>
              <w:t>类</w:t>
            </w:r>
          </w:p>
        </w:tc>
        <w:tc>
          <w:tcPr>
            <w:tcW w:w="3264" w:type="dxa"/>
            <w:tcBorders>
              <w:tl2br w:val="nil"/>
              <w:tr2bl w:val="nil"/>
            </w:tcBorders>
          </w:tcPr>
          <w:p>
            <w:pPr>
              <w:jc w:val="center"/>
              <w:rPr>
                <w:rFonts w:hint="eastAsia" w:ascii="Times New Roman" w:hAnsi="Times New Roman" w:eastAsia="宋体" w:cs="Times New Roman"/>
                <w:color w:val="auto"/>
                <w:szCs w:val="21"/>
                <w:lang w:val="en-US" w:eastAsia="zh-CN"/>
              </w:rPr>
            </w:pPr>
            <w:r>
              <w:rPr>
                <w:rFonts w:ascii="Times New Roman" w:hAnsi="Times New Roman" w:eastAsia="宋体" w:cs="Times New Roman"/>
                <w:color w:val="auto"/>
                <w:szCs w:val="21"/>
              </w:rPr>
              <w:t>6</w:t>
            </w:r>
            <w:r>
              <w:rPr>
                <w:rFonts w:hint="eastAsia" w:ascii="Times New Roman" w:hAnsi="Times New Roman" w:eastAsia="宋体" w:cs="Times New Roman"/>
                <w:color w:val="auto"/>
                <w:szCs w:val="21"/>
                <w:lang w:val="en-US" w:eastAsia="zh-CN"/>
              </w:rPr>
              <w:t>0</w:t>
            </w:r>
          </w:p>
        </w:tc>
        <w:tc>
          <w:tcPr>
            <w:tcW w:w="3050" w:type="dxa"/>
            <w:tcBorders>
              <w:tl2br w:val="nil"/>
              <w:tr2bl w:val="nil"/>
            </w:tcBorders>
          </w:tcPr>
          <w:p>
            <w:pPr>
              <w:jc w:val="center"/>
              <w:rPr>
                <w:rFonts w:hint="eastAsia" w:ascii="Times New Roman" w:hAnsi="Times New Roman" w:eastAsia="宋体" w:cs="Times New Roman"/>
                <w:color w:val="auto"/>
                <w:szCs w:val="21"/>
                <w:lang w:val="en-US" w:eastAsia="zh-CN"/>
              </w:rPr>
            </w:pPr>
            <w:r>
              <w:rPr>
                <w:rFonts w:ascii="Times New Roman" w:hAnsi="Times New Roman" w:eastAsia="宋体" w:cs="Times New Roman"/>
                <w:color w:val="auto"/>
                <w:szCs w:val="21"/>
              </w:rPr>
              <w:t>5</w:t>
            </w:r>
            <w:r>
              <w:rPr>
                <w:rFonts w:hint="eastAsia" w:ascii="Times New Roman" w:hAnsi="Times New Roman" w:eastAsia="宋体" w:cs="Times New Roman"/>
                <w:color w:val="auto"/>
                <w:szCs w:val="21"/>
                <w:lang w:val="en-US" w:eastAsia="zh-CN"/>
              </w:rPr>
              <w:t>0</w:t>
            </w:r>
          </w:p>
        </w:tc>
      </w:tr>
    </w:tbl>
    <w:p>
      <w:pPr>
        <w:spacing w:line="360" w:lineRule="auto"/>
        <w:ind w:firstLine="482" w:firstLineChars="200"/>
        <w:rPr>
          <w:rFonts w:ascii="Times New Roman" w:hAnsi="Times New Roman" w:eastAsia="宋体" w:cs="Times New Roman"/>
          <w:b/>
          <w:bCs/>
          <w:color w:val="auto"/>
          <w:sz w:val="24"/>
          <w:szCs w:val="24"/>
        </w:rPr>
      </w:pPr>
      <w:r>
        <w:rPr>
          <w:rFonts w:hint="eastAsia" w:ascii="Times New Roman" w:hAnsi="Times New Roman" w:eastAsia="宋体" w:cs="Times New Roman"/>
          <w:b/>
          <w:bCs/>
          <w:color w:val="auto"/>
          <w:sz w:val="24"/>
          <w:szCs w:val="24"/>
        </w:rPr>
        <w:t>4、</w:t>
      </w:r>
      <w:r>
        <w:rPr>
          <w:rFonts w:ascii="Times New Roman" w:hAnsi="Times New Roman" w:eastAsia="宋体" w:cs="Times New Roman"/>
          <w:b/>
          <w:bCs/>
          <w:color w:val="auto"/>
          <w:sz w:val="24"/>
          <w:szCs w:val="24"/>
        </w:rPr>
        <w:t>固体废物</w:t>
      </w:r>
    </w:p>
    <w:p>
      <w:pPr>
        <w:adjustRightInd w:val="0"/>
        <w:snapToGrid w:val="0"/>
        <w:spacing w:line="360" w:lineRule="auto"/>
        <w:ind w:firstLine="480" w:firstLineChars="200"/>
        <w:rPr>
          <w:rFonts w:hint="eastAsia" w:ascii="Times New Roman" w:hAnsi="Times New Roman" w:eastAsia="宋体"/>
          <w:color w:val="auto"/>
          <w:sz w:val="24"/>
          <w:lang w:eastAsia="zh-CN"/>
        </w:rPr>
      </w:pPr>
      <w:bookmarkStart w:id="38" w:name="_Toc18806"/>
      <w:bookmarkStart w:id="39" w:name="_Toc459118374"/>
      <w:r>
        <w:rPr>
          <w:rFonts w:hint="eastAsia" w:ascii="Times New Roman" w:hAnsi="Times New Roman" w:eastAsia="宋体"/>
          <w:color w:val="auto"/>
          <w:sz w:val="24"/>
        </w:rPr>
        <w:t>本项目所产生的固体废物包括一般固体废物（如：粪便、病死猪）和危险固废（如：卫生防疫用的废旧药品、针管）以及员工的生活垃圾等。病死猪尸体的处理与处置按《畜禽养殖业污染防治技术规范》（HJ/T 81-2001）及农业部《病死及病害动物无害化处理技术规范》中相关规定执行，即：病死畜禽尸体要及时处理，严禁随意丢弃，严禁出售或作为饲料再利用。危险固废的收集和贮存按《危险废物贮存污染控制标准》（GB 18597-2001）及其修改单要求执行，分类收集，按不同类别分置于防渗漏、防锐器穿透的专用包装物或者密闭的容器内，不得露天存放</w:t>
      </w:r>
      <w:r>
        <w:rPr>
          <w:rFonts w:hint="eastAsia" w:ascii="Times New Roman" w:hAnsi="Times New Roman" w:eastAsia="宋体"/>
          <w:color w:val="auto"/>
          <w:sz w:val="24"/>
          <w:lang w:eastAsia="zh-CN"/>
        </w:rPr>
        <w:t>。</w:t>
      </w:r>
    </w:p>
    <w:p>
      <w:pPr>
        <w:adjustRightInd w:val="0"/>
        <w:snapToGrid w:val="0"/>
        <w:spacing w:line="360" w:lineRule="auto"/>
        <w:ind w:firstLine="480" w:firstLineChars="200"/>
        <w:rPr>
          <w:rFonts w:hint="default" w:ascii="Times New Roman" w:hAnsi="Times New Roman" w:eastAsia="宋体"/>
          <w:color w:val="auto"/>
          <w:sz w:val="24"/>
          <w:lang w:val="en-US" w:eastAsia="zh-CN"/>
        </w:rPr>
      </w:pPr>
      <w:r>
        <w:rPr>
          <w:rFonts w:hint="default" w:ascii="Times New Roman" w:hAnsi="Times New Roman" w:eastAsia="宋体"/>
          <w:color w:val="auto"/>
          <w:sz w:val="24"/>
          <w:lang w:val="en-US" w:eastAsia="zh-CN"/>
        </w:rPr>
        <w:t>堆肥产物执行《畜禽粪便堆肥技术规范》（NY/T3442-2019）中表1堆肥产物质量要求，要求限值见表1.4-</w:t>
      </w:r>
      <w:r>
        <w:rPr>
          <w:rFonts w:hint="eastAsia" w:ascii="Times New Roman" w:hAnsi="Times New Roman" w:eastAsia="宋体"/>
          <w:color w:val="auto"/>
          <w:sz w:val="24"/>
          <w:lang w:val="en-US" w:eastAsia="zh-CN"/>
        </w:rPr>
        <w:t>11</w:t>
      </w:r>
      <w:r>
        <w:rPr>
          <w:rFonts w:hint="default" w:ascii="Times New Roman" w:hAnsi="Times New Roman" w:eastAsia="宋体"/>
          <w:color w:val="auto"/>
          <w:sz w:val="24"/>
          <w:lang w:val="en-US" w:eastAsia="zh-CN"/>
        </w:rPr>
        <w:t>。</w:t>
      </w:r>
    </w:p>
    <w:p>
      <w:pPr>
        <w:ind w:firstLine="480"/>
        <w:jc w:val="center"/>
        <w:rPr>
          <w:rFonts w:hint="default" w:ascii="Times New Roman" w:hAnsi="Times New Roman" w:eastAsia="宋体" w:cs="Times New Roman"/>
          <w:color w:val="auto"/>
        </w:rPr>
      </w:pPr>
      <w:r>
        <w:rPr>
          <w:rFonts w:hint="default" w:ascii="Times New Roman" w:hAnsi="Times New Roman" w:eastAsia="宋体" w:cs="Times New Roman"/>
          <w:b/>
          <w:bCs/>
          <w:color w:val="auto"/>
          <w:sz w:val="21"/>
          <w:szCs w:val="21"/>
        </w:rPr>
        <w:t>表1.4-</w:t>
      </w:r>
      <w:r>
        <w:rPr>
          <w:rFonts w:hint="eastAsia" w:ascii="Times New Roman" w:hAnsi="Times New Roman" w:eastAsia="宋体" w:cs="Times New Roman"/>
          <w:b/>
          <w:bCs/>
          <w:color w:val="auto"/>
          <w:sz w:val="21"/>
          <w:szCs w:val="21"/>
          <w:lang w:val="en-US" w:eastAsia="zh-CN"/>
        </w:rPr>
        <w:t>11</w:t>
      </w:r>
      <w:r>
        <w:rPr>
          <w:rFonts w:hint="default" w:ascii="Times New Roman" w:hAnsi="Times New Roman" w:eastAsia="宋体" w:cs="Times New Roman"/>
          <w:b/>
          <w:bCs/>
          <w:color w:val="auto"/>
          <w:sz w:val="21"/>
          <w:szCs w:val="21"/>
        </w:rPr>
        <w:t xml:space="preserve"> </w:t>
      </w:r>
      <w:r>
        <w:rPr>
          <w:rFonts w:hint="default" w:ascii="Times New Roman" w:hAnsi="Times New Roman" w:eastAsia="宋体" w:cs="Times New Roman"/>
          <w:b/>
          <w:bCs/>
          <w:color w:val="auto"/>
          <w:sz w:val="21"/>
          <w:szCs w:val="21"/>
          <w:lang w:val="en-US" w:eastAsia="zh-CN"/>
        </w:rPr>
        <w:t>堆肥产物质量要求</w:t>
      </w:r>
    </w:p>
    <w:tbl>
      <w:tblPr>
        <w:tblStyle w:val="34"/>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4987"/>
        <w:gridCol w:w="4229"/>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 w:hRule="atLeast"/>
          <w:jc w:val="center"/>
        </w:trPr>
        <w:tc>
          <w:tcPr>
            <w:tcW w:w="2705" w:type="pct"/>
            <w:tcBorders>
              <w:top w:val="single" w:color="auto" w:sz="12" w:space="0"/>
              <w:bottom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项目</w:t>
            </w:r>
          </w:p>
        </w:tc>
        <w:tc>
          <w:tcPr>
            <w:tcW w:w="2294" w:type="pct"/>
            <w:tcBorders>
              <w:top w:val="single" w:color="auto" w:sz="12" w:space="0"/>
              <w:bottom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指  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 w:hRule="atLeast"/>
          <w:jc w:val="center"/>
        </w:trPr>
        <w:tc>
          <w:tcPr>
            <w:tcW w:w="2705" w:type="pct"/>
            <w:tcBorders>
              <w:top w:val="single" w:color="auto" w:sz="12" w:space="0"/>
              <w:bottom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有机质含量（以干基计），%</w:t>
            </w:r>
          </w:p>
        </w:tc>
        <w:tc>
          <w:tcPr>
            <w:tcW w:w="2294" w:type="pct"/>
            <w:tcBorders>
              <w:top w:val="single" w:color="auto" w:sz="12" w:space="0"/>
              <w:bottom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 w:hRule="atLeast"/>
          <w:jc w:val="center"/>
        </w:trPr>
        <w:tc>
          <w:tcPr>
            <w:tcW w:w="2705" w:type="pct"/>
            <w:tcBorders>
              <w:top w:val="single" w:color="auto" w:sz="12" w:space="0"/>
              <w:bottom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水分含量，%</w:t>
            </w:r>
          </w:p>
        </w:tc>
        <w:tc>
          <w:tcPr>
            <w:tcW w:w="2294" w:type="pct"/>
            <w:tcBorders>
              <w:top w:val="single" w:color="auto" w:sz="12" w:space="0"/>
              <w:bottom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 w:hRule="atLeast"/>
          <w:jc w:val="center"/>
        </w:trPr>
        <w:tc>
          <w:tcPr>
            <w:tcW w:w="2705" w:type="pct"/>
            <w:tcBorders>
              <w:top w:val="single" w:color="auto" w:sz="12" w:space="0"/>
              <w:bottom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种子发芽指数（GD），%</w:t>
            </w:r>
          </w:p>
        </w:tc>
        <w:tc>
          <w:tcPr>
            <w:tcW w:w="2294" w:type="pct"/>
            <w:tcBorders>
              <w:top w:val="single" w:color="auto" w:sz="12" w:space="0"/>
              <w:bottom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eastAsia="zh-CN"/>
              </w:rPr>
              <w:t>≥70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 w:hRule="atLeast"/>
          <w:jc w:val="center"/>
        </w:trPr>
        <w:tc>
          <w:tcPr>
            <w:tcW w:w="2705" w:type="pct"/>
            <w:tcBorders>
              <w:top w:val="single" w:color="auto" w:sz="12" w:space="0"/>
              <w:bottom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蛔虫卵死亡率，%</w:t>
            </w:r>
          </w:p>
        </w:tc>
        <w:tc>
          <w:tcPr>
            <w:tcW w:w="2294" w:type="pct"/>
            <w:tcBorders>
              <w:top w:val="single" w:color="auto" w:sz="12" w:space="0"/>
              <w:bottom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eastAsia="zh-CN"/>
              </w:rPr>
              <w:t>≥95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 w:hRule="atLeast"/>
          <w:jc w:val="center"/>
        </w:trPr>
        <w:tc>
          <w:tcPr>
            <w:tcW w:w="2705" w:type="pct"/>
            <w:tcBorders>
              <w:top w:val="single" w:color="auto" w:sz="12" w:space="0"/>
              <w:bottom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粪大肠菌群数，个/g</w:t>
            </w:r>
          </w:p>
        </w:tc>
        <w:tc>
          <w:tcPr>
            <w:tcW w:w="2294" w:type="pct"/>
            <w:tcBorders>
              <w:top w:val="single" w:color="auto" w:sz="12" w:space="0"/>
              <w:bottom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eastAsia="zh-CN"/>
              </w:rPr>
              <w:t>≤100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 w:hRule="atLeast"/>
          <w:jc w:val="center"/>
        </w:trPr>
        <w:tc>
          <w:tcPr>
            <w:tcW w:w="2705" w:type="pct"/>
            <w:tcBorders>
              <w:top w:val="single" w:color="auto" w:sz="12" w:space="0"/>
              <w:bottom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总砷（As）（以干基计），mg/kg</w:t>
            </w:r>
          </w:p>
        </w:tc>
        <w:tc>
          <w:tcPr>
            <w:tcW w:w="2294" w:type="pct"/>
            <w:tcBorders>
              <w:top w:val="single" w:color="auto" w:sz="12" w:space="0"/>
              <w:bottom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eastAsia="zh-CN"/>
              </w:rPr>
              <w:t>≤15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 w:hRule="atLeast"/>
          <w:jc w:val="center"/>
        </w:trPr>
        <w:tc>
          <w:tcPr>
            <w:tcW w:w="2705" w:type="pct"/>
            <w:tcBorders>
              <w:top w:val="single" w:color="auto" w:sz="12" w:space="0"/>
              <w:bottom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总汞（Hg）（以干基计），mg/kg</w:t>
            </w:r>
          </w:p>
        </w:tc>
        <w:tc>
          <w:tcPr>
            <w:tcW w:w="2294" w:type="pct"/>
            <w:tcBorders>
              <w:top w:val="single" w:color="auto" w:sz="12" w:space="0"/>
              <w:bottom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 w:hRule="atLeast"/>
          <w:jc w:val="center"/>
        </w:trPr>
        <w:tc>
          <w:tcPr>
            <w:tcW w:w="2705" w:type="pct"/>
            <w:tcBorders>
              <w:top w:val="single" w:color="auto" w:sz="12" w:space="0"/>
              <w:bottom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总铅（Pb）（以干基计），mg/kg</w:t>
            </w:r>
          </w:p>
        </w:tc>
        <w:tc>
          <w:tcPr>
            <w:tcW w:w="2294" w:type="pct"/>
            <w:tcBorders>
              <w:top w:val="single" w:color="auto" w:sz="12" w:space="0"/>
              <w:bottom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eastAsia="zh-CN"/>
              </w:rPr>
              <w:t>≤50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 w:hRule="atLeast"/>
          <w:jc w:val="center"/>
        </w:trPr>
        <w:tc>
          <w:tcPr>
            <w:tcW w:w="2705" w:type="pct"/>
            <w:tcBorders>
              <w:top w:val="single" w:color="auto" w:sz="12" w:space="0"/>
              <w:bottom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总镉（Cd）（以干基计），mg/kg</w:t>
            </w:r>
          </w:p>
        </w:tc>
        <w:tc>
          <w:tcPr>
            <w:tcW w:w="2294" w:type="pct"/>
            <w:tcBorders>
              <w:top w:val="single" w:color="auto" w:sz="12" w:space="0"/>
              <w:bottom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 w:hRule="atLeast"/>
          <w:jc w:val="center"/>
        </w:trPr>
        <w:tc>
          <w:tcPr>
            <w:tcW w:w="2705" w:type="pct"/>
            <w:tcBorders>
              <w:top w:val="single" w:color="auto" w:sz="12" w:space="0"/>
              <w:bottom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总铬（Cr）（以干基计），mg/kg</w:t>
            </w:r>
          </w:p>
        </w:tc>
        <w:tc>
          <w:tcPr>
            <w:tcW w:w="2294" w:type="pct"/>
            <w:tcBorders>
              <w:top w:val="single" w:color="auto" w:sz="12" w:space="0"/>
              <w:bottom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eastAsia="zh-CN"/>
              </w:rPr>
              <w:t>≤150</w:t>
            </w:r>
          </w:p>
        </w:tc>
      </w:tr>
    </w:tbl>
    <w:p>
      <w:pPr>
        <w:pStyle w:val="5"/>
        <w:pageBreakBefore w:val="0"/>
        <w:widowControl w:val="0"/>
        <w:kinsoku/>
        <w:wordWrap/>
        <w:overflowPunct/>
        <w:topLinePunct w:val="0"/>
        <w:autoSpaceDE/>
        <w:autoSpaceDN/>
        <w:bidi w:val="0"/>
        <w:adjustRightInd w:val="0"/>
        <w:snapToGrid w:val="0"/>
        <w:spacing w:before="0" w:after="0" w:line="360" w:lineRule="auto"/>
        <w:textAlignment w:val="auto"/>
        <w:rPr>
          <w:rFonts w:ascii="Times New Roman" w:hAnsi="Times New Roman" w:eastAsia="宋体"/>
          <w:color w:val="auto"/>
          <w:sz w:val="30"/>
          <w:szCs w:val="30"/>
        </w:rPr>
      </w:pPr>
      <w:bookmarkStart w:id="40" w:name="_Toc4090"/>
      <w:r>
        <w:rPr>
          <w:rFonts w:ascii="Times New Roman" w:hAnsi="Times New Roman" w:eastAsia="宋体"/>
          <w:color w:val="auto"/>
          <w:sz w:val="30"/>
          <w:szCs w:val="30"/>
        </w:rPr>
        <w:t>1.5环境影响</w:t>
      </w:r>
      <w:r>
        <w:rPr>
          <w:rFonts w:hint="eastAsia" w:ascii="Times New Roman" w:hAnsi="Times New Roman" w:eastAsia="宋体"/>
          <w:color w:val="auto"/>
          <w:sz w:val="30"/>
          <w:szCs w:val="30"/>
        </w:rPr>
        <w:t>因数</w:t>
      </w:r>
      <w:r>
        <w:rPr>
          <w:rFonts w:ascii="Times New Roman" w:hAnsi="Times New Roman" w:eastAsia="宋体"/>
          <w:color w:val="auto"/>
          <w:sz w:val="30"/>
          <w:szCs w:val="30"/>
        </w:rPr>
        <w:t>识别及评价因子筛选</w:t>
      </w:r>
      <w:bookmarkEnd w:id="38"/>
      <w:bookmarkEnd w:id="39"/>
      <w:bookmarkEnd w:id="40"/>
    </w:p>
    <w:p>
      <w:pPr>
        <w:pStyle w:val="6"/>
        <w:pageBreakBefore w:val="0"/>
        <w:widowControl w:val="0"/>
        <w:kinsoku/>
        <w:wordWrap/>
        <w:overflowPunct/>
        <w:topLinePunct w:val="0"/>
        <w:autoSpaceDE/>
        <w:autoSpaceDN/>
        <w:bidi w:val="0"/>
        <w:adjustRightInd w:val="0"/>
        <w:snapToGrid w:val="0"/>
        <w:spacing w:before="0" w:after="0" w:line="360" w:lineRule="auto"/>
        <w:textAlignment w:val="auto"/>
        <w:rPr>
          <w:rFonts w:ascii="Times New Roman" w:hAnsi="Times New Roman" w:eastAsia="宋体"/>
          <w:color w:val="auto"/>
          <w:sz w:val="28"/>
          <w:szCs w:val="28"/>
        </w:rPr>
      </w:pPr>
      <w:bookmarkStart w:id="41" w:name="_Toc459118375"/>
      <w:bookmarkStart w:id="42" w:name="_Toc25780"/>
      <w:r>
        <w:rPr>
          <w:rFonts w:ascii="Times New Roman" w:hAnsi="Times New Roman" w:eastAsia="宋体"/>
          <w:color w:val="auto"/>
          <w:sz w:val="28"/>
          <w:szCs w:val="28"/>
        </w:rPr>
        <w:t>1.5.1环境影响</w:t>
      </w:r>
      <w:r>
        <w:rPr>
          <w:rFonts w:hint="eastAsia" w:ascii="Times New Roman" w:hAnsi="Times New Roman" w:eastAsia="宋体"/>
          <w:color w:val="auto"/>
          <w:sz w:val="28"/>
          <w:szCs w:val="28"/>
        </w:rPr>
        <w:t>因素</w:t>
      </w:r>
      <w:r>
        <w:rPr>
          <w:rFonts w:ascii="Times New Roman" w:hAnsi="Times New Roman" w:eastAsia="宋体"/>
          <w:color w:val="auto"/>
          <w:sz w:val="28"/>
          <w:szCs w:val="28"/>
        </w:rPr>
        <w:t>识别</w:t>
      </w:r>
      <w:bookmarkEnd w:id="41"/>
      <w:bookmarkEnd w:id="42"/>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根据本项目特点及所在地环境特征，项目的环境影响要素识别见表</w:t>
      </w:r>
      <w:r>
        <w:rPr>
          <w:rFonts w:hint="eastAsia" w:ascii="Times New Roman" w:hAnsi="Times New Roman" w:eastAsia="宋体" w:cs="Times New Roman"/>
          <w:color w:val="auto"/>
          <w:sz w:val="24"/>
          <w:szCs w:val="24"/>
          <w:lang w:val="en-US" w:eastAsia="zh-CN"/>
        </w:rPr>
        <w:t>1.5-1。</w:t>
      </w:r>
    </w:p>
    <w:p>
      <w:pPr>
        <w:widowControl/>
        <w:jc w:val="center"/>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表1</w:t>
      </w:r>
      <w:r>
        <w:rPr>
          <w:rFonts w:hint="eastAsia" w:ascii="Times New Roman" w:hAnsi="Times New Roman" w:eastAsia="宋体" w:cs="Times New Roman"/>
          <w:b/>
          <w:color w:val="auto"/>
          <w:sz w:val="21"/>
          <w:szCs w:val="21"/>
        </w:rPr>
        <w:t>.5</w:t>
      </w:r>
      <w:r>
        <w:rPr>
          <w:rFonts w:ascii="Times New Roman" w:hAnsi="Times New Roman" w:eastAsia="宋体" w:cs="Times New Roman"/>
          <w:b/>
          <w:color w:val="auto"/>
          <w:sz w:val="21"/>
          <w:szCs w:val="21"/>
        </w:rPr>
        <w:t>-</w:t>
      </w:r>
      <w:r>
        <w:rPr>
          <w:rFonts w:hint="eastAsia" w:ascii="Times New Roman" w:hAnsi="Times New Roman" w:eastAsia="宋体" w:cs="Times New Roman"/>
          <w:b/>
          <w:color w:val="auto"/>
          <w:sz w:val="21"/>
          <w:szCs w:val="21"/>
        </w:rPr>
        <w:t>1</w:t>
      </w:r>
      <w:r>
        <w:rPr>
          <w:rFonts w:ascii="Times New Roman" w:hAnsi="Times New Roman" w:eastAsia="宋体" w:cs="Times New Roman"/>
          <w:b/>
          <w:color w:val="auto"/>
          <w:sz w:val="21"/>
          <w:szCs w:val="21"/>
        </w:rPr>
        <w:t xml:space="preserve">  环境影响</w:t>
      </w:r>
      <w:r>
        <w:rPr>
          <w:rFonts w:hint="eastAsia" w:ascii="Times New Roman" w:hAnsi="Times New Roman" w:eastAsia="宋体" w:cs="Times New Roman"/>
          <w:b/>
          <w:color w:val="auto"/>
          <w:sz w:val="21"/>
          <w:szCs w:val="21"/>
        </w:rPr>
        <w:t>因素</w:t>
      </w:r>
      <w:r>
        <w:rPr>
          <w:rFonts w:ascii="Times New Roman" w:hAnsi="Times New Roman" w:eastAsia="宋体" w:cs="Times New Roman"/>
          <w:b/>
          <w:color w:val="auto"/>
          <w:sz w:val="21"/>
          <w:szCs w:val="21"/>
        </w:rPr>
        <w:t>识别矩阵一览表</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5"/>
        <w:gridCol w:w="2305"/>
        <w:gridCol w:w="2305"/>
        <w:gridCol w:w="2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5" w:type="dxa"/>
            <w:vAlign w:val="center"/>
          </w:tcPr>
          <w:p>
            <w:pPr>
              <w:spacing w:line="240" w:lineRule="exact"/>
              <w:jc w:val="center"/>
              <w:rPr>
                <w:rFonts w:hint="eastAsia" w:ascii="Times New Roman" w:hAnsi="Times New Roman" w:eastAsia="宋体"/>
                <w:b/>
                <w:bCs/>
                <w:color w:val="auto"/>
                <w:spacing w:val="-12"/>
                <w:szCs w:val="21"/>
                <w:lang w:eastAsia="zh-CN"/>
              </w:rPr>
            </w:pPr>
            <w:r>
              <w:rPr>
                <w:rFonts w:hint="eastAsia" w:ascii="Times New Roman" w:hAnsi="Times New Roman" w:eastAsia="宋体"/>
                <w:b/>
                <w:bCs/>
                <w:color w:val="auto"/>
                <w:spacing w:val="-12"/>
                <w:szCs w:val="21"/>
                <w:lang w:eastAsia="zh-CN"/>
              </w:rPr>
              <w:t>环境要素</w:t>
            </w:r>
          </w:p>
        </w:tc>
        <w:tc>
          <w:tcPr>
            <w:tcW w:w="2305" w:type="dxa"/>
            <w:vAlign w:val="center"/>
          </w:tcPr>
          <w:p>
            <w:pPr>
              <w:spacing w:line="240" w:lineRule="exact"/>
              <w:jc w:val="center"/>
              <w:rPr>
                <w:rFonts w:hint="eastAsia" w:ascii="Times New Roman" w:hAnsi="Times New Roman" w:eastAsia="宋体"/>
                <w:b/>
                <w:bCs/>
                <w:color w:val="auto"/>
                <w:spacing w:val="-12"/>
                <w:szCs w:val="21"/>
                <w:lang w:eastAsia="zh-CN"/>
              </w:rPr>
            </w:pPr>
            <w:r>
              <w:rPr>
                <w:rFonts w:hint="eastAsia" w:ascii="Times New Roman" w:hAnsi="Times New Roman" w:eastAsia="宋体"/>
                <w:b/>
                <w:bCs/>
                <w:color w:val="auto"/>
                <w:spacing w:val="-12"/>
                <w:szCs w:val="21"/>
                <w:lang w:eastAsia="zh-CN"/>
              </w:rPr>
              <w:t>建设期</w:t>
            </w:r>
          </w:p>
        </w:tc>
        <w:tc>
          <w:tcPr>
            <w:tcW w:w="2305" w:type="dxa"/>
            <w:vAlign w:val="center"/>
          </w:tcPr>
          <w:p>
            <w:pPr>
              <w:spacing w:line="240" w:lineRule="exact"/>
              <w:jc w:val="center"/>
              <w:rPr>
                <w:rFonts w:hint="eastAsia" w:ascii="Times New Roman" w:hAnsi="Times New Roman" w:eastAsia="宋体"/>
                <w:b/>
                <w:bCs/>
                <w:color w:val="auto"/>
                <w:spacing w:val="-12"/>
                <w:szCs w:val="21"/>
                <w:lang w:eastAsia="zh-CN"/>
              </w:rPr>
            </w:pPr>
            <w:r>
              <w:rPr>
                <w:rFonts w:hint="eastAsia" w:ascii="Times New Roman" w:hAnsi="Times New Roman" w:eastAsia="宋体"/>
                <w:b/>
                <w:bCs/>
                <w:color w:val="auto"/>
                <w:spacing w:val="-12"/>
                <w:szCs w:val="21"/>
                <w:lang w:eastAsia="zh-CN"/>
              </w:rPr>
              <w:t>运营期</w:t>
            </w:r>
          </w:p>
        </w:tc>
        <w:tc>
          <w:tcPr>
            <w:tcW w:w="2305" w:type="dxa"/>
            <w:vAlign w:val="center"/>
          </w:tcPr>
          <w:p>
            <w:pPr>
              <w:spacing w:line="240" w:lineRule="exact"/>
              <w:jc w:val="center"/>
              <w:rPr>
                <w:rFonts w:hint="eastAsia" w:ascii="Times New Roman" w:hAnsi="Times New Roman" w:eastAsia="宋体"/>
                <w:b/>
                <w:bCs/>
                <w:color w:val="auto"/>
                <w:spacing w:val="-12"/>
                <w:szCs w:val="21"/>
                <w:lang w:eastAsia="zh-CN"/>
              </w:rPr>
            </w:pPr>
            <w:r>
              <w:rPr>
                <w:rFonts w:hint="eastAsia" w:ascii="Times New Roman" w:hAnsi="Times New Roman" w:eastAsia="宋体"/>
                <w:b/>
                <w:bCs/>
                <w:color w:val="auto"/>
                <w:spacing w:val="-12"/>
                <w:szCs w:val="21"/>
                <w:lang w:eastAsia="zh-CN"/>
              </w:rPr>
              <w:t>服务期满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trPr>
        <w:tc>
          <w:tcPr>
            <w:tcW w:w="2305" w:type="dxa"/>
            <w:vAlign w:val="center"/>
          </w:tcPr>
          <w:p>
            <w:pPr>
              <w:spacing w:line="240" w:lineRule="exact"/>
              <w:jc w:val="center"/>
              <w:rPr>
                <w:rFonts w:hint="eastAsia" w:ascii="Times New Roman" w:hAnsi="Times New Roman" w:eastAsia="宋体"/>
                <w:color w:val="auto"/>
                <w:spacing w:val="-12"/>
                <w:szCs w:val="21"/>
                <w:lang w:eastAsia="zh-CN"/>
              </w:rPr>
            </w:pPr>
            <w:r>
              <w:rPr>
                <w:rFonts w:hint="eastAsia" w:ascii="Times New Roman" w:hAnsi="Times New Roman" w:eastAsia="宋体"/>
                <w:color w:val="auto"/>
                <w:spacing w:val="-12"/>
                <w:szCs w:val="21"/>
                <w:lang w:eastAsia="zh-CN"/>
              </w:rPr>
              <w:t>地表水</w:t>
            </w:r>
          </w:p>
        </w:tc>
        <w:tc>
          <w:tcPr>
            <w:tcW w:w="2305" w:type="dxa"/>
            <w:vAlign w:val="center"/>
          </w:tcPr>
          <w:p>
            <w:pPr>
              <w:spacing w:line="240" w:lineRule="exact"/>
              <w:jc w:val="center"/>
              <w:rPr>
                <w:rFonts w:hint="eastAsia" w:ascii="Times New Roman" w:hAnsi="Times New Roman" w:eastAsia="宋体"/>
                <w:color w:val="auto"/>
                <w:spacing w:val="-12"/>
                <w:szCs w:val="21"/>
                <w:lang w:val="en-US" w:eastAsia="zh-CN"/>
              </w:rPr>
            </w:pPr>
            <w:r>
              <w:rPr>
                <w:rFonts w:hint="eastAsia" w:ascii="Times New Roman" w:hAnsi="Times New Roman" w:eastAsia="宋体"/>
                <w:color w:val="auto"/>
                <w:spacing w:val="-12"/>
                <w:szCs w:val="21"/>
                <w:lang w:val="en-US" w:eastAsia="zh-CN"/>
              </w:rPr>
              <w:t>+</w:t>
            </w:r>
          </w:p>
        </w:tc>
        <w:tc>
          <w:tcPr>
            <w:tcW w:w="2305" w:type="dxa"/>
            <w:vAlign w:val="center"/>
          </w:tcPr>
          <w:p>
            <w:pPr>
              <w:spacing w:line="240" w:lineRule="exact"/>
              <w:jc w:val="center"/>
              <w:rPr>
                <w:rFonts w:ascii="Times New Roman" w:hAnsi="Times New Roman" w:eastAsia="宋体"/>
                <w:color w:val="auto"/>
                <w:spacing w:val="-12"/>
                <w:szCs w:val="21"/>
              </w:rPr>
            </w:pPr>
            <w:r>
              <w:rPr>
                <w:rFonts w:hint="eastAsia" w:ascii="Times New Roman" w:hAnsi="Times New Roman" w:eastAsia="宋体"/>
                <w:color w:val="auto"/>
                <w:spacing w:val="-12"/>
                <w:szCs w:val="21"/>
                <w:lang w:val="en-US" w:eastAsia="zh-CN"/>
              </w:rPr>
              <w:t>+</w:t>
            </w:r>
          </w:p>
        </w:tc>
        <w:tc>
          <w:tcPr>
            <w:tcW w:w="2305" w:type="dxa"/>
            <w:vAlign w:val="center"/>
          </w:tcPr>
          <w:p>
            <w:pPr>
              <w:spacing w:line="240" w:lineRule="exact"/>
              <w:jc w:val="center"/>
              <w:rPr>
                <w:rFonts w:hint="default"/>
                <w:color w:val="auto"/>
                <w:lang w:val="en-US" w:eastAsia="zh-CN"/>
              </w:rPr>
            </w:pPr>
            <w:r>
              <w:rPr>
                <w:rFonts w:hint="eastAsia"/>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5" w:type="dxa"/>
            <w:vAlign w:val="center"/>
          </w:tcPr>
          <w:p>
            <w:pPr>
              <w:spacing w:line="240" w:lineRule="exact"/>
              <w:jc w:val="center"/>
              <w:rPr>
                <w:rFonts w:hint="eastAsia" w:ascii="Times New Roman" w:hAnsi="Times New Roman" w:eastAsia="宋体"/>
                <w:color w:val="auto"/>
                <w:spacing w:val="-12"/>
                <w:szCs w:val="21"/>
                <w:lang w:eastAsia="zh-CN"/>
              </w:rPr>
            </w:pPr>
            <w:r>
              <w:rPr>
                <w:rFonts w:hint="eastAsia" w:ascii="Times New Roman" w:hAnsi="Times New Roman" w:eastAsia="宋体"/>
                <w:color w:val="auto"/>
                <w:spacing w:val="-12"/>
                <w:szCs w:val="21"/>
                <w:lang w:eastAsia="zh-CN"/>
              </w:rPr>
              <w:t>环境空气</w:t>
            </w:r>
          </w:p>
        </w:tc>
        <w:tc>
          <w:tcPr>
            <w:tcW w:w="2305" w:type="dxa"/>
            <w:vAlign w:val="center"/>
          </w:tcPr>
          <w:p>
            <w:pPr>
              <w:spacing w:line="240" w:lineRule="exact"/>
              <w:jc w:val="center"/>
              <w:rPr>
                <w:rFonts w:ascii="Times New Roman" w:hAnsi="Times New Roman" w:eastAsia="宋体"/>
                <w:color w:val="auto"/>
                <w:spacing w:val="-12"/>
                <w:szCs w:val="21"/>
              </w:rPr>
            </w:pPr>
            <w:r>
              <w:rPr>
                <w:rFonts w:hint="eastAsia" w:ascii="Times New Roman" w:hAnsi="Times New Roman" w:eastAsia="宋体"/>
                <w:color w:val="auto"/>
                <w:spacing w:val="-12"/>
                <w:szCs w:val="21"/>
                <w:lang w:val="en-US" w:eastAsia="zh-CN"/>
              </w:rPr>
              <w:t>++</w:t>
            </w:r>
          </w:p>
        </w:tc>
        <w:tc>
          <w:tcPr>
            <w:tcW w:w="2305" w:type="dxa"/>
            <w:vAlign w:val="center"/>
          </w:tcPr>
          <w:p>
            <w:pPr>
              <w:spacing w:line="240" w:lineRule="exact"/>
              <w:jc w:val="center"/>
              <w:rPr>
                <w:rFonts w:ascii="Times New Roman" w:hAnsi="Times New Roman" w:eastAsia="宋体"/>
                <w:color w:val="auto"/>
                <w:spacing w:val="-12"/>
                <w:szCs w:val="21"/>
              </w:rPr>
            </w:pPr>
            <w:r>
              <w:rPr>
                <w:rFonts w:hint="eastAsia" w:ascii="Times New Roman" w:hAnsi="Times New Roman" w:eastAsia="宋体"/>
                <w:color w:val="auto"/>
                <w:spacing w:val="-12"/>
                <w:szCs w:val="21"/>
                <w:lang w:val="en-US" w:eastAsia="zh-CN"/>
              </w:rPr>
              <w:t>++</w:t>
            </w:r>
          </w:p>
        </w:tc>
        <w:tc>
          <w:tcPr>
            <w:tcW w:w="2305" w:type="dxa"/>
            <w:vAlign w:val="center"/>
          </w:tcPr>
          <w:p>
            <w:pPr>
              <w:spacing w:line="240" w:lineRule="exact"/>
              <w:jc w:val="center"/>
              <w:rPr>
                <w:rFonts w:ascii="Times New Roman" w:hAnsi="Times New Roman" w:eastAsia="宋体"/>
                <w:color w:val="auto"/>
                <w:spacing w:val="-12"/>
                <w:szCs w:val="21"/>
              </w:rPr>
            </w:pPr>
            <w:r>
              <w:rPr>
                <w:rFonts w:hint="eastAsia"/>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05" w:type="dxa"/>
            <w:vAlign w:val="center"/>
          </w:tcPr>
          <w:p>
            <w:pPr>
              <w:spacing w:line="240" w:lineRule="exact"/>
              <w:jc w:val="center"/>
              <w:rPr>
                <w:rFonts w:hint="eastAsia" w:ascii="Times New Roman" w:hAnsi="Times New Roman" w:eastAsia="宋体"/>
                <w:color w:val="auto"/>
                <w:spacing w:val="-12"/>
                <w:szCs w:val="21"/>
                <w:lang w:eastAsia="zh-CN"/>
              </w:rPr>
            </w:pPr>
            <w:r>
              <w:rPr>
                <w:rFonts w:hint="eastAsia" w:ascii="Times New Roman" w:hAnsi="Times New Roman" w:eastAsia="宋体"/>
                <w:color w:val="auto"/>
                <w:spacing w:val="-12"/>
                <w:szCs w:val="21"/>
                <w:lang w:eastAsia="zh-CN"/>
              </w:rPr>
              <w:t>声环境</w:t>
            </w:r>
          </w:p>
        </w:tc>
        <w:tc>
          <w:tcPr>
            <w:tcW w:w="2305" w:type="dxa"/>
            <w:vAlign w:val="center"/>
          </w:tcPr>
          <w:p>
            <w:pPr>
              <w:spacing w:line="240" w:lineRule="exact"/>
              <w:jc w:val="center"/>
              <w:rPr>
                <w:rFonts w:ascii="Times New Roman" w:hAnsi="Times New Roman" w:eastAsia="宋体"/>
                <w:color w:val="auto"/>
                <w:spacing w:val="-12"/>
                <w:szCs w:val="21"/>
              </w:rPr>
            </w:pPr>
            <w:r>
              <w:rPr>
                <w:rFonts w:hint="eastAsia" w:ascii="Times New Roman" w:hAnsi="Times New Roman" w:eastAsia="宋体"/>
                <w:color w:val="auto"/>
                <w:spacing w:val="-12"/>
                <w:szCs w:val="21"/>
                <w:lang w:val="en-US" w:eastAsia="zh-CN"/>
              </w:rPr>
              <w:t>+</w:t>
            </w:r>
          </w:p>
        </w:tc>
        <w:tc>
          <w:tcPr>
            <w:tcW w:w="2305" w:type="dxa"/>
            <w:vAlign w:val="center"/>
          </w:tcPr>
          <w:p>
            <w:pPr>
              <w:spacing w:line="240" w:lineRule="exact"/>
              <w:jc w:val="center"/>
              <w:rPr>
                <w:rFonts w:ascii="Times New Roman" w:hAnsi="Times New Roman" w:eastAsia="宋体"/>
                <w:color w:val="auto"/>
                <w:spacing w:val="-12"/>
                <w:szCs w:val="21"/>
              </w:rPr>
            </w:pPr>
            <w:r>
              <w:rPr>
                <w:rFonts w:hint="eastAsia" w:ascii="Times New Roman" w:hAnsi="Times New Roman" w:eastAsia="宋体"/>
                <w:color w:val="auto"/>
                <w:spacing w:val="-12"/>
                <w:szCs w:val="21"/>
                <w:lang w:val="en-US" w:eastAsia="zh-CN"/>
              </w:rPr>
              <w:t>+</w:t>
            </w:r>
          </w:p>
        </w:tc>
        <w:tc>
          <w:tcPr>
            <w:tcW w:w="2305" w:type="dxa"/>
            <w:vAlign w:val="center"/>
          </w:tcPr>
          <w:p>
            <w:pPr>
              <w:spacing w:line="240" w:lineRule="exact"/>
              <w:jc w:val="center"/>
              <w:rPr>
                <w:rFonts w:ascii="Times New Roman" w:hAnsi="Times New Roman" w:eastAsia="宋体"/>
                <w:color w:val="auto"/>
                <w:spacing w:val="-12"/>
                <w:szCs w:val="21"/>
              </w:rPr>
            </w:pPr>
            <w:r>
              <w:rPr>
                <w:rFonts w:hint="eastAsia"/>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05" w:type="dxa"/>
            <w:vAlign w:val="center"/>
          </w:tcPr>
          <w:p>
            <w:pPr>
              <w:spacing w:line="240" w:lineRule="exact"/>
              <w:jc w:val="center"/>
              <w:rPr>
                <w:rFonts w:hint="eastAsia" w:ascii="Times New Roman" w:hAnsi="Times New Roman" w:eastAsia="宋体"/>
                <w:color w:val="auto"/>
                <w:spacing w:val="-12"/>
                <w:szCs w:val="21"/>
                <w:lang w:eastAsia="zh-CN"/>
              </w:rPr>
            </w:pPr>
            <w:r>
              <w:rPr>
                <w:rFonts w:hint="eastAsia" w:ascii="Times New Roman" w:hAnsi="Times New Roman" w:eastAsia="宋体"/>
                <w:color w:val="auto"/>
                <w:spacing w:val="-12"/>
                <w:szCs w:val="21"/>
                <w:lang w:eastAsia="zh-CN"/>
              </w:rPr>
              <w:t>地下水环境</w:t>
            </w:r>
          </w:p>
        </w:tc>
        <w:tc>
          <w:tcPr>
            <w:tcW w:w="2305" w:type="dxa"/>
            <w:vAlign w:val="center"/>
          </w:tcPr>
          <w:p>
            <w:pPr>
              <w:spacing w:line="240" w:lineRule="exact"/>
              <w:jc w:val="center"/>
              <w:rPr>
                <w:rFonts w:ascii="Times New Roman" w:hAnsi="Times New Roman" w:eastAsia="宋体"/>
                <w:color w:val="auto"/>
                <w:spacing w:val="-12"/>
                <w:szCs w:val="21"/>
              </w:rPr>
            </w:pPr>
            <w:r>
              <w:rPr>
                <w:rFonts w:hint="eastAsia" w:ascii="Times New Roman" w:hAnsi="Times New Roman" w:eastAsia="宋体"/>
                <w:color w:val="auto"/>
                <w:spacing w:val="-12"/>
                <w:szCs w:val="21"/>
                <w:lang w:val="en-US" w:eastAsia="zh-CN"/>
              </w:rPr>
              <w:t>+</w:t>
            </w:r>
          </w:p>
        </w:tc>
        <w:tc>
          <w:tcPr>
            <w:tcW w:w="2305" w:type="dxa"/>
            <w:vAlign w:val="center"/>
          </w:tcPr>
          <w:p>
            <w:pPr>
              <w:spacing w:line="240" w:lineRule="exact"/>
              <w:jc w:val="center"/>
              <w:rPr>
                <w:rFonts w:ascii="Times New Roman" w:hAnsi="Times New Roman" w:eastAsia="宋体"/>
                <w:color w:val="auto"/>
                <w:spacing w:val="-12"/>
                <w:szCs w:val="21"/>
              </w:rPr>
            </w:pPr>
            <w:r>
              <w:rPr>
                <w:rFonts w:hint="eastAsia" w:ascii="Times New Roman" w:hAnsi="Times New Roman" w:eastAsia="宋体"/>
                <w:color w:val="auto"/>
                <w:spacing w:val="-12"/>
                <w:szCs w:val="21"/>
                <w:lang w:val="en-US" w:eastAsia="zh-CN"/>
              </w:rPr>
              <w:t>+</w:t>
            </w:r>
          </w:p>
        </w:tc>
        <w:tc>
          <w:tcPr>
            <w:tcW w:w="2305" w:type="dxa"/>
            <w:vAlign w:val="center"/>
          </w:tcPr>
          <w:p>
            <w:pPr>
              <w:spacing w:line="240" w:lineRule="exact"/>
              <w:jc w:val="center"/>
              <w:rPr>
                <w:rFonts w:ascii="Times New Roman" w:hAnsi="Times New Roman" w:eastAsia="宋体"/>
                <w:color w:val="auto"/>
                <w:spacing w:val="-12"/>
                <w:szCs w:val="21"/>
              </w:rPr>
            </w:pPr>
            <w:r>
              <w:rPr>
                <w:rFonts w:hint="eastAsia"/>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5" w:type="dxa"/>
            <w:vAlign w:val="center"/>
          </w:tcPr>
          <w:p>
            <w:pPr>
              <w:spacing w:line="240" w:lineRule="exact"/>
              <w:jc w:val="center"/>
              <w:rPr>
                <w:rFonts w:hint="eastAsia" w:ascii="Times New Roman" w:hAnsi="Times New Roman" w:eastAsia="宋体"/>
                <w:color w:val="auto"/>
                <w:spacing w:val="-12"/>
                <w:szCs w:val="21"/>
                <w:lang w:eastAsia="zh-CN"/>
              </w:rPr>
            </w:pPr>
            <w:r>
              <w:rPr>
                <w:rFonts w:hint="eastAsia" w:ascii="Times New Roman" w:hAnsi="Times New Roman" w:eastAsia="宋体"/>
                <w:color w:val="auto"/>
                <w:spacing w:val="-12"/>
                <w:szCs w:val="21"/>
                <w:lang w:eastAsia="zh-CN"/>
              </w:rPr>
              <w:t>土壤环境</w:t>
            </w:r>
          </w:p>
        </w:tc>
        <w:tc>
          <w:tcPr>
            <w:tcW w:w="2305" w:type="dxa"/>
            <w:vAlign w:val="center"/>
          </w:tcPr>
          <w:p>
            <w:pPr>
              <w:spacing w:line="240" w:lineRule="exact"/>
              <w:jc w:val="center"/>
              <w:rPr>
                <w:rFonts w:ascii="Times New Roman" w:hAnsi="Times New Roman" w:eastAsia="宋体"/>
                <w:color w:val="auto"/>
                <w:spacing w:val="-12"/>
                <w:szCs w:val="21"/>
              </w:rPr>
            </w:pPr>
            <w:r>
              <w:rPr>
                <w:rFonts w:hint="eastAsia" w:ascii="Times New Roman" w:hAnsi="Times New Roman" w:eastAsia="宋体"/>
                <w:color w:val="auto"/>
                <w:spacing w:val="-12"/>
                <w:szCs w:val="21"/>
                <w:lang w:val="en-US" w:eastAsia="zh-CN"/>
              </w:rPr>
              <w:t>+</w:t>
            </w:r>
          </w:p>
        </w:tc>
        <w:tc>
          <w:tcPr>
            <w:tcW w:w="2305" w:type="dxa"/>
            <w:vAlign w:val="center"/>
          </w:tcPr>
          <w:p>
            <w:pPr>
              <w:spacing w:line="240" w:lineRule="exact"/>
              <w:jc w:val="center"/>
              <w:rPr>
                <w:rFonts w:ascii="Times New Roman" w:hAnsi="Times New Roman" w:eastAsia="宋体"/>
                <w:color w:val="auto"/>
                <w:spacing w:val="-12"/>
                <w:szCs w:val="21"/>
              </w:rPr>
            </w:pPr>
            <w:r>
              <w:rPr>
                <w:rFonts w:hint="eastAsia" w:ascii="Times New Roman" w:hAnsi="Times New Roman" w:eastAsia="宋体"/>
                <w:color w:val="auto"/>
                <w:spacing w:val="-12"/>
                <w:szCs w:val="21"/>
                <w:lang w:val="en-US" w:eastAsia="zh-CN"/>
              </w:rPr>
              <w:t>+</w:t>
            </w:r>
          </w:p>
        </w:tc>
        <w:tc>
          <w:tcPr>
            <w:tcW w:w="2305" w:type="dxa"/>
            <w:vAlign w:val="center"/>
          </w:tcPr>
          <w:p>
            <w:pPr>
              <w:spacing w:line="240" w:lineRule="exact"/>
              <w:jc w:val="center"/>
              <w:rPr>
                <w:rFonts w:ascii="Times New Roman" w:hAnsi="Times New Roman" w:eastAsia="宋体"/>
                <w:color w:val="auto"/>
                <w:spacing w:val="-12"/>
                <w:szCs w:val="21"/>
              </w:rPr>
            </w:pPr>
            <w:r>
              <w:rPr>
                <w:rFonts w:hint="eastAsia"/>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05" w:type="dxa"/>
            <w:vAlign w:val="center"/>
          </w:tcPr>
          <w:p>
            <w:pPr>
              <w:spacing w:line="240" w:lineRule="exact"/>
              <w:jc w:val="center"/>
              <w:rPr>
                <w:rFonts w:hint="eastAsia" w:ascii="Times New Roman" w:hAnsi="Times New Roman" w:eastAsia="宋体"/>
                <w:color w:val="auto"/>
                <w:spacing w:val="-12"/>
                <w:szCs w:val="21"/>
                <w:lang w:eastAsia="zh-CN"/>
              </w:rPr>
            </w:pPr>
            <w:r>
              <w:rPr>
                <w:rFonts w:hint="eastAsia" w:ascii="Times New Roman" w:hAnsi="Times New Roman" w:eastAsia="宋体"/>
                <w:color w:val="auto"/>
                <w:spacing w:val="-12"/>
                <w:szCs w:val="21"/>
                <w:lang w:eastAsia="zh-CN"/>
              </w:rPr>
              <w:t>生态环境</w:t>
            </w:r>
          </w:p>
        </w:tc>
        <w:tc>
          <w:tcPr>
            <w:tcW w:w="2305" w:type="dxa"/>
            <w:vAlign w:val="center"/>
          </w:tcPr>
          <w:p>
            <w:pPr>
              <w:spacing w:line="240" w:lineRule="exact"/>
              <w:jc w:val="center"/>
              <w:rPr>
                <w:rFonts w:ascii="Times New Roman" w:hAnsi="Times New Roman" w:eastAsia="宋体"/>
                <w:color w:val="auto"/>
                <w:spacing w:val="-12"/>
                <w:szCs w:val="21"/>
              </w:rPr>
            </w:pPr>
            <w:r>
              <w:rPr>
                <w:rFonts w:hint="eastAsia" w:ascii="Times New Roman" w:hAnsi="Times New Roman" w:eastAsia="宋体"/>
                <w:color w:val="auto"/>
                <w:spacing w:val="-12"/>
                <w:szCs w:val="21"/>
                <w:lang w:val="en-US" w:eastAsia="zh-CN"/>
              </w:rPr>
              <w:t>+</w:t>
            </w:r>
          </w:p>
        </w:tc>
        <w:tc>
          <w:tcPr>
            <w:tcW w:w="2305" w:type="dxa"/>
            <w:vAlign w:val="center"/>
          </w:tcPr>
          <w:p>
            <w:pPr>
              <w:spacing w:line="240" w:lineRule="exact"/>
              <w:jc w:val="center"/>
              <w:rPr>
                <w:rFonts w:ascii="Times New Roman" w:hAnsi="Times New Roman" w:eastAsia="宋体"/>
                <w:color w:val="auto"/>
                <w:spacing w:val="-12"/>
                <w:szCs w:val="21"/>
              </w:rPr>
            </w:pPr>
            <w:r>
              <w:rPr>
                <w:rFonts w:hint="eastAsia" w:ascii="Times New Roman" w:hAnsi="Times New Roman" w:eastAsia="宋体"/>
                <w:color w:val="auto"/>
                <w:spacing w:val="-12"/>
                <w:szCs w:val="21"/>
                <w:lang w:val="en-US" w:eastAsia="zh-CN"/>
              </w:rPr>
              <w:t>+</w:t>
            </w:r>
          </w:p>
        </w:tc>
        <w:tc>
          <w:tcPr>
            <w:tcW w:w="2305" w:type="dxa"/>
            <w:vAlign w:val="center"/>
          </w:tcPr>
          <w:p>
            <w:pPr>
              <w:spacing w:line="240" w:lineRule="exact"/>
              <w:jc w:val="center"/>
              <w:rPr>
                <w:rFonts w:ascii="Times New Roman" w:hAnsi="Times New Roman" w:eastAsia="宋体"/>
                <w:color w:val="auto"/>
                <w:spacing w:val="-12"/>
                <w:szCs w:val="21"/>
              </w:rPr>
            </w:pPr>
            <w:r>
              <w:rPr>
                <w:rFonts w:hint="eastAsia"/>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05" w:type="dxa"/>
            <w:vAlign w:val="center"/>
          </w:tcPr>
          <w:p>
            <w:pPr>
              <w:spacing w:line="240" w:lineRule="exact"/>
              <w:jc w:val="center"/>
              <w:rPr>
                <w:rFonts w:hint="eastAsia" w:ascii="Times New Roman" w:hAnsi="Times New Roman" w:eastAsia="宋体"/>
                <w:color w:val="auto"/>
                <w:spacing w:val="-12"/>
                <w:szCs w:val="21"/>
                <w:lang w:eastAsia="zh-CN"/>
              </w:rPr>
            </w:pPr>
            <w:r>
              <w:rPr>
                <w:rFonts w:hint="eastAsia" w:ascii="Times New Roman" w:hAnsi="Times New Roman" w:eastAsia="宋体"/>
                <w:color w:val="auto"/>
                <w:spacing w:val="-12"/>
                <w:szCs w:val="21"/>
                <w:lang w:eastAsia="zh-CN"/>
              </w:rPr>
              <w:t>社会经济</w:t>
            </w:r>
          </w:p>
        </w:tc>
        <w:tc>
          <w:tcPr>
            <w:tcW w:w="2305" w:type="dxa"/>
            <w:vAlign w:val="center"/>
          </w:tcPr>
          <w:p>
            <w:pPr>
              <w:spacing w:line="240" w:lineRule="exact"/>
              <w:jc w:val="center"/>
              <w:rPr>
                <w:rFonts w:hint="eastAsia" w:ascii="Times New Roman" w:hAnsi="Times New Roman" w:eastAsia="宋体"/>
                <w:color w:val="auto"/>
                <w:spacing w:val="-12"/>
                <w:szCs w:val="21"/>
                <w:lang w:eastAsia="zh-CN"/>
              </w:rPr>
            </w:pPr>
            <w:r>
              <w:rPr>
                <w:rFonts w:hint="eastAsia" w:ascii="Times New Roman" w:hAnsi="Times New Roman" w:eastAsia="宋体"/>
                <w:color w:val="auto"/>
                <w:spacing w:val="-12"/>
                <w:szCs w:val="21"/>
                <w:lang w:eastAsia="zh-CN"/>
              </w:rPr>
              <w:t>△△</w:t>
            </w:r>
          </w:p>
        </w:tc>
        <w:tc>
          <w:tcPr>
            <w:tcW w:w="2305" w:type="dxa"/>
            <w:vAlign w:val="center"/>
          </w:tcPr>
          <w:p>
            <w:pPr>
              <w:spacing w:line="240" w:lineRule="exact"/>
              <w:jc w:val="center"/>
              <w:rPr>
                <w:rFonts w:ascii="Times New Roman" w:hAnsi="Times New Roman" w:eastAsia="宋体"/>
                <w:color w:val="auto"/>
                <w:spacing w:val="-12"/>
                <w:szCs w:val="21"/>
              </w:rPr>
            </w:pPr>
            <w:r>
              <w:rPr>
                <w:rFonts w:hint="eastAsia" w:ascii="Times New Roman" w:hAnsi="Times New Roman" w:eastAsia="宋体"/>
                <w:color w:val="auto"/>
                <w:spacing w:val="-12"/>
                <w:szCs w:val="21"/>
                <w:lang w:eastAsia="zh-CN"/>
              </w:rPr>
              <w:t>△△△△</w:t>
            </w:r>
          </w:p>
        </w:tc>
        <w:tc>
          <w:tcPr>
            <w:tcW w:w="2305" w:type="dxa"/>
            <w:vAlign w:val="center"/>
          </w:tcPr>
          <w:p>
            <w:pPr>
              <w:spacing w:line="240" w:lineRule="exact"/>
              <w:jc w:val="center"/>
              <w:rPr>
                <w:rFonts w:ascii="Times New Roman" w:hAnsi="Times New Roman" w:eastAsia="宋体"/>
                <w:color w:val="auto"/>
                <w:spacing w:val="-12"/>
                <w:szCs w:val="21"/>
              </w:rPr>
            </w:pPr>
            <w:r>
              <w:rPr>
                <w:rFonts w:hint="eastAsia"/>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5" w:type="dxa"/>
            <w:vAlign w:val="center"/>
          </w:tcPr>
          <w:p>
            <w:pPr>
              <w:spacing w:line="240" w:lineRule="exact"/>
              <w:jc w:val="center"/>
              <w:rPr>
                <w:rFonts w:hint="eastAsia" w:ascii="Times New Roman" w:hAnsi="Times New Roman" w:eastAsia="宋体"/>
                <w:color w:val="auto"/>
                <w:spacing w:val="-12"/>
                <w:szCs w:val="21"/>
                <w:lang w:eastAsia="zh-CN"/>
              </w:rPr>
            </w:pPr>
            <w:r>
              <w:rPr>
                <w:rFonts w:hint="eastAsia" w:ascii="Times New Roman" w:hAnsi="Times New Roman" w:eastAsia="宋体"/>
                <w:color w:val="auto"/>
                <w:spacing w:val="-12"/>
                <w:szCs w:val="21"/>
                <w:lang w:eastAsia="zh-CN"/>
              </w:rPr>
              <w:t>环境风险</w:t>
            </w:r>
          </w:p>
        </w:tc>
        <w:tc>
          <w:tcPr>
            <w:tcW w:w="2305" w:type="dxa"/>
            <w:vAlign w:val="center"/>
          </w:tcPr>
          <w:p>
            <w:pPr>
              <w:spacing w:line="240" w:lineRule="exact"/>
              <w:jc w:val="center"/>
              <w:rPr>
                <w:rFonts w:ascii="Times New Roman" w:hAnsi="Times New Roman" w:eastAsia="宋体"/>
                <w:color w:val="auto"/>
                <w:spacing w:val="-12"/>
                <w:szCs w:val="21"/>
              </w:rPr>
            </w:pPr>
            <w:r>
              <w:rPr>
                <w:rFonts w:hint="eastAsia" w:ascii="Times New Roman" w:hAnsi="Times New Roman" w:eastAsia="宋体"/>
                <w:color w:val="auto"/>
                <w:spacing w:val="-12"/>
                <w:szCs w:val="21"/>
                <w:lang w:val="en-US" w:eastAsia="zh-CN"/>
              </w:rPr>
              <w:t>+</w:t>
            </w:r>
          </w:p>
        </w:tc>
        <w:tc>
          <w:tcPr>
            <w:tcW w:w="2305" w:type="dxa"/>
            <w:vAlign w:val="center"/>
          </w:tcPr>
          <w:p>
            <w:pPr>
              <w:spacing w:line="240" w:lineRule="exact"/>
              <w:jc w:val="center"/>
              <w:rPr>
                <w:rFonts w:ascii="Times New Roman" w:hAnsi="Times New Roman" w:eastAsia="宋体"/>
                <w:color w:val="auto"/>
                <w:spacing w:val="-12"/>
                <w:szCs w:val="21"/>
              </w:rPr>
            </w:pPr>
            <w:r>
              <w:rPr>
                <w:rFonts w:hint="eastAsia" w:ascii="Times New Roman" w:hAnsi="Times New Roman" w:eastAsia="宋体"/>
                <w:color w:val="auto"/>
                <w:spacing w:val="-12"/>
                <w:szCs w:val="21"/>
                <w:lang w:val="en-US" w:eastAsia="zh-CN"/>
              </w:rPr>
              <w:t>+</w:t>
            </w:r>
          </w:p>
        </w:tc>
        <w:tc>
          <w:tcPr>
            <w:tcW w:w="2305" w:type="dxa"/>
            <w:vAlign w:val="center"/>
          </w:tcPr>
          <w:p>
            <w:pPr>
              <w:spacing w:line="240" w:lineRule="exact"/>
              <w:jc w:val="center"/>
              <w:rPr>
                <w:rFonts w:ascii="Times New Roman" w:hAnsi="Times New Roman" w:eastAsia="宋体"/>
                <w:color w:val="auto"/>
                <w:spacing w:val="-12"/>
                <w:szCs w:val="21"/>
              </w:rPr>
            </w:pPr>
            <w:r>
              <w:rPr>
                <w:rFonts w:hint="eastAsia"/>
                <w:color w:val="auto"/>
                <w:lang w:val="en-US" w:eastAsia="zh-CN"/>
              </w:rPr>
              <w:t>--</w:t>
            </w:r>
          </w:p>
        </w:tc>
      </w:tr>
    </w:tbl>
    <w:p>
      <w:pPr>
        <w:keepNext w:val="0"/>
        <w:keepLines w:val="0"/>
        <w:pageBreakBefore w:val="0"/>
        <w:widowControl w:val="0"/>
        <w:tabs>
          <w:tab w:val="left" w:pos="460"/>
        </w:tabs>
        <w:kinsoku/>
        <w:wordWrap/>
        <w:overflowPunct/>
        <w:topLinePunct w:val="0"/>
        <w:autoSpaceDE/>
        <w:autoSpaceDN/>
        <w:bidi w:val="0"/>
        <w:adjustRightInd w:val="0"/>
        <w:snapToGrid w:val="0"/>
        <w:spacing w:line="360" w:lineRule="auto"/>
        <w:textAlignment w:val="auto"/>
        <w:rPr>
          <w:rFonts w:ascii="Times New Roman" w:hAnsi="Times New Roman" w:eastAsia="宋体"/>
          <w:color w:val="auto"/>
          <w:sz w:val="24"/>
          <w:szCs w:val="24"/>
        </w:rPr>
      </w:pPr>
      <w:bookmarkStart w:id="43" w:name="_Toc15388"/>
      <w:bookmarkStart w:id="44" w:name="_Toc459118376"/>
      <w:r>
        <w:rPr>
          <w:rFonts w:hint="eastAsia" w:ascii="Times New Roman" w:hAnsi="Times New Roman" w:eastAsia="宋体"/>
          <w:color w:val="auto"/>
          <w:sz w:val="24"/>
          <w:szCs w:val="24"/>
        </w:rPr>
        <w:t>备注：</w:t>
      </w:r>
      <w:r>
        <w:rPr>
          <w:rFonts w:hint="eastAsia" w:ascii="Times New Roman" w:hAnsi="Times New Roman" w:eastAsia="宋体"/>
          <w:color w:val="auto"/>
          <w:sz w:val="24"/>
          <w:szCs w:val="24"/>
          <w:lang w:val="en-US" w:eastAsia="zh-CN"/>
        </w:rPr>
        <w:t>严重影响</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 xml:space="preserve">       重大积极作用</w:t>
      </w:r>
      <w:r>
        <w:rPr>
          <w:rFonts w:hint="eastAsia" w:ascii="Times New Roman" w:hAnsi="Times New Roman" w:eastAsia="宋体"/>
          <w:color w:val="auto"/>
          <w:sz w:val="24"/>
          <w:szCs w:val="24"/>
        </w:rPr>
        <w:t>“△△△△”</w:t>
      </w:r>
    </w:p>
    <w:p>
      <w:pPr>
        <w:keepNext w:val="0"/>
        <w:keepLines w:val="0"/>
        <w:pageBreakBefore w:val="0"/>
        <w:widowControl w:val="0"/>
        <w:tabs>
          <w:tab w:val="left" w:pos="460"/>
        </w:tabs>
        <w:kinsoku/>
        <w:wordWrap/>
        <w:overflowPunct/>
        <w:topLinePunct w:val="0"/>
        <w:autoSpaceDE/>
        <w:autoSpaceDN/>
        <w:bidi w:val="0"/>
        <w:adjustRightInd w:val="0"/>
        <w:snapToGrid w:val="0"/>
        <w:spacing w:line="360" w:lineRule="auto"/>
        <w:ind w:firstLine="720" w:firstLineChars="3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较大影响“</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         较大积极作用“</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w:t>
      </w:r>
    </w:p>
    <w:p>
      <w:pPr>
        <w:keepNext w:val="0"/>
        <w:keepLines w:val="0"/>
        <w:pageBreakBefore w:val="0"/>
        <w:widowControl w:val="0"/>
        <w:tabs>
          <w:tab w:val="left" w:pos="460"/>
        </w:tabs>
        <w:kinsoku/>
        <w:wordWrap/>
        <w:overflowPunct/>
        <w:topLinePunct w:val="0"/>
        <w:autoSpaceDE/>
        <w:autoSpaceDN/>
        <w:bidi w:val="0"/>
        <w:adjustRightInd w:val="0"/>
        <w:snapToGrid w:val="0"/>
        <w:spacing w:line="360" w:lineRule="auto"/>
        <w:ind w:firstLine="720" w:firstLineChars="3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一般影响“</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           一般积极作用“</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w:t>
      </w:r>
    </w:p>
    <w:p>
      <w:pPr>
        <w:keepNext w:val="0"/>
        <w:keepLines w:val="0"/>
        <w:pageBreakBefore w:val="0"/>
        <w:widowControl w:val="0"/>
        <w:tabs>
          <w:tab w:val="left" w:pos="460"/>
        </w:tabs>
        <w:kinsoku/>
        <w:wordWrap/>
        <w:overflowPunct/>
        <w:topLinePunct w:val="0"/>
        <w:autoSpaceDE/>
        <w:autoSpaceDN/>
        <w:bidi w:val="0"/>
        <w:adjustRightInd w:val="0"/>
        <w:snapToGrid w:val="0"/>
        <w:spacing w:line="360" w:lineRule="auto"/>
        <w:ind w:firstLine="720" w:firstLineChars="3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轻微影响“</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             轻微作用“</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w:t>
      </w:r>
    </w:p>
    <w:p>
      <w:pPr>
        <w:keepNext w:val="0"/>
        <w:keepLines w:val="0"/>
        <w:pageBreakBefore w:val="0"/>
        <w:widowControl w:val="0"/>
        <w:tabs>
          <w:tab w:val="left" w:pos="460"/>
        </w:tabs>
        <w:kinsoku/>
        <w:wordWrap/>
        <w:overflowPunct/>
        <w:topLinePunct w:val="0"/>
        <w:autoSpaceDE/>
        <w:autoSpaceDN/>
        <w:bidi w:val="0"/>
        <w:adjustRightInd w:val="0"/>
        <w:snapToGrid w:val="0"/>
        <w:spacing w:line="360" w:lineRule="auto"/>
        <w:ind w:firstLine="720" w:firstLineChars="3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基本无影响“</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w:t>
      </w:r>
    </w:p>
    <w:p>
      <w:pPr>
        <w:pStyle w:val="6"/>
        <w:pageBreakBefore w:val="0"/>
        <w:widowControl w:val="0"/>
        <w:kinsoku/>
        <w:wordWrap/>
        <w:overflowPunct/>
        <w:topLinePunct w:val="0"/>
        <w:autoSpaceDE/>
        <w:autoSpaceDN/>
        <w:bidi w:val="0"/>
        <w:adjustRightInd w:val="0"/>
        <w:snapToGrid w:val="0"/>
        <w:spacing w:before="0" w:after="0" w:line="360" w:lineRule="auto"/>
        <w:textAlignment w:val="auto"/>
        <w:rPr>
          <w:rFonts w:ascii="Times New Roman" w:hAnsi="Times New Roman" w:eastAsia="宋体"/>
          <w:color w:val="auto"/>
          <w:sz w:val="28"/>
          <w:szCs w:val="28"/>
        </w:rPr>
      </w:pPr>
      <w:r>
        <w:rPr>
          <w:rFonts w:ascii="Times New Roman" w:hAnsi="Times New Roman" w:eastAsia="宋体"/>
          <w:color w:val="auto"/>
          <w:sz w:val="28"/>
          <w:szCs w:val="28"/>
        </w:rPr>
        <w:t>1.5.2评价因子筛选</w:t>
      </w:r>
      <w:bookmarkEnd w:id="43"/>
      <w:bookmarkEnd w:id="44"/>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rPr>
        <w:t>通过初步的工程分析、环境影响识别、项目所在地区存在的环境问题以及周边的环境保护目标，确定本项目评价因子见表</w:t>
      </w:r>
      <w:r>
        <w:rPr>
          <w:rFonts w:hint="eastAsia" w:ascii="Times New Roman" w:hAnsi="Times New Roman" w:eastAsia="宋体" w:cs="Times New Roman"/>
          <w:color w:val="auto"/>
          <w:sz w:val="24"/>
          <w:szCs w:val="24"/>
          <w:lang w:val="en-US" w:eastAsia="zh-CN"/>
        </w:rPr>
        <w:t>1.5-2</w:t>
      </w:r>
      <w:r>
        <w:rPr>
          <w:rFonts w:hint="eastAsia" w:ascii="Times New Roman" w:hAnsi="Times New Roman" w:eastAsia="宋体" w:cs="Times New Roman"/>
          <w:color w:val="auto"/>
          <w:sz w:val="24"/>
          <w:szCs w:val="24"/>
        </w:rPr>
        <w:t>所示</w:t>
      </w:r>
      <w:r>
        <w:rPr>
          <w:rFonts w:hint="eastAsia" w:ascii="Times New Roman" w:hAnsi="Times New Roman" w:eastAsia="宋体" w:cs="Times New Roman"/>
          <w:color w:val="auto"/>
          <w:sz w:val="24"/>
          <w:szCs w:val="24"/>
          <w:lang w:eastAsia="zh-CN"/>
        </w:rPr>
        <w:t>。</w:t>
      </w:r>
    </w:p>
    <w:p>
      <w:pPr>
        <w:pStyle w:val="90"/>
        <w:rPr>
          <w:rFonts w:ascii="Times New Roman" w:hAnsi="Times New Roman" w:eastAsia="宋体" w:cs="Times New Roman"/>
          <w:color w:val="auto"/>
        </w:rPr>
      </w:pPr>
      <w:r>
        <w:rPr>
          <w:rFonts w:ascii="Times New Roman" w:hAnsi="Times New Roman" w:eastAsia="宋体" w:cs="Times New Roman"/>
          <w:color w:val="auto"/>
        </w:rPr>
        <w:t>表1</w:t>
      </w:r>
      <w:r>
        <w:rPr>
          <w:rFonts w:hint="eastAsia" w:ascii="Times New Roman" w:hAnsi="Times New Roman" w:eastAsia="宋体" w:cs="Times New Roman"/>
          <w:color w:val="auto"/>
        </w:rPr>
        <w:t>.5</w:t>
      </w:r>
      <w:r>
        <w:rPr>
          <w:rFonts w:ascii="Times New Roman" w:hAnsi="Times New Roman" w:eastAsia="宋体" w:cs="Times New Roman"/>
          <w:color w:val="auto"/>
        </w:rPr>
        <w:t>-</w:t>
      </w:r>
      <w:r>
        <w:rPr>
          <w:rFonts w:hint="eastAsia" w:ascii="Times New Roman" w:hAnsi="Times New Roman" w:eastAsia="宋体" w:cs="Times New Roman"/>
          <w:color w:val="auto"/>
        </w:rPr>
        <w:t>2</w:t>
      </w:r>
      <w:bookmarkStart w:id="45" w:name="_Toc459118377"/>
      <w:bookmarkStart w:id="46" w:name="_Toc10991"/>
      <w:r>
        <w:rPr>
          <w:rFonts w:hint="eastAsia" w:ascii="Times New Roman" w:hAnsi="Times New Roman" w:eastAsia="宋体" w:cs="Times New Roman"/>
          <w:color w:val="auto"/>
          <w:lang w:val="en-US" w:eastAsia="zh-CN"/>
        </w:rPr>
        <w:t xml:space="preserve"> </w:t>
      </w:r>
      <w:r>
        <w:rPr>
          <w:rFonts w:ascii="Times New Roman" w:hAnsi="Times New Roman" w:eastAsia="宋体" w:cs="Times New Roman"/>
          <w:color w:val="auto"/>
        </w:rPr>
        <w:t>项目评价因子一览表</w:t>
      </w:r>
    </w:p>
    <w:tbl>
      <w:tblPr>
        <w:tblStyle w:val="34"/>
        <w:tblW w:w="9018" w:type="dxa"/>
        <w:tblInd w:w="-7" w:type="dxa"/>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fixed"/>
        <w:tblCellMar>
          <w:top w:w="0" w:type="dxa"/>
          <w:left w:w="0" w:type="dxa"/>
          <w:bottom w:w="0" w:type="dxa"/>
          <w:right w:w="0" w:type="dxa"/>
        </w:tblCellMar>
      </w:tblPr>
      <w:tblGrid>
        <w:gridCol w:w="1322"/>
        <w:gridCol w:w="1015"/>
        <w:gridCol w:w="6681"/>
      </w:tblGrid>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trHeight w:val="251" w:hRule="atLeast"/>
        </w:trPr>
        <w:tc>
          <w:tcPr>
            <w:tcW w:w="1322" w:type="dxa"/>
            <w:tcBorders>
              <w:tl2br w:val="nil"/>
              <w:tr2bl w:val="nil"/>
            </w:tcBorders>
            <w:vAlign w:val="center"/>
          </w:tcPr>
          <w:p>
            <w:pPr>
              <w:snapToGrid w:val="0"/>
              <w:spacing w:line="280" w:lineRule="exact"/>
              <w:jc w:val="center"/>
              <w:rPr>
                <w:rFonts w:ascii="Times New Roman" w:hAnsi="Times New Roman" w:eastAsia="宋体"/>
                <w:b/>
                <w:bCs w:val="0"/>
                <w:color w:val="auto"/>
                <w:szCs w:val="21"/>
              </w:rPr>
            </w:pPr>
            <w:r>
              <w:rPr>
                <w:rFonts w:ascii="Times New Roman" w:hAnsi="Times New Roman" w:eastAsia="宋体"/>
                <w:b/>
                <w:bCs w:val="0"/>
                <w:color w:val="auto"/>
                <w:szCs w:val="21"/>
              </w:rPr>
              <w:t>评价要素</w:t>
            </w:r>
          </w:p>
        </w:tc>
        <w:tc>
          <w:tcPr>
            <w:tcW w:w="1015" w:type="dxa"/>
            <w:tcBorders>
              <w:tl2br w:val="nil"/>
              <w:tr2bl w:val="nil"/>
            </w:tcBorders>
            <w:vAlign w:val="center"/>
          </w:tcPr>
          <w:p>
            <w:pPr>
              <w:snapToGrid w:val="0"/>
              <w:spacing w:line="280" w:lineRule="exact"/>
              <w:jc w:val="center"/>
              <w:rPr>
                <w:rFonts w:ascii="Times New Roman" w:hAnsi="Times New Roman" w:eastAsia="宋体"/>
                <w:b/>
                <w:bCs w:val="0"/>
                <w:color w:val="auto"/>
                <w:szCs w:val="21"/>
              </w:rPr>
            </w:pPr>
            <w:r>
              <w:rPr>
                <w:rFonts w:ascii="Times New Roman" w:hAnsi="Times New Roman" w:eastAsia="宋体"/>
                <w:b/>
                <w:bCs w:val="0"/>
                <w:color w:val="auto"/>
                <w:szCs w:val="21"/>
              </w:rPr>
              <w:t>评价类型</w:t>
            </w:r>
          </w:p>
        </w:tc>
        <w:tc>
          <w:tcPr>
            <w:tcW w:w="6681" w:type="dxa"/>
            <w:tcBorders>
              <w:tl2br w:val="nil"/>
              <w:tr2bl w:val="nil"/>
            </w:tcBorders>
            <w:vAlign w:val="center"/>
          </w:tcPr>
          <w:p>
            <w:pPr>
              <w:snapToGrid w:val="0"/>
              <w:spacing w:line="280" w:lineRule="exact"/>
              <w:jc w:val="center"/>
              <w:rPr>
                <w:rFonts w:ascii="Times New Roman" w:hAnsi="Times New Roman" w:eastAsia="宋体"/>
                <w:b/>
                <w:bCs w:val="0"/>
                <w:color w:val="auto"/>
                <w:szCs w:val="21"/>
              </w:rPr>
            </w:pPr>
            <w:r>
              <w:rPr>
                <w:rFonts w:ascii="Times New Roman" w:hAnsi="Times New Roman" w:eastAsia="宋体"/>
                <w:b/>
                <w:bCs w:val="0"/>
                <w:color w:val="auto"/>
                <w:szCs w:val="21"/>
              </w:rPr>
              <w:t>评价因子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trHeight w:val="114" w:hRule="atLeast"/>
        </w:trPr>
        <w:tc>
          <w:tcPr>
            <w:tcW w:w="1322" w:type="dxa"/>
            <w:vMerge w:val="restart"/>
            <w:tcBorders>
              <w:tl2br w:val="nil"/>
              <w:tr2bl w:val="nil"/>
            </w:tcBorders>
            <w:vAlign w:val="center"/>
          </w:tcPr>
          <w:p>
            <w:pPr>
              <w:snapToGrid w:val="0"/>
              <w:spacing w:line="280" w:lineRule="exact"/>
              <w:jc w:val="center"/>
              <w:rPr>
                <w:rFonts w:ascii="Times New Roman" w:hAnsi="Times New Roman" w:eastAsia="宋体"/>
                <w:color w:val="auto"/>
                <w:szCs w:val="21"/>
              </w:rPr>
            </w:pPr>
            <w:r>
              <w:rPr>
                <w:rFonts w:ascii="Times New Roman" w:hAnsi="Times New Roman" w:eastAsia="宋体"/>
                <w:color w:val="auto"/>
                <w:szCs w:val="21"/>
              </w:rPr>
              <w:t>环境空气</w:t>
            </w:r>
          </w:p>
        </w:tc>
        <w:tc>
          <w:tcPr>
            <w:tcW w:w="1015" w:type="dxa"/>
            <w:tcBorders>
              <w:tl2br w:val="nil"/>
              <w:tr2bl w:val="nil"/>
            </w:tcBorders>
            <w:vAlign w:val="center"/>
          </w:tcPr>
          <w:p>
            <w:pPr>
              <w:snapToGrid w:val="0"/>
              <w:spacing w:line="280" w:lineRule="exact"/>
              <w:jc w:val="center"/>
              <w:rPr>
                <w:rFonts w:ascii="Times New Roman" w:hAnsi="Times New Roman" w:eastAsia="宋体"/>
                <w:bCs/>
                <w:color w:val="auto"/>
                <w:szCs w:val="21"/>
              </w:rPr>
            </w:pPr>
            <w:r>
              <w:rPr>
                <w:rFonts w:ascii="Times New Roman" w:hAnsi="Times New Roman" w:eastAsia="宋体"/>
                <w:bCs/>
                <w:color w:val="auto"/>
                <w:szCs w:val="21"/>
              </w:rPr>
              <w:t>环境现状</w:t>
            </w:r>
          </w:p>
        </w:tc>
        <w:tc>
          <w:tcPr>
            <w:tcW w:w="6681" w:type="dxa"/>
            <w:tcBorders>
              <w:tl2br w:val="nil"/>
              <w:tr2bl w:val="nil"/>
            </w:tcBorders>
            <w:vAlign w:val="center"/>
          </w:tcPr>
          <w:p>
            <w:pPr>
              <w:snapToGrid w:val="0"/>
              <w:spacing w:line="280" w:lineRule="exact"/>
              <w:jc w:val="center"/>
              <w:rPr>
                <w:rFonts w:hint="default" w:ascii="Times New Roman" w:hAnsi="Times New Roman" w:eastAsia="宋体"/>
                <w:color w:val="auto"/>
                <w:szCs w:val="21"/>
                <w:lang w:val="en-US" w:eastAsia="zh-CN"/>
              </w:rPr>
            </w:pPr>
            <w:r>
              <w:rPr>
                <w:rFonts w:ascii="Times New Roman" w:hAnsi="Times New Roman" w:eastAsia="宋体"/>
                <w:color w:val="auto"/>
                <w:szCs w:val="21"/>
                <w:lang w:val="de-DE"/>
              </w:rPr>
              <w:t>S</w:t>
            </w:r>
            <w:r>
              <w:rPr>
                <w:rFonts w:hint="eastAsia" w:ascii="Times New Roman" w:hAnsi="Times New Roman" w:eastAsia="宋体"/>
                <w:color w:val="auto"/>
                <w:szCs w:val="21"/>
                <w:lang w:val="de-DE"/>
              </w:rPr>
              <w:t>O</w:t>
            </w:r>
            <w:r>
              <w:rPr>
                <w:rFonts w:hint="eastAsia" w:ascii="Times New Roman" w:hAnsi="Times New Roman" w:eastAsia="宋体"/>
                <w:color w:val="auto"/>
                <w:szCs w:val="21"/>
                <w:vertAlign w:val="subscript"/>
                <w:lang w:val="de-DE"/>
              </w:rPr>
              <w:t>2</w:t>
            </w:r>
            <w:r>
              <w:rPr>
                <w:rFonts w:ascii="Times New Roman" w:hAnsi="Times New Roman" w:eastAsia="宋体"/>
                <w:color w:val="auto"/>
                <w:szCs w:val="21"/>
              </w:rPr>
              <w:t>、</w:t>
            </w:r>
            <w:r>
              <w:rPr>
                <w:rFonts w:ascii="Times New Roman" w:hAnsi="Times New Roman" w:eastAsia="宋体"/>
                <w:color w:val="auto"/>
                <w:szCs w:val="21"/>
                <w:lang w:val="de-DE"/>
              </w:rPr>
              <w:t>N</w:t>
            </w:r>
            <w:r>
              <w:rPr>
                <w:rFonts w:hint="eastAsia" w:ascii="Times New Roman" w:hAnsi="Times New Roman" w:eastAsia="宋体"/>
                <w:color w:val="auto"/>
                <w:szCs w:val="21"/>
                <w:lang w:val="de-DE"/>
              </w:rPr>
              <w:t>O</w:t>
            </w:r>
            <w:r>
              <w:rPr>
                <w:rFonts w:hint="eastAsia" w:ascii="Times New Roman" w:hAnsi="Times New Roman" w:eastAsia="宋体"/>
                <w:color w:val="auto"/>
                <w:szCs w:val="21"/>
                <w:vertAlign w:val="subscript"/>
                <w:lang w:val="de-DE"/>
              </w:rPr>
              <w:t>2</w:t>
            </w:r>
            <w:r>
              <w:rPr>
                <w:rFonts w:ascii="Times New Roman" w:hAnsi="Times New Roman" w:eastAsia="宋体"/>
                <w:color w:val="auto"/>
                <w:szCs w:val="21"/>
              </w:rPr>
              <w:t>、</w:t>
            </w:r>
            <w:r>
              <w:rPr>
                <w:rFonts w:ascii="Times New Roman" w:hAnsi="Times New Roman" w:eastAsia="宋体"/>
                <w:color w:val="auto"/>
                <w:szCs w:val="21"/>
                <w:lang w:val="de-DE"/>
              </w:rPr>
              <w:t>P</w:t>
            </w:r>
            <w:r>
              <w:rPr>
                <w:rFonts w:hint="eastAsia" w:ascii="Times New Roman" w:hAnsi="Times New Roman" w:eastAsia="宋体"/>
                <w:color w:val="auto"/>
                <w:szCs w:val="21"/>
                <w:lang w:val="de-DE"/>
              </w:rPr>
              <w:t>M</w:t>
            </w:r>
            <w:r>
              <w:rPr>
                <w:rFonts w:hint="eastAsia" w:ascii="Times New Roman" w:hAnsi="Times New Roman" w:eastAsia="宋体"/>
                <w:color w:val="auto"/>
                <w:szCs w:val="21"/>
                <w:vertAlign w:val="subscript"/>
                <w:lang w:val="de-DE"/>
              </w:rPr>
              <w:t>10</w:t>
            </w:r>
            <w:r>
              <w:rPr>
                <w:rFonts w:ascii="Times New Roman" w:hAnsi="Times New Roman" w:eastAsia="宋体"/>
                <w:color w:val="auto"/>
                <w:szCs w:val="21"/>
              </w:rPr>
              <w:t>、</w:t>
            </w:r>
            <w:r>
              <w:rPr>
                <w:rFonts w:hint="default" w:ascii="Times New Roman" w:hAnsi="Times New Roman" w:eastAsia="宋体" w:cs="Times New Roman"/>
                <w:color w:val="auto"/>
                <w:sz w:val="21"/>
                <w:szCs w:val="21"/>
                <w:lang w:val="en-US" w:eastAsia="zh-CN"/>
              </w:rPr>
              <w:t>CO、臭氧、</w:t>
            </w:r>
            <w:r>
              <w:rPr>
                <w:rFonts w:hint="eastAsia" w:ascii="Times New Roman" w:hAnsi="Times New Roman" w:eastAsia="宋体"/>
                <w:color w:val="auto"/>
                <w:szCs w:val="21"/>
                <w:lang w:val="en-US" w:eastAsia="zh-CN"/>
              </w:rPr>
              <w:t>H</w:t>
            </w:r>
            <w:r>
              <w:rPr>
                <w:rFonts w:hint="eastAsia" w:ascii="Times New Roman" w:hAnsi="Times New Roman" w:eastAsia="宋体"/>
                <w:color w:val="auto"/>
                <w:szCs w:val="21"/>
                <w:vertAlign w:val="subscript"/>
                <w:lang w:val="en-US" w:eastAsia="zh-CN"/>
              </w:rPr>
              <w:t>2</w:t>
            </w:r>
            <w:r>
              <w:rPr>
                <w:rFonts w:hint="eastAsia" w:ascii="Times New Roman" w:hAnsi="Times New Roman" w:eastAsia="宋体"/>
                <w:color w:val="auto"/>
                <w:szCs w:val="21"/>
                <w:lang w:val="en-US" w:eastAsia="zh-CN"/>
              </w:rPr>
              <w:t>S、NH</w:t>
            </w:r>
            <w:r>
              <w:rPr>
                <w:rFonts w:hint="eastAsia" w:ascii="Times New Roman" w:hAnsi="Times New Roman" w:eastAsia="宋体"/>
                <w:color w:val="auto"/>
                <w:szCs w:val="21"/>
                <w:vertAlign w:val="subscript"/>
                <w:lang w:val="en-US" w:eastAsia="zh-CN"/>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trHeight w:val="132" w:hRule="atLeast"/>
        </w:trPr>
        <w:tc>
          <w:tcPr>
            <w:tcW w:w="1322" w:type="dxa"/>
            <w:vMerge w:val="continue"/>
            <w:tcBorders>
              <w:tl2br w:val="nil"/>
              <w:tr2bl w:val="nil"/>
            </w:tcBorders>
            <w:vAlign w:val="center"/>
          </w:tcPr>
          <w:p>
            <w:pPr>
              <w:widowControl/>
              <w:spacing w:line="280" w:lineRule="exact"/>
              <w:jc w:val="center"/>
              <w:rPr>
                <w:rFonts w:ascii="Times New Roman" w:hAnsi="Times New Roman" w:eastAsia="宋体"/>
                <w:color w:val="auto"/>
                <w:szCs w:val="21"/>
                <w:lang w:val="de-DE"/>
              </w:rPr>
            </w:pPr>
          </w:p>
        </w:tc>
        <w:tc>
          <w:tcPr>
            <w:tcW w:w="1015" w:type="dxa"/>
            <w:tcBorders>
              <w:tl2br w:val="nil"/>
              <w:tr2bl w:val="nil"/>
            </w:tcBorders>
            <w:vAlign w:val="center"/>
          </w:tcPr>
          <w:p>
            <w:pPr>
              <w:snapToGrid w:val="0"/>
              <w:spacing w:line="280" w:lineRule="exact"/>
              <w:jc w:val="center"/>
              <w:rPr>
                <w:rFonts w:ascii="Times New Roman" w:hAnsi="Times New Roman" w:eastAsia="宋体"/>
                <w:bCs/>
                <w:color w:val="auto"/>
                <w:szCs w:val="21"/>
              </w:rPr>
            </w:pPr>
            <w:r>
              <w:rPr>
                <w:rFonts w:ascii="Times New Roman" w:hAnsi="Times New Roman" w:eastAsia="宋体"/>
                <w:bCs/>
                <w:color w:val="auto"/>
                <w:szCs w:val="21"/>
              </w:rPr>
              <w:t>环境影响</w:t>
            </w:r>
          </w:p>
        </w:tc>
        <w:tc>
          <w:tcPr>
            <w:tcW w:w="6681" w:type="dxa"/>
            <w:tcBorders>
              <w:tl2br w:val="nil"/>
              <w:tr2bl w:val="nil"/>
            </w:tcBorders>
            <w:vAlign w:val="center"/>
          </w:tcPr>
          <w:p>
            <w:pPr>
              <w:snapToGrid w:val="0"/>
              <w:spacing w:line="280" w:lineRule="exact"/>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恶臭（</w:t>
            </w:r>
            <w:r>
              <w:rPr>
                <w:rFonts w:hint="eastAsia" w:ascii="Times New Roman" w:hAnsi="Times New Roman" w:eastAsia="宋体"/>
                <w:color w:val="auto"/>
                <w:szCs w:val="21"/>
                <w:lang w:val="en-US" w:eastAsia="zh-CN"/>
              </w:rPr>
              <w:t>H</w:t>
            </w:r>
            <w:r>
              <w:rPr>
                <w:rFonts w:hint="eastAsia" w:ascii="Times New Roman" w:hAnsi="Times New Roman" w:eastAsia="宋体"/>
                <w:color w:val="auto"/>
                <w:szCs w:val="21"/>
                <w:vertAlign w:val="subscript"/>
                <w:lang w:val="en-US" w:eastAsia="zh-CN"/>
              </w:rPr>
              <w:t>2</w:t>
            </w:r>
            <w:r>
              <w:rPr>
                <w:rFonts w:hint="eastAsia" w:ascii="Times New Roman" w:hAnsi="Times New Roman" w:eastAsia="宋体"/>
                <w:color w:val="auto"/>
                <w:szCs w:val="21"/>
                <w:lang w:val="en-US" w:eastAsia="zh-CN"/>
              </w:rPr>
              <w:t>S、NH</w:t>
            </w:r>
            <w:r>
              <w:rPr>
                <w:rFonts w:hint="eastAsia" w:ascii="Times New Roman" w:hAnsi="Times New Roman" w:eastAsia="宋体"/>
                <w:color w:val="auto"/>
                <w:szCs w:val="21"/>
                <w:vertAlign w:val="subscript"/>
                <w:lang w:val="en-US" w:eastAsia="zh-CN"/>
              </w:rPr>
              <w:t>3</w:t>
            </w:r>
            <w:r>
              <w:rPr>
                <w:rFonts w:hint="eastAsia" w:ascii="Times New Roman" w:hAnsi="Times New Roman" w:eastAsia="宋体"/>
                <w:color w:val="auto"/>
                <w:szCs w:val="21"/>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trHeight w:val="272" w:hRule="atLeast"/>
        </w:trPr>
        <w:tc>
          <w:tcPr>
            <w:tcW w:w="1322" w:type="dxa"/>
            <w:vMerge w:val="restart"/>
            <w:tcBorders>
              <w:tl2br w:val="nil"/>
              <w:tr2bl w:val="nil"/>
            </w:tcBorders>
            <w:vAlign w:val="center"/>
          </w:tcPr>
          <w:p>
            <w:pPr>
              <w:snapToGrid w:val="0"/>
              <w:spacing w:line="280" w:lineRule="exact"/>
              <w:jc w:val="center"/>
              <w:rPr>
                <w:rFonts w:ascii="Times New Roman" w:hAnsi="Times New Roman" w:eastAsia="宋体"/>
                <w:color w:val="auto"/>
                <w:szCs w:val="21"/>
              </w:rPr>
            </w:pPr>
            <w:r>
              <w:rPr>
                <w:rFonts w:ascii="Times New Roman" w:hAnsi="Times New Roman" w:eastAsia="宋体"/>
                <w:color w:val="auto"/>
                <w:szCs w:val="21"/>
              </w:rPr>
              <w:t>地下水环境</w:t>
            </w:r>
          </w:p>
        </w:tc>
        <w:tc>
          <w:tcPr>
            <w:tcW w:w="1015" w:type="dxa"/>
            <w:tcBorders>
              <w:tl2br w:val="nil"/>
              <w:tr2bl w:val="nil"/>
            </w:tcBorders>
            <w:vAlign w:val="center"/>
          </w:tcPr>
          <w:p>
            <w:pPr>
              <w:snapToGrid w:val="0"/>
              <w:spacing w:line="280" w:lineRule="exact"/>
              <w:jc w:val="center"/>
              <w:rPr>
                <w:rFonts w:ascii="Times New Roman" w:hAnsi="Times New Roman" w:eastAsia="宋体"/>
                <w:bCs/>
                <w:color w:val="auto"/>
                <w:szCs w:val="21"/>
              </w:rPr>
            </w:pPr>
            <w:r>
              <w:rPr>
                <w:rFonts w:ascii="Times New Roman" w:hAnsi="Times New Roman" w:eastAsia="宋体"/>
                <w:bCs/>
                <w:color w:val="auto"/>
                <w:szCs w:val="21"/>
              </w:rPr>
              <w:t>环境现状</w:t>
            </w:r>
          </w:p>
        </w:tc>
        <w:tc>
          <w:tcPr>
            <w:tcW w:w="6681" w:type="dxa"/>
            <w:tcBorders>
              <w:tl2br w:val="nil"/>
              <w:tr2bl w:val="nil"/>
            </w:tcBorders>
            <w:vAlign w:val="center"/>
          </w:tcPr>
          <w:p>
            <w:pPr>
              <w:snapToGrid w:val="0"/>
              <w:spacing w:line="280" w:lineRule="exact"/>
              <w:jc w:val="center"/>
              <w:rPr>
                <w:rFonts w:ascii="Times New Roman" w:hAnsi="Times New Roman" w:eastAsia="宋体"/>
                <w:color w:val="auto"/>
                <w:szCs w:val="21"/>
              </w:rPr>
            </w:pPr>
            <w:r>
              <w:rPr>
                <w:rFonts w:hint="default" w:ascii="Times New Roman" w:hAnsi="Times New Roman" w:eastAsia="宋体" w:cs="Times New Roman"/>
                <w:color w:val="auto"/>
                <w:kern w:val="0"/>
                <w:sz w:val="21"/>
                <w:szCs w:val="21"/>
                <w:highlight w:val="none"/>
                <w:lang w:val="en-US" w:eastAsia="zh-CN" w:bidi="ar"/>
              </w:rPr>
              <w:t>pH、总硬度、溶解性总固体、阴离子表面活性剂、耗氧量、氨氮、氯化物、总大肠菌群、硝酸盐、亚硝酸盐、硫化物、挥发性酚类、K</w:t>
            </w:r>
            <w:r>
              <w:rPr>
                <w:rFonts w:hint="default" w:ascii="Times New Roman" w:hAnsi="Times New Roman" w:eastAsia="宋体" w:cs="Times New Roman"/>
                <w:color w:val="auto"/>
                <w:kern w:val="0"/>
                <w:sz w:val="21"/>
                <w:szCs w:val="21"/>
                <w:highlight w:val="none"/>
                <w:vertAlign w:val="superscript"/>
                <w:lang w:val="en-US" w:eastAsia="zh-CN" w:bidi="ar"/>
              </w:rPr>
              <w:t>+</w:t>
            </w:r>
            <w:r>
              <w:rPr>
                <w:rFonts w:hint="default" w:ascii="Times New Roman" w:hAnsi="Times New Roman" w:eastAsia="宋体" w:cs="Times New Roman"/>
                <w:color w:val="auto"/>
                <w:kern w:val="0"/>
                <w:sz w:val="21"/>
                <w:szCs w:val="21"/>
                <w:highlight w:val="none"/>
                <w:lang w:val="en-US" w:eastAsia="zh-CN" w:bidi="ar"/>
              </w:rPr>
              <w:t>、Na</w:t>
            </w:r>
            <w:r>
              <w:rPr>
                <w:rFonts w:hint="default" w:ascii="Times New Roman" w:hAnsi="Times New Roman" w:eastAsia="宋体" w:cs="Times New Roman"/>
                <w:color w:val="auto"/>
                <w:kern w:val="0"/>
                <w:sz w:val="21"/>
                <w:szCs w:val="21"/>
                <w:highlight w:val="none"/>
                <w:vertAlign w:val="superscript"/>
                <w:lang w:val="en-US" w:eastAsia="zh-CN" w:bidi="ar"/>
              </w:rPr>
              <w:t>+</w:t>
            </w:r>
            <w:r>
              <w:rPr>
                <w:rFonts w:hint="default" w:ascii="Times New Roman" w:hAnsi="Times New Roman" w:eastAsia="宋体" w:cs="Times New Roman"/>
                <w:color w:val="auto"/>
                <w:kern w:val="0"/>
                <w:sz w:val="21"/>
                <w:szCs w:val="21"/>
                <w:highlight w:val="none"/>
                <w:lang w:val="en-US" w:eastAsia="zh-CN" w:bidi="ar"/>
              </w:rPr>
              <w:t>、Ca</w:t>
            </w:r>
            <w:r>
              <w:rPr>
                <w:rFonts w:hint="default" w:ascii="Times New Roman" w:hAnsi="Times New Roman" w:eastAsia="宋体" w:cs="Times New Roman"/>
                <w:color w:val="auto"/>
                <w:kern w:val="0"/>
                <w:sz w:val="21"/>
                <w:szCs w:val="21"/>
                <w:highlight w:val="none"/>
                <w:vertAlign w:val="superscript"/>
                <w:lang w:val="en-US" w:eastAsia="zh-CN" w:bidi="ar"/>
              </w:rPr>
              <w:t>2+</w:t>
            </w:r>
            <w:r>
              <w:rPr>
                <w:rFonts w:hint="default" w:ascii="Times New Roman" w:hAnsi="Times New Roman" w:eastAsia="宋体" w:cs="Times New Roman"/>
                <w:color w:val="auto"/>
                <w:kern w:val="0"/>
                <w:sz w:val="21"/>
                <w:szCs w:val="21"/>
                <w:highlight w:val="none"/>
                <w:lang w:val="en-US" w:eastAsia="zh-CN" w:bidi="ar"/>
              </w:rPr>
              <w:t>、Mg</w:t>
            </w:r>
            <w:r>
              <w:rPr>
                <w:rFonts w:hint="default" w:ascii="Times New Roman" w:hAnsi="Times New Roman" w:eastAsia="宋体" w:cs="Times New Roman"/>
                <w:color w:val="auto"/>
                <w:kern w:val="0"/>
                <w:sz w:val="21"/>
                <w:szCs w:val="21"/>
                <w:highlight w:val="none"/>
                <w:vertAlign w:val="superscript"/>
                <w:lang w:val="en-US" w:eastAsia="zh-CN" w:bidi="ar"/>
              </w:rPr>
              <w:t>2+</w:t>
            </w:r>
            <w:r>
              <w:rPr>
                <w:rFonts w:hint="default" w:ascii="Times New Roman" w:hAnsi="Times New Roman" w:eastAsia="宋体" w:cs="Times New Roman"/>
                <w:color w:val="auto"/>
                <w:kern w:val="0"/>
                <w:sz w:val="21"/>
                <w:szCs w:val="21"/>
                <w:highlight w:val="none"/>
                <w:lang w:val="en-US" w:eastAsia="zh-CN" w:bidi="ar"/>
              </w:rPr>
              <w:t>、CO</w:t>
            </w:r>
            <w:r>
              <w:rPr>
                <w:rFonts w:hint="default" w:ascii="Times New Roman" w:hAnsi="Times New Roman" w:eastAsia="宋体" w:cs="Times New Roman"/>
                <w:color w:val="auto"/>
                <w:kern w:val="0"/>
                <w:sz w:val="21"/>
                <w:szCs w:val="21"/>
                <w:highlight w:val="none"/>
                <w:vertAlign w:val="subscript"/>
                <w:lang w:val="en-US" w:eastAsia="zh-CN" w:bidi="ar"/>
              </w:rPr>
              <w:t>3</w:t>
            </w:r>
            <w:r>
              <w:rPr>
                <w:rFonts w:hint="default" w:ascii="Times New Roman" w:hAnsi="Times New Roman" w:eastAsia="宋体" w:cs="Times New Roman"/>
                <w:color w:val="auto"/>
                <w:kern w:val="0"/>
                <w:sz w:val="21"/>
                <w:szCs w:val="21"/>
                <w:highlight w:val="none"/>
                <w:vertAlign w:val="superscript"/>
                <w:lang w:val="en-US" w:eastAsia="zh-CN" w:bidi="ar"/>
              </w:rPr>
              <w:t>2-</w:t>
            </w:r>
            <w:r>
              <w:rPr>
                <w:rFonts w:hint="default" w:ascii="Times New Roman" w:hAnsi="Times New Roman" w:eastAsia="宋体" w:cs="Times New Roman"/>
                <w:color w:val="auto"/>
                <w:kern w:val="0"/>
                <w:sz w:val="21"/>
                <w:szCs w:val="21"/>
                <w:highlight w:val="none"/>
                <w:lang w:val="en-US" w:eastAsia="zh-CN" w:bidi="ar"/>
              </w:rPr>
              <w:t>、HCO</w:t>
            </w:r>
            <w:r>
              <w:rPr>
                <w:rFonts w:hint="default" w:ascii="Times New Roman" w:hAnsi="Times New Roman" w:eastAsia="宋体" w:cs="Times New Roman"/>
                <w:color w:val="auto"/>
                <w:kern w:val="0"/>
                <w:sz w:val="21"/>
                <w:szCs w:val="21"/>
                <w:highlight w:val="none"/>
                <w:vertAlign w:val="subscript"/>
                <w:lang w:val="en-US" w:eastAsia="zh-CN" w:bidi="ar"/>
              </w:rPr>
              <w:t>3</w:t>
            </w:r>
            <w:r>
              <w:rPr>
                <w:rFonts w:hint="default" w:ascii="Times New Roman" w:hAnsi="Times New Roman" w:eastAsia="宋体" w:cs="Times New Roman"/>
                <w:color w:val="auto"/>
                <w:kern w:val="0"/>
                <w:sz w:val="21"/>
                <w:szCs w:val="21"/>
                <w:highlight w:val="none"/>
                <w:vertAlign w:val="superscript"/>
                <w:lang w:val="en-US" w:eastAsia="zh-CN" w:bidi="ar"/>
              </w:rPr>
              <w:t>-</w:t>
            </w:r>
            <w:r>
              <w:rPr>
                <w:rFonts w:hint="default" w:ascii="Times New Roman" w:hAnsi="Times New Roman" w:eastAsia="宋体" w:cs="Times New Roman"/>
                <w:color w:val="auto"/>
                <w:kern w:val="0"/>
                <w:sz w:val="21"/>
                <w:szCs w:val="21"/>
                <w:highlight w:val="none"/>
                <w:lang w:val="en-US" w:eastAsia="zh-CN" w:bidi="ar"/>
              </w:rPr>
              <w:t>、Cl</w:t>
            </w:r>
            <w:r>
              <w:rPr>
                <w:rFonts w:hint="default" w:ascii="Times New Roman" w:hAnsi="Times New Roman" w:eastAsia="宋体" w:cs="Times New Roman"/>
                <w:color w:val="auto"/>
                <w:kern w:val="0"/>
                <w:sz w:val="21"/>
                <w:szCs w:val="21"/>
                <w:highlight w:val="none"/>
                <w:vertAlign w:val="superscript"/>
                <w:lang w:val="en-US" w:eastAsia="zh-CN" w:bidi="ar"/>
              </w:rPr>
              <w:t>-</w:t>
            </w:r>
            <w:r>
              <w:rPr>
                <w:rFonts w:hint="default" w:ascii="Times New Roman" w:hAnsi="Times New Roman" w:eastAsia="宋体" w:cs="Times New Roman"/>
                <w:color w:val="auto"/>
                <w:kern w:val="0"/>
                <w:sz w:val="21"/>
                <w:szCs w:val="21"/>
                <w:highlight w:val="none"/>
                <w:lang w:val="en-US" w:eastAsia="zh-CN" w:bidi="ar"/>
              </w:rPr>
              <w:t>、SO</w:t>
            </w:r>
            <w:r>
              <w:rPr>
                <w:rFonts w:hint="default" w:ascii="Times New Roman" w:hAnsi="Times New Roman" w:eastAsia="宋体" w:cs="Times New Roman"/>
                <w:color w:val="auto"/>
                <w:kern w:val="0"/>
                <w:sz w:val="21"/>
                <w:szCs w:val="21"/>
                <w:highlight w:val="none"/>
                <w:vertAlign w:val="subscript"/>
                <w:lang w:val="en-US" w:eastAsia="zh-CN" w:bidi="ar"/>
              </w:rPr>
              <w:t>4</w:t>
            </w:r>
            <w:r>
              <w:rPr>
                <w:rFonts w:hint="default" w:ascii="Times New Roman" w:hAnsi="Times New Roman" w:eastAsia="宋体" w:cs="Times New Roman"/>
                <w:color w:val="auto"/>
                <w:kern w:val="0"/>
                <w:sz w:val="21"/>
                <w:szCs w:val="21"/>
                <w:highlight w:val="none"/>
                <w:vertAlign w:val="superscript"/>
                <w:lang w:val="en-US" w:eastAsia="zh-CN" w:bidi="ar"/>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trHeight w:val="315" w:hRule="atLeast"/>
        </w:trPr>
        <w:tc>
          <w:tcPr>
            <w:tcW w:w="1322" w:type="dxa"/>
            <w:vMerge w:val="continue"/>
            <w:tcBorders>
              <w:tl2br w:val="nil"/>
              <w:tr2bl w:val="nil"/>
            </w:tcBorders>
            <w:vAlign w:val="center"/>
          </w:tcPr>
          <w:p>
            <w:pPr>
              <w:widowControl/>
              <w:spacing w:line="280" w:lineRule="exact"/>
              <w:jc w:val="center"/>
              <w:rPr>
                <w:rFonts w:ascii="Times New Roman" w:hAnsi="Times New Roman" w:eastAsia="宋体"/>
                <w:color w:val="auto"/>
                <w:szCs w:val="21"/>
              </w:rPr>
            </w:pPr>
          </w:p>
        </w:tc>
        <w:tc>
          <w:tcPr>
            <w:tcW w:w="1015" w:type="dxa"/>
            <w:tcBorders>
              <w:tl2br w:val="nil"/>
              <w:tr2bl w:val="nil"/>
            </w:tcBorders>
            <w:vAlign w:val="center"/>
          </w:tcPr>
          <w:p>
            <w:pPr>
              <w:snapToGrid w:val="0"/>
              <w:spacing w:line="280" w:lineRule="exact"/>
              <w:jc w:val="center"/>
              <w:rPr>
                <w:rFonts w:ascii="Times New Roman" w:hAnsi="Times New Roman" w:eastAsia="宋体"/>
                <w:bCs/>
                <w:color w:val="auto"/>
                <w:szCs w:val="21"/>
              </w:rPr>
            </w:pPr>
            <w:r>
              <w:rPr>
                <w:rFonts w:ascii="Times New Roman" w:hAnsi="Times New Roman" w:eastAsia="宋体"/>
                <w:bCs/>
                <w:color w:val="auto"/>
                <w:szCs w:val="21"/>
              </w:rPr>
              <w:t>环境影响</w:t>
            </w:r>
          </w:p>
        </w:tc>
        <w:tc>
          <w:tcPr>
            <w:tcW w:w="6681" w:type="dxa"/>
            <w:tcBorders>
              <w:tl2br w:val="nil"/>
              <w:tr2bl w:val="nil"/>
            </w:tcBorders>
            <w:vAlign w:val="center"/>
          </w:tcPr>
          <w:p>
            <w:pPr>
              <w:snapToGrid w:val="0"/>
              <w:spacing w:line="280" w:lineRule="exact"/>
              <w:jc w:val="center"/>
              <w:rPr>
                <w:rFonts w:ascii="Times New Roman" w:hAnsi="Times New Roman" w:eastAsia="宋体"/>
                <w:color w:val="auto"/>
                <w:szCs w:val="21"/>
              </w:rPr>
            </w:pPr>
            <w:r>
              <w:rPr>
                <w:rFonts w:ascii="Times New Roman" w:eastAsia="Times New Roman"/>
                <w:color w:val="auto"/>
                <w:position w:val="2"/>
                <w:sz w:val="21"/>
              </w:rPr>
              <w:t>CODcr</w:t>
            </w:r>
            <w:r>
              <w:rPr>
                <w:color w:val="auto"/>
                <w:position w:val="2"/>
                <w:sz w:val="21"/>
              </w:rPr>
              <w:t>、</w:t>
            </w:r>
            <w:r>
              <w:rPr>
                <w:rFonts w:ascii="Times New Roman" w:eastAsia="Times New Roman"/>
                <w:color w:val="auto"/>
                <w:position w:val="2"/>
                <w:sz w:val="21"/>
              </w:rPr>
              <w:t>NH</w:t>
            </w:r>
            <w:r>
              <w:rPr>
                <w:rFonts w:ascii="Times New Roman" w:eastAsia="Times New Roman"/>
                <w:color w:val="auto"/>
                <w:position w:val="2"/>
                <w:sz w:val="21"/>
                <w:vertAlign w:val="subscript"/>
              </w:rPr>
              <w:t>3</w:t>
            </w:r>
            <w:r>
              <w:rPr>
                <w:rFonts w:ascii="Times New Roman" w:eastAsia="Times New Roman"/>
                <w:color w:val="auto"/>
                <w:position w:val="2"/>
                <w:sz w:val="21"/>
                <w:vertAlign w:val="baseline"/>
              </w:rPr>
              <w:t>-N</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trHeight w:val="252" w:hRule="atLeast"/>
        </w:trPr>
        <w:tc>
          <w:tcPr>
            <w:tcW w:w="1322" w:type="dxa"/>
            <w:vMerge w:val="restart"/>
            <w:tcBorders>
              <w:tl2br w:val="nil"/>
              <w:tr2bl w:val="nil"/>
            </w:tcBorders>
            <w:vAlign w:val="center"/>
          </w:tcPr>
          <w:p>
            <w:pPr>
              <w:snapToGrid w:val="0"/>
              <w:spacing w:line="280" w:lineRule="exact"/>
              <w:jc w:val="center"/>
              <w:rPr>
                <w:rFonts w:ascii="Times New Roman" w:hAnsi="Times New Roman" w:eastAsia="宋体"/>
                <w:color w:val="auto"/>
                <w:szCs w:val="21"/>
              </w:rPr>
            </w:pPr>
            <w:r>
              <w:rPr>
                <w:rFonts w:ascii="Times New Roman" w:hAnsi="Times New Roman" w:eastAsia="宋体"/>
                <w:color w:val="auto"/>
                <w:szCs w:val="21"/>
              </w:rPr>
              <w:t>地表水环境</w:t>
            </w:r>
          </w:p>
        </w:tc>
        <w:tc>
          <w:tcPr>
            <w:tcW w:w="1015" w:type="dxa"/>
            <w:tcBorders>
              <w:tl2br w:val="nil"/>
              <w:tr2bl w:val="nil"/>
            </w:tcBorders>
            <w:vAlign w:val="center"/>
          </w:tcPr>
          <w:p>
            <w:pPr>
              <w:snapToGrid w:val="0"/>
              <w:spacing w:line="280" w:lineRule="exact"/>
              <w:jc w:val="center"/>
              <w:rPr>
                <w:rFonts w:ascii="Times New Roman" w:hAnsi="Times New Roman" w:eastAsia="宋体"/>
                <w:bCs/>
                <w:color w:val="auto"/>
                <w:szCs w:val="21"/>
              </w:rPr>
            </w:pPr>
            <w:r>
              <w:rPr>
                <w:rFonts w:ascii="Times New Roman" w:hAnsi="Times New Roman" w:eastAsia="宋体"/>
                <w:bCs/>
                <w:color w:val="auto"/>
                <w:szCs w:val="21"/>
              </w:rPr>
              <w:t>环境现状</w:t>
            </w:r>
          </w:p>
        </w:tc>
        <w:tc>
          <w:tcPr>
            <w:tcW w:w="6681" w:type="dxa"/>
            <w:tcBorders>
              <w:tl2br w:val="nil"/>
              <w:tr2bl w:val="nil"/>
            </w:tcBorders>
            <w:vAlign w:val="center"/>
          </w:tcPr>
          <w:p>
            <w:pPr>
              <w:snapToGrid w:val="0"/>
              <w:spacing w:line="280" w:lineRule="exact"/>
              <w:jc w:val="center"/>
              <w:rPr>
                <w:rFonts w:hint="eastAsia" w:ascii="Times New Roman" w:hAnsi="Times New Roman" w:eastAsiaTheme="minorEastAsia"/>
                <w:color w:val="auto"/>
                <w:szCs w:val="21"/>
                <w:lang w:eastAsia="zh-CN"/>
              </w:rPr>
            </w:pPr>
            <w:r>
              <w:rPr>
                <w:rFonts w:hint="default" w:ascii="Times New Roman" w:hAnsi="Times New Roman" w:eastAsia="宋体" w:cs="Times New Roman"/>
                <w:color w:val="auto"/>
                <w:sz w:val="21"/>
                <w:szCs w:val="21"/>
                <w:highlight w:val="none"/>
              </w:rPr>
              <w:t>pH、COD、BOD</w:t>
            </w:r>
            <w:r>
              <w:rPr>
                <w:rFonts w:hint="default" w:ascii="Times New Roman" w:hAnsi="Times New Roman" w:eastAsia="宋体" w:cs="Times New Roman"/>
                <w:color w:val="auto"/>
                <w:sz w:val="21"/>
                <w:szCs w:val="21"/>
                <w:highlight w:val="none"/>
                <w:vertAlign w:val="subscript"/>
              </w:rPr>
              <w:t>5</w:t>
            </w:r>
            <w:r>
              <w:rPr>
                <w:rFonts w:hint="default" w:ascii="Times New Roman" w:hAnsi="Times New Roman" w:eastAsia="宋体" w:cs="Times New Roman"/>
                <w:color w:val="auto"/>
                <w:sz w:val="21"/>
                <w:szCs w:val="21"/>
                <w:highlight w:val="none"/>
              </w:rPr>
              <w:t>、NH</w:t>
            </w:r>
            <w:r>
              <w:rPr>
                <w:rFonts w:hint="default" w:ascii="Times New Roman" w:hAnsi="Times New Roman" w:eastAsia="宋体" w:cs="Times New Roman"/>
                <w:color w:val="auto"/>
                <w:sz w:val="21"/>
                <w:szCs w:val="21"/>
                <w:highlight w:val="none"/>
                <w:vertAlign w:val="subscript"/>
              </w:rPr>
              <w:t>3</w:t>
            </w:r>
            <w:r>
              <w:rPr>
                <w:rFonts w:hint="default" w:ascii="Times New Roman" w:hAnsi="Times New Roman" w:eastAsia="宋体" w:cs="Times New Roman"/>
                <w:color w:val="auto"/>
                <w:sz w:val="21"/>
                <w:szCs w:val="21"/>
                <w:highlight w:val="none"/>
              </w:rPr>
              <w:t>-N、总磷、总氮、</w:t>
            </w:r>
            <w:r>
              <w:rPr>
                <w:rFonts w:hint="default" w:ascii="Times New Roman" w:hAnsi="Times New Roman" w:eastAsia="宋体" w:cs="Times New Roman"/>
                <w:color w:val="auto"/>
                <w:sz w:val="21"/>
                <w:szCs w:val="21"/>
                <w:highlight w:val="none"/>
                <w:lang w:eastAsia="zh-CN"/>
              </w:rPr>
              <w:t>悬浮物、</w:t>
            </w:r>
            <w:r>
              <w:rPr>
                <w:rFonts w:hint="default" w:ascii="Times New Roman" w:hAnsi="Times New Roman" w:eastAsia="宋体" w:cs="Times New Roman"/>
                <w:color w:val="auto"/>
                <w:sz w:val="21"/>
                <w:szCs w:val="21"/>
                <w:highlight w:val="none"/>
              </w:rPr>
              <w:t>粪大肠菌群</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trHeight w:val="267" w:hRule="atLeast"/>
        </w:trPr>
        <w:tc>
          <w:tcPr>
            <w:tcW w:w="1322" w:type="dxa"/>
            <w:vMerge w:val="continue"/>
            <w:tcBorders>
              <w:tl2br w:val="nil"/>
              <w:tr2bl w:val="nil"/>
            </w:tcBorders>
            <w:vAlign w:val="center"/>
          </w:tcPr>
          <w:p>
            <w:pPr>
              <w:snapToGrid w:val="0"/>
              <w:spacing w:line="280" w:lineRule="exact"/>
              <w:jc w:val="center"/>
              <w:rPr>
                <w:rFonts w:ascii="Times New Roman" w:hAnsi="Times New Roman" w:eastAsia="宋体"/>
                <w:color w:val="auto"/>
                <w:szCs w:val="21"/>
              </w:rPr>
            </w:pPr>
          </w:p>
        </w:tc>
        <w:tc>
          <w:tcPr>
            <w:tcW w:w="1015" w:type="dxa"/>
            <w:tcBorders>
              <w:tl2br w:val="nil"/>
              <w:tr2bl w:val="nil"/>
            </w:tcBorders>
            <w:vAlign w:val="center"/>
          </w:tcPr>
          <w:p>
            <w:pPr>
              <w:snapToGrid w:val="0"/>
              <w:spacing w:line="280" w:lineRule="exact"/>
              <w:jc w:val="center"/>
              <w:rPr>
                <w:rFonts w:ascii="Times New Roman" w:hAnsi="Times New Roman" w:eastAsia="宋体"/>
                <w:bCs/>
                <w:color w:val="auto"/>
                <w:szCs w:val="21"/>
              </w:rPr>
            </w:pPr>
            <w:r>
              <w:rPr>
                <w:rFonts w:hint="eastAsia" w:ascii="Times New Roman" w:hAnsi="Times New Roman" w:eastAsia="宋体"/>
                <w:bCs/>
                <w:color w:val="auto"/>
                <w:szCs w:val="21"/>
              </w:rPr>
              <w:t>环境影响</w:t>
            </w:r>
          </w:p>
        </w:tc>
        <w:tc>
          <w:tcPr>
            <w:tcW w:w="6681" w:type="dxa"/>
            <w:tcBorders>
              <w:tl2br w:val="nil"/>
              <w:tr2bl w:val="nil"/>
            </w:tcBorders>
            <w:vAlign w:val="center"/>
          </w:tcPr>
          <w:p>
            <w:pPr>
              <w:snapToGrid w:val="0"/>
              <w:spacing w:line="280" w:lineRule="exact"/>
              <w:jc w:val="center"/>
              <w:rPr>
                <w:rFonts w:hint="eastAsia" w:ascii="Times New Roman" w:hAnsi="Times New Roman" w:eastAsia="宋体"/>
                <w:color w:val="auto"/>
                <w:szCs w:val="21"/>
                <w:lang w:eastAsia="zh-CN"/>
              </w:rPr>
            </w:pPr>
            <w:r>
              <w:rPr>
                <w:rFonts w:hint="eastAsia" w:ascii="Times New Roman" w:eastAsia="宋体"/>
                <w:color w:val="auto"/>
                <w:position w:val="2"/>
                <w:sz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trHeight w:val="104" w:hRule="atLeast"/>
        </w:trPr>
        <w:tc>
          <w:tcPr>
            <w:tcW w:w="1322" w:type="dxa"/>
            <w:vMerge w:val="restart"/>
            <w:tcBorders>
              <w:tl2br w:val="nil"/>
              <w:tr2bl w:val="nil"/>
            </w:tcBorders>
            <w:vAlign w:val="center"/>
          </w:tcPr>
          <w:p>
            <w:pPr>
              <w:snapToGrid w:val="0"/>
              <w:spacing w:line="280" w:lineRule="exact"/>
              <w:jc w:val="center"/>
              <w:rPr>
                <w:rFonts w:ascii="Times New Roman" w:hAnsi="Times New Roman" w:eastAsia="宋体"/>
                <w:color w:val="auto"/>
                <w:szCs w:val="21"/>
              </w:rPr>
            </w:pPr>
            <w:r>
              <w:rPr>
                <w:rFonts w:ascii="Times New Roman" w:hAnsi="Times New Roman" w:eastAsia="宋体"/>
                <w:color w:val="auto"/>
                <w:szCs w:val="21"/>
              </w:rPr>
              <w:t>声环境</w:t>
            </w:r>
          </w:p>
        </w:tc>
        <w:tc>
          <w:tcPr>
            <w:tcW w:w="1015" w:type="dxa"/>
            <w:tcBorders>
              <w:tl2br w:val="nil"/>
              <w:tr2bl w:val="nil"/>
            </w:tcBorders>
            <w:vAlign w:val="center"/>
          </w:tcPr>
          <w:p>
            <w:pPr>
              <w:snapToGrid w:val="0"/>
              <w:spacing w:line="280" w:lineRule="exact"/>
              <w:jc w:val="center"/>
              <w:rPr>
                <w:rFonts w:ascii="Times New Roman" w:hAnsi="Times New Roman" w:eastAsia="宋体"/>
                <w:bCs/>
                <w:color w:val="auto"/>
                <w:szCs w:val="21"/>
              </w:rPr>
            </w:pPr>
            <w:r>
              <w:rPr>
                <w:rFonts w:ascii="Times New Roman" w:hAnsi="Times New Roman" w:eastAsia="宋体"/>
                <w:bCs/>
                <w:color w:val="auto"/>
                <w:szCs w:val="21"/>
              </w:rPr>
              <w:t>环境现状</w:t>
            </w:r>
          </w:p>
        </w:tc>
        <w:tc>
          <w:tcPr>
            <w:tcW w:w="6681" w:type="dxa"/>
            <w:tcBorders>
              <w:tl2br w:val="nil"/>
              <w:tr2bl w:val="nil"/>
            </w:tcBorders>
            <w:vAlign w:val="center"/>
          </w:tcPr>
          <w:p>
            <w:pPr>
              <w:snapToGrid w:val="0"/>
              <w:spacing w:line="280" w:lineRule="exact"/>
              <w:jc w:val="center"/>
              <w:rPr>
                <w:rFonts w:ascii="Times New Roman" w:hAnsi="Times New Roman" w:eastAsia="宋体"/>
                <w:color w:val="auto"/>
                <w:szCs w:val="21"/>
              </w:rPr>
            </w:pPr>
            <w:r>
              <w:rPr>
                <w:rFonts w:ascii="Times New Roman" w:hAnsi="Times New Roman" w:eastAsia="宋体"/>
                <w:color w:val="auto"/>
                <w:szCs w:val="21"/>
              </w:rPr>
              <w:t>连续等效A声级dB(A)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trHeight w:val="104" w:hRule="atLeast"/>
        </w:trPr>
        <w:tc>
          <w:tcPr>
            <w:tcW w:w="1322" w:type="dxa"/>
            <w:vMerge w:val="continue"/>
            <w:tcBorders>
              <w:tl2br w:val="nil"/>
              <w:tr2bl w:val="nil"/>
            </w:tcBorders>
            <w:vAlign w:val="center"/>
          </w:tcPr>
          <w:p>
            <w:pPr>
              <w:snapToGrid w:val="0"/>
              <w:spacing w:line="280" w:lineRule="exact"/>
              <w:jc w:val="center"/>
              <w:rPr>
                <w:rFonts w:ascii="Times New Roman" w:hAnsi="Times New Roman" w:eastAsia="宋体"/>
                <w:color w:val="auto"/>
                <w:szCs w:val="21"/>
              </w:rPr>
            </w:pPr>
          </w:p>
        </w:tc>
        <w:tc>
          <w:tcPr>
            <w:tcW w:w="1015" w:type="dxa"/>
            <w:tcBorders>
              <w:tl2br w:val="nil"/>
              <w:tr2bl w:val="nil"/>
            </w:tcBorders>
            <w:vAlign w:val="center"/>
          </w:tcPr>
          <w:p>
            <w:pPr>
              <w:snapToGrid w:val="0"/>
              <w:spacing w:line="280" w:lineRule="exact"/>
              <w:jc w:val="center"/>
              <w:rPr>
                <w:rFonts w:ascii="Times New Roman" w:hAnsi="Times New Roman" w:eastAsia="宋体"/>
                <w:bCs/>
                <w:color w:val="auto"/>
                <w:szCs w:val="21"/>
              </w:rPr>
            </w:pPr>
            <w:r>
              <w:rPr>
                <w:rFonts w:ascii="Times New Roman" w:hAnsi="Times New Roman" w:eastAsia="宋体"/>
                <w:bCs/>
                <w:color w:val="auto"/>
                <w:szCs w:val="21"/>
              </w:rPr>
              <w:t>环境影响</w:t>
            </w:r>
          </w:p>
        </w:tc>
        <w:tc>
          <w:tcPr>
            <w:tcW w:w="6681" w:type="dxa"/>
            <w:tcBorders>
              <w:tl2br w:val="nil"/>
              <w:tr2bl w:val="nil"/>
            </w:tcBorders>
            <w:vAlign w:val="center"/>
          </w:tcPr>
          <w:p>
            <w:pPr>
              <w:snapToGrid w:val="0"/>
              <w:spacing w:line="280" w:lineRule="exact"/>
              <w:jc w:val="center"/>
              <w:rPr>
                <w:rFonts w:ascii="Times New Roman" w:hAnsi="Times New Roman" w:eastAsia="宋体"/>
                <w:color w:val="auto"/>
                <w:szCs w:val="21"/>
              </w:rPr>
            </w:pPr>
            <w:r>
              <w:rPr>
                <w:rFonts w:ascii="Times New Roman" w:hAnsi="Times New Roman" w:eastAsia="宋体"/>
                <w:color w:val="auto"/>
                <w:szCs w:val="21"/>
              </w:rPr>
              <w:t>连续等效A声级dB(A)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trHeight w:val="104" w:hRule="atLeast"/>
        </w:trPr>
        <w:tc>
          <w:tcPr>
            <w:tcW w:w="1322" w:type="dxa"/>
            <w:vMerge w:val="restart"/>
            <w:tcBorders>
              <w:tl2br w:val="nil"/>
              <w:tr2bl w:val="nil"/>
            </w:tcBorders>
            <w:vAlign w:val="center"/>
          </w:tcPr>
          <w:p>
            <w:pPr>
              <w:snapToGrid w:val="0"/>
              <w:spacing w:line="280" w:lineRule="exact"/>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土壤</w:t>
            </w:r>
          </w:p>
        </w:tc>
        <w:tc>
          <w:tcPr>
            <w:tcW w:w="1015" w:type="dxa"/>
            <w:tcBorders>
              <w:tl2br w:val="nil"/>
              <w:tr2bl w:val="nil"/>
            </w:tcBorders>
            <w:vAlign w:val="center"/>
          </w:tcPr>
          <w:p>
            <w:pPr>
              <w:snapToGrid w:val="0"/>
              <w:spacing w:line="280" w:lineRule="exact"/>
              <w:jc w:val="center"/>
              <w:rPr>
                <w:rFonts w:ascii="Times New Roman" w:hAnsi="Times New Roman" w:eastAsia="宋体"/>
                <w:bCs/>
                <w:color w:val="auto"/>
                <w:szCs w:val="21"/>
              </w:rPr>
            </w:pPr>
            <w:r>
              <w:rPr>
                <w:rFonts w:ascii="Times New Roman" w:hAnsi="Times New Roman" w:eastAsia="宋体"/>
                <w:bCs/>
                <w:color w:val="auto"/>
                <w:szCs w:val="21"/>
              </w:rPr>
              <w:t>环境现状</w:t>
            </w:r>
          </w:p>
        </w:tc>
        <w:tc>
          <w:tcPr>
            <w:tcW w:w="6681" w:type="dxa"/>
            <w:tcBorders>
              <w:tl2br w:val="nil"/>
              <w:tr2bl w:val="nil"/>
            </w:tcBorders>
            <w:vAlign w:val="center"/>
          </w:tcPr>
          <w:p>
            <w:pPr>
              <w:snapToGrid w:val="0"/>
              <w:spacing w:line="280" w:lineRule="exact"/>
              <w:jc w:val="center"/>
              <w:rPr>
                <w:rFonts w:hint="eastAsia" w:ascii="Times New Roman" w:hAnsi="Times New Roman" w:eastAsiaTheme="minorEastAsia"/>
                <w:color w:val="auto"/>
                <w:szCs w:val="21"/>
                <w:lang w:eastAsia="zh-CN"/>
              </w:rPr>
            </w:pPr>
            <w:r>
              <w:rPr>
                <w:rFonts w:hint="default" w:ascii="Times New Roman" w:hAnsi="Times New Roman" w:eastAsia="宋体" w:cs="Times New Roman"/>
                <w:color w:val="auto"/>
                <w:kern w:val="0"/>
                <w:sz w:val="21"/>
                <w:szCs w:val="21"/>
                <w:highlight w:val="none"/>
                <w:lang w:val="en-US" w:eastAsia="zh-CN" w:bidi="ar"/>
              </w:rPr>
              <w:t>pH、镉、汞、砷、铅、铬、铜、镍、锌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trHeight w:val="104" w:hRule="atLeast"/>
        </w:trPr>
        <w:tc>
          <w:tcPr>
            <w:tcW w:w="1322" w:type="dxa"/>
            <w:vMerge w:val="continue"/>
            <w:tcBorders>
              <w:tl2br w:val="nil"/>
              <w:tr2bl w:val="nil"/>
            </w:tcBorders>
            <w:vAlign w:val="center"/>
          </w:tcPr>
          <w:p>
            <w:pPr>
              <w:snapToGrid w:val="0"/>
              <w:spacing w:line="280" w:lineRule="exact"/>
              <w:jc w:val="center"/>
              <w:rPr>
                <w:rFonts w:ascii="Times New Roman" w:hAnsi="Times New Roman" w:eastAsia="宋体"/>
                <w:color w:val="auto"/>
                <w:szCs w:val="21"/>
              </w:rPr>
            </w:pPr>
          </w:p>
        </w:tc>
        <w:tc>
          <w:tcPr>
            <w:tcW w:w="1015" w:type="dxa"/>
            <w:tcBorders>
              <w:tl2br w:val="nil"/>
              <w:tr2bl w:val="nil"/>
            </w:tcBorders>
            <w:vAlign w:val="center"/>
          </w:tcPr>
          <w:p>
            <w:pPr>
              <w:snapToGrid w:val="0"/>
              <w:spacing w:line="280" w:lineRule="exact"/>
              <w:jc w:val="center"/>
              <w:rPr>
                <w:rFonts w:ascii="Times New Roman" w:hAnsi="Times New Roman" w:eastAsia="宋体"/>
                <w:bCs/>
                <w:color w:val="auto"/>
                <w:szCs w:val="21"/>
              </w:rPr>
            </w:pPr>
            <w:r>
              <w:rPr>
                <w:rFonts w:ascii="Times New Roman" w:hAnsi="Times New Roman" w:eastAsia="宋体"/>
                <w:bCs/>
                <w:color w:val="auto"/>
                <w:szCs w:val="21"/>
              </w:rPr>
              <w:t>环境影响</w:t>
            </w:r>
          </w:p>
        </w:tc>
        <w:tc>
          <w:tcPr>
            <w:tcW w:w="6681" w:type="dxa"/>
            <w:tcBorders>
              <w:tl2br w:val="nil"/>
              <w:tr2bl w:val="nil"/>
            </w:tcBorders>
            <w:vAlign w:val="center"/>
          </w:tcPr>
          <w:p>
            <w:pPr>
              <w:snapToGrid w:val="0"/>
              <w:spacing w:line="280" w:lineRule="exact"/>
              <w:jc w:val="center"/>
              <w:rPr>
                <w:rFonts w:hint="eastAsia" w:ascii="Times New Roman" w:hAnsi="Times New Roman" w:eastAsiaTheme="minorEastAsia"/>
                <w:color w:val="auto"/>
                <w:szCs w:val="21"/>
                <w:lang w:eastAsia="zh-CN"/>
              </w:rPr>
            </w:pPr>
            <w:r>
              <w:rPr>
                <w:rFonts w:hint="eastAsia" w:ascii="Times New Roman" w:hAnsi="Calibri" w:eastAsia="宋体" w:cs="Times New Roman"/>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trHeight w:val="138" w:hRule="atLeast"/>
        </w:trPr>
        <w:tc>
          <w:tcPr>
            <w:tcW w:w="1322" w:type="dxa"/>
            <w:tcBorders>
              <w:tl2br w:val="nil"/>
              <w:tr2bl w:val="nil"/>
            </w:tcBorders>
            <w:vAlign w:val="center"/>
          </w:tcPr>
          <w:p>
            <w:pPr>
              <w:snapToGrid w:val="0"/>
              <w:spacing w:line="280" w:lineRule="exact"/>
              <w:jc w:val="center"/>
              <w:rPr>
                <w:rFonts w:ascii="Times New Roman" w:hAnsi="Times New Roman" w:eastAsia="宋体"/>
                <w:color w:val="auto"/>
                <w:szCs w:val="21"/>
              </w:rPr>
            </w:pPr>
            <w:r>
              <w:rPr>
                <w:rFonts w:ascii="Times New Roman" w:hAnsi="Times New Roman" w:eastAsia="宋体"/>
                <w:color w:val="auto"/>
                <w:szCs w:val="21"/>
              </w:rPr>
              <w:t>固体废物</w:t>
            </w:r>
          </w:p>
        </w:tc>
        <w:tc>
          <w:tcPr>
            <w:tcW w:w="1015" w:type="dxa"/>
            <w:tcBorders>
              <w:tl2br w:val="nil"/>
              <w:tr2bl w:val="nil"/>
            </w:tcBorders>
            <w:vAlign w:val="center"/>
          </w:tcPr>
          <w:p>
            <w:pPr>
              <w:snapToGrid w:val="0"/>
              <w:spacing w:line="280" w:lineRule="exact"/>
              <w:jc w:val="center"/>
              <w:rPr>
                <w:rFonts w:ascii="Times New Roman" w:hAnsi="Times New Roman" w:eastAsia="宋体"/>
                <w:color w:val="auto"/>
                <w:szCs w:val="21"/>
              </w:rPr>
            </w:pPr>
            <w:r>
              <w:rPr>
                <w:rFonts w:ascii="Times New Roman" w:hAnsi="Times New Roman" w:eastAsia="宋体"/>
                <w:color w:val="auto"/>
                <w:szCs w:val="21"/>
              </w:rPr>
              <w:t>固废影响</w:t>
            </w:r>
          </w:p>
        </w:tc>
        <w:tc>
          <w:tcPr>
            <w:tcW w:w="6681" w:type="dxa"/>
            <w:tcBorders>
              <w:tl2br w:val="nil"/>
              <w:tr2bl w:val="nil"/>
            </w:tcBorders>
            <w:vAlign w:val="center"/>
          </w:tcPr>
          <w:p>
            <w:pPr>
              <w:snapToGrid w:val="0"/>
              <w:spacing w:line="280" w:lineRule="exact"/>
              <w:jc w:val="center"/>
              <w:rPr>
                <w:rFonts w:ascii="Times New Roman" w:hAnsi="Times New Roman" w:eastAsia="宋体"/>
                <w:color w:val="auto"/>
                <w:szCs w:val="21"/>
              </w:rPr>
            </w:pPr>
            <w:r>
              <w:rPr>
                <w:rFonts w:hint="eastAsia" w:ascii="Times New Roman" w:hAnsi="Times New Roman" w:eastAsia="宋体"/>
                <w:color w:val="auto"/>
                <w:szCs w:val="21"/>
              </w:rPr>
              <w:t>综合利用率、处理处置率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trHeight w:val="138" w:hRule="atLeast"/>
        </w:trPr>
        <w:tc>
          <w:tcPr>
            <w:tcW w:w="1322" w:type="dxa"/>
            <w:tcBorders>
              <w:tl2br w:val="nil"/>
              <w:tr2bl w:val="nil"/>
            </w:tcBorders>
            <w:vAlign w:val="center"/>
          </w:tcPr>
          <w:p>
            <w:pPr>
              <w:snapToGrid w:val="0"/>
              <w:spacing w:line="280" w:lineRule="exact"/>
              <w:jc w:val="center"/>
              <w:rPr>
                <w:rFonts w:ascii="Times New Roman" w:hAnsi="Times New Roman" w:eastAsia="宋体"/>
                <w:color w:val="auto"/>
                <w:szCs w:val="21"/>
              </w:rPr>
            </w:pPr>
            <w:r>
              <w:rPr>
                <w:rFonts w:hint="eastAsia" w:ascii="Times New Roman" w:hAnsi="Times New Roman" w:eastAsia="宋体"/>
                <w:color w:val="auto"/>
                <w:szCs w:val="21"/>
              </w:rPr>
              <w:t>生态环境</w:t>
            </w:r>
          </w:p>
        </w:tc>
        <w:tc>
          <w:tcPr>
            <w:tcW w:w="1015" w:type="dxa"/>
            <w:tcBorders>
              <w:tl2br w:val="nil"/>
              <w:tr2bl w:val="nil"/>
            </w:tcBorders>
            <w:vAlign w:val="center"/>
          </w:tcPr>
          <w:p>
            <w:pPr>
              <w:snapToGrid w:val="0"/>
              <w:spacing w:line="280" w:lineRule="exact"/>
              <w:jc w:val="center"/>
              <w:rPr>
                <w:rFonts w:ascii="Times New Roman" w:hAnsi="Times New Roman" w:eastAsia="宋体"/>
                <w:color w:val="auto"/>
                <w:szCs w:val="21"/>
              </w:rPr>
            </w:pPr>
            <w:r>
              <w:rPr>
                <w:rFonts w:hint="eastAsia" w:ascii="Times New Roman" w:hAnsi="Times New Roman" w:eastAsia="宋体"/>
                <w:color w:val="auto"/>
                <w:szCs w:val="21"/>
              </w:rPr>
              <w:t>生态影响</w:t>
            </w:r>
          </w:p>
        </w:tc>
        <w:tc>
          <w:tcPr>
            <w:tcW w:w="6681" w:type="dxa"/>
            <w:tcBorders>
              <w:tl2br w:val="nil"/>
              <w:tr2bl w:val="nil"/>
            </w:tcBorders>
            <w:vAlign w:val="center"/>
          </w:tcPr>
          <w:p>
            <w:pPr>
              <w:spacing w:line="280" w:lineRule="exact"/>
              <w:ind w:firstLine="420" w:firstLineChars="200"/>
              <w:jc w:val="center"/>
              <w:rPr>
                <w:rFonts w:ascii="Times New Roman" w:hAnsi="Times New Roman" w:eastAsia="宋体"/>
                <w:color w:val="auto"/>
                <w:szCs w:val="21"/>
              </w:rPr>
            </w:pPr>
            <w:r>
              <w:rPr>
                <w:rFonts w:ascii="Times New Roman" w:hAnsi="Times New Roman" w:eastAsia="宋体" w:cs="宋体"/>
                <w:color w:val="auto"/>
              </w:rPr>
              <w:t>水土流失、植被破坏等</w:t>
            </w:r>
            <w:r>
              <w:rPr>
                <w:rFonts w:hint="eastAsia" w:ascii="Times New Roman" w:hAnsi="Times New Roman" w:eastAsia="宋体" w:cs="宋体"/>
                <w:color w:val="auto"/>
              </w:rPr>
              <w:t>方面的影响评价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trHeight w:val="138" w:hRule="atLeast"/>
        </w:trPr>
        <w:tc>
          <w:tcPr>
            <w:tcW w:w="1322" w:type="dxa"/>
            <w:tcBorders>
              <w:tl2br w:val="nil"/>
              <w:tr2bl w:val="nil"/>
            </w:tcBorders>
            <w:vAlign w:val="center"/>
          </w:tcPr>
          <w:p>
            <w:pPr>
              <w:spacing w:line="280" w:lineRule="exact"/>
              <w:jc w:val="center"/>
              <w:rPr>
                <w:rFonts w:ascii="Times New Roman" w:hAnsi="Times New Roman" w:eastAsia="宋体"/>
                <w:color w:val="auto"/>
                <w:szCs w:val="21"/>
              </w:rPr>
            </w:pPr>
            <w:r>
              <w:rPr>
                <w:rFonts w:ascii="Times New Roman" w:hAnsi="Times New Roman" w:eastAsia="宋体"/>
                <w:color w:val="auto"/>
                <w:szCs w:val="21"/>
              </w:rPr>
              <w:t>风险评价</w:t>
            </w:r>
          </w:p>
        </w:tc>
        <w:tc>
          <w:tcPr>
            <w:tcW w:w="7696" w:type="dxa"/>
            <w:gridSpan w:val="2"/>
            <w:tcBorders>
              <w:tl2br w:val="nil"/>
              <w:tr2bl w:val="nil"/>
            </w:tcBorders>
            <w:vAlign w:val="center"/>
          </w:tcPr>
          <w:p>
            <w:pPr>
              <w:snapToGrid w:val="0"/>
              <w:spacing w:line="280" w:lineRule="exact"/>
              <w:contextualSpacing/>
              <w:jc w:val="center"/>
              <w:rPr>
                <w:rFonts w:ascii="Times New Roman" w:hAnsi="Times New Roman" w:eastAsia="宋体"/>
                <w:color w:val="auto"/>
                <w:szCs w:val="21"/>
              </w:rPr>
            </w:pPr>
            <w:r>
              <w:rPr>
                <w:rFonts w:hint="eastAsia" w:ascii="Times New Roman" w:hAnsi="Times New Roman" w:eastAsia="宋体"/>
                <w:color w:val="auto"/>
                <w:szCs w:val="21"/>
              </w:rPr>
              <w:t>防疫风险、柴油泄漏风险</w:t>
            </w:r>
          </w:p>
        </w:tc>
      </w:tr>
    </w:tbl>
    <w:p>
      <w:pPr>
        <w:pStyle w:val="5"/>
        <w:pageBreakBefore w:val="0"/>
        <w:widowControl w:val="0"/>
        <w:kinsoku/>
        <w:wordWrap/>
        <w:overflowPunct/>
        <w:topLinePunct w:val="0"/>
        <w:autoSpaceDE/>
        <w:autoSpaceDN/>
        <w:bidi w:val="0"/>
        <w:adjustRightInd w:val="0"/>
        <w:snapToGrid w:val="0"/>
        <w:spacing w:before="0" w:after="0" w:line="360" w:lineRule="auto"/>
        <w:jc w:val="both"/>
        <w:textAlignment w:val="auto"/>
        <w:rPr>
          <w:rFonts w:ascii="Times New Roman" w:hAnsi="Times New Roman" w:eastAsia="宋体"/>
          <w:color w:val="auto"/>
          <w:sz w:val="30"/>
          <w:szCs w:val="30"/>
        </w:rPr>
      </w:pPr>
      <w:bookmarkStart w:id="47" w:name="_Toc22145"/>
      <w:r>
        <w:rPr>
          <w:rFonts w:ascii="Times New Roman" w:hAnsi="Times New Roman" w:eastAsia="宋体"/>
          <w:color w:val="auto"/>
          <w:sz w:val="30"/>
          <w:szCs w:val="30"/>
        </w:rPr>
        <w:t>1.6评价等级及评价重点</w:t>
      </w:r>
      <w:bookmarkEnd w:id="45"/>
      <w:bookmarkEnd w:id="46"/>
      <w:bookmarkEnd w:id="47"/>
    </w:p>
    <w:p>
      <w:pPr>
        <w:pStyle w:val="6"/>
        <w:pageBreakBefore w:val="0"/>
        <w:widowControl w:val="0"/>
        <w:kinsoku/>
        <w:wordWrap/>
        <w:overflowPunct/>
        <w:topLinePunct w:val="0"/>
        <w:autoSpaceDE/>
        <w:autoSpaceDN/>
        <w:bidi w:val="0"/>
        <w:adjustRightInd w:val="0"/>
        <w:snapToGrid w:val="0"/>
        <w:spacing w:before="0" w:after="0" w:line="360" w:lineRule="auto"/>
        <w:jc w:val="both"/>
        <w:textAlignment w:val="auto"/>
        <w:rPr>
          <w:rFonts w:ascii="Times New Roman" w:hAnsi="Times New Roman" w:eastAsia="宋体"/>
          <w:color w:val="auto"/>
        </w:rPr>
      </w:pPr>
      <w:bookmarkStart w:id="48" w:name="_Toc459118378"/>
      <w:bookmarkStart w:id="49" w:name="_Toc28161"/>
      <w:r>
        <w:rPr>
          <w:rFonts w:ascii="Times New Roman" w:hAnsi="Times New Roman" w:eastAsia="宋体"/>
          <w:color w:val="auto"/>
        </w:rPr>
        <w:t>1.6.1评价等级</w:t>
      </w:r>
      <w:bookmarkEnd w:id="48"/>
      <w:bookmarkEnd w:id="49"/>
    </w:p>
    <w:p>
      <w:pPr>
        <w:pageBreakBefore w:val="0"/>
        <w:widowControl w:val="0"/>
        <w:kinsoku/>
        <w:wordWrap/>
        <w:overflowPunct/>
        <w:topLinePunct w:val="0"/>
        <w:autoSpaceDE/>
        <w:autoSpaceDN/>
        <w:bidi w:val="0"/>
        <w:adjustRightInd w:val="0"/>
        <w:snapToGrid w:val="0"/>
        <w:spacing w:line="360" w:lineRule="auto"/>
        <w:ind w:firstLine="482" w:firstLineChars="200"/>
        <w:jc w:val="both"/>
        <w:textAlignment w:val="auto"/>
        <w:rPr>
          <w:rFonts w:ascii="Times New Roman" w:hAnsi="Times New Roman" w:eastAsia="宋体" w:cs="Times New Roman"/>
          <w:b/>
          <w:bCs/>
          <w:color w:val="auto"/>
          <w:sz w:val="24"/>
          <w:szCs w:val="24"/>
        </w:rPr>
      </w:pPr>
      <w:r>
        <w:rPr>
          <w:rFonts w:ascii="Times New Roman" w:hAnsi="Times New Roman" w:eastAsia="宋体" w:cs="Times New Roman"/>
          <w:b/>
          <w:bCs/>
          <w:color w:val="auto"/>
          <w:sz w:val="24"/>
          <w:szCs w:val="24"/>
        </w:rPr>
        <w:t>（1）大气环境</w:t>
      </w:r>
    </w:p>
    <w:p>
      <w:pPr>
        <w:pageBreakBefore w:val="0"/>
        <w:widowControl w:val="0"/>
        <w:kinsoku/>
        <w:wordWrap/>
        <w:overflowPunct/>
        <w:topLinePunct w:val="0"/>
        <w:autoSpaceDE/>
        <w:autoSpaceDN/>
        <w:bidi w:val="0"/>
        <w:adjustRightInd w:val="0"/>
        <w:snapToGrid w:val="0"/>
        <w:spacing w:line="360" w:lineRule="auto"/>
        <w:ind w:firstLine="482" w:firstLineChars="200"/>
        <w:jc w:val="both"/>
        <w:textAlignment w:val="auto"/>
        <w:rPr>
          <w:rFonts w:ascii="Times New Roman" w:hAnsi="Times New Roman" w:eastAsia="宋体" w:cs="Times New Roman"/>
          <w:color w:val="auto"/>
          <w:sz w:val="24"/>
        </w:rPr>
      </w:pPr>
      <w:r>
        <w:rPr>
          <w:rFonts w:hint="eastAsia" w:ascii="Times New Roman" w:hAnsi="Times New Roman" w:eastAsia="宋体" w:cs="Times New Roman"/>
          <w:b/>
          <w:bCs/>
          <w:color w:val="auto"/>
          <w:sz w:val="24"/>
          <w:szCs w:val="24"/>
          <w:lang w:eastAsia="zh-CN"/>
        </w:rPr>
        <w:t>判定依据：</w:t>
      </w:r>
      <w:r>
        <w:rPr>
          <w:rFonts w:hint="eastAsia" w:ascii="Times New Roman" w:hAnsi="Times New Roman" w:eastAsia="宋体" w:cs="Times New Roman"/>
          <w:color w:val="auto"/>
          <w:sz w:val="24"/>
          <w:szCs w:val="24"/>
        </w:rPr>
        <w:t>根据《环境影响评价技术导则</w:t>
      </w:r>
      <w:r>
        <w:rPr>
          <w:rFonts w:hint="eastAsia" w:ascii="Times New Roman" w:hAnsi="Times New Roman" w:eastAsia="宋体" w:cs="Times New Roman"/>
          <w:color w:val="auto"/>
          <w:sz w:val="24"/>
          <w:szCs w:val="24"/>
          <w:lang w:val="en-US" w:eastAsia="zh-CN"/>
        </w:rPr>
        <w:t xml:space="preserve">  </w:t>
      </w:r>
      <w:r>
        <w:rPr>
          <w:rFonts w:hint="eastAsia" w:ascii="Times New Roman" w:hAnsi="Times New Roman" w:eastAsia="宋体" w:cs="Times New Roman"/>
          <w:color w:val="auto"/>
          <w:sz w:val="24"/>
          <w:szCs w:val="24"/>
        </w:rPr>
        <w:t>大气环境》（HJ2.2-20</w:t>
      </w:r>
      <w:r>
        <w:rPr>
          <w:rFonts w:hint="eastAsia" w:ascii="Times New Roman" w:hAnsi="Times New Roman" w:eastAsia="宋体" w:cs="Times New Roman"/>
          <w:color w:val="auto"/>
          <w:sz w:val="24"/>
          <w:szCs w:val="24"/>
          <w:lang w:val="en-US" w:eastAsia="zh-CN"/>
        </w:rPr>
        <w:t>18</w:t>
      </w:r>
      <w:r>
        <w:rPr>
          <w:rFonts w:hint="eastAsia" w:ascii="Times New Roman" w:hAnsi="Times New Roman" w:eastAsia="宋体" w:cs="Times New Roman"/>
          <w:color w:val="auto"/>
          <w:sz w:val="24"/>
          <w:szCs w:val="24"/>
        </w:rPr>
        <w:t>）中有关评价工作等级的划分原则，通过对建设项目气态污染源的分析，</w:t>
      </w:r>
      <w:r>
        <w:rPr>
          <w:rFonts w:ascii="Times New Roman" w:hAnsi="Times New Roman" w:eastAsia="宋体" w:cs="Times New Roman"/>
          <w:color w:val="auto"/>
          <w:sz w:val="24"/>
          <w:szCs w:val="24"/>
        </w:rPr>
        <w:t>选择</w:t>
      </w:r>
      <w:r>
        <w:rPr>
          <w:rFonts w:hint="eastAsia" w:ascii="Times New Roman" w:hAnsi="Times New Roman" w:eastAsia="宋体" w:cs="Times New Roman"/>
          <w:color w:val="auto"/>
          <w:sz w:val="24"/>
          <w:szCs w:val="24"/>
          <w:lang w:val="en-US" w:eastAsia="zh-CN"/>
        </w:rPr>
        <w:t>H</w:t>
      </w:r>
      <w:r>
        <w:rPr>
          <w:rFonts w:hint="eastAsia" w:ascii="Times New Roman" w:hAnsi="Times New Roman" w:eastAsia="宋体" w:cs="Times New Roman"/>
          <w:color w:val="auto"/>
          <w:sz w:val="24"/>
          <w:szCs w:val="24"/>
          <w:vertAlign w:val="subscript"/>
          <w:lang w:val="en-US" w:eastAsia="zh-CN"/>
        </w:rPr>
        <w:t>2</w:t>
      </w:r>
      <w:r>
        <w:rPr>
          <w:rFonts w:hint="eastAsia" w:ascii="Times New Roman" w:hAnsi="Times New Roman" w:eastAsia="宋体" w:cs="Times New Roman"/>
          <w:color w:val="auto"/>
          <w:sz w:val="24"/>
          <w:szCs w:val="24"/>
          <w:lang w:val="en-US" w:eastAsia="zh-CN"/>
        </w:rPr>
        <w:t>S、NH</w:t>
      </w:r>
      <w:r>
        <w:rPr>
          <w:rFonts w:hint="eastAsia" w:ascii="Times New Roman" w:hAnsi="Times New Roman" w:eastAsia="宋体" w:cs="Times New Roman"/>
          <w:color w:val="auto"/>
          <w:sz w:val="24"/>
          <w:szCs w:val="24"/>
          <w:vertAlign w:val="subscript"/>
          <w:lang w:val="en-US" w:eastAsia="zh-CN"/>
        </w:rPr>
        <w:t>3</w:t>
      </w:r>
      <w:r>
        <w:rPr>
          <w:rFonts w:ascii="Times New Roman" w:hAnsi="Times New Roman" w:eastAsia="宋体" w:cs="Times New Roman"/>
          <w:color w:val="auto"/>
          <w:sz w:val="24"/>
          <w:szCs w:val="24"/>
        </w:rPr>
        <w:t>作为主要污染物。</w:t>
      </w:r>
      <w:r>
        <w:rPr>
          <w:rFonts w:ascii="Times New Roman" w:hAnsi="Times New Roman" w:eastAsia="宋体" w:cs="Times New Roman"/>
          <w:color w:val="auto"/>
          <w:sz w:val="24"/>
        </w:rPr>
        <w:t>计算其最大地面浓度占标率</w:t>
      </w:r>
      <w:r>
        <w:rPr>
          <w:rFonts w:ascii="Times New Roman" w:hAnsi="Times New Roman" w:eastAsia="宋体" w:cs="Times New Roman"/>
          <w:i/>
          <w:color w:val="auto"/>
          <w:sz w:val="24"/>
        </w:rPr>
        <w:t>Pi</w:t>
      </w:r>
      <w:r>
        <w:rPr>
          <w:rFonts w:ascii="Times New Roman" w:hAnsi="Times New Roman" w:eastAsia="宋体" w:cs="Times New Roman"/>
          <w:color w:val="auto"/>
          <w:sz w:val="24"/>
        </w:rPr>
        <w:t>，及</w:t>
      </w:r>
      <w:r>
        <w:rPr>
          <w:rFonts w:hint="eastAsia" w:ascii="Times New Roman" w:hAnsi="Times New Roman" w:eastAsia="宋体" w:cs="Times New Roman"/>
          <w:color w:val="auto"/>
          <w:sz w:val="24"/>
          <w:lang w:eastAsia="zh-CN"/>
        </w:rPr>
        <w:t>第</w:t>
      </w:r>
      <w:r>
        <w:rPr>
          <w:rFonts w:ascii="Times New Roman" w:hAnsi="Times New Roman" w:eastAsia="宋体" w:cs="Times New Roman"/>
          <w:i/>
          <w:color w:val="auto"/>
          <w:sz w:val="24"/>
        </w:rPr>
        <w:t>i</w:t>
      </w:r>
      <w:r>
        <w:rPr>
          <w:rFonts w:hint="eastAsia" w:ascii="Times New Roman" w:hAnsi="Times New Roman" w:eastAsia="宋体" w:cs="Times New Roman"/>
          <w:color w:val="auto"/>
          <w:sz w:val="24"/>
          <w:lang w:eastAsia="zh-CN"/>
        </w:rPr>
        <w:t>个</w:t>
      </w:r>
      <w:r>
        <w:rPr>
          <w:rFonts w:ascii="Times New Roman" w:hAnsi="Times New Roman" w:eastAsia="宋体" w:cs="Times New Roman"/>
          <w:color w:val="auto"/>
          <w:sz w:val="24"/>
        </w:rPr>
        <w:t>地面浓度达标准限值10%时所对应的最远距离</w:t>
      </w:r>
      <w:r>
        <w:rPr>
          <w:rFonts w:ascii="Times New Roman" w:hAnsi="Times New Roman" w:eastAsia="宋体" w:cs="Times New Roman"/>
          <w:i/>
          <w:color w:val="auto"/>
          <w:sz w:val="24"/>
        </w:rPr>
        <w:t>D</w:t>
      </w:r>
      <w:r>
        <w:rPr>
          <w:rFonts w:ascii="Times New Roman" w:hAnsi="Times New Roman" w:eastAsia="宋体" w:cs="Times New Roman"/>
          <w:i/>
          <w:color w:val="auto"/>
          <w:sz w:val="24"/>
          <w:vertAlign w:val="subscript"/>
        </w:rPr>
        <w:t>10%</w:t>
      </w:r>
      <w:r>
        <w:rPr>
          <w:rFonts w:hint="eastAsia" w:ascii="Times New Roman" w:hAnsi="Times New Roman" w:eastAsia="宋体" w:cs="Times New Roman"/>
          <w:i/>
          <w:color w:val="auto"/>
          <w:sz w:val="24"/>
        </w:rPr>
        <w:t>，</w:t>
      </w:r>
      <w:r>
        <w:rPr>
          <w:rFonts w:hint="eastAsia" w:ascii="Times New Roman" w:hAnsi="Times New Roman" w:eastAsia="宋体" w:cs="Times New Roman"/>
          <w:iCs/>
          <w:color w:val="auto"/>
          <w:sz w:val="24"/>
        </w:rPr>
        <w:t>其</w:t>
      </w:r>
      <w:r>
        <w:rPr>
          <w:rFonts w:ascii="Times New Roman" w:hAnsi="Times New Roman" w:eastAsia="宋体" w:cs="Times New Roman"/>
          <w:i/>
          <w:color w:val="auto"/>
          <w:sz w:val="24"/>
        </w:rPr>
        <w:t>Pi</w:t>
      </w:r>
      <w:r>
        <w:rPr>
          <w:rFonts w:hint="eastAsia" w:ascii="Times New Roman" w:hAnsi="Times New Roman" w:eastAsia="宋体" w:cs="Times New Roman"/>
          <w:iCs/>
          <w:color w:val="auto"/>
          <w:sz w:val="24"/>
        </w:rPr>
        <w:t>计算公示为：</w:t>
      </w:r>
    </w:p>
    <w:p>
      <w:pPr>
        <w:pageBreakBefore w:val="0"/>
        <w:widowControl w:val="0"/>
        <w:kinsoku/>
        <w:wordWrap/>
        <w:overflowPunct/>
        <w:topLinePunct w:val="0"/>
        <w:autoSpaceDE/>
        <w:autoSpaceDN/>
        <w:bidi w:val="0"/>
        <w:adjustRightInd w:val="0"/>
        <w:snapToGrid w:val="0"/>
        <w:spacing w:line="360" w:lineRule="auto"/>
        <w:ind w:firstLine="560"/>
        <w:jc w:val="center"/>
        <w:textAlignment w:val="auto"/>
        <w:rPr>
          <w:rFonts w:ascii="Times New Roman" w:hAnsi="Times New Roman" w:eastAsia="宋体" w:cs="Times New Roman"/>
          <w:color w:val="auto"/>
          <w:sz w:val="24"/>
        </w:rPr>
      </w:pPr>
      <w:r>
        <w:rPr>
          <w:rFonts w:ascii="Times New Roman" w:hAnsi="Times New Roman" w:eastAsia="宋体" w:cs="Times New Roman"/>
          <w:i/>
          <w:color w:val="auto"/>
          <w:sz w:val="24"/>
        </w:rPr>
        <w:t>Pi</w:t>
      </w:r>
      <w:r>
        <w:rPr>
          <w:rFonts w:ascii="Times New Roman" w:hAnsi="Times New Roman" w:eastAsia="宋体" w:cs="Times New Roman"/>
          <w:color w:val="auto"/>
          <w:sz w:val="24"/>
        </w:rPr>
        <w:t>＝</w:t>
      </w:r>
      <w:r>
        <w:rPr>
          <w:rFonts w:ascii="Times New Roman" w:hAnsi="Times New Roman" w:eastAsia="宋体" w:cs="Times New Roman"/>
          <w:i/>
          <w:color w:val="auto"/>
          <w:sz w:val="24"/>
        </w:rPr>
        <w:t>Ci</w:t>
      </w:r>
      <w:r>
        <w:rPr>
          <w:rFonts w:ascii="Times New Roman" w:hAnsi="Times New Roman" w:eastAsia="宋体" w:cs="Times New Roman"/>
          <w:color w:val="auto"/>
          <w:sz w:val="24"/>
        </w:rPr>
        <w:t>/</w:t>
      </w:r>
      <w:r>
        <w:rPr>
          <w:rFonts w:ascii="Times New Roman" w:hAnsi="Times New Roman" w:eastAsia="宋体" w:cs="Times New Roman"/>
          <w:i/>
          <w:color w:val="auto"/>
          <w:sz w:val="24"/>
        </w:rPr>
        <w:t>C</w:t>
      </w:r>
      <w:r>
        <w:rPr>
          <w:rFonts w:ascii="Times New Roman" w:hAnsi="Times New Roman" w:eastAsia="宋体" w:cs="Times New Roman"/>
          <w:i/>
          <w:color w:val="auto"/>
          <w:sz w:val="24"/>
          <w:vertAlign w:val="subscript"/>
        </w:rPr>
        <w:t>0</w:t>
      </w:r>
      <w:r>
        <w:rPr>
          <w:rFonts w:ascii="Times New Roman" w:hAnsi="Times New Roman" w:eastAsia="宋体" w:cs="Times New Roman"/>
          <w:i/>
          <w:color w:val="auto"/>
          <w:sz w:val="24"/>
        </w:rPr>
        <w:t>i</w:t>
      </w:r>
      <w:r>
        <w:rPr>
          <w:rFonts w:ascii="Times New Roman" w:hAnsi="Times New Roman" w:eastAsia="宋体" w:cs="Times New Roman"/>
          <w:color w:val="auto"/>
          <w:sz w:val="24"/>
        </w:rPr>
        <w:t>×100％</w:t>
      </w:r>
    </w:p>
    <w:p>
      <w:pPr>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ascii="Times New Roman" w:hAnsi="Times New Roman" w:eastAsia="宋体" w:cs="Times New Roman"/>
          <w:color w:val="auto"/>
          <w:sz w:val="24"/>
        </w:rPr>
      </w:pPr>
      <w:r>
        <w:rPr>
          <w:rFonts w:ascii="Times New Roman" w:hAnsi="Times New Roman" w:eastAsia="宋体" w:cs="Times New Roman"/>
          <w:color w:val="auto"/>
          <w:sz w:val="24"/>
        </w:rPr>
        <w:t>式中：</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ascii="Times New Roman" w:hAnsi="Times New Roman" w:eastAsia="宋体" w:cs="Times New Roman"/>
          <w:color w:val="auto"/>
          <w:sz w:val="24"/>
        </w:rPr>
      </w:pPr>
      <w:r>
        <w:rPr>
          <w:rFonts w:ascii="Times New Roman" w:hAnsi="Times New Roman" w:eastAsia="宋体" w:cs="Times New Roman"/>
          <w:i/>
          <w:color w:val="auto"/>
          <w:sz w:val="24"/>
        </w:rPr>
        <w:t>Pi</w:t>
      </w:r>
      <w:r>
        <w:rPr>
          <w:rFonts w:ascii="Times New Roman" w:hAnsi="Times New Roman" w:eastAsia="宋体" w:cs="Times New Roman"/>
          <w:color w:val="auto"/>
          <w:sz w:val="24"/>
        </w:rPr>
        <w:t>—第i个污染物的最大地面</w:t>
      </w:r>
      <w:r>
        <w:rPr>
          <w:rFonts w:hint="eastAsia" w:ascii="Times New Roman" w:hAnsi="Times New Roman" w:eastAsia="宋体" w:cs="Times New Roman"/>
          <w:color w:val="auto"/>
          <w:sz w:val="24"/>
          <w:lang w:eastAsia="zh-CN"/>
        </w:rPr>
        <w:t>空气质量</w:t>
      </w:r>
      <w:r>
        <w:rPr>
          <w:rFonts w:ascii="Times New Roman" w:hAnsi="Times New Roman" w:eastAsia="宋体" w:cs="Times New Roman"/>
          <w:color w:val="auto"/>
          <w:sz w:val="24"/>
        </w:rPr>
        <w:t>浓度占标率，%；</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ascii="Times New Roman" w:hAnsi="Times New Roman" w:eastAsia="宋体" w:cs="Times New Roman"/>
          <w:color w:val="auto"/>
          <w:sz w:val="24"/>
        </w:rPr>
      </w:pPr>
      <w:r>
        <w:rPr>
          <w:rFonts w:ascii="Times New Roman" w:hAnsi="Times New Roman" w:eastAsia="宋体" w:cs="Times New Roman"/>
          <w:i/>
          <w:color w:val="auto"/>
          <w:sz w:val="24"/>
        </w:rPr>
        <w:t>Ci</w:t>
      </w:r>
      <w:r>
        <w:rPr>
          <w:rFonts w:ascii="Times New Roman" w:hAnsi="Times New Roman" w:eastAsia="宋体" w:cs="Times New Roman"/>
          <w:color w:val="auto"/>
          <w:sz w:val="24"/>
        </w:rPr>
        <w:t>—采用估算模式计算出的第i 个污染物的最大</w:t>
      </w:r>
      <w:r>
        <w:rPr>
          <w:rFonts w:hint="eastAsia" w:ascii="Times New Roman" w:hAnsi="Times New Roman" w:eastAsia="宋体" w:cs="Times New Roman"/>
          <w:color w:val="auto"/>
          <w:sz w:val="24"/>
          <w:lang w:val="en-US" w:eastAsia="zh-CN"/>
        </w:rPr>
        <w:t>1h</w:t>
      </w:r>
      <w:r>
        <w:rPr>
          <w:rFonts w:ascii="Times New Roman" w:hAnsi="Times New Roman" w:eastAsia="宋体" w:cs="Times New Roman"/>
          <w:color w:val="auto"/>
          <w:sz w:val="24"/>
        </w:rPr>
        <w:t>地面</w:t>
      </w:r>
      <w:r>
        <w:rPr>
          <w:rFonts w:hint="eastAsia" w:ascii="Times New Roman" w:hAnsi="Times New Roman" w:eastAsia="宋体" w:cs="Times New Roman"/>
          <w:color w:val="auto"/>
          <w:sz w:val="24"/>
          <w:lang w:eastAsia="zh-CN"/>
        </w:rPr>
        <w:t>空气质量</w:t>
      </w:r>
      <w:r>
        <w:rPr>
          <w:rFonts w:ascii="Times New Roman" w:hAnsi="Times New Roman" w:eastAsia="宋体" w:cs="Times New Roman"/>
          <w:color w:val="auto"/>
          <w:sz w:val="24"/>
        </w:rPr>
        <w:t>浓度，mg/</w:t>
      </w:r>
      <w:r>
        <w:rPr>
          <w:rFonts w:hint="eastAsia" w:ascii="Times New Roman" w:hAnsi="Times New Roman" w:eastAsia="宋体" w:cs="Times New Roman"/>
          <w:color w:val="auto"/>
          <w:sz w:val="24"/>
        </w:rPr>
        <w:t>m</w:t>
      </w:r>
      <w:r>
        <w:rPr>
          <w:rFonts w:hint="eastAsia" w:ascii="Times New Roman" w:hAnsi="Times New Roman" w:eastAsia="宋体" w:cs="Times New Roman"/>
          <w:color w:val="auto"/>
          <w:sz w:val="24"/>
          <w:vertAlign w:val="superscript"/>
        </w:rPr>
        <w:t>3</w:t>
      </w:r>
      <w:r>
        <w:rPr>
          <w:rFonts w:ascii="Times New Roman" w:hAnsi="Times New Roman" w:eastAsia="宋体" w:cs="Times New Roman"/>
          <w:color w:val="auto"/>
          <w:sz w:val="24"/>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ascii="Times New Roman" w:hAnsi="Times New Roman" w:eastAsia="宋体" w:cs="Times New Roman"/>
          <w:color w:val="auto"/>
          <w:sz w:val="24"/>
        </w:rPr>
      </w:pPr>
      <w:r>
        <w:rPr>
          <w:rFonts w:ascii="Times New Roman" w:hAnsi="Times New Roman" w:eastAsia="宋体" w:cs="Times New Roman"/>
          <w:i/>
          <w:color w:val="auto"/>
          <w:sz w:val="24"/>
        </w:rPr>
        <w:t>C</w:t>
      </w:r>
      <w:r>
        <w:rPr>
          <w:rFonts w:ascii="Times New Roman" w:hAnsi="Times New Roman" w:eastAsia="宋体" w:cs="Times New Roman"/>
          <w:i/>
          <w:color w:val="auto"/>
          <w:sz w:val="24"/>
          <w:vertAlign w:val="subscript"/>
        </w:rPr>
        <w:t>0</w:t>
      </w:r>
      <w:r>
        <w:rPr>
          <w:rFonts w:ascii="Times New Roman" w:hAnsi="Times New Roman" w:eastAsia="宋体" w:cs="Times New Roman"/>
          <w:i/>
          <w:color w:val="auto"/>
          <w:sz w:val="24"/>
        </w:rPr>
        <w:t>i</w:t>
      </w:r>
      <w:r>
        <w:rPr>
          <w:rFonts w:ascii="Times New Roman" w:hAnsi="Times New Roman" w:eastAsia="宋体" w:cs="Times New Roman"/>
          <w:color w:val="auto"/>
          <w:sz w:val="24"/>
        </w:rPr>
        <w:t>—第i个污染物的环境空气质量标准，</w:t>
      </w:r>
      <w:r>
        <w:rPr>
          <w:rFonts w:hint="default" w:ascii="Times New Roman" w:hAnsi="Times New Roman" w:eastAsia="宋体" w:cs="Times New Roman"/>
          <w:color w:val="auto"/>
          <w:sz w:val="24"/>
        </w:rPr>
        <w:t>μg</w:t>
      </w:r>
      <w:r>
        <w:rPr>
          <w:rFonts w:ascii="Times New Roman" w:hAnsi="Times New Roman" w:eastAsia="宋体" w:cs="Times New Roman"/>
          <w:color w:val="auto"/>
          <w:sz w:val="24"/>
        </w:rPr>
        <w:t>/</w:t>
      </w:r>
      <w:r>
        <w:rPr>
          <w:rFonts w:hint="eastAsia" w:ascii="Times New Roman" w:hAnsi="Times New Roman" w:eastAsia="宋体" w:cs="Times New Roman"/>
          <w:color w:val="auto"/>
          <w:sz w:val="24"/>
        </w:rPr>
        <w:t>m</w:t>
      </w:r>
      <w:r>
        <w:rPr>
          <w:rFonts w:hint="eastAsia" w:ascii="Times New Roman" w:hAnsi="Times New Roman" w:eastAsia="宋体" w:cs="Times New Roman"/>
          <w:color w:val="auto"/>
          <w:sz w:val="24"/>
          <w:vertAlign w:val="superscript"/>
        </w:rPr>
        <w:t>3</w:t>
      </w:r>
      <w:r>
        <w:rPr>
          <w:rFonts w:hint="eastAsia" w:ascii="Times New Roman" w:hAnsi="Times New Roman" w:eastAsia="宋体" w:cs="Times New Roman"/>
          <w:color w:val="auto"/>
          <w:sz w:val="24"/>
          <w:vertAlign w:val="baseline"/>
          <w:lang w:eastAsia="zh-CN"/>
        </w:rPr>
        <w:t>。一般</w:t>
      </w:r>
      <w:r>
        <w:rPr>
          <w:rFonts w:ascii="Times New Roman" w:hAnsi="Times New Roman" w:eastAsia="宋体" w:cs="Times New Roman"/>
          <w:color w:val="auto"/>
          <w:sz w:val="24"/>
        </w:rPr>
        <w:t>选用GB3095中1h平均</w:t>
      </w:r>
      <w:r>
        <w:rPr>
          <w:rFonts w:hint="eastAsia" w:ascii="Times New Roman" w:hAnsi="Times New Roman" w:eastAsia="宋体" w:cs="Times New Roman"/>
          <w:color w:val="auto"/>
          <w:sz w:val="24"/>
          <w:lang w:eastAsia="zh-CN"/>
        </w:rPr>
        <w:t>质量浓度的二级浓度限值</w:t>
      </w:r>
      <w:r>
        <w:rPr>
          <w:rFonts w:hint="eastAsia" w:ascii="Times New Roman" w:hAnsi="Times New Roman" w:eastAsia="宋体" w:cs="Times New Roman"/>
          <w:color w:val="auto"/>
          <w:sz w:val="24"/>
        </w:rPr>
        <w:t>。</w:t>
      </w:r>
      <w:r>
        <w:rPr>
          <w:rFonts w:hint="eastAsia" w:ascii="Times New Roman" w:hAnsi="Times New Roman" w:eastAsia="宋体" w:cs="Times New Roman"/>
          <w:color w:val="auto"/>
          <w:sz w:val="24"/>
          <w:lang w:eastAsia="zh-CN"/>
        </w:rPr>
        <w:t>对仅有</w:t>
      </w:r>
      <w:r>
        <w:rPr>
          <w:rFonts w:hint="eastAsia" w:ascii="Times New Roman" w:hAnsi="Times New Roman" w:eastAsia="宋体" w:cs="Times New Roman"/>
          <w:color w:val="auto"/>
          <w:sz w:val="24"/>
          <w:lang w:val="en-US" w:eastAsia="zh-CN"/>
        </w:rPr>
        <w:t>8h平均质量浓度限值、日平均质量浓度限值或年平均质量浓度限值的，可分别按2倍、3倍、6倍折算为1小时平均质量浓度限值</w:t>
      </w:r>
      <w:r>
        <w:rPr>
          <w:rFonts w:hint="eastAsia" w:ascii="Times New Roman" w:hAnsi="Times New Roman" w:eastAsia="宋体" w:cs="Times New Roman"/>
          <w:color w:val="auto"/>
          <w:sz w:val="24"/>
        </w:rPr>
        <w:t>）</w:t>
      </w:r>
    </w:p>
    <w:p>
      <w:pPr>
        <w:ind w:firstLine="622" w:firstLineChars="295"/>
        <w:jc w:val="center"/>
        <w:rPr>
          <w:rFonts w:ascii="Times New Roman" w:hAnsi="Times New Roman" w:eastAsia="宋体" w:cs="Times New Roman"/>
          <w:b/>
          <w:bCs/>
          <w:color w:val="auto"/>
          <w:sz w:val="24"/>
          <w:szCs w:val="24"/>
        </w:rPr>
      </w:pPr>
      <w:r>
        <w:rPr>
          <w:rFonts w:hint="eastAsia" w:ascii="Times New Roman" w:hAnsi="Times New Roman" w:eastAsia="宋体" w:cs="Times New Roman"/>
          <w:b/>
          <w:bCs/>
          <w:color w:val="auto"/>
          <w:sz w:val="21"/>
          <w:szCs w:val="21"/>
        </w:rPr>
        <w:t>表1.6-1  环境空气评价工作等级划分</w:t>
      </w:r>
    </w:p>
    <w:tbl>
      <w:tblPr>
        <w:tblStyle w:val="35"/>
        <w:tblW w:w="922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956"/>
        <w:gridCol w:w="626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956" w:type="dxa"/>
            <w:tcBorders>
              <w:tl2br w:val="nil"/>
              <w:tr2bl w:val="nil"/>
            </w:tcBorders>
            <w:vAlign w:val="center"/>
          </w:tcPr>
          <w:p>
            <w:pPr>
              <w:jc w:val="center"/>
              <w:rPr>
                <w:rFonts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工作等级</w:t>
            </w:r>
          </w:p>
        </w:tc>
        <w:tc>
          <w:tcPr>
            <w:tcW w:w="6264" w:type="dxa"/>
            <w:tcBorders>
              <w:tl2br w:val="nil"/>
              <w:tr2bl w:val="nil"/>
            </w:tcBorders>
            <w:vAlign w:val="center"/>
          </w:tcPr>
          <w:p>
            <w:pPr>
              <w:jc w:val="center"/>
              <w:rPr>
                <w:rFonts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评价工作分级判据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956" w:type="dxa"/>
            <w:tcBorders>
              <w:tl2br w:val="nil"/>
              <w:tr2bl w:val="nil"/>
            </w:tcBorders>
            <w:vAlign w:val="center"/>
          </w:tcPr>
          <w:p>
            <w:pPr>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一级</w:t>
            </w:r>
          </w:p>
        </w:tc>
        <w:tc>
          <w:tcPr>
            <w:tcW w:w="6264" w:type="dxa"/>
            <w:tcBorders>
              <w:tl2br w:val="nil"/>
              <w:tr2bl w:val="nil"/>
            </w:tcBorders>
            <w:vAlign w:val="center"/>
          </w:tcPr>
          <w:p>
            <w:pPr>
              <w:pStyle w:val="68"/>
              <w:spacing w:line="240" w:lineRule="auto"/>
              <w:rPr>
                <w:rFonts w:hint="eastAsia" w:ascii="Times New Roman" w:hAnsi="Times New Roman" w:eastAsia="宋体" w:cs="Times New Roman"/>
                <w:color w:val="auto"/>
                <w:sz w:val="21"/>
                <w:szCs w:val="21"/>
                <w:lang w:val="en-US" w:eastAsia="zh-CN"/>
              </w:rPr>
            </w:pPr>
            <w:r>
              <w:rPr>
                <w:rFonts w:ascii="Times New Roman" w:hAnsi="Times New Roman" w:cs="Times New Roman"/>
                <w:i/>
                <w:iCs/>
                <w:color w:val="auto"/>
                <w:kern w:val="0"/>
                <w:sz w:val="21"/>
                <w:szCs w:val="21"/>
              </w:rPr>
              <w:t>P</w:t>
            </w:r>
            <w:r>
              <w:rPr>
                <w:rFonts w:ascii="Times New Roman" w:hAnsi="Times New Roman" w:cs="Times New Roman"/>
                <w:i/>
                <w:iCs/>
                <w:color w:val="auto"/>
                <w:kern w:val="0"/>
                <w:sz w:val="21"/>
                <w:szCs w:val="21"/>
                <w:vertAlign w:val="subscript"/>
              </w:rPr>
              <w:t>max</w:t>
            </w:r>
            <w:r>
              <w:rPr>
                <w:rFonts w:ascii="Times New Roman" w:hAnsi="Times New Roman" w:cs="Times New Roman"/>
                <w:color w:val="auto"/>
                <w:kern w:val="0"/>
                <w:sz w:val="21"/>
                <w:szCs w:val="21"/>
              </w:rPr>
              <w:t>≥</w:t>
            </w:r>
            <w:r>
              <w:rPr>
                <w:rFonts w:hint="eastAsia" w:ascii="Times New Roman" w:hAnsi="Times New Roman" w:cs="Times New Roman"/>
                <w:color w:val="auto"/>
                <w:kern w:val="0"/>
                <w:sz w:val="21"/>
                <w:szCs w:val="21"/>
                <w:lang w:val="en-US" w:eastAsia="zh-CN"/>
              </w:rPr>
              <w:t>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956" w:type="dxa"/>
            <w:tcBorders>
              <w:tl2br w:val="nil"/>
              <w:tr2bl w:val="nil"/>
            </w:tcBorders>
            <w:vAlign w:val="center"/>
          </w:tcPr>
          <w:p>
            <w:pPr>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二级</w:t>
            </w:r>
          </w:p>
        </w:tc>
        <w:tc>
          <w:tcPr>
            <w:tcW w:w="6264" w:type="dxa"/>
            <w:tcBorders>
              <w:tl2br w:val="nil"/>
              <w:tr2bl w:val="nil"/>
            </w:tcBorders>
            <w:vAlign w:val="center"/>
          </w:tcPr>
          <w:p>
            <w:pPr>
              <w:pStyle w:val="68"/>
              <w:spacing w:line="240" w:lineRule="auto"/>
              <w:rPr>
                <w:rFonts w:ascii="Times New Roman" w:hAnsi="Times New Roman" w:cs="Times New Roman"/>
                <w:color w:val="auto"/>
                <w:sz w:val="21"/>
                <w:szCs w:val="21"/>
              </w:rPr>
            </w:pPr>
            <w:r>
              <w:rPr>
                <w:rFonts w:hint="eastAsia" w:ascii="Times New Roman" w:hAnsi="Times New Roman" w:cs="Times New Roman"/>
                <w:color w:val="auto"/>
                <w:kern w:val="0"/>
                <w:sz w:val="21"/>
                <w:szCs w:val="21"/>
                <w:lang w:val="en-US" w:eastAsia="zh-CN"/>
              </w:rPr>
              <w:t>1%</w:t>
            </w:r>
            <w:r>
              <w:rPr>
                <w:rFonts w:hint="eastAsia" w:ascii="Times New Roman" w:hAnsi="Times New Roman" w:cs="Times New Roman"/>
                <w:color w:val="auto"/>
                <w:kern w:val="0"/>
                <w:sz w:val="21"/>
                <w:szCs w:val="21"/>
              </w:rPr>
              <w:t>≤</w:t>
            </w:r>
            <w:r>
              <w:rPr>
                <w:rFonts w:ascii="Times New Roman" w:hAnsi="Times New Roman" w:cs="Times New Roman"/>
                <w:i/>
                <w:iCs/>
                <w:color w:val="auto"/>
                <w:kern w:val="0"/>
                <w:sz w:val="21"/>
                <w:szCs w:val="21"/>
              </w:rPr>
              <w:t>P</w:t>
            </w:r>
            <w:r>
              <w:rPr>
                <w:rFonts w:ascii="Times New Roman" w:hAnsi="Times New Roman" w:cs="Times New Roman"/>
                <w:i/>
                <w:iCs/>
                <w:color w:val="auto"/>
                <w:kern w:val="0"/>
                <w:sz w:val="21"/>
                <w:szCs w:val="21"/>
                <w:vertAlign w:val="subscript"/>
              </w:rPr>
              <w:t>max</w:t>
            </w:r>
            <w:r>
              <w:rPr>
                <w:rFonts w:ascii="Times New Roman" w:hAnsi="Times New Roman" w:cs="Times New Roman"/>
                <w:color w:val="auto"/>
                <w:kern w:val="0"/>
                <w:sz w:val="21"/>
                <w:szCs w:val="21"/>
              </w:rPr>
              <w:t>＜</w:t>
            </w:r>
            <w:r>
              <w:rPr>
                <w:rFonts w:hint="eastAsia" w:ascii="Times New Roman" w:hAnsi="Times New Roman" w:cs="Times New Roman"/>
                <w:color w:val="auto"/>
                <w:kern w:val="0"/>
                <w:sz w:val="21"/>
                <w:szCs w:val="21"/>
                <w:lang w:val="en-US" w:eastAsia="zh-CN"/>
              </w:rPr>
              <w:t>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956" w:type="dxa"/>
            <w:tcBorders>
              <w:tl2br w:val="nil"/>
              <w:tr2bl w:val="nil"/>
            </w:tcBorders>
            <w:vAlign w:val="center"/>
          </w:tcPr>
          <w:p>
            <w:pPr>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三级</w:t>
            </w:r>
          </w:p>
        </w:tc>
        <w:tc>
          <w:tcPr>
            <w:tcW w:w="6264" w:type="dxa"/>
            <w:tcBorders>
              <w:tl2br w:val="nil"/>
              <w:tr2bl w:val="nil"/>
            </w:tcBorders>
            <w:vAlign w:val="center"/>
          </w:tcPr>
          <w:p>
            <w:pPr>
              <w:pStyle w:val="68"/>
              <w:spacing w:line="240" w:lineRule="auto"/>
              <w:ind w:firstLine="420"/>
              <w:rPr>
                <w:rFonts w:ascii="Times New Roman" w:hAnsi="Times New Roman" w:cs="Times New Roman"/>
                <w:color w:val="auto"/>
                <w:sz w:val="21"/>
                <w:szCs w:val="21"/>
              </w:rPr>
            </w:pPr>
            <w:r>
              <w:rPr>
                <w:rFonts w:ascii="Times New Roman" w:hAnsi="Times New Roman" w:cs="Times New Roman"/>
                <w:i/>
                <w:iCs/>
                <w:color w:val="auto"/>
                <w:kern w:val="0"/>
                <w:sz w:val="21"/>
                <w:szCs w:val="21"/>
              </w:rPr>
              <w:t>P</w:t>
            </w:r>
            <w:r>
              <w:rPr>
                <w:rFonts w:ascii="Times New Roman" w:hAnsi="Times New Roman" w:cs="Times New Roman"/>
                <w:i/>
                <w:iCs/>
                <w:color w:val="auto"/>
                <w:kern w:val="0"/>
                <w:sz w:val="21"/>
                <w:szCs w:val="21"/>
                <w:vertAlign w:val="subscript"/>
              </w:rPr>
              <w:t>max</w:t>
            </w:r>
            <w:r>
              <w:rPr>
                <w:rFonts w:ascii="Times New Roman" w:hAnsi="Times New Roman" w:cs="Times New Roman"/>
                <w:color w:val="auto"/>
                <w:kern w:val="0"/>
                <w:sz w:val="21"/>
                <w:szCs w:val="21"/>
              </w:rPr>
              <w:t>＜</w:t>
            </w:r>
            <w:r>
              <w:rPr>
                <w:rFonts w:hint="eastAsia" w:ascii="Times New Roman" w:hAnsi="Times New Roman" w:cs="Times New Roman"/>
                <w:color w:val="auto"/>
                <w:kern w:val="0"/>
                <w:sz w:val="21"/>
                <w:szCs w:val="21"/>
                <w:lang w:val="en-US" w:eastAsia="zh-CN"/>
              </w:rPr>
              <w:t>1</w:t>
            </w:r>
            <w:r>
              <w:rPr>
                <w:rFonts w:ascii="Times New Roman" w:hAnsi="Times New Roman" w:cs="Times New Roman"/>
                <w:color w:val="auto"/>
                <w:kern w:val="0"/>
                <w:sz w:val="21"/>
                <w:szCs w:val="21"/>
              </w:rPr>
              <w:t>%</w:t>
            </w:r>
          </w:p>
        </w:tc>
      </w:tr>
    </w:tbl>
    <w:p>
      <w:pPr>
        <w:ind w:firstLine="422" w:firstLineChars="200"/>
        <w:jc w:val="center"/>
        <w:rPr>
          <w:rFonts w:ascii="Times New Roman" w:hAnsi="Times New Roman" w:eastAsia="宋体" w:cs="Times New Roman"/>
          <w:b/>
          <w:color w:val="auto"/>
          <w:kern w:val="0"/>
          <w:sz w:val="21"/>
          <w:szCs w:val="21"/>
        </w:rPr>
      </w:pPr>
    </w:p>
    <w:p>
      <w:pPr>
        <w:ind w:firstLine="422" w:firstLineChars="200"/>
        <w:jc w:val="center"/>
        <w:rPr>
          <w:rFonts w:hint="eastAsia" w:ascii="Times New Roman" w:hAnsi="Times New Roman" w:eastAsia="宋体" w:cs="Times New Roman"/>
          <w:b/>
          <w:bCs/>
          <w:color w:val="auto"/>
          <w:sz w:val="21"/>
          <w:szCs w:val="21"/>
        </w:rPr>
      </w:pPr>
      <w:r>
        <w:rPr>
          <w:rFonts w:ascii="Times New Roman" w:hAnsi="Times New Roman" w:eastAsia="宋体" w:cs="Times New Roman"/>
          <w:b/>
          <w:color w:val="auto"/>
          <w:kern w:val="0"/>
          <w:sz w:val="21"/>
          <w:szCs w:val="21"/>
        </w:rPr>
        <w:t>表1</w:t>
      </w:r>
      <w:r>
        <w:rPr>
          <w:rFonts w:hint="eastAsia" w:ascii="Times New Roman" w:hAnsi="Times New Roman" w:eastAsia="宋体" w:cs="Times New Roman"/>
          <w:b/>
          <w:color w:val="auto"/>
          <w:kern w:val="0"/>
          <w:sz w:val="21"/>
          <w:szCs w:val="21"/>
        </w:rPr>
        <w:t>.6</w:t>
      </w:r>
      <w:r>
        <w:rPr>
          <w:rFonts w:ascii="Times New Roman" w:hAnsi="Times New Roman" w:eastAsia="宋体" w:cs="Times New Roman"/>
          <w:b/>
          <w:color w:val="auto"/>
          <w:kern w:val="0"/>
          <w:sz w:val="21"/>
          <w:szCs w:val="21"/>
        </w:rPr>
        <w:t>-</w:t>
      </w:r>
      <w:r>
        <w:rPr>
          <w:rFonts w:hint="eastAsia" w:ascii="Times New Roman" w:hAnsi="Times New Roman" w:eastAsia="宋体" w:cs="Times New Roman"/>
          <w:b/>
          <w:color w:val="auto"/>
          <w:kern w:val="0"/>
          <w:sz w:val="21"/>
          <w:szCs w:val="21"/>
          <w:lang w:val="en-US" w:eastAsia="zh-CN"/>
        </w:rPr>
        <w:t>2</w:t>
      </w:r>
      <w:r>
        <w:rPr>
          <w:rFonts w:ascii="Times New Roman" w:hAnsi="Times New Roman" w:eastAsia="宋体" w:cs="Times New Roman"/>
          <w:b/>
          <w:color w:val="auto"/>
          <w:kern w:val="0"/>
          <w:sz w:val="21"/>
          <w:szCs w:val="21"/>
        </w:rPr>
        <w:t xml:space="preserve"> </w:t>
      </w:r>
      <w:r>
        <w:rPr>
          <w:rFonts w:hint="eastAsia" w:ascii="Times New Roman" w:hAnsi="Times New Roman" w:eastAsia="宋体" w:cs="Times New Roman"/>
          <w:b/>
          <w:bCs/>
          <w:color w:val="auto"/>
          <w:sz w:val="21"/>
          <w:szCs w:val="21"/>
        </w:rPr>
        <w:t xml:space="preserve"> 评价因子和评价标准表</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7"/>
        <w:gridCol w:w="1215"/>
        <w:gridCol w:w="1890"/>
        <w:gridCol w:w="5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77" w:type="dxa"/>
            <w:vAlign w:val="center"/>
          </w:tcPr>
          <w:p>
            <w:pPr>
              <w:pStyle w:val="68"/>
              <w:spacing w:line="240" w:lineRule="auto"/>
              <w:jc w:val="center"/>
              <w:rPr>
                <w:rFonts w:hint="default" w:ascii="Times New Roman" w:hAnsi="Times New Roman" w:cs="Times New Roman"/>
                <w:b/>
                <w:bCs/>
                <w:color w:val="auto"/>
                <w:kern w:val="0"/>
                <w:sz w:val="21"/>
                <w:szCs w:val="21"/>
                <w:lang w:val="en-US" w:eastAsia="zh-CN"/>
              </w:rPr>
            </w:pPr>
            <w:r>
              <w:rPr>
                <w:rFonts w:hint="eastAsia" w:ascii="Times New Roman" w:hAnsi="Times New Roman" w:cs="Times New Roman"/>
                <w:b/>
                <w:bCs/>
                <w:color w:val="auto"/>
                <w:kern w:val="0"/>
                <w:sz w:val="21"/>
                <w:szCs w:val="21"/>
                <w:lang w:val="en-US" w:eastAsia="zh-CN"/>
              </w:rPr>
              <w:t>评价因子</w:t>
            </w:r>
          </w:p>
        </w:tc>
        <w:tc>
          <w:tcPr>
            <w:tcW w:w="1215" w:type="dxa"/>
            <w:vAlign w:val="center"/>
          </w:tcPr>
          <w:p>
            <w:pPr>
              <w:pStyle w:val="68"/>
              <w:spacing w:line="240" w:lineRule="auto"/>
              <w:jc w:val="center"/>
              <w:rPr>
                <w:rFonts w:hint="default" w:ascii="Times New Roman" w:hAnsi="Times New Roman" w:cs="Times New Roman"/>
                <w:b/>
                <w:bCs/>
                <w:color w:val="auto"/>
                <w:kern w:val="0"/>
                <w:sz w:val="21"/>
                <w:szCs w:val="21"/>
                <w:lang w:val="en-US" w:eastAsia="zh-CN"/>
              </w:rPr>
            </w:pPr>
            <w:r>
              <w:rPr>
                <w:rFonts w:hint="eastAsia" w:ascii="Times New Roman" w:hAnsi="Times New Roman" w:cs="Times New Roman"/>
                <w:b/>
                <w:bCs/>
                <w:color w:val="auto"/>
                <w:kern w:val="0"/>
                <w:sz w:val="21"/>
                <w:szCs w:val="21"/>
                <w:lang w:val="en-US" w:eastAsia="zh-CN"/>
              </w:rPr>
              <w:t>平均时段</w:t>
            </w:r>
          </w:p>
        </w:tc>
        <w:tc>
          <w:tcPr>
            <w:tcW w:w="1890" w:type="dxa"/>
            <w:vAlign w:val="center"/>
          </w:tcPr>
          <w:p>
            <w:pPr>
              <w:pStyle w:val="68"/>
              <w:spacing w:line="240" w:lineRule="auto"/>
              <w:jc w:val="center"/>
              <w:rPr>
                <w:rFonts w:hint="default" w:ascii="Times New Roman" w:hAnsi="Times New Roman" w:cs="Times New Roman"/>
                <w:b/>
                <w:bCs/>
                <w:color w:val="auto"/>
                <w:kern w:val="0"/>
                <w:sz w:val="21"/>
                <w:szCs w:val="21"/>
                <w:lang w:val="en-US" w:eastAsia="zh-CN"/>
              </w:rPr>
            </w:pPr>
            <w:r>
              <w:rPr>
                <w:rFonts w:hint="eastAsia" w:ascii="Times New Roman" w:hAnsi="Times New Roman" w:cs="Times New Roman"/>
                <w:b/>
                <w:bCs/>
                <w:color w:val="auto"/>
                <w:kern w:val="0"/>
                <w:sz w:val="21"/>
                <w:szCs w:val="21"/>
                <w:lang w:val="en-US" w:eastAsia="zh-CN"/>
              </w:rPr>
              <w:t>标准值（μg/m</w:t>
            </w:r>
            <w:r>
              <w:rPr>
                <w:rFonts w:hint="eastAsia" w:ascii="Times New Roman" w:hAnsi="Times New Roman" w:cs="Times New Roman"/>
                <w:b/>
                <w:bCs/>
                <w:color w:val="auto"/>
                <w:kern w:val="0"/>
                <w:sz w:val="21"/>
                <w:szCs w:val="21"/>
                <w:vertAlign w:val="superscript"/>
                <w:lang w:val="en-US" w:eastAsia="zh-CN"/>
              </w:rPr>
              <w:t>3</w:t>
            </w:r>
            <w:r>
              <w:rPr>
                <w:rFonts w:hint="eastAsia" w:ascii="Times New Roman" w:hAnsi="Times New Roman" w:cs="Times New Roman"/>
                <w:b/>
                <w:bCs/>
                <w:color w:val="auto"/>
                <w:kern w:val="0"/>
                <w:sz w:val="21"/>
                <w:szCs w:val="21"/>
                <w:lang w:val="en-US" w:eastAsia="zh-CN"/>
              </w:rPr>
              <w:t>）</w:t>
            </w:r>
          </w:p>
        </w:tc>
        <w:tc>
          <w:tcPr>
            <w:tcW w:w="5238" w:type="dxa"/>
            <w:vAlign w:val="center"/>
          </w:tcPr>
          <w:p>
            <w:pPr>
              <w:pStyle w:val="68"/>
              <w:spacing w:line="240" w:lineRule="auto"/>
              <w:jc w:val="center"/>
              <w:rPr>
                <w:rFonts w:hint="default" w:ascii="Times New Roman" w:hAnsi="Times New Roman" w:cs="Times New Roman"/>
                <w:b/>
                <w:bCs/>
                <w:color w:val="auto"/>
                <w:kern w:val="0"/>
                <w:sz w:val="21"/>
                <w:szCs w:val="21"/>
                <w:lang w:val="en-US" w:eastAsia="zh-CN"/>
              </w:rPr>
            </w:pPr>
            <w:r>
              <w:rPr>
                <w:rFonts w:hint="eastAsia" w:ascii="Times New Roman" w:hAnsi="Times New Roman" w:cs="Times New Roman"/>
                <w:b/>
                <w:bCs/>
                <w:color w:val="auto"/>
                <w:kern w:val="0"/>
                <w:sz w:val="21"/>
                <w:szCs w:val="21"/>
                <w:lang w:val="en-US" w:eastAsia="zh-CN"/>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7" w:type="dxa"/>
            <w:vAlign w:val="center"/>
          </w:tcPr>
          <w:p>
            <w:pPr>
              <w:pStyle w:val="68"/>
              <w:spacing w:line="240" w:lineRule="auto"/>
              <w:jc w:val="center"/>
              <w:rPr>
                <w:rFonts w:hint="default" w:ascii="Times New Roman" w:hAnsi="Times New Roman"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NH</w:t>
            </w:r>
            <w:r>
              <w:rPr>
                <w:rFonts w:hint="eastAsia" w:ascii="Times New Roman" w:hAnsi="Times New Roman" w:cs="Times New Roman"/>
                <w:color w:val="auto"/>
                <w:kern w:val="0"/>
                <w:sz w:val="21"/>
                <w:szCs w:val="21"/>
                <w:vertAlign w:val="subscript"/>
                <w:lang w:val="en-US" w:eastAsia="zh-CN"/>
              </w:rPr>
              <w:t>3</w:t>
            </w:r>
          </w:p>
        </w:tc>
        <w:tc>
          <w:tcPr>
            <w:tcW w:w="1215" w:type="dxa"/>
            <w:vAlign w:val="center"/>
          </w:tcPr>
          <w:p>
            <w:pPr>
              <w:pStyle w:val="68"/>
              <w:spacing w:line="240" w:lineRule="auto"/>
              <w:jc w:val="center"/>
              <w:rPr>
                <w:rFonts w:hint="default" w:ascii="Times New Roman" w:hAnsi="Times New Roman"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1h平均</w:t>
            </w:r>
          </w:p>
        </w:tc>
        <w:tc>
          <w:tcPr>
            <w:tcW w:w="1890" w:type="dxa"/>
            <w:vAlign w:val="center"/>
          </w:tcPr>
          <w:p>
            <w:pPr>
              <w:pStyle w:val="68"/>
              <w:spacing w:line="240" w:lineRule="auto"/>
              <w:jc w:val="center"/>
              <w:rPr>
                <w:rFonts w:hint="default" w:ascii="Times New Roman" w:hAnsi="Times New Roman"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200</w:t>
            </w:r>
          </w:p>
        </w:tc>
        <w:tc>
          <w:tcPr>
            <w:tcW w:w="5238" w:type="dxa"/>
            <w:vMerge w:val="restart"/>
            <w:vAlign w:val="center"/>
          </w:tcPr>
          <w:p>
            <w:pPr>
              <w:pStyle w:val="68"/>
              <w:spacing w:line="240" w:lineRule="auto"/>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《环境影响评价技术导则--大气环境》 （HJ2.2-2018）附录D其他污染物空气质量浓度 参考限值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7" w:type="dxa"/>
            <w:vAlign w:val="center"/>
          </w:tcPr>
          <w:p>
            <w:pPr>
              <w:pStyle w:val="68"/>
              <w:spacing w:line="240" w:lineRule="auto"/>
              <w:jc w:val="center"/>
              <w:rPr>
                <w:rFonts w:hint="default" w:ascii="Times New Roman" w:hAnsi="Times New Roman"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H</w:t>
            </w:r>
            <w:r>
              <w:rPr>
                <w:rFonts w:hint="eastAsia" w:ascii="Times New Roman" w:hAnsi="Times New Roman" w:cs="Times New Roman"/>
                <w:color w:val="auto"/>
                <w:kern w:val="0"/>
                <w:sz w:val="21"/>
                <w:szCs w:val="21"/>
                <w:vertAlign w:val="subscript"/>
                <w:lang w:val="en-US" w:eastAsia="zh-CN"/>
              </w:rPr>
              <w:t>2</w:t>
            </w:r>
            <w:r>
              <w:rPr>
                <w:rFonts w:hint="eastAsia" w:ascii="Times New Roman" w:hAnsi="Times New Roman" w:cs="Times New Roman"/>
                <w:color w:val="auto"/>
                <w:kern w:val="0"/>
                <w:sz w:val="21"/>
                <w:szCs w:val="21"/>
                <w:lang w:val="en-US" w:eastAsia="zh-CN"/>
              </w:rPr>
              <w:t>S</w:t>
            </w:r>
          </w:p>
        </w:tc>
        <w:tc>
          <w:tcPr>
            <w:tcW w:w="1215" w:type="dxa"/>
            <w:vAlign w:val="center"/>
          </w:tcPr>
          <w:p>
            <w:pPr>
              <w:pStyle w:val="68"/>
              <w:spacing w:line="240" w:lineRule="auto"/>
              <w:jc w:val="center"/>
              <w:rPr>
                <w:rFonts w:hint="default" w:ascii="Times New Roman" w:hAnsi="Times New Roman"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1h平均</w:t>
            </w:r>
          </w:p>
        </w:tc>
        <w:tc>
          <w:tcPr>
            <w:tcW w:w="1890" w:type="dxa"/>
            <w:vAlign w:val="center"/>
          </w:tcPr>
          <w:p>
            <w:pPr>
              <w:pStyle w:val="68"/>
              <w:spacing w:line="240" w:lineRule="auto"/>
              <w:jc w:val="center"/>
              <w:rPr>
                <w:rFonts w:hint="default" w:ascii="Times New Roman" w:hAnsi="Times New Roman"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10</w:t>
            </w:r>
          </w:p>
        </w:tc>
        <w:tc>
          <w:tcPr>
            <w:tcW w:w="5238" w:type="dxa"/>
            <w:vMerge w:val="continue"/>
            <w:vAlign w:val="center"/>
          </w:tcPr>
          <w:p>
            <w:pPr>
              <w:pStyle w:val="68"/>
              <w:spacing w:line="240" w:lineRule="auto"/>
              <w:jc w:val="center"/>
              <w:rPr>
                <w:rFonts w:hint="default" w:ascii="Times New Roman" w:hAnsi="Times New Roman" w:cs="Times New Roman"/>
                <w:color w:val="auto"/>
                <w:kern w:val="0"/>
                <w:sz w:val="21"/>
                <w:szCs w:val="21"/>
                <w:lang w:val="en-US" w:eastAsia="zh-CN"/>
              </w:rPr>
            </w:pPr>
          </w:p>
        </w:tc>
      </w:tr>
    </w:tbl>
    <w:p>
      <w:pPr>
        <w:pStyle w:val="14"/>
        <w:keepNext w:val="0"/>
        <w:keepLines w:val="0"/>
        <w:pageBreakBefore w:val="0"/>
        <w:widowControl w:val="0"/>
        <w:kinsoku/>
        <w:wordWrap/>
        <w:overflowPunct/>
        <w:topLinePunct w:val="0"/>
        <w:autoSpaceDE/>
        <w:autoSpaceDN/>
        <w:bidi w:val="0"/>
        <w:adjustRightInd/>
        <w:snapToGrid/>
        <w:spacing w:after="0" w:line="360" w:lineRule="auto"/>
        <w:ind w:left="0" w:right="0" w:firstLine="482" w:firstLineChars="200"/>
        <w:jc w:val="both"/>
        <w:textAlignment w:val="auto"/>
        <w:rPr>
          <w:rFonts w:ascii="Times New Roman" w:hAnsi="Times New Roman" w:eastAsia="宋体" w:cs="Times New Roman"/>
          <w:color w:val="auto"/>
          <w:kern w:val="2"/>
          <w:sz w:val="24"/>
          <w:szCs w:val="22"/>
          <w:lang w:val="en-US" w:eastAsia="zh-CN" w:bidi="ar-SA"/>
        </w:rPr>
      </w:pPr>
      <w:r>
        <w:rPr>
          <w:b/>
          <w:bCs/>
          <w:color w:val="auto"/>
          <w:sz w:val="24"/>
        </w:rPr>
        <w:t>判别估算过程</w:t>
      </w:r>
      <w:r>
        <w:rPr>
          <w:rFonts w:hint="eastAsia"/>
          <w:b/>
          <w:bCs/>
          <w:color w:val="auto"/>
          <w:sz w:val="24"/>
          <w:lang w:eastAsia="zh-CN"/>
        </w:rPr>
        <w:t>：</w:t>
      </w:r>
      <w:r>
        <w:rPr>
          <w:rFonts w:hint="eastAsia" w:ascii="Times New Roman" w:hAnsi="Times New Roman" w:eastAsia="宋体" w:cs="Times New Roman"/>
          <w:color w:val="auto"/>
          <w:kern w:val="2"/>
          <w:sz w:val="24"/>
          <w:szCs w:val="22"/>
          <w:lang w:val="en-US" w:eastAsia="zh-CN" w:bidi="ar-SA"/>
        </w:rPr>
        <w:t>项目排放的大气污染物包括</w:t>
      </w:r>
      <w:r>
        <w:rPr>
          <w:rFonts w:hint="eastAsia" w:ascii="Times New Roman" w:hAnsi="Times New Roman" w:eastAsia="宋体" w:cs="Times New Roman"/>
          <w:color w:val="auto"/>
          <w:sz w:val="24"/>
          <w:szCs w:val="24"/>
          <w:lang w:val="en-US" w:eastAsia="zh-CN"/>
        </w:rPr>
        <w:t>H</w:t>
      </w:r>
      <w:r>
        <w:rPr>
          <w:rFonts w:hint="eastAsia" w:ascii="Times New Roman" w:hAnsi="Times New Roman" w:eastAsia="宋体" w:cs="Times New Roman"/>
          <w:color w:val="auto"/>
          <w:sz w:val="24"/>
          <w:szCs w:val="24"/>
          <w:vertAlign w:val="subscript"/>
          <w:lang w:val="en-US" w:eastAsia="zh-CN"/>
        </w:rPr>
        <w:t>2</w:t>
      </w:r>
      <w:r>
        <w:rPr>
          <w:rFonts w:hint="eastAsia" w:ascii="Times New Roman" w:hAnsi="Times New Roman" w:eastAsia="宋体" w:cs="Times New Roman"/>
          <w:color w:val="auto"/>
          <w:sz w:val="24"/>
          <w:szCs w:val="24"/>
          <w:lang w:val="en-US" w:eastAsia="zh-CN"/>
        </w:rPr>
        <w:t>S、NH</w:t>
      </w:r>
      <w:r>
        <w:rPr>
          <w:rFonts w:hint="eastAsia" w:ascii="Times New Roman" w:hAnsi="Times New Roman" w:eastAsia="宋体" w:cs="Times New Roman"/>
          <w:color w:val="auto"/>
          <w:sz w:val="24"/>
          <w:szCs w:val="24"/>
          <w:vertAlign w:val="subscript"/>
          <w:lang w:val="en-US" w:eastAsia="zh-CN"/>
        </w:rPr>
        <w:t>3</w:t>
      </w:r>
      <w:r>
        <w:rPr>
          <w:rFonts w:hint="eastAsia" w:ascii="Times New Roman" w:hAnsi="Times New Roman" w:eastAsia="宋体" w:cs="Times New Roman"/>
          <w:color w:val="auto"/>
          <w:kern w:val="2"/>
          <w:sz w:val="24"/>
          <w:szCs w:val="22"/>
          <w:lang w:val="en-US" w:eastAsia="zh-CN" w:bidi="ar-SA"/>
        </w:rPr>
        <w:t>，根据《环境影响评价技术导则  大气环境》（HJ2.2-2018）的规定，</w:t>
      </w:r>
      <w:r>
        <w:rPr>
          <w:rFonts w:ascii="Times New Roman" w:hAnsi="Times New Roman" w:eastAsia="宋体" w:cs="Times New Roman"/>
          <w:color w:val="auto"/>
          <w:kern w:val="2"/>
          <w:sz w:val="24"/>
          <w:szCs w:val="22"/>
          <w:lang w:val="en-US" w:eastAsia="zh-CN" w:bidi="ar-SA"/>
        </w:rPr>
        <w:t>通过 AERSCREEN 模型对各污染源及各污染物进行估算。</w:t>
      </w:r>
    </w:p>
    <w:p>
      <w:pPr>
        <w:ind w:firstLine="422" w:firstLineChars="200"/>
        <w:jc w:val="center"/>
        <w:rPr>
          <w:rFonts w:hint="eastAsia" w:ascii="Times New Roman" w:hAnsi="Times New Roman" w:eastAsia="宋体" w:cs="Times New Roman"/>
          <w:b/>
          <w:bCs/>
          <w:color w:val="auto"/>
          <w:sz w:val="21"/>
          <w:szCs w:val="21"/>
        </w:rPr>
      </w:pPr>
      <w:r>
        <w:rPr>
          <w:rFonts w:ascii="Times New Roman" w:hAnsi="Times New Roman" w:eastAsia="宋体" w:cs="Times New Roman"/>
          <w:b/>
          <w:color w:val="auto"/>
          <w:kern w:val="0"/>
          <w:sz w:val="21"/>
          <w:szCs w:val="21"/>
        </w:rPr>
        <w:t>表1</w:t>
      </w:r>
      <w:r>
        <w:rPr>
          <w:rFonts w:hint="eastAsia" w:ascii="Times New Roman" w:hAnsi="Times New Roman" w:eastAsia="宋体" w:cs="Times New Roman"/>
          <w:b/>
          <w:color w:val="auto"/>
          <w:kern w:val="0"/>
          <w:sz w:val="21"/>
          <w:szCs w:val="21"/>
        </w:rPr>
        <w:t>.6</w:t>
      </w:r>
      <w:r>
        <w:rPr>
          <w:rFonts w:ascii="Times New Roman" w:hAnsi="Times New Roman" w:eastAsia="宋体" w:cs="Times New Roman"/>
          <w:b/>
          <w:color w:val="auto"/>
          <w:kern w:val="0"/>
          <w:sz w:val="21"/>
          <w:szCs w:val="21"/>
        </w:rPr>
        <w:t>-</w:t>
      </w:r>
      <w:r>
        <w:rPr>
          <w:rFonts w:hint="eastAsia" w:ascii="Times New Roman" w:hAnsi="Times New Roman" w:eastAsia="宋体" w:cs="Times New Roman"/>
          <w:b/>
          <w:color w:val="auto"/>
          <w:kern w:val="0"/>
          <w:sz w:val="21"/>
          <w:szCs w:val="21"/>
          <w:lang w:val="en-US" w:eastAsia="zh-CN"/>
        </w:rPr>
        <w:t>3</w:t>
      </w:r>
      <w:r>
        <w:rPr>
          <w:rFonts w:ascii="Times New Roman" w:hAnsi="Times New Roman" w:eastAsia="宋体" w:cs="Times New Roman"/>
          <w:b/>
          <w:color w:val="auto"/>
          <w:kern w:val="0"/>
          <w:sz w:val="21"/>
          <w:szCs w:val="21"/>
        </w:rPr>
        <w:t xml:space="preserve"> </w:t>
      </w:r>
      <w:r>
        <w:rPr>
          <w:rFonts w:hint="eastAsia" w:ascii="Times New Roman" w:hAnsi="Times New Roman" w:eastAsia="宋体" w:cs="Times New Roman"/>
          <w:b/>
          <w:bCs/>
          <w:color w:val="auto"/>
          <w:sz w:val="21"/>
          <w:szCs w:val="21"/>
        </w:rPr>
        <w:t xml:space="preserve"> 污染物计算参数选取表</w:t>
      </w:r>
    </w:p>
    <w:tbl>
      <w:tblPr>
        <w:tblStyle w:val="35"/>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072"/>
        <w:gridCol w:w="3074"/>
        <w:gridCol w:w="307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333" w:type="pct"/>
            <w:gridSpan w:val="2"/>
            <w:tcBorders>
              <w:left w:val="single" w:color="auto" w:sz="4" w:space="0"/>
            </w:tcBorders>
            <w:noWrap w:val="0"/>
            <w:vAlign w:val="center"/>
          </w:tcPr>
          <w:p>
            <w:pPr>
              <w:adjustRightInd w:val="0"/>
              <w:snapToGrid w:val="0"/>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参数</w:t>
            </w:r>
          </w:p>
        </w:tc>
        <w:tc>
          <w:tcPr>
            <w:tcW w:w="1666" w:type="pct"/>
            <w:tcBorders>
              <w:right w:val="single" w:color="auto" w:sz="4" w:space="0"/>
            </w:tcBorders>
            <w:noWrap w:val="0"/>
            <w:vAlign w:val="center"/>
          </w:tcPr>
          <w:p>
            <w:pPr>
              <w:adjustRightInd w:val="0"/>
              <w:snapToGrid w:val="0"/>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取值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66" w:type="pct"/>
            <w:vMerge w:val="restart"/>
            <w:tcBorders>
              <w:lef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城市/农村选项</w:t>
            </w:r>
          </w:p>
        </w:tc>
        <w:tc>
          <w:tcPr>
            <w:tcW w:w="1666" w:type="pct"/>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城市/农村</w:t>
            </w:r>
          </w:p>
        </w:tc>
        <w:tc>
          <w:tcPr>
            <w:tcW w:w="1666" w:type="pct"/>
            <w:tcBorders>
              <w:righ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农村</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66" w:type="pct"/>
            <w:vMerge w:val="continue"/>
            <w:tcBorders>
              <w:lef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p>
        </w:tc>
        <w:tc>
          <w:tcPr>
            <w:tcW w:w="1666" w:type="pct"/>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人口数（城市选项时）</w:t>
            </w:r>
          </w:p>
        </w:tc>
        <w:tc>
          <w:tcPr>
            <w:tcW w:w="1666" w:type="pct"/>
            <w:tcBorders>
              <w:righ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333" w:type="pct"/>
            <w:gridSpan w:val="2"/>
            <w:tcBorders>
              <w:lef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最高环境温度/℃</w:t>
            </w:r>
          </w:p>
        </w:tc>
        <w:tc>
          <w:tcPr>
            <w:tcW w:w="1666" w:type="pct"/>
            <w:tcBorders>
              <w:right w:val="single" w:color="auto" w:sz="4" w:space="0"/>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37.2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333" w:type="pct"/>
            <w:gridSpan w:val="2"/>
            <w:tcBorders>
              <w:lef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最低环境温度/℃</w:t>
            </w:r>
          </w:p>
        </w:tc>
        <w:tc>
          <w:tcPr>
            <w:tcW w:w="1666" w:type="pct"/>
            <w:tcBorders>
              <w:right w:val="single" w:color="auto" w:sz="4" w:space="0"/>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333" w:type="pct"/>
            <w:gridSpan w:val="2"/>
            <w:tcBorders>
              <w:lef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土地利用类型</w:t>
            </w:r>
          </w:p>
        </w:tc>
        <w:tc>
          <w:tcPr>
            <w:tcW w:w="1666" w:type="pct"/>
            <w:tcBorders>
              <w:righ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农作地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333" w:type="pct"/>
            <w:gridSpan w:val="2"/>
            <w:tcBorders>
              <w:lef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区域湿度条件</w:t>
            </w:r>
          </w:p>
        </w:tc>
        <w:tc>
          <w:tcPr>
            <w:tcW w:w="1666" w:type="pct"/>
            <w:tcBorders>
              <w:righ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中等湿度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66" w:type="pct"/>
            <w:vMerge w:val="restart"/>
            <w:tcBorders>
              <w:lef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是否考虑地形</w:t>
            </w:r>
          </w:p>
        </w:tc>
        <w:tc>
          <w:tcPr>
            <w:tcW w:w="1666" w:type="pct"/>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考虑地形</w:t>
            </w:r>
          </w:p>
        </w:tc>
        <w:tc>
          <w:tcPr>
            <w:tcW w:w="1666" w:type="pct"/>
            <w:tcBorders>
              <w:righ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sym w:font="Wingdings 2" w:char="0052"/>
            </w:r>
            <w:r>
              <w:rPr>
                <w:rFonts w:hint="eastAsia" w:ascii="Times New Roman" w:hAnsi="Times New Roman" w:eastAsia="宋体" w:cs="Times New Roman"/>
                <w:color w:val="auto"/>
                <w:szCs w:val="21"/>
                <w:lang w:val="en-US" w:eastAsia="zh-CN"/>
              </w:rPr>
              <w:t>是</w:t>
            </w:r>
            <w:r>
              <w:rPr>
                <w:rFonts w:hint="eastAsia" w:ascii="Times New Roman" w:hAnsi="Times New Roman" w:eastAsia="宋体" w:cs="Times New Roman"/>
                <w:color w:val="auto"/>
                <w:szCs w:val="21"/>
                <w:lang w:val="en-US" w:eastAsia="zh-CN"/>
              </w:rPr>
              <w:sym w:font="Wingdings 2" w:char="00A3"/>
            </w:r>
            <w:r>
              <w:rPr>
                <w:rFonts w:hint="eastAsia" w:ascii="Times New Roman" w:hAnsi="Times New Roman" w:eastAsia="宋体" w:cs="Times New Roman"/>
                <w:color w:val="auto"/>
                <w:szCs w:val="21"/>
                <w:lang w:val="en-US" w:eastAsia="zh-CN"/>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66" w:type="pct"/>
            <w:vMerge w:val="continue"/>
            <w:tcBorders>
              <w:lef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p>
        </w:tc>
        <w:tc>
          <w:tcPr>
            <w:tcW w:w="1666" w:type="pct"/>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地形数据分辨率/m</w:t>
            </w:r>
          </w:p>
        </w:tc>
        <w:tc>
          <w:tcPr>
            <w:tcW w:w="1666" w:type="pct"/>
            <w:tcBorders>
              <w:righ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66" w:type="pct"/>
            <w:vMerge w:val="restart"/>
            <w:tcBorders>
              <w:lef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是否考虑岸边熏烟</w:t>
            </w:r>
          </w:p>
        </w:tc>
        <w:tc>
          <w:tcPr>
            <w:tcW w:w="1666" w:type="pct"/>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考虑岸边熏烟</w:t>
            </w:r>
          </w:p>
        </w:tc>
        <w:tc>
          <w:tcPr>
            <w:tcW w:w="1666" w:type="pct"/>
            <w:tcBorders>
              <w:righ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sym w:font="Wingdings 2" w:char="00A3"/>
            </w:r>
            <w:r>
              <w:rPr>
                <w:rFonts w:hint="eastAsia" w:ascii="Times New Roman" w:hAnsi="Times New Roman" w:eastAsia="宋体" w:cs="Times New Roman"/>
                <w:color w:val="auto"/>
                <w:szCs w:val="21"/>
                <w:lang w:val="en-US" w:eastAsia="zh-CN"/>
              </w:rPr>
              <w:t>是</w:t>
            </w:r>
            <w:r>
              <w:rPr>
                <w:rFonts w:hint="eastAsia" w:ascii="Times New Roman" w:hAnsi="Times New Roman" w:eastAsia="宋体" w:cs="Times New Roman"/>
                <w:color w:val="auto"/>
                <w:szCs w:val="21"/>
                <w:lang w:val="en-US" w:eastAsia="zh-CN"/>
              </w:rPr>
              <w:sym w:font="Wingdings 2" w:char="0052"/>
            </w:r>
            <w:r>
              <w:rPr>
                <w:rFonts w:hint="eastAsia" w:ascii="Times New Roman" w:hAnsi="Times New Roman" w:eastAsia="宋体" w:cs="Times New Roman"/>
                <w:color w:val="auto"/>
                <w:szCs w:val="21"/>
                <w:lang w:val="en-US" w:eastAsia="zh-CN"/>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66" w:type="pct"/>
            <w:vMerge w:val="continue"/>
            <w:tcBorders>
              <w:lef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p>
        </w:tc>
        <w:tc>
          <w:tcPr>
            <w:tcW w:w="1666" w:type="pct"/>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岸线距离/km</w:t>
            </w:r>
          </w:p>
        </w:tc>
        <w:tc>
          <w:tcPr>
            <w:tcW w:w="1666" w:type="pct"/>
            <w:tcBorders>
              <w:righ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66" w:type="pct"/>
            <w:vMerge w:val="continue"/>
            <w:tcBorders>
              <w:lef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p>
        </w:tc>
        <w:tc>
          <w:tcPr>
            <w:tcW w:w="1666" w:type="pct"/>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岸线角度/°</w:t>
            </w:r>
          </w:p>
        </w:tc>
        <w:tc>
          <w:tcPr>
            <w:tcW w:w="1666" w:type="pct"/>
            <w:tcBorders>
              <w:righ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w:t>
            </w:r>
          </w:p>
        </w:tc>
      </w:tr>
    </w:tbl>
    <w:p>
      <w:pPr>
        <w:spacing w:line="360" w:lineRule="auto"/>
        <w:ind w:firstLine="422" w:firstLineChars="200"/>
        <w:jc w:val="center"/>
        <w:rPr>
          <w:rFonts w:hint="eastAsia"/>
          <w:color w:val="auto"/>
          <w:lang w:val="en-US" w:eastAsia="zh-CN"/>
        </w:rPr>
      </w:pPr>
      <w:r>
        <w:rPr>
          <w:rFonts w:hint="eastAsia" w:ascii="Times New Roman" w:hAnsi="Times New Roman" w:eastAsia="宋体" w:cs="Times New Roman"/>
          <w:b/>
          <w:bCs/>
          <w:color w:val="auto"/>
          <w:sz w:val="21"/>
          <w:szCs w:val="21"/>
          <w:lang w:val="en-US" w:eastAsia="zh-CN"/>
        </w:rPr>
        <w:t>表1.6-4 本项目点源参数表</w:t>
      </w:r>
    </w:p>
    <w:tbl>
      <w:tblPr>
        <w:tblStyle w:val="35"/>
        <w:tblW w:w="4996"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7"/>
        <w:gridCol w:w="903"/>
        <w:gridCol w:w="979"/>
        <w:gridCol w:w="1178"/>
        <w:gridCol w:w="1021"/>
        <w:gridCol w:w="792"/>
        <w:gridCol w:w="720"/>
        <w:gridCol w:w="445"/>
        <w:gridCol w:w="684"/>
        <w:gridCol w:w="1150"/>
        <w:gridCol w:w="88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16" w:hRule="atLeast"/>
          <w:jc w:val="center"/>
        </w:trPr>
        <w:tc>
          <w:tcPr>
            <w:tcW w:w="249" w:type="pct"/>
            <w:tcBorders>
              <w:tl2br w:val="nil"/>
              <w:tr2bl w:val="nil"/>
            </w:tcBorders>
            <w:noWrap w:val="0"/>
            <w:vAlign w:val="center"/>
          </w:tcPr>
          <w:p>
            <w:pPr>
              <w:adjustRightInd w:val="0"/>
              <w:snapToGrid w:val="0"/>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编号</w:t>
            </w:r>
          </w:p>
        </w:tc>
        <w:tc>
          <w:tcPr>
            <w:tcW w:w="491" w:type="pct"/>
            <w:tcBorders>
              <w:tl2br w:val="nil"/>
              <w:tr2bl w:val="nil"/>
            </w:tcBorders>
            <w:noWrap w:val="0"/>
            <w:vAlign w:val="center"/>
          </w:tcPr>
          <w:p>
            <w:pPr>
              <w:adjustRightInd w:val="0"/>
              <w:snapToGrid w:val="0"/>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名称</w:t>
            </w:r>
          </w:p>
        </w:tc>
        <w:tc>
          <w:tcPr>
            <w:tcW w:w="532" w:type="pct"/>
            <w:tcBorders>
              <w:tl2br w:val="nil"/>
              <w:tr2bl w:val="nil"/>
            </w:tcBorders>
            <w:noWrap w:val="0"/>
            <w:vAlign w:val="center"/>
          </w:tcPr>
          <w:p>
            <w:pPr>
              <w:adjustRightInd w:val="0"/>
              <w:snapToGrid w:val="0"/>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排气筒高度/m</w:t>
            </w:r>
          </w:p>
        </w:tc>
        <w:tc>
          <w:tcPr>
            <w:tcW w:w="640" w:type="pct"/>
            <w:tcBorders>
              <w:tl2br w:val="nil"/>
              <w:tr2bl w:val="nil"/>
            </w:tcBorders>
            <w:noWrap w:val="0"/>
            <w:vAlign w:val="center"/>
          </w:tcPr>
          <w:p>
            <w:pPr>
              <w:adjustRightInd w:val="0"/>
              <w:snapToGrid w:val="0"/>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排气筒出口内径/m</w:t>
            </w:r>
          </w:p>
        </w:tc>
        <w:tc>
          <w:tcPr>
            <w:tcW w:w="538" w:type="pct"/>
            <w:tcBorders>
              <w:tl2br w:val="nil"/>
              <w:tr2bl w:val="nil"/>
            </w:tcBorders>
            <w:noWrap w:val="0"/>
            <w:vAlign w:val="center"/>
          </w:tcPr>
          <w:p>
            <w:pPr>
              <w:adjustRightInd w:val="0"/>
              <w:snapToGrid w:val="0"/>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烟气流量/（m</w:t>
            </w:r>
            <w:r>
              <w:rPr>
                <w:rFonts w:hint="eastAsia" w:ascii="Times New Roman" w:hAnsi="Times New Roman" w:eastAsia="宋体" w:cs="Times New Roman"/>
                <w:b/>
                <w:bCs/>
                <w:color w:val="auto"/>
                <w:szCs w:val="21"/>
                <w:vertAlign w:val="superscript"/>
                <w:lang w:val="en-US" w:eastAsia="zh-CN"/>
              </w:rPr>
              <w:t>3</w:t>
            </w:r>
            <w:r>
              <w:rPr>
                <w:rFonts w:hint="eastAsia" w:ascii="Times New Roman" w:hAnsi="Times New Roman" w:eastAsia="宋体" w:cs="Times New Roman"/>
                <w:b/>
                <w:bCs/>
                <w:color w:val="auto"/>
                <w:szCs w:val="21"/>
                <w:lang w:val="en-US" w:eastAsia="zh-CN"/>
              </w:rPr>
              <w:t>/s）</w:t>
            </w:r>
          </w:p>
        </w:tc>
        <w:tc>
          <w:tcPr>
            <w:tcW w:w="431" w:type="pct"/>
            <w:tcBorders>
              <w:tl2br w:val="nil"/>
              <w:tr2bl w:val="nil"/>
            </w:tcBorders>
            <w:noWrap w:val="0"/>
            <w:vAlign w:val="center"/>
          </w:tcPr>
          <w:p>
            <w:pPr>
              <w:adjustRightInd w:val="0"/>
              <w:snapToGrid w:val="0"/>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烟气温度/℃</w:t>
            </w:r>
          </w:p>
        </w:tc>
        <w:tc>
          <w:tcPr>
            <w:tcW w:w="392" w:type="pct"/>
            <w:tcBorders>
              <w:tl2br w:val="nil"/>
              <w:tr2bl w:val="nil"/>
            </w:tcBorders>
            <w:noWrap w:val="0"/>
            <w:vAlign w:val="center"/>
          </w:tcPr>
          <w:p>
            <w:pPr>
              <w:adjustRightInd w:val="0"/>
              <w:snapToGrid w:val="0"/>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年排放小时数/h</w:t>
            </w:r>
          </w:p>
        </w:tc>
        <w:tc>
          <w:tcPr>
            <w:tcW w:w="243" w:type="pct"/>
            <w:tcBorders>
              <w:tl2br w:val="nil"/>
              <w:tr2bl w:val="nil"/>
            </w:tcBorders>
            <w:noWrap w:val="0"/>
            <w:vAlign w:val="center"/>
          </w:tcPr>
          <w:p>
            <w:pPr>
              <w:adjustRightInd w:val="0"/>
              <w:snapToGrid w:val="0"/>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排放工况</w:t>
            </w:r>
          </w:p>
        </w:tc>
        <w:tc>
          <w:tcPr>
            <w:tcW w:w="372" w:type="pct"/>
            <w:tcBorders>
              <w:tl2br w:val="nil"/>
              <w:tr2bl w:val="nil"/>
            </w:tcBorders>
            <w:noWrap w:val="0"/>
            <w:vAlign w:val="center"/>
          </w:tcPr>
          <w:p>
            <w:pPr>
              <w:adjustRightInd w:val="0"/>
              <w:snapToGrid w:val="0"/>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污染物名称</w:t>
            </w:r>
          </w:p>
        </w:tc>
        <w:tc>
          <w:tcPr>
            <w:tcW w:w="624" w:type="pct"/>
            <w:tcBorders>
              <w:tl2br w:val="nil"/>
              <w:tr2bl w:val="nil"/>
            </w:tcBorders>
            <w:noWrap w:val="0"/>
            <w:vAlign w:val="center"/>
          </w:tcPr>
          <w:p>
            <w:pPr>
              <w:adjustRightInd w:val="0"/>
              <w:snapToGrid w:val="0"/>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排放速率（kg/h）</w:t>
            </w:r>
          </w:p>
        </w:tc>
        <w:tc>
          <w:tcPr>
            <w:tcW w:w="480" w:type="pct"/>
            <w:tcBorders>
              <w:tl2br w:val="nil"/>
              <w:tr2bl w:val="nil"/>
            </w:tcBorders>
            <w:noWrap w:val="0"/>
            <w:vAlign w:val="center"/>
          </w:tcPr>
          <w:p>
            <w:pPr>
              <w:adjustRightInd w:val="0"/>
              <w:snapToGrid w:val="0"/>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排放速率（g/s）</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49" w:type="pct"/>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P1</w:t>
            </w:r>
          </w:p>
        </w:tc>
        <w:tc>
          <w:tcPr>
            <w:tcW w:w="491" w:type="pct"/>
            <w:vMerge w:val="restart"/>
            <w:tcBorders>
              <w:tl2br w:val="nil"/>
              <w:tr2bl w:val="nil"/>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喷淋吸收塔排气筒</w:t>
            </w:r>
          </w:p>
        </w:tc>
        <w:tc>
          <w:tcPr>
            <w:tcW w:w="532" w:type="pct"/>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15</w:t>
            </w:r>
          </w:p>
        </w:tc>
        <w:tc>
          <w:tcPr>
            <w:tcW w:w="640" w:type="pct"/>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0.48</w:t>
            </w:r>
          </w:p>
        </w:tc>
        <w:tc>
          <w:tcPr>
            <w:tcW w:w="538" w:type="pct"/>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2.78</w:t>
            </w:r>
          </w:p>
        </w:tc>
        <w:tc>
          <w:tcPr>
            <w:tcW w:w="431" w:type="pct"/>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25</w:t>
            </w:r>
          </w:p>
        </w:tc>
        <w:tc>
          <w:tcPr>
            <w:tcW w:w="392" w:type="pct"/>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8760</w:t>
            </w:r>
          </w:p>
        </w:tc>
        <w:tc>
          <w:tcPr>
            <w:tcW w:w="243" w:type="pct"/>
            <w:vMerge w:val="restart"/>
            <w:tcBorders>
              <w:tl2br w:val="nil"/>
              <w:tr2bl w:val="nil"/>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正常</w:t>
            </w:r>
          </w:p>
        </w:tc>
        <w:tc>
          <w:tcPr>
            <w:tcW w:w="372"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NH</w:t>
            </w:r>
            <w:r>
              <w:rPr>
                <w:rFonts w:hint="eastAsia" w:ascii="Times New Roman" w:hAnsi="Times New Roman" w:eastAsia="宋体" w:cs="Times New Roman"/>
                <w:color w:val="auto"/>
                <w:szCs w:val="21"/>
                <w:vertAlign w:val="subscript"/>
                <w:lang w:val="en-US" w:eastAsia="zh-CN"/>
              </w:rPr>
              <w:t>3</w:t>
            </w:r>
          </w:p>
        </w:tc>
        <w:tc>
          <w:tcPr>
            <w:tcW w:w="624"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0.00673</w:t>
            </w:r>
          </w:p>
        </w:tc>
        <w:tc>
          <w:tcPr>
            <w:tcW w:w="480"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0.0019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249" w:type="pct"/>
            <w:vMerge w:val="continue"/>
            <w:tcBorders>
              <w:tl2br w:val="nil"/>
              <w:tr2bl w:val="nil"/>
            </w:tcBorders>
            <w:noWrap w:val="0"/>
            <w:vAlign w:val="center"/>
          </w:tcPr>
          <w:p>
            <w:pPr>
              <w:adjustRightInd w:val="0"/>
              <w:snapToGrid w:val="0"/>
              <w:jc w:val="center"/>
              <w:rPr>
                <w:color w:val="auto"/>
              </w:rPr>
            </w:pPr>
          </w:p>
        </w:tc>
        <w:tc>
          <w:tcPr>
            <w:tcW w:w="491" w:type="pct"/>
            <w:vMerge w:val="continue"/>
            <w:tcBorders>
              <w:tl2br w:val="nil"/>
              <w:tr2bl w:val="nil"/>
            </w:tcBorders>
            <w:noWrap w:val="0"/>
            <w:vAlign w:val="center"/>
          </w:tcPr>
          <w:p>
            <w:pPr>
              <w:adjustRightInd w:val="0"/>
              <w:snapToGrid w:val="0"/>
              <w:jc w:val="center"/>
              <w:rPr>
                <w:color w:val="auto"/>
              </w:rPr>
            </w:pPr>
          </w:p>
        </w:tc>
        <w:tc>
          <w:tcPr>
            <w:tcW w:w="532" w:type="pct"/>
            <w:vMerge w:val="continue"/>
            <w:tcBorders>
              <w:tl2br w:val="nil"/>
              <w:tr2bl w:val="nil"/>
            </w:tcBorders>
            <w:noWrap w:val="0"/>
            <w:vAlign w:val="center"/>
          </w:tcPr>
          <w:p>
            <w:pPr>
              <w:adjustRightInd w:val="0"/>
              <w:snapToGrid w:val="0"/>
              <w:jc w:val="center"/>
              <w:rPr>
                <w:color w:val="auto"/>
              </w:rPr>
            </w:pPr>
          </w:p>
        </w:tc>
        <w:tc>
          <w:tcPr>
            <w:tcW w:w="640" w:type="pct"/>
            <w:vMerge w:val="continue"/>
            <w:tcBorders>
              <w:tl2br w:val="nil"/>
              <w:tr2bl w:val="nil"/>
            </w:tcBorders>
            <w:noWrap w:val="0"/>
            <w:vAlign w:val="center"/>
          </w:tcPr>
          <w:p>
            <w:pPr>
              <w:adjustRightInd w:val="0"/>
              <w:snapToGrid w:val="0"/>
              <w:jc w:val="center"/>
              <w:rPr>
                <w:color w:val="auto"/>
              </w:rPr>
            </w:pPr>
          </w:p>
        </w:tc>
        <w:tc>
          <w:tcPr>
            <w:tcW w:w="538" w:type="pct"/>
            <w:vMerge w:val="continue"/>
            <w:tcBorders>
              <w:tl2br w:val="nil"/>
              <w:tr2bl w:val="nil"/>
            </w:tcBorders>
            <w:noWrap w:val="0"/>
            <w:vAlign w:val="center"/>
          </w:tcPr>
          <w:p>
            <w:pPr>
              <w:adjustRightInd w:val="0"/>
              <w:snapToGrid w:val="0"/>
              <w:jc w:val="center"/>
              <w:rPr>
                <w:color w:val="auto"/>
              </w:rPr>
            </w:pPr>
          </w:p>
        </w:tc>
        <w:tc>
          <w:tcPr>
            <w:tcW w:w="431" w:type="pct"/>
            <w:vMerge w:val="continue"/>
            <w:tcBorders>
              <w:tl2br w:val="nil"/>
              <w:tr2bl w:val="nil"/>
            </w:tcBorders>
            <w:noWrap w:val="0"/>
            <w:vAlign w:val="center"/>
          </w:tcPr>
          <w:p>
            <w:pPr>
              <w:adjustRightInd w:val="0"/>
              <w:snapToGrid w:val="0"/>
              <w:jc w:val="center"/>
              <w:rPr>
                <w:color w:val="auto"/>
              </w:rPr>
            </w:pPr>
          </w:p>
        </w:tc>
        <w:tc>
          <w:tcPr>
            <w:tcW w:w="392" w:type="pct"/>
            <w:vMerge w:val="continue"/>
            <w:tcBorders>
              <w:tl2br w:val="nil"/>
              <w:tr2bl w:val="nil"/>
            </w:tcBorders>
            <w:noWrap w:val="0"/>
            <w:vAlign w:val="center"/>
          </w:tcPr>
          <w:p>
            <w:pPr>
              <w:adjustRightInd w:val="0"/>
              <w:snapToGrid w:val="0"/>
              <w:jc w:val="center"/>
              <w:rPr>
                <w:color w:val="auto"/>
              </w:rPr>
            </w:pPr>
          </w:p>
        </w:tc>
        <w:tc>
          <w:tcPr>
            <w:tcW w:w="243" w:type="pct"/>
            <w:vMerge w:val="continue"/>
            <w:tcBorders>
              <w:tl2br w:val="nil"/>
              <w:tr2bl w:val="nil"/>
            </w:tcBorders>
            <w:noWrap w:val="0"/>
            <w:vAlign w:val="center"/>
          </w:tcPr>
          <w:p>
            <w:pPr>
              <w:adjustRightInd w:val="0"/>
              <w:snapToGrid w:val="0"/>
              <w:jc w:val="center"/>
              <w:rPr>
                <w:color w:val="auto"/>
              </w:rPr>
            </w:pPr>
          </w:p>
        </w:tc>
        <w:tc>
          <w:tcPr>
            <w:tcW w:w="372" w:type="pct"/>
            <w:tcBorders>
              <w:tl2br w:val="nil"/>
              <w:tr2bl w:val="nil"/>
            </w:tcBorders>
            <w:noWrap w:val="0"/>
            <w:vAlign w:val="center"/>
          </w:tcPr>
          <w:p>
            <w:pPr>
              <w:adjustRightInd w:val="0"/>
              <w:snapToGrid w:val="0"/>
              <w:jc w:val="center"/>
              <w:rPr>
                <w:color w:val="auto"/>
              </w:rPr>
            </w:pPr>
            <w:r>
              <w:rPr>
                <w:rFonts w:hint="eastAsia" w:ascii="Times New Roman" w:hAnsi="Times New Roman" w:eastAsia="宋体" w:cs="Times New Roman"/>
                <w:color w:val="auto"/>
                <w:szCs w:val="21"/>
                <w:lang w:val="en-US" w:eastAsia="zh-CN"/>
              </w:rPr>
              <w:t>H</w:t>
            </w:r>
            <w:r>
              <w:rPr>
                <w:rFonts w:hint="eastAsia" w:ascii="Times New Roman" w:hAnsi="Times New Roman" w:eastAsia="宋体" w:cs="Times New Roman"/>
                <w:color w:val="auto"/>
                <w:szCs w:val="21"/>
                <w:vertAlign w:val="subscript"/>
                <w:lang w:val="en-US" w:eastAsia="zh-CN"/>
              </w:rPr>
              <w:t>2</w:t>
            </w:r>
            <w:r>
              <w:rPr>
                <w:rFonts w:hint="eastAsia" w:ascii="Times New Roman" w:hAnsi="Times New Roman" w:eastAsia="宋体" w:cs="Times New Roman"/>
                <w:color w:val="auto"/>
                <w:szCs w:val="21"/>
                <w:lang w:val="en-US" w:eastAsia="zh-CN"/>
              </w:rPr>
              <w:t>S</w:t>
            </w:r>
          </w:p>
        </w:tc>
        <w:tc>
          <w:tcPr>
            <w:tcW w:w="624"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0.0004</w:t>
            </w:r>
          </w:p>
        </w:tc>
        <w:tc>
          <w:tcPr>
            <w:tcW w:w="480"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0.0001</w:t>
            </w:r>
          </w:p>
        </w:tc>
      </w:tr>
    </w:tbl>
    <w:p>
      <w:pPr>
        <w:pStyle w:val="33"/>
        <w:ind w:left="0" w:leftChars="0" w:firstLine="0" w:firstLineChars="0"/>
        <w:rPr>
          <w:rFonts w:hint="eastAsia"/>
          <w:color w:val="auto"/>
        </w:rPr>
      </w:pP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hint="default" w:ascii="Times New Roman" w:hAnsi="Times New Roman" w:cs="Times New Roman"/>
          <w:b/>
          <w:color w:val="auto"/>
          <w:sz w:val="21"/>
        </w:rPr>
      </w:pPr>
      <w:r>
        <w:rPr>
          <w:rFonts w:hint="default" w:ascii="Times New Roman" w:hAnsi="Times New Roman" w:cs="Times New Roman"/>
          <w:b/>
          <w:color w:val="auto"/>
          <w:sz w:val="21"/>
        </w:rPr>
        <w:t>表</w:t>
      </w:r>
      <w:r>
        <w:rPr>
          <w:rFonts w:hint="default" w:ascii="Times New Roman" w:hAnsi="Times New Roman" w:cs="Times New Roman"/>
          <w:b/>
          <w:color w:val="auto"/>
          <w:sz w:val="21"/>
          <w:lang w:val="en-US" w:eastAsia="zh-CN"/>
        </w:rPr>
        <w:t>1.6</w:t>
      </w:r>
      <w:r>
        <w:rPr>
          <w:rFonts w:hint="default" w:ascii="Times New Roman" w:hAnsi="Times New Roman" w:cs="Times New Roman"/>
          <w:b/>
          <w:color w:val="auto"/>
          <w:sz w:val="21"/>
        </w:rPr>
        <w:t>-</w:t>
      </w:r>
      <w:r>
        <w:rPr>
          <w:rFonts w:hint="eastAsia" w:ascii="Times New Roman" w:hAnsi="Times New Roman" w:cs="Times New Roman"/>
          <w:b/>
          <w:color w:val="auto"/>
          <w:sz w:val="21"/>
          <w:lang w:val="en-US" w:eastAsia="zh-CN"/>
        </w:rPr>
        <w:t xml:space="preserve">5 </w:t>
      </w:r>
      <w:r>
        <w:rPr>
          <w:rFonts w:hint="default" w:ascii="Times New Roman" w:hAnsi="Times New Roman" w:cs="Times New Roman"/>
          <w:b/>
          <w:color w:val="auto"/>
          <w:sz w:val="21"/>
        </w:rPr>
        <w:t xml:space="preserve"> 面源排放参数统计表</w:t>
      </w:r>
    </w:p>
    <w:tbl>
      <w:tblPr>
        <w:tblStyle w:val="35"/>
        <w:tblW w:w="4996"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904"/>
        <w:gridCol w:w="863"/>
        <w:gridCol w:w="803"/>
        <w:gridCol w:w="920"/>
        <w:gridCol w:w="1049"/>
        <w:gridCol w:w="875"/>
        <w:gridCol w:w="659"/>
        <w:gridCol w:w="674"/>
        <w:gridCol w:w="1035"/>
        <w:gridCol w:w="100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83" w:type="pct"/>
            <w:tcBorders>
              <w:tl2br w:val="nil"/>
              <w:tr2bl w:val="nil"/>
            </w:tcBorders>
            <w:noWrap w:val="0"/>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default" w:ascii="Times New Roman" w:hAnsi="Times New Roman" w:eastAsia="宋体" w:cs="Times New Roman"/>
                <w:b/>
                <w:bCs/>
                <w:color w:val="auto"/>
                <w:szCs w:val="21"/>
                <w:lang w:val="en-US" w:eastAsia="zh-CN"/>
              </w:rPr>
              <w:t>编号</w:t>
            </w:r>
          </w:p>
        </w:tc>
        <w:tc>
          <w:tcPr>
            <w:tcW w:w="509" w:type="pct"/>
            <w:tcBorders>
              <w:tl2br w:val="nil"/>
              <w:tr2bl w:val="nil"/>
            </w:tcBorders>
            <w:noWrap w:val="0"/>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default" w:ascii="Times New Roman" w:hAnsi="Times New Roman" w:eastAsia="宋体" w:cs="Times New Roman"/>
                <w:b/>
                <w:bCs/>
                <w:color w:val="auto"/>
                <w:szCs w:val="21"/>
                <w:lang w:val="en-US" w:eastAsia="zh-CN"/>
              </w:rPr>
              <w:t>名称</w:t>
            </w:r>
          </w:p>
        </w:tc>
        <w:tc>
          <w:tcPr>
            <w:tcW w:w="487" w:type="pct"/>
            <w:tcBorders>
              <w:tl2br w:val="nil"/>
              <w:tr2bl w:val="nil"/>
            </w:tcBorders>
            <w:noWrap w:val="0"/>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default" w:ascii="Times New Roman" w:hAnsi="Times New Roman" w:eastAsia="宋体" w:cs="Times New Roman"/>
                <w:b/>
                <w:bCs/>
                <w:color w:val="auto"/>
                <w:szCs w:val="21"/>
                <w:lang w:val="en-US" w:eastAsia="zh-CN"/>
              </w:rPr>
              <w:t>面源长度/m</w:t>
            </w:r>
          </w:p>
        </w:tc>
        <w:tc>
          <w:tcPr>
            <w:tcW w:w="454" w:type="pct"/>
            <w:tcBorders>
              <w:tl2br w:val="nil"/>
              <w:tr2bl w:val="nil"/>
            </w:tcBorders>
            <w:noWrap w:val="0"/>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default" w:ascii="Times New Roman" w:hAnsi="Times New Roman" w:eastAsia="宋体" w:cs="Times New Roman"/>
                <w:b/>
                <w:bCs/>
                <w:color w:val="auto"/>
                <w:szCs w:val="21"/>
                <w:lang w:val="en-US" w:eastAsia="zh-CN"/>
              </w:rPr>
              <w:t>面源宽度/m</w:t>
            </w:r>
          </w:p>
        </w:tc>
        <w:tc>
          <w:tcPr>
            <w:tcW w:w="517" w:type="pct"/>
            <w:tcBorders>
              <w:tl2br w:val="nil"/>
              <w:tr2bl w:val="nil"/>
            </w:tcBorders>
            <w:noWrap w:val="0"/>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default" w:ascii="Times New Roman" w:hAnsi="Times New Roman" w:eastAsia="宋体" w:cs="Times New Roman"/>
                <w:b/>
                <w:bCs/>
                <w:color w:val="auto"/>
                <w:szCs w:val="21"/>
                <w:lang w:val="en-US" w:eastAsia="zh-CN"/>
              </w:rPr>
              <w:t>与正北向夹角/°</w:t>
            </w:r>
          </w:p>
        </w:tc>
        <w:tc>
          <w:tcPr>
            <w:tcW w:w="587" w:type="pct"/>
            <w:tcBorders>
              <w:tl2br w:val="nil"/>
              <w:tr2bl w:val="nil"/>
            </w:tcBorders>
            <w:noWrap w:val="0"/>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default" w:ascii="Times New Roman" w:hAnsi="Times New Roman" w:eastAsia="宋体" w:cs="Times New Roman"/>
                <w:b/>
                <w:bCs/>
                <w:color w:val="auto"/>
                <w:szCs w:val="21"/>
                <w:lang w:val="en-US" w:eastAsia="zh-CN"/>
              </w:rPr>
              <w:t>面源有效排放高度/m</w:t>
            </w:r>
          </w:p>
        </w:tc>
        <w:tc>
          <w:tcPr>
            <w:tcW w:w="493" w:type="pct"/>
            <w:tcBorders>
              <w:tl2br w:val="nil"/>
              <w:tr2bl w:val="nil"/>
            </w:tcBorders>
            <w:noWrap w:val="0"/>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default" w:ascii="Times New Roman" w:hAnsi="Times New Roman" w:eastAsia="宋体" w:cs="Times New Roman"/>
                <w:b/>
                <w:bCs/>
                <w:color w:val="auto"/>
                <w:szCs w:val="21"/>
                <w:lang w:val="en-US" w:eastAsia="zh-CN"/>
              </w:rPr>
              <w:t>年排放小时数/h</w:t>
            </w:r>
          </w:p>
        </w:tc>
        <w:tc>
          <w:tcPr>
            <w:tcW w:w="376" w:type="pct"/>
            <w:tcBorders>
              <w:tl2br w:val="nil"/>
              <w:tr2bl w:val="nil"/>
            </w:tcBorders>
            <w:noWrap w:val="0"/>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default" w:ascii="Times New Roman" w:hAnsi="Times New Roman" w:eastAsia="宋体" w:cs="Times New Roman"/>
                <w:b/>
                <w:bCs/>
                <w:color w:val="auto"/>
                <w:szCs w:val="21"/>
                <w:lang w:val="en-US" w:eastAsia="zh-CN"/>
              </w:rPr>
              <w:t>排放工况</w:t>
            </w:r>
          </w:p>
        </w:tc>
        <w:tc>
          <w:tcPr>
            <w:tcW w:w="384" w:type="pct"/>
            <w:tcBorders>
              <w:tl2br w:val="nil"/>
              <w:tr2bl w:val="nil"/>
            </w:tcBorders>
            <w:noWrap w:val="0"/>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default" w:ascii="Times New Roman" w:hAnsi="Times New Roman" w:eastAsia="宋体" w:cs="Times New Roman"/>
                <w:b/>
                <w:bCs/>
                <w:color w:val="auto"/>
                <w:szCs w:val="21"/>
                <w:lang w:val="en-US" w:eastAsia="zh-CN"/>
              </w:rPr>
              <w:t>污染物名称</w:t>
            </w:r>
          </w:p>
        </w:tc>
        <w:tc>
          <w:tcPr>
            <w:tcW w:w="465" w:type="pct"/>
            <w:tcBorders>
              <w:tl2br w:val="nil"/>
              <w:tr2bl w:val="nil"/>
            </w:tcBorders>
            <w:noWrap w:val="0"/>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default" w:ascii="Times New Roman" w:hAnsi="Times New Roman" w:eastAsia="宋体" w:cs="Times New Roman"/>
                <w:b/>
                <w:bCs/>
                <w:color w:val="auto"/>
                <w:szCs w:val="21"/>
                <w:lang w:val="en-US" w:eastAsia="zh-CN"/>
              </w:rPr>
              <w:t>排放速率（kg/h）</w:t>
            </w:r>
          </w:p>
        </w:tc>
        <w:tc>
          <w:tcPr>
            <w:tcW w:w="540" w:type="pct"/>
            <w:tcBorders>
              <w:tl2br w:val="nil"/>
              <w:tr2bl w:val="nil"/>
            </w:tcBorders>
            <w:noWrap w:val="0"/>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default" w:ascii="Times New Roman" w:hAnsi="Times New Roman" w:eastAsia="宋体" w:cs="Times New Roman"/>
                <w:b/>
                <w:bCs/>
                <w:color w:val="auto"/>
                <w:szCs w:val="21"/>
                <w:lang w:val="en-US" w:eastAsia="zh-CN"/>
              </w:rPr>
              <w:t>污染物排放速率（g/s）</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183" w:type="pct"/>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w:t>
            </w:r>
          </w:p>
        </w:tc>
        <w:tc>
          <w:tcPr>
            <w:tcW w:w="509" w:type="pct"/>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育肥舍1</w:t>
            </w:r>
          </w:p>
        </w:tc>
        <w:tc>
          <w:tcPr>
            <w:tcW w:w="487" w:type="pct"/>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130</w:t>
            </w:r>
          </w:p>
        </w:tc>
        <w:tc>
          <w:tcPr>
            <w:tcW w:w="454" w:type="pct"/>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48</w:t>
            </w:r>
          </w:p>
        </w:tc>
        <w:tc>
          <w:tcPr>
            <w:tcW w:w="517" w:type="pct"/>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-45</w:t>
            </w:r>
          </w:p>
        </w:tc>
        <w:tc>
          <w:tcPr>
            <w:tcW w:w="587" w:type="pct"/>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4.5</w:t>
            </w:r>
          </w:p>
        </w:tc>
        <w:tc>
          <w:tcPr>
            <w:tcW w:w="493" w:type="pct"/>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8760</w:t>
            </w:r>
          </w:p>
        </w:tc>
        <w:tc>
          <w:tcPr>
            <w:tcW w:w="376" w:type="pct"/>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正常</w:t>
            </w:r>
          </w:p>
        </w:tc>
        <w:tc>
          <w:tcPr>
            <w:tcW w:w="384"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NH</w:t>
            </w:r>
            <w:r>
              <w:rPr>
                <w:rFonts w:hint="default" w:ascii="Times New Roman" w:hAnsi="Times New Roman" w:eastAsia="宋体" w:cs="Times New Roman"/>
                <w:color w:val="auto"/>
                <w:szCs w:val="21"/>
                <w:vertAlign w:val="subscript"/>
                <w:lang w:val="en-US" w:eastAsia="zh-CN"/>
              </w:rPr>
              <w:t>3</w:t>
            </w:r>
          </w:p>
        </w:tc>
        <w:tc>
          <w:tcPr>
            <w:tcW w:w="46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0.01</w:t>
            </w:r>
          </w:p>
        </w:tc>
        <w:tc>
          <w:tcPr>
            <w:tcW w:w="540"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0.00278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83" w:type="pct"/>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509" w:type="pct"/>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487" w:type="pct"/>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454" w:type="pct"/>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517" w:type="pct"/>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587" w:type="pct"/>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p>
        </w:tc>
        <w:tc>
          <w:tcPr>
            <w:tcW w:w="493" w:type="pct"/>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376" w:type="pct"/>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384" w:type="pct"/>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kern w:val="2"/>
                <w:sz w:val="21"/>
                <w:szCs w:val="22"/>
                <w:lang w:val="en-US" w:eastAsia="zh-CN" w:bidi="ar-SA"/>
              </w:rPr>
            </w:pPr>
            <w:r>
              <w:rPr>
                <w:rFonts w:hint="default" w:ascii="Times New Roman" w:hAnsi="Times New Roman" w:eastAsia="宋体" w:cs="Times New Roman"/>
                <w:color w:val="auto"/>
                <w:szCs w:val="21"/>
                <w:lang w:val="en-US" w:eastAsia="zh-CN"/>
              </w:rPr>
              <w:t>H</w:t>
            </w:r>
            <w:r>
              <w:rPr>
                <w:rFonts w:hint="default" w:ascii="Times New Roman" w:hAnsi="Times New Roman" w:eastAsia="宋体" w:cs="Times New Roman"/>
                <w:color w:val="auto"/>
                <w:szCs w:val="21"/>
                <w:vertAlign w:val="subscript"/>
                <w:lang w:val="en-US" w:eastAsia="zh-CN"/>
              </w:rPr>
              <w:t>2</w:t>
            </w:r>
            <w:r>
              <w:rPr>
                <w:rFonts w:hint="default" w:ascii="Times New Roman" w:hAnsi="Times New Roman" w:eastAsia="宋体" w:cs="Times New Roman"/>
                <w:color w:val="auto"/>
                <w:szCs w:val="21"/>
                <w:lang w:val="en-US" w:eastAsia="zh-CN"/>
              </w:rPr>
              <w:t>S</w:t>
            </w:r>
          </w:p>
        </w:tc>
        <w:tc>
          <w:tcPr>
            <w:tcW w:w="46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0.0007</w:t>
            </w:r>
          </w:p>
        </w:tc>
        <w:tc>
          <w:tcPr>
            <w:tcW w:w="540"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83" w:type="pct"/>
            <w:vMerge w:val="restart"/>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lang w:val="en-US" w:eastAsia="zh-CN"/>
              </w:rPr>
            </w:pPr>
            <w:r>
              <w:rPr>
                <w:rFonts w:hint="default" w:ascii="Times New Roman" w:hAnsi="Times New Roman" w:cs="Times New Roman"/>
                <w:color w:val="auto"/>
                <w:lang w:val="en-US" w:eastAsia="zh-CN"/>
              </w:rPr>
              <w:t>2</w:t>
            </w:r>
          </w:p>
        </w:tc>
        <w:tc>
          <w:tcPr>
            <w:tcW w:w="509" w:type="pct"/>
            <w:vMerge w:val="restart"/>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lang w:val="en-US" w:eastAsia="zh-CN"/>
              </w:rPr>
            </w:pPr>
            <w:r>
              <w:rPr>
                <w:rFonts w:hint="eastAsia" w:ascii="Times New Roman" w:hAnsi="Times New Roman" w:cs="Times New Roman"/>
                <w:color w:val="auto"/>
                <w:lang w:val="en-US" w:eastAsia="zh-CN"/>
              </w:rPr>
              <w:t>育肥舍2</w:t>
            </w:r>
          </w:p>
        </w:tc>
        <w:tc>
          <w:tcPr>
            <w:tcW w:w="487" w:type="pct"/>
            <w:vMerge w:val="restart"/>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lang w:val="en-US" w:eastAsia="zh-CN"/>
              </w:rPr>
            </w:pPr>
            <w:r>
              <w:rPr>
                <w:rFonts w:hint="eastAsia" w:ascii="Times New Roman" w:hAnsi="Times New Roman" w:eastAsia="宋体" w:cs="Times New Roman"/>
                <w:color w:val="auto"/>
                <w:szCs w:val="21"/>
                <w:lang w:val="en-US" w:eastAsia="zh-CN"/>
              </w:rPr>
              <w:t>130</w:t>
            </w:r>
          </w:p>
        </w:tc>
        <w:tc>
          <w:tcPr>
            <w:tcW w:w="454" w:type="pct"/>
            <w:vMerge w:val="restart"/>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lang w:val="en-US" w:eastAsia="zh-CN"/>
              </w:rPr>
            </w:pPr>
            <w:r>
              <w:rPr>
                <w:rFonts w:hint="eastAsia" w:ascii="Times New Roman" w:hAnsi="Times New Roman" w:eastAsia="宋体" w:cs="Times New Roman"/>
                <w:color w:val="auto"/>
                <w:szCs w:val="21"/>
                <w:lang w:val="en-US" w:eastAsia="zh-CN"/>
              </w:rPr>
              <w:t>48</w:t>
            </w:r>
          </w:p>
        </w:tc>
        <w:tc>
          <w:tcPr>
            <w:tcW w:w="517" w:type="pct"/>
            <w:vMerge w:val="restart"/>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lang w:val="en-US" w:eastAsia="zh-CN"/>
              </w:rPr>
            </w:pPr>
            <w:r>
              <w:rPr>
                <w:rFonts w:hint="eastAsia" w:ascii="Times New Roman" w:hAnsi="Times New Roman" w:eastAsia="宋体" w:cs="Times New Roman"/>
                <w:color w:val="auto"/>
                <w:szCs w:val="21"/>
                <w:lang w:val="en-US" w:eastAsia="zh-CN"/>
              </w:rPr>
              <w:t>-45</w:t>
            </w:r>
          </w:p>
        </w:tc>
        <w:tc>
          <w:tcPr>
            <w:tcW w:w="587" w:type="pct"/>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4.5</w:t>
            </w:r>
          </w:p>
        </w:tc>
        <w:tc>
          <w:tcPr>
            <w:tcW w:w="493" w:type="pct"/>
            <w:vMerge w:val="restart"/>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lang w:val="en-US" w:eastAsia="zh-CN"/>
              </w:rPr>
            </w:pPr>
            <w:r>
              <w:rPr>
                <w:rFonts w:hint="default" w:ascii="Times New Roman" w:hAnsi="Times New Roman" w:eastAsia="宋体" w:cs="Times New Roman"/>
                <w:color w:val="auto"/>
                <w:szCs w:val="21"/>
                <w:lang w:val="en-US" w:eastAsia="zh-CN"/>
              </w:rPr>
              <w:t>8760</w:t>
            </w:r>
          </w:p>
        </w:tc>
        <w:tc>
          <w:tcPr>
            <w:tcW w:w="376" w:type="pct"/>
            <w:vMerge w:val="restart"/>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lang w:eastAsia="zh-CN"/>
              </w:rPr>
            </w:pPr>
            <w:r>
              <w:rPr>
                <w:rFonts w:hint="default" w:ascii="Times New Roman" w:hAnsi="Times New Roman" w:cs="Times New Roman"/>
                <w:color w:val="auto"/>
                <w:lang w:eastAsia="zh-CN"/>
              </w:rPr>
              <w:t>正常</w:t>
            </w:r>
          </w:p>
        </w:tc>
        <w:tc>
          <w:tcPr>
            <w:tcW w:w="384"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NH</w:t>
            </w:r>
            <w:r>
              <w:rPr>
                <w:rFonts w:hint="default" w:ascii="Times New Roman" w:hAnsi="Times New Roman" w:eastAsia="宋体" w:cs="Times New Roman"/>
                <w:color w:val="auto"/>
                <w:szCs w:val="21"/>
                <w:vertAlign w:val="subscript"/>
                <w:lang w:val="en-US" w:eastAsia="zh-CN"/>
              </w:rPr>
              <w:t>3</w:t>
            </w:r>
          </w:p>
        </w:tc>
        <w:tc>
          <w:tcPr>
            <w:tcW w:w="46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0.01</w:t>
            </w:r>
          </w:p>
        </w:tc>
        <w:tc>
          <w:tcPr>
            <w:tcW w:w="540"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0.00278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83" w:type="pct"/>
            <w:vMerge w:val="continue"/>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lang w:val="en-US" w:eastAsia="zh-CN"/>
              </w:rPr>
            </w:pPr>
          </w:p>
        </w:tc>
        <w:tc>
          <w:tcPr>
            <w:tcW w:w="509" w:type="pct"/>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487" w:type="pct"/>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454" w:type="pct"/>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517" w:type="pct"/>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587" w:type="pct"/>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p>
        </w:tc>
        <w:tc>
          <w:tcPr>
            <w:tcW w:w="493" w:type="pct"/>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376" w:type="pct"/>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384" w:type="pct"/>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kern w:val="2"/>
                <w:sz w:val="21"/>
                <w:szCs w:val="22"/>
                <w:lang w:val="en-US" w:eastAsia="zh-CN" w:bidi="ar-SA"/>
              </w:rPr>
            </w:pPr>
            <w:r>
              <w:rPr>
                <w:rFonts w:hint="default" w:ascii="Times New Roman" w:hAnsi="Times New Roman" w:eastAsia="宋体" w:cs="Times New Roman"/>
                <w:color w:val="auto"/>
                <w:szCs w:val="21"/>
                <w:lang w:val="en-US" w:eastAsia="zh-CN"/>
              </w:rPr>
              <w:t>H</w:t>
            </w:r>
            <w:r>
              <w:rPr>
                <w:rFonts w:hint="default" w:ascii="Times New Roman" w:hAnsi="Times New Roman" w:eastAsia="宋体" w:cs="Times New Roman"/>
                <w:color w:val="auto"/>
                <w:szCs w:val="21"/>
                <w:vertAlign w:val="subscript"/>
                <w:lang w:val="en-US" w:eastAsia="zh-CN"/>
              </w:rPr>
              <w:t>2</w:t>
            </w:r>
            <w:r>
              <w:rPr>
                <w:rFonts w:hint="default" w:ascii="Times New Roman" w:hAnsi="Times New Roman" w:eastAsia="宋体" w:cs="Times New Roman"/>
                <w:color w:val="auto"/>
                <w:szCs w:val="21"/>
                <w:lang w:val="en-US" w:eastAsia="zh-CN"/>
              </w:rPr>
              <w:t>S</w:t>
            </w:r>
          </w:p>
        </w:tc>
        <w:tc>
          <w:tcPr>
            <w:tcW w:w="46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0.0007</w:t>
            </w:r>
          </w:p>
        </w:tc>
        <w:tc>
          <w:tcPr>
            <w:tcW w:w="540"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183" w:type="pct"/>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w:t>
            </w:r>
          </w:p>
        </w:tc>
        <w:tc>
          <w:tcPr>
            <w:tcW w:w="509" w:type="pct"/>
            <w:vMerge w:val="restart"/>
            <w:tcBorders>
              <w:tl2br w:val="nil"/>
              <w:tr2bl w:val="nil"/>
            </w:tcBorders>
            <w:noWrap w:val="0"/>
            <w:vAlign w:val="center"/>
          </w:tcPr>
          <w:p>
            <w:pPr>
              <w:pStyle w:val="98"/>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污水处理区</w:t>
            </w:r>
          </w:p>
        </w:tc>
        <w:tc>
          <w:tcPr>
            <w:tcW w:w="487" w:type="pct"/>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45</w:t>
            </w:r>
          </w:p>
        </w:tc>
        <w:tc>
          <w:tcPr>
            <w:tcW w:w="454" w:type="pct"/>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26</w:t>
            </w:r>
          </w:p>
        </w:tc>
        <w:tc>
          <w:tcPr>
            <w:tcW w:w="517" w:type="pct"/>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-45</w:t>
            </w:r>
          </w:p>
        </w:tc>
        <w:tc>
          <w:tcPr>
            <w:tcW w:w="587" w:type="pct"/>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2</w:t>
            </w:r>
          </w:p>
        </w:tc>
        <w:tc>
          <w:tcPr>
            <w:tcW w:w="493" w:type="pct"/>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8760</w:t>
            </w:r>
          </w:p>
        </w:tc>
        <w:tc>
          <w:tcPr>
            <w:tcW w:w="376" w:type="pct"/>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正常</w:t>
            </w:r>
          </w:p>
        </w:tc>
        <w:tc>
          <w:tcPr>
            <w:tcW w:w="384"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NH</w:t>
            </w:r>
            <w:r>
              <w:rPr>
                <w:rFonts w:hint="default" w:ascii="Times New Roman" w:hAnsi="Times New Roman" w:eastAsia="宋体" w:cs="Times New Roman"/>
                <w:color w:val="auto"/>
                <w:szCs w:val="21"/>
                <w:vertAlign w:val="subscript"/>
                <w:lang w:val="en-US" w:eastAsia="zh-CN"/>
              </w:rPr>
              <w:t>3</w:t>
            </w:r>
          </w:p>
        </w:tc>
        <w:tc>
          <w:tcPr>
            <w:tcW w:w="46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0.00552</w:t>
            </w:r>
          </w:p>
        </w:tc>
        <w:tc>
          <w:tcPr>
            <w:tcW w:w="540"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83" w:type="pct"/>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509" w:type="pct"/>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487" w:type="pct"/>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454" w:type="pct"/>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517" w:type="pct"/>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587" w:type="pct"/>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p>
        </w:tc>
        <w:tc>
          <w:tcPr>
            <w:tcW w:w="493" w:type="pct"/>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376" w:type="pct"/>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384" w:type="pct"/>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kern w:val="2"/>
                <w:sz w:val="21"/>
                <w:szCs w:val="22"/>
                <w:lang w:val="en-US" w:eastAsia="zh-CN" w:bidi="ar-SA"/>
              </w:rPr>
            </w:pPr>
            <w:r>
              <w:rPr>
                <w:rFonts w:hint="default" w:ascii="Times New Roman" w:hAnsi="Times New Roman" w:eastAsia="宋体" w:cs="Times New Roman"/>
                <w:color w:val="auto"/>
                <w:szCs w:val="21"/>
                <w:lang w:val="en-US" w:eastAsia="zh-CN"/>
              </w:rPr>
              <w:t>H</w:t>
            </w:r>
            <w:r>
              <w:rPr>
                <w:rFonts w:hint="default" w:ascii="Times New Roman" w:hAnsi="Times New Roman" w:eastAsia="宋体" w:cs="Times New Roman"/>
                <w:color w:val="auto"/>
                <w:szCs w:val="21"/>
                <w:vertAlign w:val="subscript"/>
                <w:lang w:val="en-US" w:eastAsia="zh-CN"/>
              </w:rPr>
              <w:t>2</w:t>
            </w:r>
            <w:r>
              <w:rPr>
                <w:rFonts w:hint="default" w:ascii="Times New Roman" w:hAnsi="Times New Roman" w:eastAsia="宋体" w:cs="Times New Roman"/>
                <w:color w:val="auto"/>
                <w:szCs w:val="21"/>
                <w:lang w:val="en-US" w:eastAsia="zh-CN"/>
              </w:rPr>
              <w:t>S</w:t>
            </w:r>
          </w:p>
        </w:tc>
        <w:tc>
          <w:tcPr>
            <w:tcW w:w="46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0.000016</w:t>
            </w:r>
          </w:p>
        </w:tc>
        <w:tc>
          <w:tcPr>
            <w:tcW w:w="540"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0.000004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83" w:type="pct"/>
            <w:vMerge w:val="restart"/>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lang w:val="en-US" w:eastAsia="zh-CN"/>
              </w:rPr>
            </w:pPr>
            <w:r>
              <w:rPr>
                <w:rFonts w:hint="eastAsia" w:ascii="Times New Roman" w:hAnsi="Times New Roman" w:cs="Times New Roman"/>
                <w:color w:val="auto"/>
                <w:lang w:val="en-US" w:eastAsia="zh-CN"/>
              </w:rPr>
              <w:t>4</w:t>
            </w:r>
          </w:p>
        </w:tc>
        <w:tc>
          <w:tcPr>
            <w:tcW w:w="509" w:type="pct"/>
            <w:vMerge w:val="restart"/>
            <w:tcBorders>
              <w:tl2br w:val="nil"/>
              <w:tr2bl w:val="nil"/>
            </w:tcBorders>
            <w:noWrap w:val="0"/>
            <w:vAlign w:val="center"/>
          </w:tcPr>
          <w:p>
            <w:pPr>
              <w:pStyle w:val="98"/>
              <w:jc w:val="center"/>
              <w:rPr>
                <w:rFonts w:hint="default" w:ascii="Times New Roman" w:hAnsi="Times New Roman" w:cs="Times New Roman" w:eastAsiaTheme="minorEastAsia"/>
                <w:color w:val="auto"/>
                <w:lang w:val="en-US" w:eastAsia="zh-CN"/>
              </w:rPr>
            </w:pPr>
            <w:r>
              <w:rPr>
                <w:rFonts w:hint="default" w:ascii="Times New Roman" w:hAnsi="Times New Roman" w:cs="Times New Roman"/>
                <w:color w:val="auto"/>
                <w:szCs w:val="21"/>
                <w:lang w:val="en-US" w:eastAsia="zh-CN"/>
              </w:rPr>
              <w:t>堆粪间</w:t>
            </w:r>
          </w:p>
        </w:tc>
        <w:tc>
          <w:tcPr>
            <w:tcW w:w="487" w:type="pct"/>
            <w:vMerge w:val="restart"/>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lang w:val="en-US" w:eastAsia="zh-CN"/>
              </w:rPr>
            </w:pPr>
            <w:r>
              <w:rPr>
                <w:rFonts w:hint="eastAsia" w:ascii="Times New Roman" w:hAnsi="Times New Roman" w:cs="Times New Roman"/>
                <w:color w:val="auto"/>
                <w:lang w:val="en-US" w:eastAsia="zh-CN"/>
              </w:rPr>
              <w:t>20</w:t>
            </w:r>
          </w:p>
        </w:tc>
        <w:tc>
          <w:tcPr>
            <w:tcW w:w="454" w:type="pct"/>
            <w:vMerge w:val="restart"/>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lang w:val="en-US" w:eastAsia="zh-CN"/>
              </w:rPr>
            </w:pPr>
            <w:r>
              <w:rPr>
                <w:rFonts w:hint="eastAsia" w:ascii="Times New Roman" w:hAnsi="Times New Roman" w:cs="Times New Roman"/>
                <w:color w:val="auto"/>
                <w:lang w:val="en-US" w:eastAsia="zh-CN"/>
              </w:rPr>
              <w:t>15</w:t>
            </w:r>
          </w:p>
        </w:tc>
        <w:tc>
          <w:tcPr>
            <w:tcW w:w="517" w:type="pct"/>
            <w:vMerge w:val="restart"/>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lang w:val="en-US" w:eastAsia="zh-CN"/>
              </w:rPr>
            </w:pPr>
            <w:r>
              <w:rPr>
                <w:rFonts w:hint="eastAsia" w:ascii="Times New Roman" w:hAnsi="Times New Roman" w:eastAsia="宋体" w:cs="Times New Roman"/>
                <w:color w:val="auto"/>
                <w:szCs w:val="21"/>
                <w:lang w:val="en-US" w:eastAsia="zh-CN"/>
              </w:rPr>
              <w:t>-45</w:t>
            </w:r>
          </w:p>
        </w:tc>
        <w:tc>
          <w:tcPr>
            <w:tcW w:w="587" w:type="pct"/>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w:t>
            </w:r>
          </w:p>
        </w:tc>
        <w:tc>
          <w:tcPr>
            <w:tcW w:w="493" w:type="pct"/>
            <w:vMerge w:val="restart"/>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lang w:val="en-US" w:eastAsia="zh-CN"/>
              </w:rPr>
            </w:pPr>
            <w:r>
              <w:rPr>
                <w:rFonts w:hint="default" w:ascii="Times New Roman" w:hAnsi="Times New Roman" w:eastAsia="宋体" w:cs="Times New Roman"/>
                <w:color w:val="auto"/>
                <w:szCs w:val="21"/>
                <w:lang w:val="en-US" w:eastAsia="zh-CN"/>
              </w:rPr>
              <w:t>8760</w:t>
            </w:r>
          </w:p>
        </w:tc>
        <w:tc>
          <w:tcPr>
            <w:tcW w:w="376" w:type="pct"/>
            <w:vMerge w:val="restart"/>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lang w:eastAsia="zh-CN"/>
              </w:rPr>
            </w:pPr>
            <w:r>
              <w:rPr>
                <w:rFonts w:hint="default" w:ascii="Times New Roman" w:hAnsi="Times New Roman" w:cs="Times New Roman"/>
                <w:color w:val="auto"/>
                <w:lang w:eastAsia="zh-CN"/>
              </w:rPr>
              <w:t>正常</w:t>
            </w:r>
          </w:p>
        </w:tc>
        <w:tc>
          <w:tcPr>
            <w:tcW w:w="384"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NH</w:t>
            </w:r>
            <w:r>
              <w:rPr>
                <w:rFonts w:hint="default" w:ascii="Times New Roman" w:hAnsi="Times New Roman" w:eastAsia="宋体" w:cs="Times New Roman"/>
                <w:color w:val="auto"/>
                <w:szCs w:val="21"/>
                <w:vertAlign w:val="subscript"/>
                <w:lang w:val="en-US" w:eastAsia="zh-CN"/>
              </w:rPr>
              <w:t>3</w:t>
            </w:r>
          </w:p>
        </w:tc>
        <w:tc>
          <w:tcPr>
            <w:tcW w:w="46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0.0013</w:t>
            </w:r>
          </w:p>
        </w:tc>
        <w:tc>
          <w:tcPr>
            <w:tcW w:w="540"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0.00036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83" w:type="pct"/>
            <w:vMerge w:val="continue"/>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lang w:val="en-US" w:eastAsia="zh-CN"/>
              </w:rPr>
            </w:pPr>
          </w:p>
        </w:tc>
        <w:tc>
          <w:tcPr>
            <w:tcW w:w="509" w:type="pct"/>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487" w:type="pct"/>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454" w:type="pct"/>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517" w:type="pct"/>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587" w:type="pct"/>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493" w:type="pct"/>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376" w:type="pct"/>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384" w:type="pct"/>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kern w:val="2"/>
                <w:sz w:val="21"/>
                <w:szCs w:val="22"/>
                <w:lang w:val="en-US" w:eastAsia="zh-CN" w:bidi="ar-SA"/>
              </w:rPr>
            </w:pPr>
            <w:r>
              <w:rPr>
                <w:rFonts w:hint="default" w:ascii="Times New Roman" w:hAnsi="Times New Roman" w:eastAsia="宋体" w:cs="Times New Roman"/>
                <w:color w:val="auto"/>
                <w:szCs w:val="21"/>
                <w:lang w:val="en-US" w:eastAsia="zh-CN"/>
              </w:rPr>
              <w:t>H</w:t>
            </w:r>
            <w:r>
              <w:rPr>
                <w:rFonts w:hint="default" w:ascii="Times New Roman" w:hAnsi="Times New Roman" w:eastAsia="宋体" w:cs="Times New Roman"/>
                <w:color w:val="auto"/>
                <w:szCs w:val="21"/>
                <w:vertAlign w:val="subscript"/>
                <w:lang w:val="en-US" w:eastAsia="zh-CN"/>
              </w:rPr>
              <w:t>2</w:t>
            </w:r>
            <w:r>
              <w:rPr>
                <w:rFonts w:hint="default" w:ascii="Times New Roman" w:hAnsi="Times New Roman" w:eastAsia="宋体" w:cs="Times New Roman"/>
                <w:color w:val="auto"/>
                <w:szCs w:val="21"/>
                <w:lang w:val="en-US" w:eastAsia="zh-CN"/>
              </w:rPr>
              <w:t>S</w:t>
            </w:r>
          </w:p>
        </w:tc>
        <w:tc>
          <w:tcPr>
            <w:tcW w:w="465"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0.00008</w:t>
            </w:r>
          </w:p>
        </w:tc>
        <w:tc>
          <w:tcPr>
            <w:tcW w:w="540" w:type="pc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0.00002</w:t>
            </w:r>
          </w:p>
        </w:tc>
      </w:tr>
    </w:tbl>
    <w:p>
      <w:pPr>
        <w:spacing w:line="360" w:lineRule="auto"/>
        <w:ind w:firstLine="482" w:firstLineChars="200"/>
        <w:rPr>
          <w:rFonts w:hint="default" w:ascii="Times New Roman" w:hAnsi="Times New Roman"/>
          <w:b/>
          <w:bCs/>
          <w:iCs/>
          <w:color w:val="auto"/>
          <w:kern w:val="0"/>
          <w:sz w:val="24"/>
          <w:szCs w:val="24"/>
          <w:lang w:val="en-US" w:eastAsia="zh-CN"/>
        </w:rPr>
      </w:pPr>
      <w:r>
        <w:rPr>
          <w:rFonts w:hint="eastAsia" w:ascii="Times New Roman" w:hAnsi="Times New Roman"/>
          <w:b/>
          <w:bCs/>
          <w:iCs/>
          <w:color w:val="auto"/>
          <w:kern w:val="0"/>
          <w:sz w:val="24"/>
          <w:szCs w:val="24"/>
          <w:lang w:eastAsia="zh-CN"/>
        </w:rPr>
        <w:t>等级确定：</w:t>
      </w:r>
    </w:p>
    <w:p>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outlineLvl w:val="9"/>
        <w:rPr>
          <w:rFonts w:hint="default"/>
          <w:color w:val="auto"/>
        </w:rPr>
      </w:pPr>
      <w:r>
        <w:rPr>
          <w:rFonts w:hint="default" w:ascii="Times New Roman" w:hAnsi="Times New Roman" w:eastAsia="宋体" w:cs="Times New Roman"/>
          <w:b/>
          <w:color w:val="auto"/>
          <w:kern w:val="0"/>
          <w:sz w:val="21"/>
          <w:szCs w:val="21"/>
        </w:rPr>
        <w:t>表1.6-</w:t>
      </w:r>
      <w:r>
        <w:rPr>
          <w:rFonts w:hint="eastAsia" w:ascii="Times New Roman" w:hAnsi="Times New Roman" w:eastAsia="宋体" w:cs="Times New Roman"/>
          <w:b/>
          <w:color w:val="auto"/>
          <w:kern w:val="0"/>
          <w:sz w:val="21"/>
          <w:szCs w:val="21"/>
          <w:lang w:val="en-US" w:eastAsia="zh-CN"/>
        </w:rPr>
        <w:t xml:space="preserve">6  </w:t>
      </w:r>
      <w:r>
        <w:rPr>
          <w:rFonts w:hint="default" w:ascii="Times New Roman" w:hAnsi="Times New Roman" w:eastAsia="宋体" w:cs="Times New Roman"/>
          <w:b/>
          <w:color w:val="auto"/>
          <w:sz w:val="21"/>
          <w:szCs w:val="21"/>
        </w:rPr>
        <w:t>采用估算模式计算结果表</w:t>
      </w:r>
    </w:p>
    <w:tbl>
      <w:tblPr>
        <w:tblStyle w:val="34"/>
        <w:tblW w:w="922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981"/>
        <w:gridCol w:w="964"/>
        <w:gridCol w:w="877"/>
        <w:gridCol w:w="2069"/>
        <w:gridCol w:w="1603"/>
        <w:gridCol w:w="172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1981"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污染源</w:t>
            </w:r>
          </w:p>
        </w:tc>
        <w:tc>
          <w:tcPr>
            <w:tcW w:w="964"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污染物</w:t>
            </w:r>
          </w:p>
        </w:tc>
        <w:tc>
          <w:tcPr>
            <w:tcW w:w="877"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点源/面源</w:t>
            </w:r>
          </w:p>
        </w:tc>
        <w:tc>
          <w:tcPr>
            <w:tcW w:w="5398"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下风向最大落地浓度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5" w:hRule="atLeast"/>
          <w:jc w:val="center"/>
        </w:trPr>
        <w:tc>
          <w:tcPr>
            <w:tcW w:w="1981"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eastAsia="宋体" w:cs="Times New Roman"/>
                <w:b/>
                <w:bCs/>
                <w:color w:val="auto"/>
                <w:sz w:val="21"/>
                <w:szCs w:val="21"/>
              </w:rPr>
            </w:pPr>
          </w:p>
        </w:tc>
        <w:tc>
          <w:tcPr>
            <w:tcW w:w="964"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eastAsia="宋体" w:cs="Times New Roman"/>
                <w:b/>
                <w:bCs/>
                <w:color w:val="auto"/>
                <w:sz w:val="21"/>
                <w:szCs w:val="21"/>
              </w:rPr>
            </w:pPr>
          </w:p>
        </w:tc>
        <w:tc>
          <w:tcPr>
            <w:tcW w:w="877"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eastAsia="宋体" w:cs="Times New Roman"/>
                <w:b/>
                <w:bCs/>
                <w:color w:val="auto"/>
                <w:sz w:val="21"/>
                <w:szCs w:val="21"/>
              </w:rPr>
            </w:pPr>
          </w:p>
        </w:tc>
        <w:tc>
          <w:tcPr>
            <w:tcW w:w="206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下风向预测最大落地浓度ci/（</w:t>
            </w:r>
            <w:r>
              <w:rPr>
                <w:rFonts w:hint="eastAsia" w:ascii="Times New Roman" w:hAnsi="Times New Roman" w:eastAsia="宋体" w:cs="Times New Roman"/>
                <w:b/>
                <w:bCs/>
                <w:color w:val="auto"/>
                <w:sz w:val="21"/>
                <w:szCs w:val="21"/>
                <w:lang w:val="en-US" w:eastAsia="zh-CN"/>
              </w:rPr>
              <w:t>m</w:t>
            </w:r>
            <w:r>
              <w:rPr>
                <w:rFonts w:hint="default" w:ascii="Times New Roman" w:hAnsi="Times New Roman" w:eastAsia="宋体" w:cs="Times New Roman"/>
                <w:b/>
                <w:bCs/>
                <w:color w:val="auto"/>
                <w:sz w:val="21"/>
                <w:szCs w:val="21"/>
              </w:rPr>
              <w:t>g/</w:t>
            </w:r>
            <w:r>
              <w:rPr>
                <w:rFonts w:hint="eastAsia" w:ascii="Times New Roman" w:hAnsi="Times New Roman" w:eastAsia="宋体" w:cs="Times New Roman"/>
                <w:b/>
                <w:bCs/>
                <w:color w:val="auto"/>
                <w:sz w:val="21"/>
                <w:szCs w:val="21"/>
                <w:lang w:eastAsia="zh-CN"/>
              </w:rPr>
              <w:t>m</w:t>
            </w:r>
            <w:r>
              <w:rPr>
                <w:rFonts w:hint="eastAsia" w:ascii="Times New Roman" w:hAnsi="Times New Roman" w:eastAsia="宋体" w:cs="Times New Roman"/>
                <w:b/>
                <w:bCs/>
                <w:color w:val="auto"/>
                <w:sz w:val="21"/>
                <w:szCs w:val="21"/>
                <w:vertAlign w:val="superscript"/>
                <w:lang w:eastAsia="zh-CN"/>
              </w:rPr>
              <w:t>3</w:t>
            </w:r>
            <w:r>
              <w:rPr>
                <w:rFonts w:hint="default" w:ascii="Times New Roman" w:hAnsi="Times New Roman" w:eastAsia="宋体" w:cs="Times New Roman"/>
                <w:b/>
                <w:bCs/>
                <w:color w:val="auto"/>
                <w:sz w:val="21"/>
                <w:szCs w:val="21"/>
              </w:rPr>
              <w:t>）</w:t>
            </w:r>
          </w:p>
        </w:tc>
        <w:tc>
          <w:tcPr>
            <w:tcW w:w="16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浓度占标率</w:t>
            </w:r>
          </w:p>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Pi/%</w:t>
            </w:r>
          </w:p>
        </w:tc>
        <w:tc>
          <w:tcPr>
            <w:tcW w:w="1726"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最大落地浓度出现的距离D/m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981" w:type="dxa"/>
            <w:vMerge w:val="restart"/>
            <w:tcBorders>
              <w:tl2br w:val="nil"/>
              <w:tr2bl w:val="nil"/>
            </w:tcBorders>
            <w:noWrap w:val="0"/>
            <w:vAlign w:val="center"/>
          </w:tcPr>
          <w:p>
            <w:pPr>
              <w:adjustRightInd w:val="0"/>
              <w:snapToGrid w:val="0"/>
              <w:jc w:val="center"/>
              <w:rPr>
                <w:rFonts w:hint="eastAsia" w:ascii="Times New Roman" w:hAnsi="Times New Roman" w:eastAsia="宋体" w:cs="Times New Roman"/>
                <w:b w:val="0"/>
                <w:bCs w:val="0"/>
                <w:color w:val="auto"/>
                <w:sz w:val="21"/>
                <w:szCs w:val="21"/>
                <w:lang w:eastAsia="zh-CN"/>
              </w:rPr>
            </w:pPr>
            <w:r>
              <w:rPr>
                <w:rFonts w:hint="eastAsia" w:ascii="Times New Roman" w:hAnsi="Times New Roman" w:eastAsia="宋体" w:cs="Times New Roman"/>
                <w:b w:val="0"/>
                <w:bCs w:val="0"/>
                <w:color w:val="auto"/>
                <w:szCs w:val="21"/>
                <w:lang w:val="en-US" w:eastAsia="zh-CN"/>
              </w:rPr>
              <w:t>育肥舍1</w:t>
            </w:r>
          </w:p>
        </w:tc>
        <w:tc>
          <w:tcPr>
            <w:tcW w:w="96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outlineLvl w:val="9"/>
              <w:rPr>
                <w:rFonts w:hint="eastAsia" w:ascii="Times New Roman" w:hAnsi="Times New Roman" w:eastAsia="宋体" w:cs="Times New Roman"/>
                <w:b w:val="0"/>
                <w:bCs w:val="0"/>
                <w:color w:val="auto"/>
                <w:kern w:val="0"/>
                <w:sz w:val="21"/>
                <w:szCs w:val="21"/>
                <w:lang w:val="en-US" w:eastAsia="zh-CN" w:bidi="ar-SA"/>
              </w:rPr>
            </w:pPr>
            <w:r>
              <w:rPr>
                <w:rFonts w:hint="eastAsia" w:ascii="Times New Roman" w:hAnsi="Times New Roman" w:eastAsia="宋体" w:cs="Times New Roman"/>
                <w:b w:val="0"/>
                <w:bCs w:val="0"/>
                <w:color w:val="auto"/>
                <w:sz w:val="21"/>
                <w:szCs w:val="21"/>
                <w:lang w:val="en-US" w:eastAsia="zh-CN"/>
              </w:rPr>
              <w:t>NH</w:t>
            </w:r>
            <w:r>
              <w:rPr>
                <w:rFonts w:hint="eastAsia" w:ascii="Times New Roman" w:hAnsi="Times New Roman" w:eastAsia="宋体" w:cs="Times New Roman"/>
                <w:b w:val="0"/>
                <w:bCs w:val="0"/>
                <w:color w:val="auto"/>
                <w:sz w:val="21"/>
                <w:szCs w:val="21"/>
                <w:vertAlign w:val="subscript"/>
                <w:lang w:val="en-US" w:eastAsia="zh-CN"/>
              </w:rPr>
              <w:t>3</w:t>
            </w:r>
          </w:p>
        </w:tc>
        <w:tc>
          <w:tcPr>
            <w:tcW w:w="877"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outlineLvl w:val="9"/>
              <w:rPr>
                <w:rFonts w:hint="eastAsia" w:ascii="Times New Roman" w:hAnsi="Times New Roman" w:eastAsia="宋体" w:cs="Times New Roman"/>
                <w:b w:val="0"/>
                <w:bCs w:val="0"/>
                <w:color w:val="auto"/>
                <w:sz w:val="21"/>
                <w:szCs w:val="21"/>
                <w:lang w:eastAsia="zh-CN"/>
              </w:rPr>
            </w:pPr>
            <w:r>
              <w:rPr>
                <w:rFonts w:hint="default" w:ascii="Times New Roman" w:hAnsi="Times New Roman" w:eastAsia="宋体" w:cs="Times New Roman"/>
                <w:b w:val="0"/>
                <w:bCs w:val="0"/>
                <w:color w:val="auto"/>
                <w:sz w:val="21"/>
                <w:szCs w:val="21"/>
              </w:rPr>
              <w:t>面源</w:t>
            </w:r>
          </w:p>
        </w:tc>
        <w:tc>
          <w:tcPr>
            <w:tcW w:w="206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cs="Times New Roman"/>
                <w:b w:val="0"/>
                <w:bCs w:val="0"/>
                <w:i w:val="0"/>
                <w:color w:val="auto"/>
                <w:kern w:val="0"/>
                <w:sz w:val="21"/>
                <w:szCs w:val="21"/>
                <w:u w:val="none"/>
                <w:lang w:val="en-US" w:eastAsia="zh-CN" w:bidi="ar"/>
              </w:rPr>
              <w:t>0.00799</w:t>
            </w:r>
          </w:p>
        </w:tc>
        <w:tc>
          <w:tcPr>
            <w:tcW w:w="160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cs="Times New Roman"/>
                <w:b w:val="0"/>
                <w:bCs w:val="0"/>
                <w:i w:val="0"/>
                <w:color w:val="auto"/>
                <w:kern w:val="0"/>
                <w:sz w:val="21"/>
                <w:szCs w:val="21"/>
                <w:u w:val="none"/>
                <w:lang w:val="en-US" w:eastAsia="zh-CN" w:bidi="ar"/>
              </w:rPr>
              <w:t>4</w:t>
            </w:r>
          </w:p>
        </w:tc>
        <w:tc>
          <w:tcPr>
            <w:tcW w:w="1726"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74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981"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outlineLvl w:val="9"/>
              <w:rPr>
                <w:rFonts w:hint="eastAsia" w:ascii="Times New Roman" w:hAnsi="Times New Roman" w:eastAsia="宋体" w:cs="Times New Roman"/>
                <w:b w:val="0"/>
                <w:bCs w:val="0"/>
                <w:color w:val="auto"/>
                <w:sz w:val="21"/>
                <w:szCs w:val="21"/>
                <w:lang w:eastAsia="zh-CN"/>
              </w:rPr>
            </w:pPr>
          </w:p>
        </w:tc>
        <w:tc>
          <w:tcPr>
            <w:tcW w:w="96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outlineLvl w:val="9"/>
              <w:rPr>
                <w:rFonts w:hint="eastAsia" w:ascii="Times New Roman" w:hAnsi="Times New Roman" w:eastAsia="宋体" w:cs="Times New Roman"/>
                <w:b w:val="0"/>
                <w:bCs w:val="0"/>
                <w:color w:val="auto"/>
                <w:kern w:val="0"/>
                <w:sz w:val="21"/>
                <w:szCs w:val="21"/>
                <w:lang w:val="en-US" w:eastAsia="zh-CN" w:bidi="ar-SA"/>
              </w:rPr>
            </w:pPr>
            <w:r>
              <w:rPr>
                <w:rFonts w:hint="eastAsia" w:ascii="Times New Roman" w:hAnsi="Times New Roman" w:eastAsia="宋体" w:cs="Times New Roman"/>
                <w:b w:val="0"/>
                <w:bCs w:val="0"/>
                <w:color w:val="auto"/>
                <w:sz w:val="21"/>
                <w:szCs w:val="21"/>
                <w:lang w:val="en-US" w:eastAsia="zh-CN"/>
              </w:rPr>
              <w:t>H</w:t>
            </w:r>
            <w:r>
              <w:rPr>
                <w:rFonts w:hint="eastAsia" w:ascii="Times New Roman" w:hAnsi="Times New Roman" w:eastAsia="宋体" w:cs="Times New Roman"/>
                <w:b w:val="0"/>
                <w:bCs w:val="0"/>
                <w:color w:val="auto"/>
                <w:sz w:val="21"/>
                <w:szCs w:val="21"/>
                <w:vertAlign w:val="subscript"/>
                <w:lang w:val="en-US" w:eastAsia="zh-CN"/>
              </w:rPr>
              <w:t>2</w:t>
            </w:r>
            <w:r>
              <w:rPr>
                <w:rFonts w:hint="eastAsia" w:ascii="Times New Roman" w:hAnsi="Times New Roman" w:eastAsia="宋体" w:cs="Times New Roman"/>
                <w:b w:val="0"/>
                <w:bCs w:val="0"/>
                <w:color w:val="auto"/>
                <w:sz w:val="21"/>
                <w:szCs w:val="21"/>
                <w:lang w:val="en-US" w:eastAsia="zh-CN"/>
              </w:rPr>
              <w:t>S</w:t>
            </w:r>
          </w:p>
        </w:tc>
        <w:tc>
          <w:tcPr>
            <w:tcW w:w="877"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rPr>
            </w:pPr>
          </w:p>
        </w:tc>
        <w:tc>
          <w:tcPr>
            <w:tcW w:w="206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cs="Times New Roman"/>
                <w:b w:val="0"/>
                <w:bCs w:val="0"/>
                <w:i w:val="0"/>
                <w:color w:val="auto"/>
                <w:kern w:val="0"/>
                <w:sz w:val="21"/>
                <w:szCs w:val="21"/>
                <w:u w:val="none"/>
                <w:lang w:val="en-US" w:eastAsia="zh-CN" w:bidi="ar"/>
              </w:rPr>
              <w:t>0.000575</w:t>
            </w:r>
          </w:p>
        </w:tc>
        <w:tc>
          <w:tcPr>
            <w:tcW w:w="160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cs="Times New Roman"/>
                <w:b w:val="0"/>
                <w:bCs w:val="0"/>
                <w:i w:val="0"/>
                <w:color w:val="auto"/>
                <w:kern w:val="0"/>
                <w:sz w:val="21"/>
                <w:szCs w:val="21"/>
                <w:u w:val="none"/>
                <w:lang w:val="en-US" w:eastAsia="zh-CN" w:bidi="ar"/>
              </w:rPr>
              <w:t>5.75</w:t>
            </w:r>
          </w:p>
        </w:tc>
        <w:tc>
          <w:tcPr>
            <w:tcW w:w="1726"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outlineLvl w:val="9"/>
              <w:rPr>
                <w:rFonts w:hint="eastAsia" w:ascii="Times New Roman" w:hAnsi="Times New Roman" w:eastAsia="宋体" w:cs="Times New Roman"/>
                <w:b w:val="0"/>
                <w:bCs w:val="0"/>
                <w:color w:val="auto"/>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981" w:type="dxa"/>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b w:val="0"/>
                <w:bCs w:val="0"/>
                <w:color w:val="auto"/>
                <w:sz w:val="21"/>
                <w:szCs w:val="21"/>
                <w:lang w:val="en-US" w:eastAsia="zh-CN"/>
              </w:rPr>
            </w:pPr>
            <w:r>
              <w:rPr>
                <w:rFonts w:hint="eastAsia"/>
                <w:b w:val="0"/>
                <w:bCs w:val="0"/>
                <w:color w:val="auto"/>
                <w:lang w:val="en-US" w:eastAsia="zh-CN"/>
              </w:rPr>
              <w:t>育肥舍2</w:t>
            </w:r>
          </w:p>
        </w:tc>
        <w:tc>
          <w:tcPr>
            <w:tcW w:w="96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outlineLvl w:val="9"/>
              <w:rPr>
                <w:rFonts w:hint="default" w:ascii="Times New Roman" w:hAnsi="Times New Roman" w:eastAsia="宋体" w:cs="Times New Roman"/>
                <w:b w:val="0"/>
                <w:bCs w:val="0"/>
                <w:color w:val="auto"/>
                <w:kern w:val="0"/>
                <w:sz w:val="21"/>
                <w:szCs w:val="21"/>
                <w:lang w:eastAsia="zh-CN"/>
              </w:rPr>
            </w:pPr>
            <w:r>
              <w:rPr>
                <w:rFonts w:hint="eastAsia" w:ascii="Times New Roman" w:hAnsi="Times New Roman" w:eastAsia="宋体" w:cs="Times New Roman"/>
                <w:b w:val="0"/>
                <w:bCs w:val="0"/>
                <w:color w:val="auto"/>
                <w:sz w:val="21"/>
                <w:szCs w:val="21"/>
                <w:lang w:val="en-US" w:eastAsia="zh-CN"/>
              </w:rPr>
              <w:t>NH</w:t>
            </w:r>
            <w:r>
              <w:rPr>
                <w:rFonts w:hint="eastAsia" w:ascii="Times New Roman" w:hAnsi="Times New Roman" w:eastAsia="宋体" w:cs="Times New Roman"/>
                <w:b w:val="0"/>
                <w:bCs w:val="0"/>
                <w:color w:val="auto"/>
                <w:sz w:val="21"/>
                <w:szCs w:val="21"/>
                <w:vertAlign w:val="subscript"/>
                <w:lang w:val="en-US" w:eastAsia="zh-CN"/>
              </w:rPr>
              <w:t>3</w:t>
            </w:r>
          </w:p>
        </w:tc>
        <w:tc>
          <w:tcPr>
            <w:tcW w:w="877"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面源</w:t>
            </w:r>
          </w:p>
        </w:tc>
        <w:tc>
          <w:tcPr>
            <w:tcW w:w="206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cs="Times New Roman"/>
                <w:b w:val="0"/>
                <w:bCs w:val="0"/>
                <w:i w:val="0"/>
                <w:color w:val="auto"/>
                <w:kern w:val="0"/>
                <w:sz w:val="21"/>
                <w:szCs w:val="21"/>
                <w:u w:val="none"/>
                <w:lang w:val="en-US" w:eastAsia="zh-CN" w:bidi="ar"/>
              </w:rPr>
              <w:t>0.00799</w:t>
            </w:r>
          </w:p>
        </w:tc>
        <w:tc>
          <w:tcPr>
            <w:tcW w:w="160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cs="Times New Roman"/>
                <w:b w:val="0"/>
                <w:bCs w:val="0"/>
                <w:i w:val="0"/>
                <w:color w:val="auto"/>
                <w:kern w:val="0"/>
                <w:sz w:val="21"/>
                <w:szCs w:val="21"/>
                <w:u w:val="none"/>
                <w:lang w:val="en-US" w:eastAsia="zh-CN" w:bidi="ar"/>
              </w:rPr>
              <w:t>4</w:t>
            </w:r>
          </w:p>
        </w:tc>
        <w:tc>
          <w:tcPr>
            <w:tcW w:w="1726"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outlineLvl w:val="9"/>
              <w:rPr>
                <w:rFonts w:hint="default"/>
                <w:color w:val="auto"/>
                <w:lang w:val="en-US" w:eastAsia="zh-CN"/>
              </w:rPr>
            </w:pPr>
            <w:r>
              <w:rPr>
                <w:rFonts w:hint="eastAsia" w:ascii="Times New Roman" w:hAnsi="Times New Roman" w:eastAsia="宋体" w:cs="Times New Roman"/>
                <w:b w:val="0"/>
                <w:bCs w:val="0"/>
                <w:color w:val="auto"/>
                <w:sz w:val="21"/>
                <w:szCs w:val="21"/>
                <w:lang w:val="en-US" w:eastAsia="zh-CN"/>
              </w:rPr>
              <w:t>74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 w:hRule="atLeast"/>
          <w:jc w:val="center"/>
        </w:trPr>
        <w:tc>
          <w:tcPr>
            <w:tcW w:w="1981"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outlineLvl w:val="9"/>
              <w:rPr>
                <w:rFonts w:hint="default" w:ascii="Times New Roman" w:hAnsi="Times New Roman" w:eastAsia="宋体" w:cs="Times New Roman"/>
                <w:b w:val="0"/>
                <w:bCs w:val="0"/>
                <w:snapToGrid w:val="0"/>
                <w:color w:val="auto"/>
                <w:kern w:val="0"/>
                <w:sz w:val="21"/>
                <w:szCs w:val="21"/>
                <w:lang w:val="en-US" w:eastAsia="zh-CN"/>
              </w:rPr>
            </w:pPr>
          </w:p>
        </w:tc>
        <w:tc>
          <w:tcPr>
            <w:tcW w:w="96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outlineLvl w:val="9"/>
              <w:rPr>
                <w:rFonts w:hint="default" w:ascii="Times New Roman" w:hAnsi="Times New Roman" w:eastAsia="宋体" w:cs="Times New Roman"/>
                <w:b w:val="0"/>
                <w:bCs w:val="0"/>
                <w:color w:val="auto"/>
                <w:kern w:val="0"/>
                <w:sz w:val="21"/>
                <w:szCs w:val="21"/>
                <w:lang w:val="en-US" w:eastAsia="zh-CN"/>
              </w:rPr>
            </w:pPr>
            <w:r>
              <w:rPr>
                <w:rFonts w:hint="eastAsia" w:ascii="Times New Roman" w:hAnsi="Times New Roman" w:eastAsia="宋体" w:cs="Times New Roman"/>
                <w:b w:val="0"/>
                <w:bCs w:val="0"/>
                <w:color w:val="auto"/>
                <w:sz w:val="21"/>
                <w:szCs w:val="21"/>
                <w:lang w:val="en-US" w:eastAsia="zh-CN"/>
              </w:rPr>
              <w:t>H</w:t>
            </w:r>
            <w:r>
              <w:rPr>
                <w:rFonts w:hint="eastAsia" w:ascii="Times New Roman" w:hAnsi="Times New Roman" w:eastAsia="宋体" w:cs="Times New Roman"/>
                <w:b w:val="0"/>
                <w:bCs w:val="0"/>
                <w:color w:val="auto"/>
                <w:sz w:val="21"/>
                <w:szCs w:val="21"/>
                <w:vertAlign w:val="subscript"/>
                <w:lang w:val="en-US" w:eastAsia="zh-CN"/>
              </w:rPr>
              <w:t>2</w:t>
            </w:r>
            <w:r>
              <w:rPr>
                <w:rFonts w:hint="eastAsia" w:ascii="Times New Roman" w:hAnsi="Times New Roman" w:eastAsia="宋体" w:cs="Times New Roman"/>
                <w:b w:val="0"/>
                <w:bCs w:val="0"/>
                <w:color w:val="auto"/>
                <w:sz w:val="21"/>
                <w:szCs w:val="21"/>
                <w:lang w:val="en-US" w:eastAsia="zh-CN"/>
              </w:rPr>
              <w:t>S</w:t>
            </w:r>
          </w:p>
        </w:tc>
        <w:tc>
          <w:tcPr>
            <w:tcW w:w="877"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rPr>
            </w:pPr>
          </w:p>
        </w:tc>
        <w:tc>
          <w:tcPr>
            <w:tcW w:w="206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cs="Times New Roman"/>
                <w:b w:val="0"/>
                <w:bCs w:val="0"/>
                <w:i w:val="0"/>
                <w:color w:val="auto"/>
                <w:kern w:val="0"/>
                <w:sz w:val="21"/>
                <w:szCs w:val="21"/>
                <w:u w:val="none"/>
                <w:lang w:val="en-US" w:eastAsia="zh-CN" w:bidi="ar"/>
              </w:rPr>
              <w:t>0.000575</w:t>
            </w:r>
          </w:p>
        </w:tc>
        <w:tc>
          <w:tcPr>
            <w:tcW w:w="160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cs="Times New Roman"/>
                <w:b w:val="0"/>
                <w:bCs w:val="0"/>
                <w:i w:val="0"/>
                <w:color w:val="auto"/>
                <w:kern w:val="0"/>
                <w:sz w:val="21"/>
                <w:szCs w:val="21"/>
                <w:u w:val="none"/>
                <w:lang w:val="en-US" w:eastAsia="zh-CN" w:bidi="ar"/>
              </w:rPr>
              <w:t>5.75</w:t>
            </w:r>
          </w:p>
        </w:tc>
        <w:tc>
          <w:tcPr>
            <w:tcW w:w="1726"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981" w:type="dxa"/>
            <w:vMerge w:val="restart"/>
            <w:tcBorders>
              <w:tl2br w:val="nil"/>
              <w:tr2bl w:val="nil"/>
            </w:tcBorders>
            <w:noWrap w:val="0"/>
            <w:vAlign w:val="center"/>
          </w:tcPr>
          <w:p>
            <w:pPr>
              <w:pStyle w:val="98"/>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cs="Times New Roman"/>
                <w:b w:val="0"/>
                <w:bCs w:val="0"/>
                <w:color w:val="auto"/>
                <w:szCs w:val="21"/>
                <w:lang w:val="en-US" w:eastAsia="zh-CN"/>
              </w:rPr>
              <w:t>污水处理区</w:t>
            </w:r>
          </w:p>
        </w:tc>
        <w:tc>
          <w:tcPr>
            <w:tcW w:w="96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outlineLvl w:val="9"/>
              <w:rPr>
                <w:rFonts w:hint="default" w:ascii="Times New Roman" w:hAnsi="Times New Roman" w:eastAsia="宋体" w:cs="Times New Roman"/>
                <w:b w:val="0"/>
                <w:bCs w:val="0"/>
                <w:color w:val="auto"/>
                <w:kern w:val="0"/>
                <w:sz w:val="21"/>
                <w:szCs w:val="21"/>
                <w:lang w:eastAsia="zh-CN"/>
              </w:rPr>
            </w:pPr>
            <w:r>
              <w:rPr>
                <w:rFonts w:hint="eastAsia" w:ascii="Times New Roman" w:hAnsi="Times New Roman" w:eastAsia="宋体" w:cs="Times New Roman"/>
                <w:b w:val="0"/>
                <w:bCs w:val="0"/>
                <w:color w:val="auto"/>
                <w:sz w:val="21"/>
                <w:szCs w:val="21"/>
                <w:lang w:val="en-US" w:eastAsia="zh-CN"/>
              </w:rPr>
              <w:t>NH</w:t>
            </w:r>
            <w:r>
              <w:rPr>
                <w:rFonts w:hint="eastAsia" w:ascii="Times New Roman" w:hAnsi="Times New Roman" w:eastAsia="宋体" w:cs="Times New Roman"/>
                <w:b w:val="0"/>
                <w:bCs w:val="0"/>
                <w:color w:val="auto"/>
                <w:sz w:val="21"/>
                <w:szCs w:val="21"/>
                <w:vertAlign w:val="subscript"/>
                <w:lang w:val="en-US" w:eastAsia="zh-CN"/>
              </w:rPr>
              <w:t>3</w:t>
            </w:r>
          </w:p>
        </w:tc>
        <w:tc>
          <w:tcPr>
            <w:tcW w:w="877"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面源</w:t>
            </w:r>
          </w:p>
        </w:tc>
        <w:tc>
          <w:tcPr>
            <w:tcW w:w="206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cs="Times New Roman"/>
                <w:b w:val="0"/>
                <w:bCs w:val="0"/>
                <w:i w:val="0"/>
                <w:color w:val="auto"/>
                <w:kern w:val="0"/>
                <w:sz w:val="21"/>
                <w:szCs w:val="21"/>
                <w:u w:val="none"/>
                <w:lang w:val="en-US" w:eastAsia="zh-CN" w:bidi="ar"/>
              </w:rPr>
              <w:t>0.0174</w:t>
            </w:r>
          </w:p>
        </w:tc>
        <w:tc>
          <w:tcPr>
            <w:tcW w:w="160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cs="Times New Roman"/>
                <w:b w:val="0"/>
                <w:bCs w:val="0"/>
                <w:i w:val="0"/>
                <w:color w:val="auto"/>
                <w:kern w:val="0"/>
                <w:sz w:val="21"/>
                <w:szCs w:val="21"/>
                <w:u w:val="none"/>
                <w:lang w:val="en-US" w:eastAsia="zh-CN" w:bidi="ar"/>
              </w:rPr>
              <w:t>8.69</w:t>
            </w:r>
          </w:p>
        </w:tc>
        <w:tc>
          <w:tcPr>
            <w:tcW w:w="1726"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36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 w:hRule="atLeast"/>
          <w:jc w:val="center"/>
        </w:trPr>
        <w:tc>
          <w:tcPr>
            <w:tcW w:w="1981"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outlineLvl w:val="9"/>
              <w:rPr>
                <w:rFonts w:hint="default" w:ascii="Times New Roman" w:hAnsi="Times New Roman" w:eastAsia="宋体" w:cs="Times New Roman"/>
                <w:b w:val="0"/>
                <w:bCs w:val="0"/>
                <w:snapToGrid w:val="0"/>
                <w:color w:val="auto"/>
                <w:kern w:val="0"/>
                <w:sz w:val="21"/>
                <w:szCs w:val="21"/>
                <w:lang w:val="en-US" w:eastAsia="zh-CN"/>
              </w:rPr>
            </w:pPr>
          </w:p>
        </w:tc>
        <w:tc>
          <w:tcPr>
            <w:tcW w:w="96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outlineLvl w:val="9"/>
              <w:rPr>
                <w:rFonts w:hint="default" w:ascii="Times New Roman" w:hAnsi="Times New Roman" w:eastAsia="宋体" w:cs="Times New Roman"/>
                <w:b w:val="0"/>
                <w:bCs w:val="0"/>
                <w:color w:val="auto"/>
                <w:kern w:val="0"/>
                <w:sz w:val="21"/>
                <w:szCs w:val="21"/>
                <w:lang w:val="en-US" w:eastAsia="zh-CN"/>
              </w:rPr>
            </w:pPr>
            <w:r>
              <w:rPr>
                <w:rFonts w:hint="eastAsia" w:ascii="Times New Roman" w:hAnsi="Times New Roman" w:eastAsia="宋体" w:cs="Times New Roman"/>
                <w:b w:val="0"/>
                <w:bCs w:val="0"/>
                <w:color w:val="auto"/>
                <w:sz w:val="21"/>
                <w:szCs w:val="21"/>
                <w:lang w:val="en-US" w:eastAsia="zh-CN"/>
              </w:rPr>
              <w:t>H</w:t>
            </w:r>
            <w:r>
              <w:rPr>
                <w:rFonts w:hint="eastAsia" w:ascii="Times New Roman" w:hAnsi="Times New Roman" w:eastAsia="宋体" w:cs="Times New Roman"/>
                <w:b w:val="0"/>
                <w:bCs w:val="0"/>
                <w:color w:val="auto"/>
                <w:sz w:val="21"/>
                <w:szCs w:val="21"/>
                <w:vertAlign w:val="subscript"/>
                <w:lang w:val="en-US" w:eastAsia="zh-CN"/>
              </w:rPr>
              <w:t>2</w:t>
            </w:r>
            <w:r>
              <w:rPr>
                <w:rFonts w:hint="eastAsia" w:ascii="Times New Roman" w:hAnsi="Times New Roman" w:eastAsia="宋体" w:cs="Times New Roman"/>
                <w:b w:val="0"/>
                <w:bCs w:val="0"/>
                <w:color w:val="auto"/>
                <w:sz w:val="21"/>
                <w:szCs w:val="21"/>
                <w:lang w:val="en-US" w:eastAsia="zh-CN"/>
              </w:rPr>
              <w:t>S</w:t>
            </w:r>
          </w:p>
        </w:tc>
        <w:tc>
          <w:tcPr>
            <w:tcW w:w="877"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rPr>
            </w:pPr>
          </w:p>
        </w:tc>
        <w:tc>
          <w:tcPr>
            <w:tcW w:w="206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cs="Times New Roman"/>
                <w:b w:val="0"/>
                <w:bCs w:val="0"/>
                <w:i w:val="0"/>
                <w:color w:val="auto"/>
                <w:kern w:val="0"/>
                <w:sz w:val="21"/>
                <w:szCs w:val="21"/>
                <w:u w:val="none"/>
                <w:lang w:val="en-US" w:eastAsia="zh-CN" w:bidi="ar"/>
              </w:rPr>
              <w:t>5.21</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5</w:t>
            </w:r>
          </w:p>
        </w:tc>
        <w:tc>
          <w:tcPr>
            <w:tcW w:w="160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cs="Times New Roman"/>
                <w:b w:val="0"/>
                <w:bCs w:val="0"/>
                <w:i w:val="0"/>
                <w:color w:val="auto"/>
                <w:kern w:val="0"/>
                <w:sz w:val="21"/>
                <w:szCs w:val="21"/>
                <w:u w:val="none"/>
                <w:lang w:val="en-US" w:eastAsia="zh-CN" w:bidi="ar"/>
              </w:rPr>
              <w:t>0.52</w:t>
            </w:r>
          </w:p>
        </w:tc>
        <w:tc>
          <w:tcPr>
            <w:tcW w:w="1726"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 w:hRule="atLeast"/>
          <w:jc w:val="center"/>
        </w:trPr>
        <w:tc>
          <w:tcPr>
            <w:tcW w:w="1981" w:type="dxa"/>
            <w:vMerge w:val="restart"/>
            <w:tcBorders>
              <w:tl2br w:val="nil"/>
              <w:tr2bl w:val="nil"/>
            </w:tcBorders>
            <w:noWrap w:val="0"/>
            <w:vAlign w:val="center"/>
          </w:tcPr>
          <w:p>
            <w:pPr>
              <w:pStyle w:val="98"/>
              <w:jc w:val="center"/>
              <w:rPr>
                <w:rFonts w:hint="default" w:ascii="Times New Roman" w:hAnsi="Times New Roman" w:eastAsia="宋体" w:cs="Times New Roman"/>
                <w:b w:val="0"/>
                <w:bCs w:val="0"/>
                <w:snapToGrid w:val="0"/>
                <w:color w:val="auto"/>
                <w:kern w:val="0"/>
                <w:sz w:val="21"/>
                <w:szCs w:val="21"/>
                <w:lang w:val="en-US" w:eastAsia="zh-CN"/>
              </w:rPr>
            </w:pPr>
            <w:r>
              <w:rPr>
                <w:rFonts w:hint="eastAsia" w:ascii="Times New Roman" w:hAnsi="Times New Roman" w:cs="Times New Roman"/>
                <w:b w:val="0"/>
                <w:bCs w:val="0"/>
                <w:color w:val="auto"/>
                <w:szCs w:val="21"/>
                <w:lang w:val="en-US" w:eastAsia="zh-CN"/>
              </w:rPr>
              <w:t>堆粪间</w:t>
            </w:r>
          </w:p>
        </w:tc>
        <w:tc>
          <w:tcPr>
            <w:tcW w:w="96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outlineLvl w:val="9"/>
              <w:rPr>
                <w:rFonts w:hint="eastAsia" w:ascii="Times New Roman" w:hAnsi="Times New Roman" w:eastAsia="宋体" w:cs="Times New Roman"/>
                <w:b w:val="0"/>
                <w:bCs w:val="0"/>
                <w:color w:val="auto"/>
                <w:kern w:val="0"/>
                <w:sz w:val="21"/>
                <w:szCs w:val="21"/>
                <w:lang w:val="en-US" w:eastAsia="zh-CN" w:bidi="ar-SA"/>
              </w:rPr>
            </w:pPr>
            <w:r>
              <w:rPr>
                <w:rFonts w:hint="eastAsia" w:ascii="Times New Roman" w:hAnsi="Times New Roman" w:eastAsia="宋体" w:cs="Times New Roman"/>
                <w:b w:val="0"/>
                <w:bCs w:val="0"/>
                <w:color w:val="auto"/>
                <w:sz w:val="21"/>
                <w:szCs w:val="21"/>
                <w:lang w:val="en-US" w:eastAsia="zh-CN"/>
              </w:rPr>
              <w:t>NH</w:t>
            </w:r>
            <w:r>
              <w:rPr>
                <w:rFonts w:hint="eastAsia" w:ascii="Times New Roman" w:hAnsi="Times New Roman" w:eastAsia="宋体" w:cs="Times New Roman"/>
                <w:b w:val="0"/>
                <w:bCs w:val="0"/>
                <w:color w:val="auto"/>
                <w:sz w:val="21"/>
                <w:szCs w:val="21"/>
                <w:vertAlign w:val="subscript"/>
                <w:lang w:val="en-US" w:eastAsia="zh-CN"/>
              </w:rPr>
              <w:t>3</w:t>
            </w:r>
          </w:p>
        </w:tc>
        <w:tc>
          <w:tcPr>
            <w:tcW w:w="877"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outlineLvl w:val="9"/>
              <w:rPr>
                <w:rFonts w:hint="eastAsia" w:ascii="Times New Roman" w:hAnsi="Times New Roman" w:eastAsia="宋体" w:cs="Times New Roman"/>
                <w:b w:val="0"/>
                <w:bCs w:val="0"/>
                <w:color w:val="auto"/>
                <w:sz w:val="21"/>
                <w:szCs w:val="21"/>
                <w:lang w:eastAsia="zh-CN"/>
              </w:rPr>
            </w:pPr>
            <w:r>
              <w:rPr>
                <w:rFonts w:hint="eastAsia" w:ascii="Times New Roman" w:hAnsi="Times New Roman" w:eastAsia="宋体" w:cs="Times New Roman"/>
                <w:b w:val="0"/>
                <w:bCs w:val="0"/>
                <w:color w:val="auto"/>
                <w:sz w:val="21"/>
                <w:szCs w:val="21"/>
                <w:lang w:eastAsia="zh-CN"/>
              </w:rPr>
              <w:t>面源</w:t>
            </w:r>
          </w:p>
        </w:tc>
        <w:tc>
          <w:tcPr>
            <w:tcW w:w="2069"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cs="Times New Roman"/>
                <w:b w:val="0"/>
                <w:bCs w:val="0"/>
                <w:i w:val="0"/>
                <w:color w:val="auto"/>
                <w:kern w:val="0"/>
                <w:sz w:val="21"/>
                <w:szCs w:val="21"/>
                <w:u w:val="none"/>
                <w:lang w:val="en-US" w:eastAsia="zh-CN" w:bidi="ar"/>
              </w:rPr>
              <w:t>1.04</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4</w:t>
            </w:r>
          </w:p>
        </w:tc>
        <w:tc>
          <w:tcPr>
            <w:tcW w:w="160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1.44</w:t>
            </w:r>
          </w:p>
        </w:tc>
        <w:tc>
          <w:tcPr>
            <w:tcW w:w="1726"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 w:hRule="atLeast"/>
          <w:jc w:val="center"/>
        </w:trPr>
        <w:tc>
          <w:tcPr>
            <w:tcW w:w="1981"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outlineLvl w:val="9"/>
              <w:rPr>
                <w:rFonts w:hint="default" w:ascii="Times New Roman" w:hAnsi="Times New Roman" w:eastAsia="宋体" w:cs="Times New Roman"/>
                <w:b w:val="0"/>
                <w:bCs w:val="0"/>
                <w:snapToGrid w:val="0"/>
                <w:color w:val="auto"/>
                <w:kern w:val="0"/>
                <w:sz w:val="21"/>
                <w:szCs w:val="21"/>
                <w:lang w:val="en-US" w:eastAsia="zh-CN"/>
              </w:rPr>
            </w:pPr>
          </w:p>
        </w:tc>
        <w:tc>
          <w:tcPr>
            <w:tcW w:w="96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outlineLvl w:val="9"/>
              <w:rPr>
                <w:rFonts w:hint="eastAsia" w:ascii="Times New Roman" w:hAnsi="Times New Roman" w:eastAsia="宋体" w:cs="Times New Roman"/>
                <w:b w:val="0"/>
                <w:bCs w:val="0"/>
                <w:color w:val="auto"/>
                <w:kern w:val="0"/>
                <w:sz w:val="21"/>
                <w:szCs w:val="21"/>
                <w:lang w:val="en-US" w:eastAsia="zh-CN" w:bidi="ar-SA"/>
              </w:rPr>
            </w:pPr>
            <w:r>
              <w:rPr>
                <w:rFonts w:hint="eastAsia" w:ascii="Times New Roman" w:hAnsi="Times New Roman" w:eastAsia="宋体" w:cs="Times New Roman"/>
                <w:b w:val="0"/>
                <w:bCs w:val="0"/>
                <w:color w:val="auto"/>
                <w:sz w:val="21"/>
                <w:szCs w:val="21"/>
                <w:lang w:val="en-US" w:eastAsia="zh-CN"/>
              </w:rPr>
              <w:t>H</w:t>
            </w:r>
            <w:r>
              <w:rPr>
                <w:rFonts w:hint="eastAsia" w:ascii="Times New Roman" w:hAnsi="Times New Roman" w:eastAsia="宋体" w:cs="Times New Roman"/>
                <w:b w:val="0"/>
                <w:bCs w:val="0"/>
                <w:color w:val="auto"/>
                <w:sz w:val="21"/>
                <w:szCs w:val="21"/>
                <w:vertAlign w:val="subscript"/>
                <w:lang w:val="en-US" w:eastAsia="zh-CN"/>
              </w:rPr>
              <w:t>2</w:t>
            </w:r>
            <w:r>
              <w:rPr>
                <w:rFonts w:hint="eastAsia" w:ascii="Times New Roman" w:hAnsi="Times New Roman" w:eastAsia="宋体" w:cs="Times New Roman"/>
                <w:b w:val="0"/>
                <w:bCs w:val="0"/>
                <w:color w:val="auto"/>
                <w:sz w:val="21"/>
                <w:szCs w:val="21"/>
                <w:lang w:val="en-US" w:eastAsia="zh-CN"/>
              </w:rPr>
              <w:t>S</w:t>
            </w:r>
          </w:p>
        </w:tc>
        <w:tc>
          <w:tcPr>
            <w:tcW w:w="877"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rPr>
            </w:pPr>
          </w:p>
        </w:tc>
        <w:tc>
          <w:tcPr>
            <w:tcW w:w="2069"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cs="Times New Roman"/>
                <w:b w:val="0"/>
                <w:bCs w:val="0"/>
                <w:i w:val="0"/>
                <w:color w:val="auto"/>
                <w:kern w:val="0"/>
                <w:sz w:val="21"/>
                <w:szCs w:val="21"/>
                <w:u w:val="none"/>
                <w:lang w:val="en-US" w:eastAsia="zh-CN" w:bidi="ar"/>
              </w:rPr>
              <w:t>8.01</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5</w:t>
            </w:r>
          </w:p>
        </w:tc>
        <w:tc>
          <w:tcPr>
            <w:tcW w:w="160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1.60</w:t>
            </w:r>
          </w:p>
        </w:tc>
        <w:tc>
          <w:tcPr>
            <w:tcW w:w="1726"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 w:hRule="atLeast"/>
          <w:jc w:val="center"/>
        </w:trPr>
        <w:tc>
          <w:tcPr>
            <w:tcW w:w="1981" w:type="dxa"/>
            <w:vMerge w:val="restart"/>
            <w:tcBorders>
              <w:tl2br w:val="nil"/>
              <w:tr2bl w:val="nil"/>
            </w:tcBorders>
            <w:noWrap w:val="0"/>
            <w:vAlign w:val="center"/>
          </w:tcPr>
          <w:p>
            <w:pPr>
              <w:pStyle w:val="98"/>
              <w:jc w:val="center"/>
              <w:rPr>
                <w:rFonts w:hint="default" w:ascii="Times New Roman" w:hAnsi="Times New Roman" w:eastAsia="宋体" w:cs="Times New Roman"/>
                <w:b w:val="0"/>
                <w:bCs w:val="0"/>
                <w:snapToGrid w:val="0"/>
                <w:color w:val="auto"/>
                <w:kern w:val="0"/>
                <w:sz w:val="21"/>
                <w:szCs w:val="21"/>
                <w:lang w:val="en-US" w:eastAsia="zh-CN"/>
              </w:rPr>
            </w:pPr>
            <w:r>
              <w:rPr>
                <w:rFonts w:hint="eastAsia" w:ascii="Times New Roman" w:hAnsi="Times New Roman" w:cs="Times New Roman"/>
                <w:b w:val="0"/>
                <w:bCs w:val="0"/>
                <w:color w:val="auto"/>
                <w:szCs w:val="21"/>
                <w:lang w:val="en-US" w:eastAsia="zh-CN"/>
              </w:rPr>
              <w:t>堆粪间</w:t>
            </w:r>
          </w:p>
        </w:tc>
        <w:tc>
          <w:tcPr>
            <w:tcW w:w="96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outlineLvl w:val="9"/>
              <w:rPr>
                <w:rFonts w:hint="eastAsia" w:ascii="Times New Roman" w:hAnsi="Times New Roman" w:eastAsia="宋体" w:cs="Times New Roman"/>
                <w:b w:val="0"/>
                <w:bCs w:val="0"/>
                <w:color w:val="auto"/>
                <w:kern w:val="0"/>
                <w:sz w:val="21"/>
                <w:szCs w:val="21"/>
                <w:lang w:val="en-US" w:eastAsia="zh-CN" w:bidi="ar-SA"/>
              </w:rPr>
            </w:pPr>
            <w:r>
              <w:rPr>
                <w:rFonts w:hint="eastAsia" w:ascii="Times New Roman" w:hAnsi="Times New Roman" w:eastAsia="宋体" w:cs="Times New Roman"/>
                <w:b w:val="0"/>
                <w:bCs w:val="0"/>
                <w:color w:val="auto"/>
                <w:sz w:val="21"/>
                <w:szCs w:val="21"/>
                <w:lang w:val="en-US" w:eastAsia="zh-CN"/>
              </w:rPr>
              <w:t>NH</w:t>
            </w:r>
            <w:r>
              <w:rPr>
                <w:rFonts w:hint="eastAsia" w:ascii="Times New Roman" w:hAnsi="Times New Roman" w:eastAsia="宋体" w:cs="Times New Roman"/>
                <w:b w:val="0"/>
                <w:bCs w:val="0"/>
                <w:color w:val="auto"/>
                <w:sz w:val="21"/>
                <w:szCs w:val="21"/>
                <w:vertAlign w:val="subscript"/>
                <w:lang w:val="en-US" w:eastAsia="zh-CN"/>
              </w:rPr>
              <w:t>3</w:t>
            </w:r>
          </w:p>
        </w:tc>
        <w:tc>
          <w:tcPr>
            <w:tcW w:w="877"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outlineLvl w:val="9"/>
              <w:rPr>
                <w:rFonts w:hint="eastAsia" w:ascii="Times New Roman" w:hAnsi="Times New Roman" w:eastAsia="宋体" w:cs="Times New Roman"/>
                <w:b w:val="0"/>
                <w:bCs w:val="0"/>
                <w:color w:val="auto"/>
                <w:sz w:val="21"/>
                <w:szCs w:val="21"/>
                <w:lang w:eastAsia="zh-CN"/>
              </w:rPr>
            </w:pPr>
            <w:r>
              <w:rPr>
                <w:rFonts w:hint="eastAsia" w:ascii="Times New Roman" w:hAnsi="Times New Roman" w:eastAsia="宋体" w:cs="Times New Roman"/>
                <w:b w:val="0"/>
                <w:bCs w:val="0"/>
                <w:color w:val="auto"/>
                <w:sz w:val="21"/>
                <w:szCs w:val="21"/>
                <w:lang w:eastAsia="zh-CN"/>
              </w:rPr>
              <w:t>点源</w:t>
            </w:r>
          </w:p>
        </w:tc>
        <w:tc>
          <w:tcPr>
            <w:tcW w:w="2069"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cs="Times New Roman"/>
                <w:b w:val="0"/>
                <w:bCs w:val="0"/>
                <w:i w:val="0"/>
                <w:color w:val="auto"/>
                <w:kern w:val="0"/>
                <w:sz w:val="21"/>
                <w:szCs w:val="21"/>
                <w:u w:val="none"/>
                <w:lang w:val="en-US" w:eastAsia="zh-CN" w:bidi="ar"/>
              </w:rPr>
              <w:t>9.23</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5</w:t>
            </w:r>
          </w:p>
        </w:tc>
        <w:tc>
          <w:tcPr>
            <w:tcW w:w="160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0.05</w:t>
            </w:r>
          </w:p>
        </w:tc>
        <w:tc>
          <w:tcPr>
            <w:tcW w:w="1726"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94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 w:hRule="atLeast"/>
          <w:jc w:val="center"/>
        </w:trPr>
        <w:tc>
          <w:tcPr>
            <w:tcW w:w="1981"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outlineLvl w:val="9"/>
              <w:rPr>
                <w:rFonts w:hint="default" w:ascii="Times New Roman" w:hAnsi="Times New Roman" w:eastAsia="宋体" w:cs="Times New Roman"/>
                <w:b w:val="0"/>
                <w:bCs w:val="0"/>
                <w:snapToGrid w:val="0"/>
                <w:color w:val="auto"/>
                <w:kern w:val="0"/>
                <w:sz w:val="21"/>
                <w:szCs w:val="21"/>
                <w:lang w:val="en-US" w:eastAsia="zh-CN"/>
              </w:rPr>
            </w:pPr>
          </w:p>
        </w:tc>
        <w:tc>
          <w:tcPr>
            <w:tcW w:w="96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jc w:val="center"/>
              <w:textAlignment w:val="auto"/>
              <w:outlineLvl w:val="9"/>
              <w:rPr>
                <w:rFonts w:hint="eastAsia" w:ascii="Times New Roman" w:hAnsi="Times New Roman" w:eastAsia="宋体" w:cs="Times New Roman"/>
                <w:b w:val="0"/>
                <w:bCs w:val="0"/>
                <w:color w:val="auto"/>
                <w:kern w:val="0"/>
                <w:sz w:val="21"/>
                <w:szCs w:val="21"/>
                <w:lang w:val="en-US" w:eastAsia="zh-CN" w:bidi="ar-SA"/>
              </w:rPr>
            </w:pPr>
            <w:r>
              <w:rPr>
                <w:rFonts w:hint="eastAsia" w:ascii="Times New Roman" w:hAnsi="Times New Roman" w:eastAsia="宋体" w:cs="Times New Roman"/>
                <w:b w:val="0"/>
                <w:bCs w:val="0"/>
                <w:color w:val="auto"/>
                <w:sz w:val="21"/>
                <w:szCs w:val="21"/>
                <w:lang w:val="en-US" w:eastAsia="zh-CN"/>
              </w:rPr>
              <w:t>H</w:t>
            </w:r>
            <w:r>
              <w:rPr>
                <w:rFonts w:hint="eastAsia" w:ascii="Times New Roman" w:hAnsi="Times New Roman" w:eastAsia="宋体" w:cs="Times New Roman"/>
                <w:b w:val="0"/>
                <w:bCs w:val="0"/>
                <w:color w:val="auto"/>
                <w:sz w:val="21"/>
                <w:szCs w:val="21"/>
                <w:vertAlign w:val="subscript"/>
                <w:lang w:val="en-US" w:eastAsia="zh-CN"/>
              </w:rPr>
              <w:t>2</w:t>
            </w:r>
            <w:r>
              <w:rPr>
                <w:rFonts w:hint="eastAsia" w:ascii="Times New Roman" w:hAnsi="Times New Roman" w:eastAsia="宋体" w:cs="Times New Roman"/>
                <w:b w:val="0"/>
                <w:bCs w:val="0"/>
                <w:color w:val="auto"/>
                <w:sz w:val="21"/>
                <w:szCs w:val="21"/>
                <w:lang w:val="en-US" w:eastAsia="zh-CN"/>
              </w:rPr>
              <w:t>S</w:t>
            </w:r>
          </w:p>
        </w:tc>
        <w:tc>
          <w:tcPr>
            <w:tcW w:w="877"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rPr>
            </w:pPr>
          </w:p>
        </w:tc>
        <w:tc>
          <w:tcPr>
            <w:tcW w:w="206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cs="Times New Roman"/>
                <w:b w:val="0"/>
                <w:bCs w:val="0"/>
                <w:i w:val="0"/>
                <w:color w:val="auto"/>
                <w:kern w:val="0"/>
                <w:sz w:val="21"/>
                <w:szCs w:val="21"/>
                <w:u w:val="none"/>
                <w:lang w:val="en-US" w:eastAsia="zh-CN" w:bidi="ar"/>
              </w:rPr>
              <w:t>4.86</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-6</w:t>
            </w:r>
          </w:p>
        </w:tc>
        <w:tc>
          <w:tcPr>
            <w:tcW w:w="160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0.05</w:t>
            </w:r>
          </w:p>
        </w:tc>
        <w:tc>
          <w:tcPr>
            <w:tcW w:w="1726"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outlineLvl w:val="9"/>
              <w:rPr>
                <w:rFonts w:hint="default" w:ascii="Times New Roman" w:hAnsi="Times New Roman" w:eastAsia="宋体" w:cs="Times New Roman"/>
                <w:b w:val="0"/>
                <w:bCs w:val="0"/>
                <w:color w:val="auto"/>
                <w:sz w:val="21"/>
                <w:szCs w:val="21"/>
                <w:lang w:val="en-US" w:eastAsia="zh-CN"/>
              </w:rPr>
            </w:pPr>
          </w:p>
        </w:tc>
      </w:tr>
    </w:tbl>
    <w:p>
      <w:pPr>
        <w:spacing w:line="360" w:lineRule="auto"/>
        <w:ind w:firstLine="480" w:firstLineChars="200"/>
        <w:rPr>
          <w:rFonts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根据《环境影响评价技术导则—大气环境》（HJ2.2-2018）。根据预测结果，污染</w:t>
      </w:r>
      <w:r>
        <w:rPr>
          <w:rFonts w:hint="eastAsia" w:ascii="Times New Roman" w:hAnsi="Times New Roman" w:eastAsia="宋体" w:cs="Times New Roman"/>
          <w:color w:val="auto"/>
          <w:sz w:val="24"/>
          <w:szCs w:val="24"/>
          <w:lang w:val="en-US" w:eastAsia="zh-CN"/>
        </w:rPr>
        <w:t>NH</w:t>
      </w:r>
      <w:r>
        <w:rPr>
          <w:rFonts w:hint="eastAsia" w:ascii="Times New Roman" w:hAnsi="Times New Roman" w:eastAsia="宋体" w:cs="Times New Roman"/>
          <w:color w:val="auto"/>
          <w:sz w:val="24"/>
          <w:szCs w:val="24"/>
          <w:vertAlign w:val="subscript"/>
          <w:lang w:val="en-US" w:eastAsia="zh-CN"/>
        </w:rPr>
        <w:t>3</w:t>
      </w:r>
      <w:r>
        <w:rPr>
          <w:rFonts w:hint="eastAsia" w:ascii="Times New Roman" w:hAnsi="Times New Roman" w:eastAsia="宋体" w:cs="Times New Roman"/>
          <w:color w:val="auto"/>
          <w:sz w:val="24"/>
          <w:szCs w:val="24"/>
          <w:lang w:val="en-US" w:eastAsia="zh-CN"/>
        </w:rPr>
        <w:t>，H</w:t>
      </w:r>
      <w:r>
        <w:rPr>
          <w:rFonts w:hint="eastAsia" w:ascii="Times New Roman" w:hAnsi="Times New Roman" w:eastAsia="宋体" w:cs="Times New Roman"/>
          <w:color w:val="auto"/>
          <w:sz w:val="24"/>
          <w:szCs w:val="24"/>
          <w:vertAlign w:val="subscript"/>
          <w:lang w:val="en-US" w:eastAsia="zh-CN"/>
        </w:rPr>
        <w:t>2</w:t>
      </w:r>
      <w:r>
        <w:rPr>
          <w:rFonts w:hint="eastAsia" w:ascii="Times New Roman" w:hAnsi="Times New Roman" w:eastAsia="宋体" w:cs="Times New Roman"/>
          <w:color w:val="auto"/>
          <w:sz w:val="24"/>
          <w:szCs w:val="24"/>
          <w:lang w:val="en-US" w:eastAsia="zh-CN"/>
        </w:rPr>
        <w:t>S</w:t>
      </w:r>
      <w:r>
        <w:rPr>
          <w:rFonts w:hint="default" w:ascii="Times New Roman" w:hAnsi="Times New Roman" w:eastAsia="宋体" w:cs="Times New Roman"/>
          <w:color w:val="auto"/>
          <w:sz w:val="24"/>
          <w:szCs w:val="24"/>
        </w:rPr>
        <w:t>物</w:t>
      </w:r>
      <w:r>
        <w:rPr>
          <w:rFonts w:hint="eastAsia" w:hAnsi="Times New Roman" w:eastAsia="宋体" w:cs="Times New Roman"/>
          <w:snapToGrid w:val="0"/>
          <w:color w:val="auto"/>
          <w:kern w:val="0"/>
          <w:sz w:val="24"/>
          <w:szCs w:val="24"/>
          <w:lang w:val="en-US" w:eastAsia="zh-CN"/>
        </w:rPr>
        <w:t>最大落地浓度点占标率</w:t>
      </w:r>
      <w:r>
        <w:rPr>
          <w:rFonts w:hint="default" w:ascii="Times New Roman" w:hAnsi="Times New Roman" w:eastAsia="宋体" w:cs="Times New Roman"/>
          <w:color w:val="auto"/>
          <w:sz w:val="24"/>
          <w:szCs w:val="24"/>
        </w:rPr>
        <w:t>均未超过标准的10%</w:t>
      </w:r>
      <w:r>
        <w:rPr>
          <w:rFonts w:hint="eastAsia" w:ascii="Times New Roman" w:hAnsi="Times New Roman" w:eastAsia="宋体" w:cs="Times New Roman"/>
          <w:color w:val="auto"/>
          <w:sz w:val="24"/>
          <w:szCs w:val="24"/>
          <w:lang w:eastAsia="zh-CN"/>
        </w:rPr>
        <w:t>。</w:t>
      </w:r>
      <w:r>
        <w:rPr>
          <w:rFonts w:hint="eastAsia" w:ascii="Times New Roman" w:hAnsi="Times New Roman"/>
          <w:iCs/>
          <w:color w:val="auto"/>
          <w:kern w:val="0"/>
          <w:sz w:val="24"/>
          <w:szCs w:val="24"/>
        </w:rPr>
        <w:t>同时</w:t>
      </w:r>
      <w:r>
        <w:rPr>
          <w:rFonts w:hint="eastAsia" w:ascii="Times New Roman" w:hAnsi="Times New Roman"/>
          <w:iCs/>
          <w:color w:val="auto"/>
          <w:kern w:val="0"/>
          <w:sz w:val="24"/>
          <w:szCs w:val="24"/>
          <w:lang w:eastAsia="zh-CN"/>
        </w:rPr>
        <w:t>本项目</w:t>
      </w:r>
      <w:r>
        <w:rPr>
          <w:rFonts w:hint="eastAsia" w:ascii="Times New Roman" w:hAnsi="Times New Roman"/>
          <w:iCs/>
          <w:color w:val="auto"/>
          <w:kern w:val="0"/>
          <w:sz w:val="24"/>
          <w:szCs w:val="24"/>
        </w:rPr>
        <w:t>不属于高耗能行业和使用高污染燃料的项目，</w:t>
      </w:r>
      <w:r>
        <w:rPr>
          <w:rFonts w:hint="eastAsia" w:ascii="Times New Roman" w:hAnsi="Times New Roman"/>
          <w:iCs/>
          <w:color w:val="auto"/>
          <w:kern w:val="0"/>
          <w:sz w:val="24"/>
          <w:szCs w:val="24"/>
          <w:lang w:eastAsia="zh-CN"/>
        </w:rPr>
        <w:t>不需要提级，</w:t>
      </w:r>
      <w:r>
        <w:rPr>
          <w:rFonts w:hint="eastAsia" w:ascii="Times New Roman" w:hAnsi="Times New Roman"/>
          <w:iCs/>
          <w:color w:val="auto"/>
          <w:kern w:val="0"/>
          <w:sz w:val="24"/>
          <w:szCs w:val="24"/>
        </w:rPr>
        <w:t>因此确定项目评价等级为二级</w:t>
      </w:r>
      <w:r>
        <w:rPr>
          <w:rFonts w:hint="eastAsia" w:ascii="Times New Roman" w:hAnsi="Times New Roman"/>
          <w:iCs/>
          <w:color w:val="auto"/>
          <w:kern w:val="0"/>
          <w:szCs w:val="21"/>
        </w:rPr>
        <w:t>。</w:t>
      </w:r>
    </w:p>
    <w:p>
      <w:pPr>
        <w:spacing w:line="360" w:lineRule="auto"/>
        <w:ind w:firstLine="480" w:firstLineChars="200"/>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rPr>
        <w:t>2</w:t>
      </w:r>
      <w:r>
        <w:rPr>
          <w:rFonts w:ascii="Times New Roman" w:hAnsi="Times New Roman" w:eastAsia="宋体" w:cs="Times New Roman"/>
          <w:color w:val="auto"/>
          <w:sz w:val="24"/>
          <w:szCs w:val="24"/>
        </w:rPr>
        <w:t>）地表水</w:t>
      </w:r>
    </w:p>
    <w:p>
      <w:pPr>
        <w:pStyle w:val="14"/>
        <w:keepNext w:val="0"/>
        <w:keepLines w:val="0"/>
        <w:pageBreakBefore w:val="0"/>
        <w:widowControl w:val="0"/>
        <w:kinsoku/>
        <w:wordWrap/>
        <w:overflowPunct/>
        <w:topLinePunct w:val="0"/>
        <w:autoSpaceDE/>
        <w:autoSpaceDN/>
        <w:bidi w:val="0"/>
        <w:adjustRightInd/>
        <w:snapToGrid/>
        <w:spacing w:line="360" w:lineRule="auto"/>
        <w:ind w:left="0" w:right="0" w:firstLine="482"/>
        <w:jc w:val="both"/>
        <w:textAlignment w:val="auto"/>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本项目废水经过厂区修建的</w:t>
      </w:r>
      <w:r>
        <w:rPr>
          <w:rFonts w:hint="eastAsia" w:cs="Times New Roman"/>
          <w:color w:val="auto"/>
          <w:kern w:val="2"/>
          <w:sz w:val="24"/>
          <w:szCs w:val="24"/>
          <w:lang w:val="en-US" w:eastAsia="zh-CN" w:bidi="ar-SA"/>
        </w:rPr>
        <w:t>污水处理区</w:t>
      </w:r>
      <w:r>
        <w:rPr>
          <w:rFonts w:hint="eastAsia" w:ascii="Times New Roman" w:hAnsi="Times New Roman" w:eastAsia="宋体" w:cs="Times New Roman"/>
          <w:color w:val="auto"/>
          <w:kern w:val="2"/>
          <w:sz w:val="24"/>
          <w:szCs w:val="24"/>
          <w:lang w:val="en-US" w:eastAsia="zh-CN" w:bidi="ar-SA"/>
        </w:rPr>
        <w:t>（格栅井+集粪池+固液分离机+污泥池（调节池）+叠螺脱水机+预反应及预沉池+一级光氧塘+</w:t>
      </w:r>
      <w:r>
        <w:rPr>
          <w:rFonts w:hint="eastAsia" w:cs="Times New Roman"/>
          <w:color w:val="auto"/>
          <w:kern w:val="2"/>
          <w:sz w:val="24"/>
          <w:szCs w:val="24"/>
          <w:lang w:val="en-US" w:eastAsia="zh-CN" w:bidi="ar-SA"/>
        </w:rPr>
        <w:t>A/O组合池</w:t>
      </w:r>
      <w:r>
        <w:rPr>
          <w:rFonts w:hint="eastAsia" w:ascii="Times New Roman" w:hAnsi="Times New Roman" w:eastAsia="宋体" w:cs="Times New Roman"/>
          <w:color w:val="auto"/>
          <w:kern w:val="2"/>
          <w:sz w:val="24"/>
          <w:szCs w:val="24"/>
          <w:lang w:val="en-US" w:eastAsia="zh-CN" w:bidi="ar-SA"/>
        </w:rPr>
        <w:t>+二沉池+深度反应池+终沉池+氧化塘）处理</w:t>
      </w:r>
      <w:r>
        <w:rPr>
          <w:rFonts w:hint="eastAsia" w:cs="Times New Roman"/>
          <w:color w:val="auto"/>
          <w:kern w:val="2"/>
          <w:sz w:val="24"/>
          <w:szCs w:val="24"/>
          <w:lang w:val="en-US" w:eastAsia="zh-CN" w:bidi="ar-SA"/>
        </w:rPr>
        <w:t>达到《农田灌溉水质标准》（GB5084-2021）中旱作标准</w:t>
      </w:r>
      <w:r>
        <w:rPr>
          <w:rFonts w:hint="eastAsia" w:ascii="Times New Roman" w:hAnsi="Times New Roman" w:eastAsia="宋体" w:cs="Times New Roman"/>
          <w:color w:val="auto"/>
          <w:kern w:val="2"/>
          <w:sz w:val="24"/>
          <w:szCs w:val="24"/>
          <w:lang w:val="en-US" w:eastAsia="zh-CN" w:bidi="ar-SA"/>
        </w:rPr>
        <w:t>后，用于</w:t>
      </w:r>
      <w:r>
        <w:rPr>
          <w:rFonts w:hint="eastAsia" w:cs="Times New Roman"/>
          <w:color w:val="auto"/>
          <w:kern w:val="2"/>
          <w:sz w:val="24"/>
          <w:szCs w:val="24"/>
          <w:lang w:val="en-US" w:eastAsia="zh-CN" w:bidi="ar-SA"/>
        </w:rPr>
        <w:t>周边园地灌溉</w:t>
      </w:r>
      <w:r>
        <w:rPr>
          <w:rFonts w:hint="eastAsia" w:ascii="Times New Roman" w:hAnsi="Times New Roman" w:eastAsia="宋体" w:cs="Times New Roman"/>
          <w:color w:val="auto"/>
          <w:kern w:val="2"/>
          <w:sz w:val="24"/>
          <w:szCs w:val="24"/>
          <w:lang w:val="en-US" w:eastAsia="zh-CN" w:bidi="ar-SA"/>
        </w:rPr>
        <w:t>，不外排。根据《环境影响评价技术导则  地表水环境》（HJ 2.3-2018）中5.2.2.2 间接排放建设项目评价等级为三级B。</w:t>
      </w:r>
    </w:p>
    <w:p>
      <w:pPr>
        <w:spacing w:line="360" w:lineRule="auto"/>
        <w:ind w:firstLine="480" w:firstLineChars="200"/>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rPr>
        <w:t>3</w:t>
      </w:r>
      <w:r>
        <w:rPr>
          <w:rFonts w:ascii="Times New Roman" w:hAnsi="Times New Roman" w:eastAsia="宋体" w:cs="Times New Roman"/>
          <w:color w:val="auto"/>
          <w:sz w:val="24"/>
          <w:szCs w:val="24"/>
        </w:rPr>
        <w:t>）地下水</w:t>
      </w:r>
    </w:p>
    <w:p>
      <w:pPr>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根据《环境影响评价技术导则-地下水环境》（HJ 610-2016）中评价工作等级划分依据判定本项目地下水评价工作等级。查阅《环境影响评价技术导则-地下水环境》（HJ 610-2016）附录 A，确定本项目所属的地下水环境影响评价项目类别为Ⅲ类。根据现场调查，项目所在区域周围居民取用地下水作为生活用水，根据眉山市</w:t>
      </w:r>
      <w:r>
        <w:rPr>
          <w:rFonts w:hint="eastAsia" w:ascii="Times New Roman" w:hAnsi="Times New Roman" w:eastAsia="宋体" w:cs="Times New Roman"/>
          <w:color w:val="auto"/>
          <w:sz w:val="24"/>
          <w:szCs w:val="24"/>
          <w:lang w:eastAsia="zh-CN"/>
        </w:rPr>
        <w:t>丹棱县</w:t>
      </w:r>
      <w:r>
        <w:rPr>
          <w:rFonts w:hint="eastAsia" w:ascii="Times New Roman" w:hAnsi="Times New Roman" w:eastAsia="宋体" w:cs="Times New Roman"/>
          <w:color w:val="auto"/>
          <w:sz w:val="24"/>
          <w:szCs w:val="24"/>
        </w:rPr>
        <w:t>饮用水划分可知，项目所在区域不属于划定的集中式饮用水水源，本项目所在地地下水环境属于</w:t>
      </w:r>
      <w:r>
        <w:rPr>
          <w:rFonts w:hint="eastAsia" w:ascii="Times New Roman" w:hAnsi="Times New Roman" w:eastAsia="宋体" w:cs="Times New Roman"/>
          <w:color w:val="auto"/>
          <w:sz w:val="24"/>
          <w:szCs w:val="24"/>
          <w:lang w:eastAsia="zh-CN"/>
        </w:rPr>
        <w:t>较</w:t>
      </w:r>
      <w:r>
        <w:rPr>
          <w:rFonts w:hint="eastAsia" w:ascii="Times New Roman" w:hAnsi="Times New Roman" w:eastAsia="宋体" w:cs="Times New Roman"/>
          <w:color w:val="auto"/>
          <w:sz w:val="24"/>
          <w:szCs w:val="24"/>
        </w:rPr>
        <w:t>敏感区。建设项目地下水环境影响评价工作等级划分为三级评价，具体见下表。</w:t>
      </w:r>
    </w:p>
    <w:p>
      <w:pPr>
        <w:spacing w:line="480" w:lineRule="exact"/>
        <w:jc w:val="center"/>
        <w:rPr>
          <w:rFonts w:ascii="Times New Roman" w:hAnsi="Times New Roman" w:eastAsia="宋体"/>
          <w:b/>
          <w:bCs/>
          <w:color w:val="auto"/>
          <w:sz w:val="21"/>
          <w:szCs w:val="21"/>
        </w:rPr>
      </w:pPr>
      <w:r>
        <w:rPr>
          <w:rFonts w:hint="eastAsia" w:ascii="Times New Roman" w:hAnsi="Times New Roman" w:eastAsia="宋体"/>
          <w:b/>
          <w:bCs/>
          <w:color w:val="auto"/>
          <w:sz w:val="21"/>
          <w:szCs w:val="21"/>
        </w:rPr>
        <w:t>表</w:t>
      </w:r>
      <w:r>
        <w:rPr>
          <w:rFonts w:ascii="Times New Roman" w:hAnsi="Times New Roman" w:eastAsia="宋体"/>
          <w:b/>
          <w:bCs/>
          <w:color w:val="auto"/>
          <w:sz w:val="21"/>
          <w:szCs w:val="21"/>
        </w:rPr>
        <w:t>1</w:t>
      </w:r>
      <w:r>
        <w:rPr>
          <w:rFonts w:hint="eastAsia" w:ascii="Times New Roman" w:hAnsi="Times New Roman" w:eastAsia="宋体"/>
          <w:b/>
          <w:bCs/>
          <w:color w:val="auto"/>
          <w:sz w:val="21"/>
          <w:szCs w:val="21"/>
        </w:rPr>
        <w:t>.6-</w:t>
      </w:r>
      <w:r>
        <w:rPr>
          <w:rFonts w:hint="eastAsia" w:ascii="Times New Roman" w:hAnsi="Times New Roman" w:eastAsia="宋体"/>
          <w:b/>
          <w:bCs/>
          <w:color w:val="auto"/>
          <w:sz w:val="21"/>
          <w:szCs w:val="21"/>
          <w:lang w:val="en-US" w:eastAsia="zh-CN"/>
        </w:rPr>
        <w:t xml:space="preserve">7  </w:t>
      </w:r>
      <w:r>
        <w:rPr>
          <w:rFonts w:hint="eastAsia" w:ascii="Times New Roman" w:hAnsi="Times New Roman" w:eastAsia="宋体"/>
          <w:b/>
          <w:bCs/>
          <w:color w:val="auto"/>
          <w:sz w:val="21"/>
          <w:szCs w:val="21"/>
        </w:rPr>
        <w:t>地下水环境敏感程度分级表</w:t>
      </w:r>
    </w:p>
    <w:tbl>
      <w:tblPr>
        <w:tblStyle w:val="34"/>
        <w:tblW w:w="9220"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24"/>
        <w:gridCol w:w="829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blHeader/>
        </w:trPr>
        <w:tc>
          <w:tcPr>
            <w:tcW w:w="924" w:type="dxa"/>
            <w:tcBorders>
              <w:tl2br w:val="nil"/>
              <w:tr2bl w:val="nil"/>
            </w:tcBorders>
          </w:tcPr>
          <w:p>
            <w:pPr>
              <w:jc w:val="center"/>
              <w:rPr>
                <w:rFonts w:ascii="Times New Roman" w:hAnsi="Times New Roman" w:eastAsia="宋体"/>
                <w:b/>
                <w:bCs/>
                <w:color w:val="auto"/>
                <w:szCs w:val="21"/>
              </w:rPr>
            </w:pPr>
            <w:r>
              <w:rPr>
                <w:rFonts w:hint="eastAsia" w:ascii="Times New Roman" w:hAnsi="Times New Roman" w:eastAsia="宋体" w:cs="宋体"/>
                <w:b/>
                <w:bCs/>
                <w:color w:val="auto"/>
                <w:szCs w:val="21"/>
              </w:rPr>
              <w:t>分级</w:t>
            </w:r>
          </w:p>
        </w:tc>
        <w:tc>
          <w:tcPr>
            <w:tcW w:w="8296" w:type="dxa"/>
            <w:tcBorders>
              <w:tl2br w:val="nil"/>
              <w:tr2bl w:val="nil"/>
            </w:tcBorders>
          </w:tcPr>
          <w:p>
            <w:pPr>
              <w:jc w:val="center"/>
              <w:rPr>
                <w:rFonts w:ascii="Times New Roman" w:hAnsi="Times New Roman" w:eastAsia="宋体"/>
                <w:b/>
                <w:bCs/>
                <w:color w:val="auto"/>
                <w:szCs w:val="21"/>
              </w:rPr>
            </w:pPr>
            <w:r>
              <w:rPr>
                <w:rFonts w:hint="eastAsia" w:ascii="Times New Roman" w:hAnsi="Times New Roman" w:eastAsia="宋体" w:cs="宋体"/>
                <w:b/>
                <w:bCs/>
                <w:color w:val="auto"/>
                <w:szCs w:val="21"/>
              </w:rPr>
              <w:t>项目场地的地下水环境敏感特征</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24" w:type="dxa"/>
            <w:tcBorders>
              <w:tl2br w:val="nil"/>
              <w:tr2bl w:val="nil"/>
            </w:tcBorders>
            <w:vAlign w:val="center"/>
          </w:tcPr>
          <w:p>
            <w:pPr>
              <w:jc w:val="center"/>
              <w:rPr>
                <w:rFonts w:ascii="Times New Roman" w:hAnsi="Times New Roman" w:eastAsia="宋体"/>
                <w:color w:val="auto"/>
                <w:szCs w:val="21"/>
              </w:rPr>
            </w:pPr>
            <w:r>
              <w:rPr>
                <w:rFonts w:hint="eastAsia" w:ascii="Times New Roman" w:hAnsi="Times New Roman" w:eastAsia="宋体" w:cs="宋体"/>
                <w:color w:val="auto"/>
                <w:szCs w:val="21"/>
              </w:rPr>
              <w:t>敏感</w:t>
            </w:r>
          </w:p>
        </w:tc>
        <w:tc>
          <w:tcPr>
            <w:tcW w:w="8296" w:type="dxa"/>
            <w:tcBorders>
              <w:tl2br w:val="nil"/>
              <w:tr2bl w:val="nil"/>
            </w:tcBorders>
            <w:vAlign w:val="center"/>
          </w:tcPr>
          <w:p>
            <w:pPr>
              <w:rPr>
                <w:rFonts w:ascii="Times New Roman" w:hAnsi="Times New Roman" w:eastAsia="宋体"/>
                <w:color w:val="auto"/>
                <w:szCs w:val="21"/>
              </w:rPr>
            </w:pPr>
            <w:r>
              <w:rPr>
                <w:rFonts w:hint="eastAsia" w:ascii="Times New Roman" w:hAnsi="Times New Roman" w:eastAsia="宋体" w:cs="宋体"/>
                <w:color w:val="auto"/>
                <w:szCs w:val="21"/>
              </w:rPr>
              <w:t>集中式饮用水水源（包括已建成的在用、备用、应急水源，在建和规划的饮用水源）准保护区；除集中式饮用水水源以外的国家或地方政府设定的与地下水环境相关的其它保护区，如热水、矿泉水、温泉等特殊地下水资源保护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24" w:type="dxa"/>
            <w:tcBorders>
              <w:tl2br w:val="nil"/>
              <w:tr2bl w:val="nil"/>
            </w:tcBorders>
            <w:vAlign w:val="center"/>
          </w:tcPr>
          <w:p>
            <w:pPr>
              <w:jc w:val="center"/>
              <w:rPr>
                <w:rFonts w:ascii="Times New Roman" w:hAnsi="Times New Roman" w:eastAsia="宋体"/>
                <w:color w:val="auto"/>
                <w:szCs w:val="21"/>
              </w:rPr>
            </w:pPr>
            <w:r>
              <w:rPr>
                <w:rFonts w:hint="eastAsia" w:ascii="Times New Roman" w:hAnsi="Times New Roman" w:eastAsia="宋体" w:cs="宋体"/>
                <w:color w:val="auto"/>
                <w:szCs w:val="21"/>
              </w:rPr>
              <w:t>较敏感</w:t>
            </w:r>
          </w:p>
        </w:tc>
        <w:tc>
          <w:tcPr>
            <w:tcW w:w="8296" w:type="dxa"/>
            <w:tcBorders>
              <w:tl2br w:val="nil"/>
              <w:tr2bl w:val="nil"/>
            </w:tcBorders>
            <w:vAlign w:val="center"/>
          </w:tcPr>
          <w:p>
            <w:pPr>
              <w:rPr>
                <w:rFonts w:ascii="Times New Roman" w:hAnsi="Times New Roman" w:eastAsia="宋体"/>
                <w:color w:val="auto"/>
                <w:szCs w:val="21"/>
              </w:rPr>
            </w:pPr>
            <w:r>
              <w:rPr>
                <w:rFonts w:hint="eastAsia" w:ascii="Times New Roman" w:hAnsi="Times New Roman" w:eastAsia="宋体" w:cs="宋体"/>
                <w:color w:val="auto"/>
                <w:szCs w:val="21"/>
              </w:rPr>
              <w:t>集中式饮用水水源（包括已建成的在用、备用、应急水源，在建和规划的饮用水源）准保护区以外的补给径流区；未划定准保护区的集中水式饮用水水源，其保护区以外的补给径流区；分散式饮用水水源地；特殊地下水资源（如矿泉水、温泉等）保护区以外的分布区等其他未列入上述敏感分级的环境敏感区</w:t>
            </w:r>
            <w:r>
              <w:rPr>
                <w:rFonts w:hint="eastAsia" w:ascii="Times New Roman" w:hAnsi="Times New Roman" w:eastAsia="宋体" w:cs="宋体"/>
                <w:color w:val="auto"/>
                <w:szCs w:val="21"/>
                <w:vertAlign w:val="superscript"/>
              </w:rPr>
              <w:t>a</w:t>
            </w:r>
            <w:r>
              <w:rPr>
                <w:rFonts w:hint="eastAsia" w:ascii="Times New Roman" w:hAnsi="Times New Roman" w:eastAsia="宋体" w:cs="宋体"/>
                <w:color w:val="auto"/>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24" w:type="dxa"/>
            <w:tcBorders>
              <w:tl2br w:val="nil"/>
              <w:tr2bl w:val="nil"/>
            </w:tcBorders>
            <w:vAlign w:val="center"/>
          </w:tcPr>
          <w:p>
            <w:pPr>
              <w:jc w:val="center"/>
              <w:rPr>
                <w:rFonts w:ascii="Times New Roman" w:hAnsi="Times New Roman" w:eastAsia="宋体"/>
                <w:color w:val="auto"/>
                <w:szCs w:val="21"/>
              </w:rPr>
            </w:pPr>
            <w:r>
              <w:rPr>
                <w:rFonts w:hint="eastAsia" w:ascii="Times New Roman" w:hAnsi="Times New Roman" w:eastAsia="宋体" w:cs="宋体"/>
                <w:color w:val="auto"/>
                <w:szCs w:val="21"/>
              </w:rPr>
              <w:t>不敏感</w:t>
            </w:r>
          </w:p>
        </w:tc>
        <w:tc>
          <w:tcPr>
            <w:tcW w:w="8296" w:type="dxa"/>
            <w:tcBorders>
              <w:tl2br w:val="nil"/>
              <w:tr2bl w:val="nil"/>
            </w:tcBorders>
            <w:vAlign w:val="center"/>
          </w:tcPr>
          <w:p>
            <w:pPr>
              <w:rPr>
                <w:rFonts w:ascii="Times New Roman" w:hAnsi="Times New Roman" w:eastAsia="宋体"/>
                <w:color w:val="auto"/>
                <w:szCs w:val="21"/>
              </w:rPr>
            </w:pPr>
            <w:r>
              <w:rPr>
                <w:rFonts w:hint="eastAsia" w:ascii="Times New Roman" w:hAnsi="Times New Roman" w:eastAsia="宋体" w:cs="宋体"/>
                <w:color w:val="auto"/>
                <w:szCs w:val="21"/>
              </w:rPr>
              <w:t>上述地区之外的其它地区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220" w:type="dxa"/>
            <w:gridSpan w:val="2"/>
            <w:tcBorders>
              <w:tl2br w:val="nil"/>
              <w:tr2bl w:val="nil"/>
            </w:tcBorders>
            <w:vAlign w:val="center"/>
          </w:tcPr>
          <w:p>
            <w:pPr>
              <w:rPr>
                <w:rFonts w:ascii="Times New Roman" w:hAnsi="Times New Roman" w:eastAsia="宋体" w:cs="宋体"/>
                <w:color w:val="auto"/>
                <w:szCs w:val="21"/>
              </w:rPr>
            </w:pPr>
            <w:r>
              <w:rPr>
                <w:rFonts w:hint="eastAsia" w:ascii="Times New Roman" w:hAnsi="Times New Roman" w:eastAsia="宋体" w:cs="宋体"/>
                <w:color w:val="auto"/>
                <w:szCs w:val="21"/>
              </w:rPr>
              <w:t>注：</w:t>
            </w:r>
            <w:r>
              <w:rPr>
                <w:rFonts w:ascii="Times New Roman" w:hAnsi="Times New Roman" w:eastAsia="宋体" w:cs="宋体"/>
                <w:color w:val="auto"/>
                <w:szCs w:val="21"/>
              </w:rPr>
              <w:t>a</w:t>
            </w:r>
            <w:r>
              <w:rPr>
                <w:rFonts w:hint="eastAsia" w:ascii="Times New Roman" w:hAnsi="Times New Roman" w:eastAsia="宋体" w:cs="宋体"/>
                <w:color w:val="auto"/>
                <w:szCs w:val="21"/>
              </w:rPr>
              <w:t>“环境敏感区</w:t>
            </w:r>
            <w:r>
              <w:rPr>
                <w:rFonts w:ascii="Times New Roman" w:hAnsi="Times New Roman" w:eastAsia="宋体"/>
                <w:color w:val="auto"/>
                <w:szCs w:val="21"/>
              </w:rPr>
              <w:t>”</w:t>
            </w:r>
            <w:r>
              <w:rPr>
                <w:rFonts w:hint="eastAsia" w:ascii="Times New Roman" w:hAnsi="Times New Roman" w:eastAsia="宋体" w:cs="宋体"/>
                <w:color w:val="auto"/>
                <w:szCs w:val="21"/>
              </w:rPr>
              <w:t>系指《建设项目环境影响评价分类管理名录》中所界定的涉及地下水的环境敏感区。</w:t>
            </w:r>
          </w:p>
        </w:tc>
      </w:tr>
    </w:tbl>
    <w:p>
      <w:pPr>
        <w:pStyle w:val="14"/>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textAlignment w:val="auto"/>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建设项目地下水环境影响评价工作等级划分见下表：</w:t>
      </w:r>
    </w:p>
    <w:p>
      <w:pPr>
        <w:adjustRightInd w:val="0"/>
        <w:snapToGrid w:val="0"/>
        <w:spacing w:line="360" w:lineRule="auto"/>
        <w:jc w:val="center"/>
        <w:rPr>
          <w:rFonts w:ascii="Times New Roman" w:hAnsi="Times New Roman" w:eastAsia="宋体"/>
          <w:color w:val="auto"/>
          <w:sz w:val="24"/>
          <w:szCs w:val="24"/>
        </w:rPr>
      </w:pPr>
      <w:r>
        <w:rPr>
          <w:rFonts w:hint="eastAsia" w:ascii="Times New Roman" w:hAnsi="Times New Roman" w:eastAsia="宋体"/>
          <w:b/>
          <w:bCs/>
          <w:color w:val="auto"/>
          <w:sz w:val="21"/>
          <w:szCs w:val="21"/>
        </w:rPr>
        <w:t>表1.6-</w:t>
      </w:r>
      <w:r>
        <w:rPr>
          <w:rFonts w:hint="eastAsia" w:ascii="Times New Roman" w:hAnsi="Times New Roman" w:eastAsia="宋体"/>
          <w:b/>
          <w:bCs/>
          <w:color w:val="auto"/>
          <w:sz w:val="21"/>
          <w:szCs w:val="21"/>
          <w:lang w:val="en-US" w:eastAsia="zh-CN"/>
        </w:rPr>
        <w:t xml:space="preserve">8  </w:t>
      </w:r>
      <w:r>
        <w:rPr>
          <w:rFonts w:ascii="Times New Roman" w:hAnsi="Times New Roman" w:eastAsia="宋体"/>
          <w:b/>
          <w:bCs/>
          <w:color w:val="auto"/>
          <w:sz w:val="21"/>
          <w:szCs w:val="21"/>
        </w:rPr>
        <w:t>地下水环境影响评价等级划分</w:t>
      </w:r>
    </w:p>
    <w:tbl>
      <w:tblPr>
        <w:tblStyle w:val="35"/>
        <w:tblW w:w="9220"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306"/>
        <w:gridCol w:w="2304"/>
        <w:gridCol w:w="2306"/>
        <w:gridCol w:w="230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c>
          <w:tcPr>
            <w:tcW w:w="2306" w:type="dxa"/>
            <w:tcBorders>
              <w:tl2br w:val="single" w:color="auto" w:sz="2" w:space="0"/>
            </w:tcBorders>
            <w:shd w:val="clear" w:color="auto" w:fill="auto"/>
          </w:tcPr>
          <w:p>
            <w:pPr>
              <w:adjustRightInd w:val="0"/>
              <w:snapToGrid w:val="0"/>
              <w:jc w:val="right"/>
              <w:rPr>
                <w:rFonts w:ascii="Times New Roman" w:hAnsi="Times New Roman" w:eastAsia="宋体"/>
                <w:b/>
                <w:bCs/>
                <w:color w:val="auto"/>
                <w:szCs w:val="21"/>
              </w:rPr>
            </w:pPr>
            <w:r>
              <w:rPr>
                <w:rFonts w:ascii="Times New Roman" w:hAnsi="Times New Roman" w:eastAsia="宋体"/>
                <w:b/>
                <w:bCs/>
                <w:color w:val="auto"/>
                <w:szCs w:val="21"/>
              </w:rPr>
              <w:t>项目类别</w:t>
            </w:r>
          </w:p>
          <w:p>
            <w:pPr>
              <w:adjustRightInd w:val="0"/>
              <w:snapToGrid w:val="0"/>
              <w:rPr>
                <w:rFonts w:ascii="Times New Roman" w:hAnsi="Times New Roman" w:eastAsia="宋体"/>
                <w:b/>
                <w:bCs/>
                <w:color w:val="auto"/>
                <w:szCs w:val="21"/>
              </w:rPr>
            </w:pPr>
            <w:r>
              <w:rPr>
                <w:rFonts w:ascii="Times New Roman" w:hAnsi="Times New Roman" w:eastAsia="宋体"/>
                <w:b/>
                <w:bCs/>
                <w:color w:val="auto"/>
                <w:szCs w:val="21"/>
              </w:rPr>
              <w:t>环境敏感程度</w:t>
            </w:r>
          </w:p>
        </w:tc>
        <w:tc>
          <w:tcPr>
            <w:tcW w:w="2304" w:type="dxa"/>
            <w:tcBorders>
              <w:tl2br w:val="nil"/>
              <w:tr2bl w:val="nil"/>
            </w:tcBorders>
            <w:shd w:val="clear" w:color="auto" w:fill="auto"/>
            <w:vAlign w:val="center"/>
          </w:tcPr>
          <w:p>
            <w:pPr>
              <w:adjustRightInd w:val="0"/>
              <w:snapToGrid w:val="0"/>
              <w:jc w:val="center"/>
              <w:rPr>
                <w:rFonts w:ascii="Times New Roman" w:hAnsi="Times New Roman" w:eastAsia="宋体"/>
                <w:b/>
                <w:bCs/>
                <w:color w:val="auto"/>
                <w:szCs w:val="21"/>
              </w:rPr>
            </w:pPr>
            <w:r>
              <w:rPr>
                <w:rFonts w:ascii="Times New Roman" w:hAnsi="Times New Roman" w:eastAsia="宋体"/>
                <w:b/>
                <w:bCs/>
                <w:color w:val="auto"/>
                <w:szCs w:val="21"/>
              </w:rPr>
              <w:t>Ⅰ类项目</w:t>
            </w:r>
          </w:p>
        </w:tc>
        <w:tc>
          <w:tcPr>
            <w:tcW w:w="2306" w:type="dxa"/>
            <w:tcBorders>
              <w:tl2br w:val="nil"/>
              <w:tr2bl w:val="nil"/>
            </w:tcBorders>
            <w:shd w:val="clear" w:color="auto" w:fill="auto"/>
            <w:vAlign w:val="center"/>
          </w:tcPr>
          <w:p>
            <w:pPr>
              <w:adjustRightInd w:val="0"/>
              <w:snapToGrid w:val="0"/>
              <w:jc w:val="center"/>
              <w:rPr>
                <w:rFonts w:ascii="Times New Roman" w:hAnsi="Times New Roman" w:eastAsia="宋体"/>
                <w:b/>
                <w:bCs/>
                <w:color w:val="auto"/>
                <w:szCs w:val="21"/>
              </w:rPr>
            </w:pPr>
            <w:r>
              <w:rPr>
                <w:rFonts w:ascii="Times New Roman" w:hAnsi="Times New Roman" w:eastAsia="宋体"/>
                <w:b/>
                <w:bCs/>
                <w:color w:val="auto"/>
                <w:szCs w:val="21"/>
              </w:rPr>
              <w:t>Ⅱ类项目</w:t>
            </w:r>
          </w:p>
        </w:tc>
        <w:tc>
          <w:tcPr>
            <w:tcW w:w="2304" w:type="dxa"/>
            <w:tcBorders>
              <w:tl2br w:val="nil"/>
              <w:tr2bl w:val="nil"/>
            </w:tcBorders>
            <w:shd w:val="clear" w:color="auto" w:fill="auto"/>
            <w:vAlign w:val="center"/>
          </w:tcPr>
          <w:p>
            <w:pPr>
              <w:adjustRightInd w:val="0"/>
              <w:snapToGrid w:val="0"/>
              <w:jc w:val="center"/>
              <w:rPr>
                <w:rFonts w:ascii="Times New Roman" w:hAnsi="Times New Roman" w:eastAsia="宋体"/>
                <w:b/>
                <w:bCs/>
                <w:color w:val="auto"/>
                <w:szCs w:val="21"/>
              </w:rPr>
            </w:pPr>
            <w:r>
              <w:rPr>
                <w:rFonts w:ascii="Times New Roman" w:hAnsi="Times New Roman" w:eastAsia="宋体"/>
                <w:b/>
                <w:bCs/>
                <w:color w:val="auto"/>
                <w:szCs w:val="21"/>
              </w:rPr>
              <w:t>Ⅲ类项目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306" w:type="dxa"/>
            <w:tcBorders>
              <w:tl2br w:val="nil"/>
              <w:tr2bl w:val="nil"/>
            </w:tcBorders>
            <w:shd w:val="clear" w:color="auto" w:fill="auto"/>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敏感</w:t>
            </w:r>
          </w:p>
        </w:tc>
        <w:tc>
          <w:tcPr>
            <w:tcW w:w="2304" w:type="dxa"/>
            <w:tcBorders>
              <w:tl2br w:val="nil"/>
              <w:tr2bl w:val="nil"/>
            </w:tcBorders>
            <w:shd w:val="clear" w:color="auto" w:fill="auto"/>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一</w:t>
            </w:r>
          </w:p>
        </w:tc>
        <w:tc>
          <w:tcPr>
            <w:tcW w:w="2306" w:type="dxa"/>
            <w:tcBorders>
              <w:tl2br w:val="nil"/>
              <w:tr2bl w:val="nil"/>
            </w:tcBorders>
            <w:shd w:val="clear" w:color="auto" w:fill="auto"/>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一</w:t>
            </w:r>
          </w:p>
        </w:tc>
        <w:tc>
          <w:tcPr>
            <w:tcW w:w="2304" w:type="dxa"/>
            <w:tcBorders>
              <w:tl2br w:val="nil"/>
              <w:tr2bl w:val="nil"/>
            </w:tcBorders>
            <w:shd w:val="clear" w:color="auto" w:fill="auto"/>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306" w:type="dxa"/>
            <w:tcBorders>
              <w:tl2br w:val="nil"/>
              <w:tr2bl w:val="nil"/>
            </w:tcBorders>
            <w:shd w:val="clear" w:color="auto" w:fill="auto"/>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较敏感</w:t>
            </w:r>
          </w:p>
        </w:tc>
        <w:tc>
          <w:tcPr>
            <w:tcW w:w="2304" w:type="dxa"/>
            <w:tcBorders>
              <w:tl2br w:val="nil"/>
              <w:tr2bl w:val="nil"/>
            </w:tcBorders>
            <w:shd w:val="clear" w:color="auto" w:fill="auto"/>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一</w:t>
            </w:r>
          </w:p>
        </w:tc>
        <w:tc>
          <w:tcPr>
            <w:tcW w:w="2306" w:type="dxa"/>
            <w:tcBorders>
              <w:tl2br w:val="nil"/>
              <w:tr2bl w:val="nil"/>
            </w:tcBorders>
            <w:shd w:val="clear" w:color="auto" w:fill="auto"/>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二</w:t>
            </w:r>
          </w:p>
        </w:tc>
        <w:tc>
          <w:tcPr>
            <w:tcW w:w="2304" w:type="dxa"/>
            <w:tcBorders>
              <w:tl2br w:val="nil"/>
              <w:tr2bl w:val="nil"/>
            </w:tcBorders>
            <w:shd w:val="clear" w:color="auto" w:fill="DCD8C2" w:themeFill="background2" w:themeFillShade="E5"/>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306" w:type="dxa"/>
            <w:tcBorders>
              <w:tl2br w:val="nil"/>
              <w:tr2bl w:val="nil"/>
            </w:tcBorders>
            <w:shd w:val="clear" w:color="auto" w:fill="auto"/>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不敏感</w:t>
            </w:r>
          </w:p>
        </w:tc>
        <w:tc>
          <w:tcPr>
            <w:tcW w:w="2304" w:type="dxa"/>
            <w:tcBorders>
              <w:tl2br w:val="nil"/>
              <w:tr2bl w:val="nil"/>
            </w:tcBorders>
            <w:shd w:val="clear" w:color="auto" w:fill="auto"/>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s="Times New Roman"/>
                <w:iCs/>
                <w:color w:val="auto"/>
                <w:kern w:val="0"/>
                <w:sz w:val="21"/>
                <w:szCs w:val="26"/>
                <w:shd w:val="clear" w:color="auto" w:fill="auto"/>
                <w:lang w:val="en-US" w:eastAsia="zh-CN" w:bidi="ar-SA"/>
              </w:rPr>
              <w:t>二</w:t>
            </w:r>
          </w:p>
        </w:tc>
        <w:tc>
          <w:tcPr>
            <w:tcW w:w="2306" w:type="dxa"/>
            <w:tcBorders>
              <w:tl2br w:val="nil"/>
              <w:tr2bl w:val="nil"/>
            </w:tcBorders>
            <w:shd w:val="clear" w:color="auto" w:fill="auto"/>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三</w:t>
            </w:r>
          </w:p>
        </w:tc>
        <w:tc>
          <w:tcPr>
            <w:tcW w:w="2304" w:type="dxa"/>
            <w:tcBorders>
              <w:tl2br w:val="nil"/>
              <w:tr2bl w:val="nil"/>
            </w:tcBorders>
            <w:shd w:val="clear" w:color="auto" w:fill="auto"/>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三</w:t>
            </w:r>
          </w:p>
        </w:tc>
      </w:tr>
    </w:tbl>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综上所述，本项目为I</w:t>
      </w:r>
      <w:r>
        <w:rPr>
          <w:rFonts w:hint="eastAsia" w:ascii="Times New Roman" w:hAnsi="Times New Roman" w:eastAsia="宋体" w:cs="Times New Roman"/>
          <w:color w:val="auto"/>
          <w:sz w:val="24"/>
          <w:szCs w:val="24"/>
          <w:lang w:val="en-US" w:eastAsia="zh-CN"/>
        </w:rPr>
        <w:t>II</w:t>
      </w:r>
      <w:r>
        <w:rPr>
          <w:rFonts w:hint="eastAsia" w:ascii="Times New Roman" w:hAnsi="Times New Roman" w:eastAsia="宋体" w:cs="Times New Roman"/>
          <w:color w:val="auto"/>
          <w:sz w:val="24"/>
          <w:szCs w:val="24"/>
        </w:rPr>
        <w:t>类项目，环境敏感程度</w:t>
      </w:r>
      <w:r>
        <w:rPr>
          <w:rFonts w:hint="eastAsia" w:ascii="Times New Roman" w:hAnsi="Times New Roman" w:eastAsia="宋体" w:cs="Times New Roman"/>
          <w:color w:val="auto"/>
          <w:sz w:val="24"/>
          <w:szCs w:val="24"/>
          <w:lang w:eastAsia="zh-CN"/>
        </w:rPr>
        <w:t>较</w:t>
      </w:r>
      <w:r>
        <w:rPr>
          <w:rFonts w:hint="eastAsia" w:ascii="Times New Roman" w:hAnsi="Times New Roman" w:eastAsia="宋体" w:cs="Times New Roman"/>
          <w:color w:val="auto"/>
          <w:sz w:val="24"/>
          <w:szCs w:val="24"/>
        </w:rPr>
        <w:t>敏感，故地下水环境影响评价工作等级为</w:t>
      </w:r>
      <w:r>
        <w:rPr>
          <w:rFonts w:hint="eastAsia" w:ascii="Times New Roman" w:hAnsi="Times New Roman" w:eastAsia="宋体" w:cs="Times New Roman"/>
          <w:color w:val="auto"/>
          <w:sz w:val="24"/>
          <w:szCs w:val="24"/>
          <w:lang w:eastAsia="zh-CN"/>
        </w:rPr>
        <w:t>三</w:t>
      </w:r>
      <w:r>
        <w:rPr>
          <w:rFonts w:hint="eastAsia" w:ascii="Times New Roman" w:hAnsi="Times New Roman" w:eastAsia="宋体" w:cs="Times New Roman"/>
          <w:color w:val="auto"/>
          <w:sz w:val="24"/>
          <w:szCs w:val="24"/>
        </w:rPr>
        <w:t>级。</w:t>
      </w:r>
    </w:p>
    <w:p>
      <w:pPr>
        <w:spacing w:line="360" w:lineRule="auto"/>
        <w:ind w:firstLine="480" w:firstLineChars="200"/>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rPr>
        <w:t>4</w:t>
      </w:r>
      <w:r>
        <w:rPr>
          <w:rFonts w:ascii="Times New Roman" w:hAnsi="Times New Roman" w:eastAsia="宋体" w:cs="Times New Roman"/>
          <w:color w:val="auto"/>
          <w:sz w:val="24"/>
          <w:szCs w:val="24"/>
        </w:rPr>
        <w:t>）声环境</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本项目选址区域声环境属 2 类标准地区，按照《环境影响评价技术导则 声环境》（HJ2.4-2009）的规定，本次声环境影响评价工作等级为二级。本项目为农村生态环境，养殖场有猪叫声和设备噪声，猪叫声只在喂料时发出叫声，持续时间为 10~20min；设备采取隔声减振措施。本项目在建设前后评价范围内敏感目标噪声级增高量小于3dB(A)，且周边受影响人口数量变化不大，因此确定本项目声环境影响评价工作级别为二级评价。</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eastAsia="宋体"/>
          <w:b/>
          <w:color w:val="auto"/>
          <w:kern w:val="0"/>
          <w:sz w:val="24"/>
          <w:szCs w:val="24"/>
        </w:rPr>
      </w:pPr>
      <w:r>
        <w:rPr>
          <w:rFonts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rPr>
        <w:t>5</w:t>
      </w:r>
      <w:r>
        <w:rPr>
          <w:rFonts w:ascii="Times New Roman" w:hAnsi="Times New Roman" w:eastAsia="宋体" w:cs="Times New Roman"/>
          <w:color w:val="auto"/>
          <w:sz w:val="24"/>
          <w:szCs w:val="24"/>
        </w:rPr>
        <w:t>）</w:t>
      </w:r>
      <w:r>
        <w:rPr>
          <w:rFonts w:hint="eastAsia" w:ascii="Times New Roman" w:hAnsi="Times New Roman" w:eastAsia="宋体"/>
          <w:b w:val="0"/>
          <w:bCs/>
          <w:color w:val="auto"/>
          <w:kern w:val="0"/>
          <w:sz w:val="24"/>
          <w:szCs w:val="24"/>
        </w:rPr>
        <w:t>生态环境</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eastAsia="宋体"/>
          <w:color w:val="auto"/>
          <w:kern w:val="0"/>
          <w:sz w:val="24"/>
          <w:szCs w:val="24"/>
        </w:rPr>
      </w:pPr>
      <w:r>
        <w:rPr>
          <w:rFonts w:hint="eastAsia" w:ascii="Times New Roman" w:hAnsi="Times New Roman" w:eastAsia="宋体"/>
          <w:color w:val="auto"/>
          <w:kern w:val="0"/>
          <w:sz w:val="24"/>
          <w:szCs w:val="24"/>
        </w:rPr>
        <w:t>项目所占地</w:t>
      </w:r>
      <w:r>
        <w:rPr>
          <w:rFonts w:hint="eastAsia" w:ascii="Times New Roman" w:hAnsi="Times New Roman" w:eastAsia="宋体"/>
          <w:color w:val="auto"/>
          <w:kern w:val="0"/>
          <w:sz w:val="24"/>
          <w:szCs w:val="24"/>
          <w:lang w:eastAsia="zh-CN"/>
        </w:rPr>
        <w:t>0.06k</w:t>
      </w:r>
      <w:r>
        <w:rPr>
          <w:rFonts w:hint="eastAsia" w:ascii="Times New Roman" w:hAnsi="Times New Roman" w:eastAsia="宋体"/>
          <w:color w:val="auto"/>
          <w:kern w:val="0"/>
          <w:sz w:val="24"/>
          <w:szCs w:val="24"/>
        </w:rPr>
        <w:t>m</w:t>
      </w:r>
      <w:r>
        <w:rPr>
          <w:rFonts w:hint="eastAsia" w:ascii="Times New Roman" w:hAnsi="Times New Roman" w:eastAsia="宋体"/>
          <w:color w:val="auto"/>
          <w:kern w:val="0"/>
          <w:sz w:val="24"/>
          <w:szCs w:val="24"/>
          <w:vertAlign w:val="superscript"/>
        </w:rPr>
        <w:t>2</w:t>
      </w:r>
      <w:r>
        <w:rPr>
          <w:rFonts w:hint="eastAsia" w:ascii="Times New Roman" w:hAnsi="Times New Roman" w:eastAsia="宋体"/>
          <w:color w:val="auto"/>
          <w:kern w:val="0"/>
          <w:sz w:val="24"/>
          <w:szCs w:val="24"/>
        </w:rPr>
        <w:t>（</w:t>
      </w:r>
      <w:r>
        <w:rPr>
          <w:rFonts w:hint="eastAsia" w:ascii="Times New Roman" w:hAnsi="Times New Roman" w:eastAsia="宋体"/>
          <w:color w:val="auto"/>
          <w:kern w:val="0"/>
          <w:sz w:val="24"/>
          <w:szCs w:val="24"/>
          <w:lang w:val="en-US" w:eastAsia="zh-CN"/>
        </w:rPr>
        <w:t>90亩</w:t>
      </w:r>
      <w:r>
        <w:rPr>
          <w:rFonts w:hint="eastAsia" w:ascii="Times New Roman" w:hAnsi="Times New Roman" w:eastAsia="宋体"/>
          <w:color w:val="auto"/>
          <w:kern w:val="0"/>
          <w:sz w:val="24"/>
          <w:szCs w:val="24"/>
        </w:rPr>
        <w:t>），占地类型主要为</w:t>
      </w:r>
      <w:r>
        <w:rPr>
          <w:rFonts w:hint="eastAsia" w:ascii="Times New Roman" w:hAnsi="Times New Roman" w:eastAsia="宋体"/>
          <w:color w:val="auto"/>
          <w:kern w:val="0"/>
          <w:sz w:val="24"/>
          <w:szCs w:val="24"/>
          <w:lang w:val="en-US" w:eastAsia="zh-CN"/>
        </w:rPr>
        <w:t>一般耕地和林地</w:t>
      </w:r>
      <w:r>
        <w:rPr>
          <w:rFonts w:hint="eastAsia" w:ascii="Times New Roman" w:hAnsi="Times New Roman" w:eastAsia="宋体"/>
          <w:color w:val="auto"/>
          <w:kern w:val="0"/>
          <w:sz w:val="24"/>
          <w:szCs w:val="24"/>
        </w:rPr>
        <w:t>，占地范围内未发现珍稀濒危物种。对照《环境影响评价技术导则 生态导则》（HJ19-2011）表 1 所列的生态影响评价工作等级划分可知，本工程占地范围小于2km</w:t>
      </w:r>
      <w:r>
        <w:rPr>
          <w:rFonts w:hint="eastAsia" w:ascii="Times New Roman" w:hAnsi="Times New Roman" w:eastAsia="宋体"/>
          <w:color w:val="auto"/>
          <w:kern w:val="0"/>
          <w:sz w:val="24"/>
          <w:szCs w:val="24"/>
          <w:vertAlign w:val="superscript"/>
        </w:rPr>
        <w:t>2</w:t>
      </w:r>
      <w:r>
        <w:rPr>
          <w:rFonts w:hint="eastAsia" w:ascii="Times New Roman" w:hAnsi="Times New Roman" w:eastAsia="宋体"/>
          <w:color w:val="auto"/>
          <w:kern w:val="0"/>
          <w:sz w:val="24"/>
          <w:szCs w:val="24"/>
        </w:rPr>
        <w:t>，不属于特殊或重要生态敏感区，为一般生态区域，生态评价等级为三级评价，具体判定依据如下表所示。</w:t>
      </w:r>
    </w:p>
    <w:p>
      <w:pPr>
        <w:pStyle w:val="96"/>
        <w:ind w:firstLine="422"/>
        <w:rPr>
          <w:rFonts w:ascii="Times New Roman" w:hAnsi="Times New Roman" w:eastAsia="宋体"/>
          <w:b/>
          <w:bCs/>
          <w:color w:val="auto"/>
          <w:kern w:val="0"/>
          <w:sz w:val="21"/>
          <w:szCs w:val="21"/>
        </w:rPr>
      </w:pPr>
      <w:r>
        <w:rPr>
          <w:rFonts w:hint="eastAsia" w:ascii="Times New Roman" w:hAnsi="Times New Roman" w:eastAsia="宋体"/>
          <w:b/>
          <w:bCs/>
          <w:color w:val="auto"/>
          <w:kern w:val="0"/>
          <w:sz w:val="21"/>
          <w:szCs w:val="21"/>
        </w:rPr>
        <w:t>表1.</w:t>
      </w:r>
      <w:r>
        <w:rPr>
          <w:rFonts w:ascii="Times New Roman" w:hAnsi="Times New Roman" w:eastAsia="宋体"/>
          <w:b/>
          <w:bCs/>
          <w:color w:val="auto"/>
          <w:kern w:val="0"/>
          <w:sz w:val="21"/>
          <w:szCs w:val="21"/>
        </w:rPr>
        <w:t>6</w:t>
      </w:r>
      <w:r>
        <w:rPr>
          <w:rFonts w:hint="eastAsia" w:ascii="Times New Roman" w:hAnsi="Times New Roman" w:eastAsia="宋体"/>
          <w:b/>
          <w:bCs/>
          <w:color w:val="auto"/>
          <w:kern w:val="0"/>
          <w:sz w:val="21"/>
          <w:szCs w:val="21"/>
        </w:rPr>
        <w:t>-</w:t>
      </w:r>
      <w:r>
        <w:rPr>
          <w:rFonts w:hint="eastAsia" w:ascii="Times New Roman" w:hAnsi="Times New Roman" w:eastAsia="宋体"/>
          <w:b/>
          <w:bCs/>
          <w:color w:val="auto"/>
          <w:kern w:val="0"/>
          <w:sz w:val="21"/>
          <w:szCs w:val="21"/>
          <w:lang w:val="en-US" w:eastAsia="zh-CN"/>
        </w:rPr>
        <w:t xml:space="preserve">9 </w:t>
      </w:r>
      <w:r>
        <w:rPr>
          <w:rFonts w:hint="eastAsia" w:ascii="Times New Roman" w:hAnsi="Times New Roman" w:eastAsia="宋体"/>
          <w:b/>
          <w:bCs/>
          <w:color w:val="auto"/>
          <w:kern w:val="0"/>
          <w:sz w:val="21"/>
          <w:szCs w:val="21"/>
        </w:rPr>
        <w:t xml:space="preserve"> 生态环境评价工作等级划分表</w:t>
      </w:r>
    </w:p>
    <w:tbl>
      <w:tblPr>
        <w:tblStyle w:val="34"/>
        <w:tblW w:w="922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1623"/>
        <w:gridCol w:w="1827"/>
        <w:gridCol w:w="1541"/>
        <w:gridCol w:w="1623"/>
        <w:gridCol w:w="90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1" w:type="dxa"/>
            <w:vMerge w:val="restart"/>
            <w:tcBorders>
              <w:tl2br w:val="nil"/>
              <w:tr2bl w:val="nil"/>
            </w:tcBorders>
            <w:vAlign w:val="center"/>
          </w:tcPr>
          <w:p>
            <w:pPr>
              <w:pStyle w:val="97"/>
              <w:keepNext w:val="0"/>
              <w:keepLines w:val="0"/>
              <w:pageBreakBefore w:val="0"/>
              <w:kinsoku/>
              <w:wordWrap/>
              <w:overflowPunct/>
              <w:topLinePunct w:val="0"/>
              <w:bidi w:val="0"/>
              <w:adjustRightInd w:val="0"/>
              <w:snapToGrid w:val="0"/>
              <w:textAlignment w:val="auto"/>
              <w:rPr>
                <w:rFonts w:ascii="Times New Roman" w:hAnsi="Times New Roman"/>
                <w:b/>
                <w:bCs/>
                <w:color w:val="auto"/>
                <w:kern w:val="0"/>
              </w:rPr>
            </w:pPr>
            <w:r>
              <w:rPr>
                <w:rFonts w:ascii="Times New Roman" w:hAnsi="Times New Roman"/>
                <w:b/>
                <w:bCs/>
                <w:color w:val="auto"/>
                <w:kern w:val="0"/>
              </w:rPr>
              <w:t>影响区域敏感性</w:t>
            </w:r>
          </w:p>
        </w:tc>
        <w:tc>
          <w:tcPr>
            <w:tcW w:w="4991" w:type="dxa"/>
            <w:gridSpan w:val="3"/>
            <w:tcBorders>
              <w:tl2br w:val="nil"/>
              <w:tr2bl w:val="nil"/>
            </w:tcBorders>
            <w:vAlign w:val="center"/>
          </w:tcPr>
          <w:p>
            <w:pPr>
              <w:pStyle w:val="97"/>
              <w:keepNext w:val="0"/>
              <w:keepLines w:val="0"/>
              <w:pageBreakBefore w:val="0"/>
              <w:kinsoku/>
              <w:wordWrap/>
              <w:overflowPunct/>
              <w:topLinePunct w:val="0"/>
              <w:bidi w:val="0"/>
              <w:adjustRightInd w:val="0"/>
              <w:snapToGrid w:val="0"/>
              <w:textAlignment w:val="auto"/>
              <w:rPr>
                <w:rFonts w:ascii="Times New Roman" w:hAnsi="Times New Roman"/>
                <w:b/>
                <w:bCs/>
                <w:color w:val="auto"/>
                <w:kern w:val="0"/>
              </w:rPr>
            </w:pPr>
            <w:r>
              <w:rPr>
                <w:rFonts w:ascii="Times New Roman" w:hAnsi="Times New Roman"/>
                <w:b/>
                <w:bCs/>
                <w:color w:val="auto"/>
                <w:kern w:val="0"/>
              </w:rPr>
              <w:t>工程占地（水域）面积</w:t>
            </w:r>
          </w:p>
        </w:tc>
        <w:tc>
          <w:tcPr>
            <w:tcW w:w="2528" w:type="dxa"/>
            <w:gridSpan w:val="2"/>
            <w:tcBorders>
              <w:tl2br w:val="nil"/>
              <w:tr2bl w:val="nil"/>
            </w:tcBorders>
            <w:vAlign w:val="center"/>
          </w:tcPr>
          <w:p>
            <w:pPr>
              <w:pStyle w:val="48"/>
              <w:keepNext w:val="0"/>
              <w:keepLines w:val="0"/>
              <w:pageBreakBefore w:val="0"/>
              <w:kinsoku/>
              <w:wordWrap/>
              <w:overflowPunct/>
              <w:topLinePunct w:val="0"/>
              <w:bidi w:val="0"/>
              <w:adjustRightInd w:val="0"/>
              <w:snapToGrid w:val="0"/>
              <w:jc w:val="center"/>
              <w:textAlignment w:val="auto"/>
              <w:rPr>
                <w:rFonts w:hint="default" w:ascii="Times New Roman" w:hAnsi="Times New Roman"/>
                <w:b/>
                <w:bCs/>
                <w:color w:val="auto"/>
                <w:sz w:val="21"/>
                <w:szCs w:val="21"/>
              </w:rPr>
            </w:pPr>
            <w:r>
              <w:rPr>
                <w:rFonts w:ascii="Times New Roman" w:hAnsi="Times New Roman"/>
                <w:b/>
                <w:bCs/>
                <w:color w:val="auto"/>
                <w:sz w:val="21"/>
                <w:szCs w:val="21"/>
              </w:rPr>
              <w:t>本项目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1" w:type="dxa"/>
            <w:vMerge w:val="continue"/>
            <w:tcBorders>
              <w:tl2br w:val="nil"/>
              <w:tr2bl w:val="nil"/>
            </w:tcBorders>
            <w:vAlign w:val="center"/>
          </w:tcPr>
          <w:p>
            <w:pPr>
              <w:pStyle w:val="97"/>
              <w:keepNext w:val="0"/>
              <w:keepLines w:val="0"/>
              <w:pageBreakBefore w:val="0"/>
              <w:kinsoku/>
              <w:wordWrap/>
              <w:overflowPunct/>
              <w:topLinePunct w:val="0"/>
              <w:bidi w:val="0"/>
              <w:adjustRightInd w:val="0"/>
              <w:snapToGrid w:val="0"/>
              <w:textAlignment w:val="auto"/>
              <w:rPr>
                <w:rFonts w:ascii="Times New Roman" w:hAnsi="Times New Roman"/>
                <w:b/>
                <w:bCs/>
                <w:color w:val="auto"/>
                <w:kern w:val="0"/>
              </w:rPr>
            </w:pPr>
          </w:p>
        </w:tc>
        <w:tc>
          <w:tcPr>
            <w:tcW w:w="1623" w:type="dxa"/>
            <w:tcBorders>
              <w:tl2br w:val="nil"/>
              <w:tr2bl w:val="nil"/>
            </w:tcBorders>
            <w:vAlign w:val="center"/>
          </w:tcPr>
          <w:p>
            <w:pPr>
              <w:pStyle w:val="97"/>
              <w:keepNext w:val="0"/>
              <w:keepLines w:val="0"/>
              <w:pageBreakBefore w:val="0"/>
              <w:kinsoku/>
              <w:wordWrap/>
              <w:overflowPunct/>
              <w:topLinePunct w:val="0"/>
              <w:bidi w:val="0"/>
              <w:adjustRightInd w:val="0"/>
              <w:snapToGrid w:val="0"/>
              <w:textAlignment w:val="auto"/>
              <w:rPr>
                <w:rFonts w:ascii="Times New Roman" w:hAnsi="Times New Roman"/>
                <w:b/>
                <w:bCs/>
                <w:color w:val="auto"/>
                <w:kern w:val="0"/>
              </w:rPr>
            </w:pPr>
            <w:r>
              <w:rPr>
                <w:rFonts w:ascii="Times New Roman" w:hAnsi="Times New Roman"/>
                <w:b/>
                <w:bCs/>
                <w:color w:val="auto"/>
                <w:kern w:val="0"/>
              </w:rPr>
              <w:t>面积≥20k</w:t>
            </w:r>
            <w:r>
              <w:rPr>
                <w:rFonts w:hint="eastAsia" w:ascii="Times New Roman" w:hAnsi="Times New Roman"/>
                <w:b/>
                <w:bCs/>
                <w:color w:val="auto"/>
                <w:kern w:val="0"/>
              </w:rPr>
              <w:t>m</w:t>
            </w:r>
            <w:r>
              <w:rPr>
                <w:rFonts w:hint="eastAsia" w:ascii="Times New Roman" w:hAnsi="Times New Roman"/>
                <w:b/>
                <w:bCs/>
                <w:color w:val="auto"/>
                <w:kern w:val="0"/>
                <w:vertAlign w:val="superscript"/>
              </w:rPr>
              <w:t>2</w:t>
            </w:r>
            <w:r>
              <w:rPr>
                <w:rFonts w:ascii="Times New Roman" w:hAnsi="Times New Roman"/>
                <w:b/>
                <w:bCs/>
                <w:color w:val="auto"/>
                <w:kern w:val="0"/>
              </w:rPr>
              <w:t>或长度≥100km</w:t>
            </w:r>
          </w:p>
        </w:tc>
        <w:tc>
          <w:tcPr>
            <w:tcW w:w="1827" w:type="dxa"/>
            <w:tcBorders>
              <w:tl2br w:val="nil"/>
              <w:tr2bl w:val="nil"/>
            </w:tcBorders>
            <w:vAlign w:val="center"/>
          </w:tcPr>
          <w:p>
            <w:pPr>
              <w:pStyle w:val="97"/>
              <w:keepNext w:val="0"/>
              <w:keepLines w:val="0"/>
              <w:pageBreakBefore w:val="0"/>
              <w:kinsoku/>
              <w:wordWrap/>
              <w:overflowPunct/>
              <w:topLinePunct w:val="0"/>
              <w:bidi w:val="0"/>
              <w:adjustRightInd w:val="0"/>
              <w:snapToGrid w:val="0"/>
              <w:textAlignment w:val="auto"/>
              <w:rPr>
                <w:rFonts w:ascii="Times New Roman" w:hAnsi="Times New Roman"/>
                <w:b/>
                <w:bCs/>
                <w:color w:val="auto"/>
                <w:kern w:val="0"/>
              </w:rPr>
            </w:pPr>
            <w:r>
              <w:rPr>
                <w:rFonts w:ascii="Times New Roman" w:hAnsi="Times New Roman"/>
                <w:b/>
                <w:bCs/>
                <w:color w:val="auto"/>
                <w:kern w:val="0"/>
              </w:rPr>
              <w:t>面积2k</w:t>
            </w:r>
            <w:r>
              <w:rPr>
                <w:rFonts w:hint="eastAsia" w:ascii="Times New Roman" w:hAnsi="Times New Roman"/>
                <w:b/>
                <w:bCs/>
                <w:color w:val="auto"/>
                <w:kern w:val="0"/>
              </w:rPr>
              <w:t>m</w:t>
            </w:r>
            <w:r>
              <w:rPr>
                <w:rFonts w:hint="eastAsia" w:ascii="Times New Roman" w:hAnsi="Times New Roman"/>
                <w:b/>
                <w:bCs/>
                <w:color w:val="auto"/>
                <w:kern w:val="0"/>
                <w:vertAlign w:val="superscript"/>
              </w:rPr>
              <w:t>2</w:t>
            </w:r>
            <w:r>
              <w:rPr>
                <w:rFonts w:ascii="Times New Roman" w:hAnsi="Times New Roman"/>
                <w:b/>
                <w:bCs/>
                <w:color w:val="auto"/>
                <w:kern w:val="0"/>
              </w:rPr>
              <w:t>~20k</w:t>
            </w:r>
            <w:r>
              <w:rPr>
                <w:rFonts w:hint="eastAsia" w:ascii="Times New Roman" w:hAnsi="Times New Roman"/>
                <w:b/>
                <w:bCs/>
                <w:color w:val="auto"/>
                <w:kern w:val="0"/>
              </w:rPr>
              <w:t>m</w:t>
            </w:r>
            <w:r>
              <w:rPr>
                <w:rFonts w:hint="eastAsia" w:ascii="Times New Roman" w:hAnsi="Times New Roman"/>
                <w:b/>
                <w:bCs/>
                <w:color w:val="auto"/>
                <w:kern w:val="0"/>
                <w:vertAlign w:val="superscript"/>
              </w:rPr>
              <w:t>2</w:t>
            </w:r>
            <w:r>
              <w:rPr>
                <w:rFonts w:ascii="Times New Roman" w:hAnsi="Times New Roman"/>
                <w:b/>
                <w:bCs/>
                <w:color w:val="auto"/>
                <w:kern w:val="0"/>
              </w:rPr>
              <w:t>或长度50~100km</w:t>
            </w:r>
          </w:p>
        </w:tc>
        <w:tc>
          <w:tcPr>
            <w:tcW w:w="1541" w:type="dxa"/>
            <w:tcBorders>
              <w:tl2br w:val="nil"/>
              <w:tr2bl w:val="nil"/>
            </w:tcBorders>
            <w:vAlign w:val="center"/>
          </w:tcPr>
          <w:p>
            <w:pPr>
              <w:pStyle w:val="97"/>
              <w:keepNext w:val="0"/>
              <w:keepLines w:val="0"/>
              <w:pageBreakBefore w:val="0"/>
              <w:kinsoku/>
              <w:wordWrap/>
              <w:overflowPunct/>
              <w:topLinePunct w:val="0"/>
              <w:bidi w:val="0"/>
              <w:adjustRightInd w:val="0"/>
              <w:snapToGrid w:val="0"/>
              <w:textAlignment w:val="auto"/>
              <w:rPr>
                <w:rFonts w:ascii="Times New Roman" w:hAnsi="Times New Roman"/>
                <w:b/>
                <w:bCs/>
                <w:color w:val="auto"/>
                <w:kern w:val="0"/>
              </w:rPr>
            </w:pPr>
            <w:r>
              <w:rPr>
                <w:rFonts w:ascii="Times New Roman" w:hAnsi="Times New Roman"/>
                <w:b/>
                <w:bCs/>
                <w:color w:val="auto"/>
                <w:kern w:val="0"/>
              </w:rPr>
              <w:t>面积≤2k</w:t>
            </w:r>
            <w:r>
              <w:rPr>
                <w:rFonts w:hint="eastAsia" w:ascii="Times New Roman" w:hAnsi="Times New Roman"/>
                <w:b/>
                <w:bCs/>
                <w:color w:val="auto"/>
                <w:kern w:val="0"/>
              </w:rPr>
              <w:t>m</w:t>
            </w:r>
            <w:r>
              <w:rPr>
                <w:rFonts w:hint="eastAsia" w:ascii="Times New Roman" w:hAnsi="Times New Roman"/>
                <w:b/>
                <w:bCs/>
                <w:color w:val="auto"/>
                <w:kern w:val="0"/>
                <w:vertAlign w:val="superscript"/>
              </w:rPr>
              <w:t>2</w:t>
            </w:r>
            <w:r>
              <w:rPr>
                <w:rFonts w:ascii="Times New Roman" w:hAnsi="Times New Roman"/>
                <w:b/>
                <w:bCs/>
                <w:color w:val="auto"/>
                <w:kern w:val="0"/>
              </w:rPr>
              <w:t>或长度≤50km</w:t>
            </w:r>
          </w:p>
        </w:tc>
        <w:tc>
          <w:tcPr>
            <w:tcW w:w="1623" w:type="dxa"/>
            <w:tcBorders>
              <w:tl2br w:val="nil"/>
              <w:tr2bl w:val="nil"/>
            </w:tcBorders>
            <w:vAlign w:val="center"/>
          </w:tcPr>
          <w:p>
            <w:pPr>
              <w:pStyle w:val="48"/>
              <w:keepNext w:val="0"/>
              <w:keepLines w:val="0"/>
              <w:pageBreakBefore w:val="0"/>
              <w:kinsoku/>
              <w:wordWrap/>
              <w:overflowPunct/>
              <w:topLinePunct w:val="0"/>
              <w:bidi w:val="0"/>
              <w:adjustRightInd w:val="0"/>
              <w:snapToGrid w:val="0"/>
              <w:jc w:val="center"/>
              <w:textAlignment w:val="auto"/>
              <w:rPr>
                <w:rFonts w:hint="default" w:ascii="Times New Roman" w:hAnsi="Times New Roman"/>
                <w:b/>
                <w:bCs/>
                <w:color w:val="auto"/>
                <w:sz w:val="21"/>
                <w:szCs w:val="21"/>
              </w:rPr>
            </w:pPr>
            <w:r>
              <w:rPr>
                <w:rFonts w:ascii="Times New Roman" w:hAnsi="Times New Roman"/>
                <w:b/>
                <w:bCs/>
                <w:color w:val="auto"/>
                <w:sz w:val="21"/>
                <w:szCs w:val="21"/>
              </w:rPr>
              <w:t>面积</w:t>
            </w:r>
            <w:r>
              <w:rPr>
                <w:rFonts w:hint="eastAsia" w:ascii="Times New Roman" w:hAnsi="Times New Roman"/>
                <w:b/>
                <w:bCs/>
                <w:color w:val="auto"/>
                <w:sz w:val="21"/>
                <w:szCs w:val="21"/>
                <w:lang w:val="en-US" w:eastAsia="zh-CN"/>
              </w:rPr>
              <w:t>0.06k</w:t>
            </w:r>
            <w:r>
              <w:rPr>
                <w:rFonts w:ascii="Times New Roman" w:hAnsi="Times New Roman"/>
                <w:b/>
                <w:bCs/>
                <w:color w:val="auto"/>
                <w:sz w:val="21"/>
                <w:szCs w:val="21"/>
              </w:rPr>
              <w:t>m</w:t>
            </w:r>
            <w:r>
              <w:rPr>
                <w:rFonts w:ascii="Times New Roman" w:hAnsi="Times New Roman"/>
                <w:b/>
                <w:bCs/>
                <w:color w:val="auto"/>
                <w:sz w:val="21"/>
                <w:szCs w:val="21"/>
                <w:vertAlign w:val="superscript"/>
              </w:rPr>
              <w:t>2</w:t>
            </w:r>
          </w:p>
        </w:tc>
        <w:tc>
          <w:tcPr>
            <w:tcW w:w="905" w:type="dxa"/>
            <w:tcBorders>
              <w:tl2br w:val="nil"/>
              <w:tr2bl w:val="nil"/>
            </w:tcBorders>
            <w:vAlign w:val="center"/>
          </w:tcPr>
          <w:p>
            <w:pPr>
              <w:pStyle w:val="48"/>
              <w:keepNext w:val="0"/>
              <w:keepLines w:val="0"/>
              <w:pageBreakBefore w:val="0"/>
              <w:kinsoku/>
              <w:wordWrap/>
              <w:overflowPunct/>
              <w:topLinePunct w:val="0"/>
              <w:bidi w:val="0"/>
              <w:adjustRightInd w:val="0"/>
              <w:snapToGrid w:val="0"/>
              <w:jc w:val="center"/>
              <w:textAlignment w:val="auto"/>
              <w:rPr>
                <w:rFonts w:hint="default" w:ascii="Times New Roman" w:hAnsi="Times New Roman"/>
                <w:b/>
                <w:bCs/>
                <w:color w:val="auto"/>
                <w:sz w:val="21"/>
                <w:szCs w:val="21"/>
              </w:rPr>
            </w:pPr>
            <w:r>
              <w:rPr>
                <w:rFonts w:ascii="Times New Roman" w:hAnsi="Times New Roman"/>
                <w:b/>
                <w:bCs/>
                <w:color w:val="auto"/>
                <w:sz w:val="21"/>
                <w:szCs w:val="21"/>
              </w:rPr>
              <w:t>评价等级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1" w:type="dxa"/>
            <w:tcBorders>
              <w:tl2br w:val="nil"/>
              <w:tr2bl w:val="nil"/>
            </w:tcBorders>
            <w:vAlign w:val="center"/>
          </w:tcPr>
          <w:p>
            <w:pPr>
              <w:pStyle w:val="97"/>
              <w:keepNext w:val="0"/>
              <w:keepLines w:val="0"/>
              <w:pageBreakBefore w:val="0"/>
              <w:kinsoku/>
              <w:wordWrap/>
              <w:overflowPunct/>
              <w:topLinePunct w:val="0"/>
              <w:bidi w:val="0"/>
              <w:adjustRightInd w:val="0"/>
              <w:snapToGrid w:val="0"/>
              <w:textAlignment w:val="auto"/>
              <w:rPr>
                <w:rFonts w:ascii="Times New Roman" w:hAnsi="Times New Roman"/>
                <w:color w:val="auto"/>
                <w:kern w:val="0"/>
              </w:rPr>
            </w:pPr>
            <w:r>
              <w:rPr>
                <w:rFonts w:ascii="Times New Roman" w:hAnsi="Times New Roman"/>
                <w:color w:val="auto"/>
                <w:kern w:val="0"/>
              </w:rPr>
              <w:t>特殊生态敏感区</w:t>
            </w:r>
          </w:p>
        </w:tc>
        <w:tc>
          <w:tcPr>
            <w:tcW w:w="1623" w:type="dxa"/>
            <w:tcBorders>
              <w:tl2br w:val="nil"/>
              <w:tr2bl w:val="nil"/>
            </w:tcBorders>
            <w:vAlign w:val="center"/>
          </w:tcPr>
          <w:p>
            <w:pPr>
              <w:pStyle w:val="97"/>
              <w:keepNext w:val="0"/>
              <w:keepLines w:val="0"/>
              <w:pageBreakBefore w:val="0"/>
              <w:kinsoku/>
              <w:wordWrap/>
              <w:overflowPunct/>
              <w:topLinePunct w:val="0"/>
              <w:bidi w:val="0"/>
              <w:adjustRightInd w:val="0"/>
              <w:snapToGrid w:val="0"/>
              <w:textAlignment w:val="auto"/>
              <w:rPr>
                <w:rFonts w:ascii="Times New Roman" w:hAnsi="Times New Roman"/>
                <w:color w:val="auto"/>
                <w:kern w:val="0"/>
              </w:rPr>
            </w:pPr>
            <w:r>
              <w:rPr>
                <w:rFonts w:ascii="Times New Roman" w:hAnsi="Times New Roman"/>
                <w:color w:val="auto"/>
                <w:kern w:val="0"/>
              </w:rPr>
              <w:t>一级</w:t>
            </w:r>
          </w:p>
        </w:tc>
        <w:tc>
          <w:tcPr>
            <w:tcW w:w="1827" w:type="dxa"/>
            <w:tcBorders>
              <w:tl2br w:val="nil"/>
              <w:tr2bl w:val="nil"/>
            </w:tcBorders>
            <w:vAlign w:val="center"/>
          </w:tcPr>
          <w:p>
            <w:pPr>
              <w:pStyle w:val="97"/>
              <w:keepNext w:val="0"/>
              <w:keepLines w:val="0"/>
              <w:pageBreakBefore w:val="0"/>
              <w:kinsoku/>
              <w:wordWrap/>
              <w:overflowPunct/>
              <w:topLinePunct w:val="0"/>
              <w:bidi w:val="0"/>
              <w:adjustRightInd w:val="0"/>
              <w:snapToGrid w:val="0"/>
              <w:textAlignment w:val="auto"/>
              <w:rPr>
                <w:rFonts w:ascii="Times New Roman" w:hAnsi="Times New Roman"/>
                <w:color w:val="auto"/>
                <w:kern w:val="0"/>
              </w:rPr>
            </w:pPr>
            <w:r>
              <w:rPr>
                <w:rFonts w:ascii="Times New Roman" w:hAnsi="Times New Roman"/>
                <w:color w:val="auto"/>
                <w:kern w:val="0"/>
              </w:rPr>
              <w:t>一级</w:t>
            </w:r>
          </w:p>
        </w:tc>
        <w:tc>
          <w:tcPr>
            <w:tcW w:w="1541" w:type="dxa"/>
            <w:tcBorders>
              <w:tl2br w:val="nil"/>
              <w:tr2bl w:val="nil"/>
            </w:tcBorders>
            <w:vAlign w:val="center"/>
          </w:tcPr>
          <w:p>
            <w:pPr>
              <w:pStyle w:val="97"/>
              <w:keepNext w:val="0"/>
              <w:keepLines w:val="0"/>
              <w:pageBreakBefore w:val="0"/>
              <w:kinsoku/>
              <w:wordWrap/>
              <w:overflowPunct/>
              <w:topLinePunct w:val="0"/>
              <w:bidi w:val="0"/>
              <w:adjustRightInd w:val="0"/>
              <w:snapToGrid w:val="0"/>
              <w:textAlignment w:val="auto"/>
              <w:rPr>
                <w:rFonts w:ascii="Times New Roman" w:hAnsi="Times New Roman"/>
                <w:color w:val="auto"/>
                <w:kern w:val="0"/>
              </w:rPr>
            </w:pPr>
            <w:r>
              <w:rPr>
                <w:rFonts w:ascii="Times New Roman" w:hAnsi="Times New Roman"/>
                <w:color w:val="auto"/>
                <w:kern w:val="0"/>
              </w:rPr>
              <w:t>一级</w:t>
            </w:r>
          </w:p>
        </w:tc>
        <w:tc>
          <w:tcPr>
            <w:tcW w:w="1623" w:type="dxa"/>
            <w:tcBorders>
              <w:tl2br w:val="nil"/>
              <w:tr2bl w:val="nil"/>
            </w:tcBorders>
            <w:vAlign w:val="center"/>
          </w:tcPr>
          <w:p>
            <w:pPr>
              <w:pStyle w:val="48"/>
              <w:keepNext w:val="0"/>
              <w:keepLines w:val="0"/>
              <w:pageBreakBefore w:val="0"/>
              <w:kinsoku/>
              <w:wordWrap/>
              <w:overflowPunct/>
              <w:topLinePunct w:val="0"/>
              <w:bidi w:val="0"/>
              <w:adjustRightInd w:val="0"/>
              <w:snapToGrid w:val="0"/>
              <w:jc w:val="center"/>
              <w:textAlignment w:val="auto"/>
              <w:rPr>
                <w:rFonts w:hint="default" w:ascii="Times New Roman" w:hAnsi="Times New Roman"/>
                <w:color w:val="auto"/>
                <w:sz w:val="21"/>
                <w:szCs w:val="21"/>
              </w:rPr>
            </w:pPr>
            <w:r>
              <w:rPr>
                <w:rFonts w:ascii="Times New Roman" w:hAnsi="Times New Roman"/>
                <w:color w:val="auto"/>
                <w:sz w:val="21"/>
                <w:szCs w:val="21"/>
              </w:rPr>
              <w:t>不涉及</w:t>
            </w:r>
          </w:p>
        </w:tc>
        <w:tc>
          <w:tcPr>
            <w:tcW w:w="905" w:type="dxa"/>
            <w:vMerge w:val="restart"/>
            <w:tcBorders>
              <w:tl2br w:val="nil"/>
              <w:tr2bl w:val="nil"/>
            </w:tcBorders>
            <w:vAlign w:val="center"/>
          </w:tcPr>
          <w:p>
            <w:pPr>
              <w:pStyle w:val="48"/>
              <w:keepNext w:val="0"/>
              <w:keepLines w:val="0"/>
              <w:pageBreakBefore w:val="0"/>
              <w:kinsoku/>
              <w:wordWrap/>
              <w:overflowPunct/>
              <w:topLinePunct w:val="0"/>
              <w:bidi w:val="0"/>
              <w:adjustRightInd w:val="0"/>
              <w:snapToGrid w:val="0"/>
              <w:jc w:val="center"/>
              <w:textAlignment w:val="auto"/>
              <w:rPr>
                <w:rFonts w:hint="default" w:ascii="Times New Roman" w:hAnsi="Times New Roman"/>
                <w:color w:val="auto"/>
                <w:sz w:val="21"/>
                <w:szCs w:val="21"/>
              </w:rPr>
            </w:pPr>
            <w:r>
              <w:rPr>
                <w:rFonts w:ascii="Times New Roman" w:hAnsi="Times New Roman"/>
                <w:color w:val="auto"/>
                <w:sz w:val="21"/>
                <w:szCs w:val="21"/>
              </w:rPr>
              <w:t>三级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1" w:type="dxa"/>
            <w:tcBorders>
              <w:tl2br w:val="nil"/>
              <w:tr2bl w:val="nil"/>
            </w:tcBorders>
            <w:vAlign w:val="center"/>
          </w:tcPr>
          <w:p>
            <w:pPr>
              <w:pStyle w:val="97"/>
              <w:keepNext w:val="0"/>
              <w:keepLines w:val="0"/>
              <w:pageBreakBefore w:val="0"/>
              <w:kinsoku/>
              <w:wordWrap/>
              <w:overflowPunct/>
              <w:topLinePunct w:val="0"/>
              <w:bidi w:val="0"/>
              <w:adjustRightInd w:val="0"/>
              <w:snapToGrid w:val="0"/>
              <w:textAlignment w:val="auto"/>
              <w:rPr>
                <w:rFonts w:ascii="Times New Roman" w:hAnsi="Times New Roman"/>
                <w:color w:val="auto"/>
                <w:kern w:val="0"/>
              </w:rPr>
            </w:pPr>
            <w:r>
              <w:rPr>
                <w:rFonts w:ascii="Times New Roman" w:hAnsi="Times New Roman"/>
                <w:color w:val="auto"/>
                <w:kern w:val="0"/>
              </w:rPr>
              <w:t>重要生态敏感区</w:t>
            </w:r>
          </w:p>
        </w:tc>
        <w:tc>
          <w:tcPr>
            <w:tcW w:w="1623" w:type="dxa"/>
            <w:tcBorders>
              <w:tl2br w:val="nil"/>
              <w:tr2bl w:val="nil"/>
            </w:tcBorders>
            <w:vAlign w:val="center"/>
          </w:tcPr>
          <w:p>
            <w:pPr>
              <w:pStyle w:val="97"/>
              <w:keepNext w:val="0"/>
              <w:keepLines w:val="0"/>
              <w:pageBreakBefore w:val="0"/>
              <w:kinsoku/>
              <w:wordWrap/>
              <w:overflowPunct/>
              <w:topLinePunct w:val="0"/>
              <w:bidi w:val="0"/>
              <w:adjustRightInd w:val="0"/>
              <w:snapToGrid w:val="0"/>
              <w:textAlignment w:val="auto"/>
              <w:rPr>
                <w:rFonts w:ascii="Times New Roman" w:hAnsi="Times New Roman"/>
                <w:color w:val="auto"/>
                <w:kern w:val="0"/>
              </w:rPr>
            </w:pPr>
            <w:r>
              <w:rPr>
                <w:rFonts w:ascii="Times New Roman" w:hAnsi="Times New Roman"/>
                <w:color w:val="auto"/>
                <w:kern w:val="0"/>
              </w:rPr>
              <w:t>一级</w:t>
            </w:r>
          </w:p>
        </w:tc>
        <w:tc>
          <w:tcPr>
            <w:tcW w:w="1827" w:type="dxa"/>
            <w:tcBorders>
              <w:tl2br w:val="nil"/>
              <w:tr2bl w:val="nil"/>
            </w:tcBorders>
            <w:vAlign w:val="center"/>
          </w:tcPr>
          <w:p>
            <w:pPr>
              <w:pStyle w:val="97"/>
              <w:keepNext w:val="0"/>
              <w:keepLines w:val="0"/>
              <w:pageBreakBefore w:val="0"/>
              <w:kinsoku/>
              <w:wordWrap/>
              <w:overflowPunct/>
              <w:topLinePunct w:val="0"/>
              <w:bidi w:val="0"/>
              <w:adjustRightInd w:val="0"/>
              <w:snapToGrid w:val="0"/>
              <w:textAlignment w:val="auto"/>
              <w:rPr>
                <w:rFonts w:ascii="Times New Roman" w:hAnsi="Times New Roman"/>
                <w:color w:val="auto"/>
                <w:kern w:val="0"/>
              </w:rPr>
            </w:pPr>
            <w:r>
              <w:rPr>
                <w:rFonts w:ascii="Times New Roman" w:hAnsi="Times New Roman"/>
                <w:color w:val="auto"/>
                <w:kern w:val="0"/>
              </w:rPr>
              <w:t>二级</w:t>
            </w:r>
          </w:p>
        </w:tc>
        <w:tc>
          <w:tcPr>
            <w:tcW w:w="1541" w:type="dxa"/>
            <w:tcBorders>
              <w:tl2br w:val="nil"/>
              <w:tr2bl w:val="nil"/>
            </w:tcBorders>
            <w:vAlign w:val="center"/>
          </w:tcPr>
          <w:p>
            <w:pPr>
              <w:pStyle w:val="97"/>
              <w:keepNext w:val="0"/>
              <w:keepLines w:val="0"/>
              <w:pageBreakBefore w:val="0"/>
              <w:kinsoku/>
              <w:wordWrap/>
              <w:overflowPunct/>
              <w:topLinePunct w:val="0"/>
              <w:bidi w:val="0"/>
              <w:adjustRightInd w:val="0"/>
              <w:snapToGrid w:val="0"/>
              <w:textAlignment w:val="auto"/>
              <w:rPr>
                <w:rFonts w:ascii="Times New Roman" w:hAnsi="Times New Roman"/>
                <w:color w:val="auto"/>
                <w:kern w:val="0"/>
              </w:rPr>
            </w:pPr>
            <w:r>
              <w:rPr>
                <w:rFonts w:ascii="Times New Roman" w:hAnsi="Times New Roman"/>
                <w:color w:val="auto"/>
                <w:kern w:val="0"/>
              </w:rPr>
              <w:t>三级</w:t>
            </w:r>
          </w:p>
        </w:tc>
        <w:tc>
          <w:tcPr>
            <w:tcW w:w="1623" w:type="dxa"/>
            <w:tcBorders>
              <w:tl2br w:val="nil"/>
              <w:tr2bl w:val="nil"/>
            </w:tcBorders>
            <w:vAlign w:val="center"/>
          </w:tcPr>
          <w:p>
            <w:pPr>
              <w:pStyle w:val="48"/>
              <w:keepNext w:val="0"/>
              <w:keepLines w:val="0"/>
              <w:pageBreakBefore w:val="0"/>
              <w:kinsoku/>
              <w:wordWrap/>
              <w:overflowPunct/>
              <w:topLinePunct w:val="0"/>
              <w:bidi w:val="0"/>
              <w:adjustRightInd w:val="0"/>
              <w:snapToGrid w:val="0"/>
              <w:jc w:val="center"/>
              <w:textAlignment w:val="auto"/>
              <w:rPr>
                <w:rFonts w:hint="default" w:ascii="Times New Roman" w:hAnsi="Times New Roman"/>
                <w:color w:val="auto"/>
                <w:sz w:val="21"/>
                <w:szCs w:val="21"/>
              </w:rPr>
            </w:pPr>
            <w:r>
              <w:rPr>
                <w:rFonts w:ascii="Times New Roman" w:hAnsi="Times New Roman"/>
                <w:color w:val="auto"/>
                <w:sz w:val="21"/>
                <w:szCs w:val="21"/>
              </w:rPr>
              <w:t>不涉及</w:t>
            </w:r>
          </w:p>
        </w:tc>
        <w:tc>
          <w:tcPr>
            <w:tcW w:w="905" w:type="dxa"/>
            <w:vMerge w:val="continue"/>
            <w:tcBorders>
              <w:tl2br w:val="nil"/>
              <w:tr2bl w:val="nil"/>
            </w:tcBorders>
            <w:vAlign w:val="center"/>
          </w:tcPr>
          <w:p>
            <w:pPr>
              <w:pStyle w:val="48"/>
              <w:keepNext w:val="0"/>
              <w:keepLines w:val="0"/>
              <w:pageBreakBefore w:val="0"/>
              <w:kinsoku/>
              <w:wordWrap/>
              <w:overflowPunct/>
              <w:topLinePunct w:val="0"/>
              <w:bidi w:val="0"/>
              <w:adjustRightInd w:val="0"/>
              <w:snapToGrid w:val="0"/>
              <w:jc w:val="center"/>
              <w:textAlignment w:val="auto"/>
              <w:rPr>
                <w:rFonts w:hint="default" w:ascii="Times New Roman" w:hAnsi="Times New Roman"/>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1" w:type="dxa"/>
            <w:tcBorders>
              <w:tl2br w:val="nil"/>
              <w:tr2bl w:val="nil"/>
            </w:tcBorders>
            <w:shd w:val="clear" w:color="auto" w:fill="auto"/>
            <w:vAlign w:val="center"/>
          </w:tcPr>
          <w:p>
            <w:pPr>
              <w:pStyle w:val="97"/>
              <w:keepNext w:val="0"/>
              <w:keepLines w:val="0"/>
              <w:pageBreakBefore w:val="0"/>
              <w:kinsoku/>
              <w:wordWrap/>
              <w:overflowPunct/>
              <w:topLinePunct w:val="0"/>
              <w:bidi w:val="0"/>
              <w:adjustRightInd w:val="0"/>
              <w:snapToGrid w:val="0"/>
              <w:textAlignment w:val="auto"/>
              <w:rPr>
                <w:rFonts w:ascii="Times New Roman" w:hAnsi="Times New Roman"/>
                <w:color w:val="auto"/>
                <w:kern w:val="0"/>
              </w:rPr>
            </w:pPr>
            <w:r>
              <w:rPr>
                <w:rFonts w:ascii="Times New Roman" w:hAnsi="Times New Roman"/>
                <w:color w:val="auto"/>
                <w:kern w:val="0"/>
              </w:rPr>
              <w:t>一般区域</w:t>
            </w:r>
          </w:p>
        </w:tc>
        <w:tc>
          <w:tcPr>
            <w:tcW w:w="1623" w:type="dxa"/>
            <w:tcBorders>
              <w:tl2br w:val="nil"/>
              <w:tr2bl w:val="nil"/>
            </w:tcBorders>
            <w:shd w:val="clear" w:color="auto" w:fill="auto"/>
            <w:vAlign w:val="center"/>
          </w:tcPr>
          <w:p>
            <w:pPr>
              <w:pStyle w:val="97"/>
              <w:keepNext w:val="0"/>
              <w:keepLines w:val="0"/>
              <w:pageBreakBefore w:val="0"/>
              <w:kinsoku/>
              <w:wordWrap/>
              <w:overflowPunct/>
              <w:topLinePunct w:val="0"/>
              <w:bidi w:val="0"/>
              <w:adjustRightInd w:val="0"/>
              <w:snapToGrid w:val="0"/>
              <w:textAlignment w:val="auto"/>
              <w:rPr>
                <w:rFonts w:ascii="Times New Roman" w:hAnsi="Times New Roman"/>
                <w:color w:val="auto"/>
                <w:kern w:val="0"/>
              </w:rPr>
            </w:pPr>
            <w:r>
              <w:rPr>
                <w:rFonts w:ascii="Times New Roman" w:hAnsi="Times New Roman"/>
                <w:color w:val="auto"/>
                <w:kern w:val="0"/>
              </w:rPr>
              <w:t>二级</w:t>
            </w:r>
          </w:p>
        </w:tc>
        <w:tc>
          <w:tcPr>
            <w:tcW w:w="1827" w:type="dxa"/>
            <w:tcBorders>
              <w:tl2br w:val="nil"/>
              <w:tr2bl w:val="nil"/>
            </w:tcBorders>
            <w:shd w:val="clear" w:color="auto" w:fill="auto"/>
            <w:vAlign w:val="center"/>
          </w:tcPr>
          <w:p>
            <w:pPr>
              <w:pStyle w:val="97"/>
              <w:keepNext w:val="0"/>
              <w:keepLines w:val="0"/>
              <w:pageBreakBefore w:val="0"/>
              <w:kinsoku/>
              <w:wordWrap/>
              <w:overflowPunct/>
              <w:topLinePunct w:val="0"/>
              <w:bidi w:val="0"/>
              <w:adjustRightInd w:val="0"/>
              <w:snapToGrid w:val="0"/>
              <w:textAlignment w:val="auto"/>
              <w:rPr>
                <w:rFonts w:ascii="Times New Roman" w:hAnsi="Times New Roman"/>
                <w:color w:val="auto"/>
                <w:kern w:val="0"/>
              </w:rPr>
            </w:pPr>
            <w:r>
              <w:rPr>
                <w:rFonts w:ascii="Times New Roman" w:hAnsi="Times New Roman"/>
                <w:color w:val="auto"/>
                <w:kern w:val="0"/>
              </w:rPr>
              <w:t>三级</w:t>
            </w:r>
          </w:p>
        </w:tc>
        <w:tc>
          <w:tcPr>
            <w:tcW w:w="1541" w:type="dxa"/>
            <w:tcBorders>
              <w:tl2br w:val="nil"/>
              <w:tr2bl w:val="nil"/>
            </w:tcBorders>
            <w:shd w:val="clear" w:color="000000" w:fill="FFFFFF"/>
            <w:vAlign w:val="center"/>
          </w:tcPr>
          <w:p>
            <w:pPr>
              <w:pStyle w:val="97"/>
              <w:keepNext w:val="0"/>
              <w:keepLines w:val="0"/>
              <w:pageBreakBefore w:val="0"/>
              <w:kinsoku/>
              <w:wordWrap/>
              <w:overflowPunct/>
              <w:topLinePunct w:val="0"/>
              <w:bidi w:val="0"/>
              <w:adjustRightInd w:val="0"/>
              <w:snapToGrid w:val="0"/>
              <w:textAlignment w:val="auto"/>
              <w:rPr>
                <w:rFonts w:ascii="Times New Roman" w:hAnsi="Times New Roman"/>
                <w:color w:val="auto"/>
                <w:kern w:val="0"/>
              </w:rPr>
            </w:pPr>
            <w:r>
              <w:rPr>
                <w:rFonts w:ascii="Times New Roman" w:hAnsi="Times New Roman"/>
                <w:color w:val="auto"/>
                <w:kern w:val="0"/>
              </w:rPr>
              <w:t>三级</w:t>
            </w:r>
          </w:p>
        </w:tc>
        <w:tc>
          <w:tcPr>
            <w:tcW w:w="1623" w:type="dxa"/>
            <w:tcBorders>
              <w:tl2br w:val="nil"/>
              <w:tr2bl w:val="nil"/>
            </w:tcBorders>
            <w:shd w:val="clear" w:color="000000" w:fill="FFFFFF"/>
            <w:vAlign w:val="center"/>
          </w:tcPr>
          <w:p>
            <w:pPr>
              <w:pStyle w:val="48"/>
              <w:keepNext w:val="0"/>
              <w:keepLines w:val="0"/>
              <w:pageBreakBefore w:val="0"/>
              <w:kinsoku/>
              <w:wordWrap/>
              <w:overflowPunct/>
              <w:topLinePunct w:val="0"/>
              <w:bidi w:val="0"/>
              <w:adjustRightInd w:val="0"/>
              <w:snapToGrid w:val="0"/>
              <w:jc w:val="center"/>
              <w:textAlignment w:val="auto"/>
              <w:rPr>
                <w:rFonts w:hint="default" w:ascii="Times New Roman" w:hAnsi="Times New Roman"/>
                <w:color w:val="auto"/>
                <w:sz w:val="21"/>
                <w:szCs w:val="21"/>
              </w:rPr>
            </w:pPr>
            <w:r>
              <w:rPr>
                <w:rFonts w:ascii="Times New Roman" w:hAnsi="Times New Roman"/>
                <w:color w:val="auto"/>
                <w:sz w:val="21"/>
                <w:szCs w:val="21"/>
              </w:rPr>
              <w:t>√</w:t>
            </w:r>
          </w:p>
        </w:tc>
        <w:tc>
          <w:tcPr>
            <w:tcW w:w="905" w:type="dxa"/>
            <w:vMerge w:val="continue"/>
            <w:tcBorders>
              <w:tl2br w:val="nil"/>
              <w:tr2bl w:val="nil"/>
            </w:tcBorders>
            <w:shd w:val="clear" w:color="000000" w:fill="FFFFFF"/>
            <w:vAlign w:val="center"/>
          </w:tcPr>
          <w:p>
            <w:pPr>
              <w:pStyle w:val="48"/>
              <w:keepNext w:val="0"/>
              <w:keepLines w:val="0"/>
              <w:pageBreakBefore w:val="0"/>
              <w:kinsoku/>
              <w:wordWrap/>
              <w:overflowPunct/>
              <w:topLinePunct w:val="0"/>
              <w:bidi w:val="0"/>
              <w:adjustRightInd w:val="0"/>
              <w:snapToGrid w:val="0"/>
              <w:jc w:val="center"/>
              <w:textAlignment w:val="auto"/>
              <w:rPr>
                <w:rFonts w:hint="default" w:ascii="Times New Roman" w:hAnsi="Times New Roman"/>
                <w:color w:val="auto"/>
                <w:sz w:val="21"/>
                <w:szCs w:val="21"/>
              </w:rPr>
            </w:pPr>
          </w:p>
        </w:tc>
      </w:tr>
    </w:tbl>
    <w:p>
      <w:pPr>
        <w:spacing w:beforeLines="50" w:line="360" w:lineRule="auto"/>
        <w:ind w:firstLine="480"/>
        <w:rPr>
          <w:rFonts w:hint="eastAsia" w:ascii="Times New Roman" w:hAnsi="Times New Roman" w:eastAsia="宋体"/>
          <w:color w:val="auto"/>
          <w:kern w:val="0"/>
          <w:sz w:val="24"/>
          <w:szCs w:val="24"/>
          <w:lang w:val="en-US" w:eastAsia="zh-CN"/>
        </w:rPr>
      </w:pPr>
      <w:r>
        <w:rPr>
          <w:rFonts w:ascii="Times New Roman" w:hAnsi="Times New Roman" w:eastAsia="宋体"/>
          <w:color w:val="auto"/>
          <w:sz w:val="24"/>
          <w:szCs w:val="24"/>
        </w:rPr>
        <w:t>项目所在区域</w:t>
      </w:r>
      <w:r>
        <w:rPr>
          <w:rFonts w:hint="eastAsia" w:ascii="Times New Roman" w:hAnsi="Times New Roman" w:eastAsia="宋体"/>
          <w:color w:val="auto"/>
          <w:sz w:val="24"/>
          <w:szCs w:val="24"/>
        </w:rPr>
        <w:t>为</w:t>
      </w:r>
      <w:r>
        <w:rPr>
          <w:rFonts w:hint="eastAsia" w:ascii="Times New Roman" w:hAnsi="Times New Roman" w:eastAsia="宋体"/>
          <w:color w:val="auto"/>
          <w:sz w:val="24"/>
          <w:szCs w:val="24"/>
          <w:lang w:eastAsia="zh-CN"/>
        </w:rPr>
        <w:t>农村区域</w:t>
      </w:r>
      <w:r>
        <w:rPr>
          <w:rFonts w:hint="eastAsia" w:ascii="Times New Roman" w:hAnsi="Times New Roman" w:eastAsia="宋体"/>
          <w:color w:val="auto"/>
          <w:sz w:val="24"/>
          <w:szCs w:val="24"/>
        </w:rPr>
        <w:t>，评价范围</w:t>
      </w:r>
      <w:r>
        <w:rPr>
          <w:rFonts w:ascii="Times New Roman" w:hAnsi="Times New Roman" w:eastAsia="宋体"/>
          <w:color w:val="auto"/>
          <w:sz w:val="24"/>
          <w:szCs w:val="24"/>
        </w:rPr>
        <w:t>内不包括自然保护区、风景名胜区等特殊、重要生态敏感区，为一般区域</w:t>
      </w:r>
      <w:r>
        <w:rPr>
          <w:rFonts w:ascii="Times New Roman" w:hAnsi="Times New Roman" w:eastAsia="宋体"/>
          <w:color w:val="auto"/>
          <w:kern w:val="0"/>
          <w:sz w:val="24"/>
          <w:szCs w:val="24"/>
        </w:rPr>
        <w:t>。</w:t>
      </w:r>
      <w:r>
        <w:rPr>
          <w:rFonts w:hint="eastAsia" w:ascii="Times New Roman" w:hAnsi="Times New Roman" w:eastAsia="宋体"/>
          <w:color w:val="auto"/>
          <w:kern w:val="0"/>
          <w:sz w:val="24"/>
          <w:szCs w:val="24"/>
          <w:lang w:val="en-US" w:eastAsia="zh-CN"/>
        </w:rPr>
        <w:t>且本项目占地面积0.06km</w:t>
      </w:r>
      <w:r>
        <w:rPr>
          <w:rFonts w:hint="eastAsia" w:ascii="Times New Roman" w:hAnsi="Times New Roman" w:eastAsia="宋体"/>
          <w:color w:val="auto"/>
          <w:kern w:val="0"/>
          <w:sz w:val="24"/>
          <w:szCs w:val="24"/>
          <w:vertAlign w:val="superscript"/>
          <w:lang w:val="en-US" w:eastAsia="zh-CN"/>
        </w:rPr>
        <w:t>2</w:t>
      </w:r>
      <w:r>
        <w:rPr>
          <w:rFonts w:hint="eastAsia" w:ascii="Times New Roman" w:hAnsi="Times New Roman" w:eastAsia="宋体"/>
          <w:color w:val="auto"/>
          <w:kern w:val="0"/>
          <w:sz w:val="24"/>
          <w:szCs w:val="24"/>
          <w:lang w:val="en-US" w:eastAsia="zh-CN"/>
        </w:rPr>
        <w:t>，小于2km</w:t>
      </w:r>
      <w:r>
        <w:rPr>
          <w:rFonts w:hint="eastAsia" w:ascii="Times New Roman" w:hAnsi="Times New Roman" w:eastAsia="宋体"/>
          <w:color w:val="auto"/>
          <w:kern w:val="0"/>
          <w:sz w:val="24"/>
          <w:szCs w:val="24"/>
          <w:vertAlign w:val="superscript"/>
          <w:lang w:val="en-US" w:eastAsia="zh-CN"/>
        </w:rPr>
        <w:t>2</w:t>
      </w:r>
      <w:r>
        <w:rPr>
          <w:rFonts w:hint="eastAsia" w:ascii="Times New Roman" w:hAnsi="Times New Roman" w:eastAsia="宋体"/>
          <w:color w:val="auto"/>
          <w:kern w:val="0"/>
          <w:sz w:val="24"/>
          <w:szCs w:val="24"/>
          <w:lang w:val="en-US" w:eastAsia="zh-CN"/>
        </w:rPr>
        <w:t>。</w:t>
      </w:r>
    </w:p>
    <w:p>
      <w:pPr>
        <w:spacing w:line="360" w:lineRule="auto"/>
        <w:ind w:firstLine="480"/>
        <w:rPr>
          <w:rFonts w:ascii="Times New Roman" w:hAnsi="Times New Roman" w:eastAsia="宋体"/>
          <w:color w:val="auto"/>
          <w:kern w:val="0"/>
          <w:sz w:val="24"/>
          <w:szCs w:val="24"/>
        </w:rPr>
      </w:pPr>
      <w:r>
        <w:rPr>
          <w:rFonts w:hint="eastAsia" w:ascii="Times New Roman" w:hAnsi="Times New Roman" w:eastAsia="宋体"/>
          <w:color w:val="auto"/>
          <w:kern w:val="0"/>
          <w:sz w:val="24"/>
          <w:szCs w:val="24"/>
        </w:rPr>
        <w:t>综上分析，</w:t>
      </w:r>
      <w:r>
        <w:rPr>
          <w:rFonts w:ascii="Times New Roman" w:hAnsi="Times New Roman" w:eastAsia="宋体"/>
          <w:color w:val="auto"/>
          <w:kern w:val="0"/>
          <w:sz w:val="24"/>
          <w:szCs w:val="24"/>
        </w:rPr>
        <w:t>本工程生态环境评价工作等级定为三级。</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rPr>
        <w:t>6</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rPr>
        <w:t>土壤环境</w:t>
      </w:r>
    </w:p>
    <w:p>
      <w:pPr>
        <w:spacing w:line="360" w:lineRule="auto"/>
        <w:ind w:firstLine="480" w:firstLineChars="200"/>
        <w:rPr>
          <w:rFonts w:hint="default" w:ascii="Times New Roman" w:hAnsi="Times New Roman" w:eastAsia="宋体" w:cs="Times New Roman"/>
          <w:color w:val="auto"/>
          <w:sz w:val="24"/>
          <w:szCs w:val="24"/>
          <w:vertAlign w:val="baseline"/>
          <w:lang w:val="en-US" w:eastAsia="zh-CN"/>
        </w:rPr>
      </w:pPr>
      <w:r>
        <w:rPr>
          <w:rFonts w:hint="eastAsia" w:ascii="Times New Roman" w:hAnsi="Times New Roman" w:eastAsia="宋体" w:cs="Times New Roman"/>
          <w:color w:val="auto"/>
          <w:sz w:val="24"/>
          <w:szCs w:val="24"/>
        </w:rPr>
        <w:t>根据《环境影响评价技术导则-土壤环境（试行）》（HJ964-2018）中评价工作等级划分依据判定本项目</w:t>
      </w:r>
      <w:r>
        <w:rPr>
          <w:rFonts w:hint="eastAsia" w:ascii="Times New Roman" w:hAnsi="Times New Roman" w:eastAsia="宋体" w:cs="Times New Roman"/>
          <w:color w:val="auto"/>
          <w:sz w:val="24"/>
          <w:szCs w:val="24"/>
          <w:lang w:eastAsia="zh-CN"/>
        </w:rPr>
        <w:t>土壤</w:t>
      </w:r>
      <w:r>
        <w:rPr>
          <w:rFonts w:hint="eastAsia" w:ascii="Times New Roman" w:hAnsi="Times New Roman" w:eastAsia="宋体" w:cs="Times New Roman"/>
          <w:color w:val="auto"/>
          <w:sz w:val="24"/>
          <w:szCs w:val="24"/>
        </w:rPr>
        <w:t>评价工作等级。项目所占地</w:t>
      </w:r>
      <w:r>
        <w:rPr>
          <w:rFonts w:hint="eastAsia" w:ascii="Times New Roman" w:hAnsi="Times New Roman" w:eastAsia="宋体"/>
          <w:color w:val="auto"/>
          <w:kern w:val="0"/>
          <w:sz w:val="24"/>
          <w:szCs w:val="24"/>
          <w:lang w:val="en-US" w:eastAsia="zh-CN"/>
        </w:rPr>
        <w:t>6hm</w:t>
      </w:r>
      <w:r>
        <w:rPr>
          <w:rFonts w:hint="eastAsia" w:ascii="Times New Roman" w:hAnsi="Times New Roman" w:eastAsia="宋体"/>
          <w:color w:val="auto"/>
          <w:kern w:val="0"/>
          <w:sz w:val="24"/>
          <w:szCs w:val="24"/>
          <w:vertAlign w:val="superscript"/>
        </w:rPr>
        <w:t>2</w:t>
      </w:r>
      <w:r>
        <w:rPr>
          <w:rFonts w:hint="eastAsia" w:ascii="Times New Roman" w:hAnsi="Times New Roman" w:eastAsia="宋体"/>
          <w:color w:val="auto"/>
          <w:kern w:val="0"/>
          <w:sz w:val="24"/>
          <w:szCs w:val="24"/>
        </w:rPr>
        <w:t>（</w:t>
      </w:r>
      <w:r>
        <w:rPr>
          <w:rFonts w:hint="eastAsia" w:ascii="Times New Roman" w:hAnsi="Times New Roman" w:eastAsia="宋体"/>
          <w:color w:val="auto"/>
          <w:kern w:val="0"/>
          <w:sz w:val="24"/>
          <w:szCs w:val="24"/>
          <w:lang w:val="en-US" w:eastAsia="zh-CN"/>
        </w:rPr>
        <w:t>90亩</w:t>
      </w:r>
      <w:r>
        <w:rPr>
          <w:rFonts w:hint="eastAsia" w:ascii="Times New Roman" w:hAnsi="Times New Roman" w:eastAsia="宋体"/>
          <w:color w:val="auto"/>
          <w:kern w:val="0"/>
          <w:sz w:val="24"/>
          <w:szCs w:val="24"/>
        </w:rPr>
        <w:t>）</w:t>
      </w:r>
      <w:r>
        <w:rPr>
          <w:rFonts w:hint="eastAsia" w:ascii="Times New Roman" w:hAnsi="Times New Roman" w:eastAsia="宋体" w:cs="Times New Roman"/>
          <w:color w:val="auto"/>
          <w:sz w:val="24"/>
          <w:szCs w:val="24"/>
        </w:rPr>
        <w:t>，占地类型主要为</w:t>
      </w:r>
      <w:r>
        <w:rPr>
          <w:rFonts w:hint="eastAsia" w:ascii="Times New Roman" w:hAnsi="Times New Roman" w:eastAsia="宋体" w:cs="Times New Roman"/>
          <w:color w:val="auto"/>
          <w:sz w:val="24"/>
          <w:szCs w:val="24"/>
          <w:lang w:eastAsia="zh-CN"/>
        </w:rPr>
        <w:t>林地</w:t>
      </w:r>
      <w:r>
        <w:rPr>
          <w:rFonts w:hint="eastAsia" w:ascii="Times New Roman" w:hAnsi="Times New Roman" w:eastAsia="宋体" w:cs="Times New Roman"/>
          <w:color w:val="auto"/>
          <w:sz w:val="24"/>
          <w:szCs w:val="24"/>
        </w:rPr>
        <w:t>，周围主要为</w:t>
      </w:r>
      <w:r>
        <w:rPr>
          <w:rFonts w:hint="eastAsia" w:ascii="Times New Roman" w:hAnsi="Times New Roman" w:eastAsia="宋体" w:cs="Times New Roman"/>
          <w:color w:val="auto"/>
          <w:sz w:val="24"/>
          <w:szCs w:val="24"/>
          <w:lang w:eastAsia="zh-CN"/>
        </w:rPr>
        <w:t>园地</w:t>
      </w:r>
      <w:r>
        <w:rPr>
          <w:rFonts w:hint="eastAsia" w:ascii="Times New Roman" w:hAnsi="Times New Roman" w:eastAsia="宋体" w:cs="Times New Roman"/>
          <w:color w:val="auto"/>
          <w:sz w:val="24"/>
          <w:szCs w:val="24"/>
        </w:rPr>
        <w:t>。周围土壤环境敏感；占地范围</w:t>
      </w:r>
      <w:r>
        <w:rPr>
          <w:rFonts w:hint="eastAsia" w:ascii="Times New Roman" w:hAnsi="Times New Roman" w:eastAsia="宋体" w:cs="Times New Roman"/>
          <w:color w:val="auto"/>
          <w:sz w:val="24"/>
          <w:szCs w:val="24"/>
          <w:lang w:eastAsia="zh-CN"/>
        </w:rPr>
        <w:t>在</w:t>
      </w:r>
      <w:r>
        <w:rPr>
          <w:rFonts w:hint="eastAsia" w:ascii="Times New Roman" w:hAnsi="Times New Roman" w:eastAsia="宋体" w:cs="Times New Roman"/>
          <w:color w:val="auto"/>
          <w:sz w:val="24"/>
          <w:szCs w:val="24"/>
          <w:lang w:val="en-US" w:eastAsia="zh-CN"/>
        </w:rPr>
        <w:t>5</w:t>
      </w:r>
      <w:r>
        <w:rPr>
          <w:rFonts w:hint="eastAsia" w:ascii="Times New Roman" w:hAnsi="Times New Roman" w:eastAsia="宋体"/>
          <w:color w:val="auto"/>
          <w:kern w:val="0"/>
          <w:sz w:val="24"/>
          <w:szCs w:val="24"/>
          <w:lang w:val="en-US" w:eastAsia="zh-CN"/>
        </w:rPr>
        <w:t>hm</w:t>
      </w:r>
      <w:r>
        <w:rPr>
          <w:rFonts w:hint="eastAsia" w:ascii="Times New Roman" w:hAnsi="Times New Roman" w:eastAsia="宋体"/>
          <w:color w:val="auto"/>
          <w:kern w:val="0"/>
          <w:sz w:val="24"/>
          <w:szCs w:val="24"/>
          <w:vertAlign w:val="superscript"/>
        </w:rPr>
        <w:t>2</w:t>
      </w:r>
      <w:r>
        <w:rPr>
          <w:rFonts w:hint="eastAsia"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vertAlign w:val="baseline"/>
          <w:lang w:val="en-US" w:eastAsia="zh-CN"/>
        </w:rPr>
        <w:t>50</w:t>
      </w:r>
      <w:r>
        <w:rPr>
          <w:rFonts w:hint="eastAsia" w:ascii="Times New Roman" w:hAnsi="Times New Roman" w:eastAsia="宋体" w:cs="Times New Roman"/>
          <w:color w:val="auto"/>
          <w:sz w:val="24"/>
          <w:szCs w:val="24"/>
        </w:rPr>
        <w:t>hm</w:t>
      </w:r>
      <w:r>
        <w:rPr>
          <w:rFonts w:hint="eastAsia" w:ascii="Times New Roman" w:hAnsi="Times New Roman" w:eastAsia="宋体" w:cs="Times New Roman"/>
          <w:color w:val="auto"/>
          <w:sz w:val="24"/>
          <w:szCs w:val="24"/>
          <w:vertAlign w:val="superscript"/>
        </w:rPr>
        <w:t>2</w:t>
      </w:r>
      <w:r>
        <w:rPr>
          <w:rFonts w:hint="eastAsia" w:ascii="Times New Roman" w:hAnsi="Times New Roman" w:eastAsia="宋体" w:cs="Times New Roman"/>
          <w:color w:val="auto"/>
          <w:sz w:val="24"/>
          <w:szCs w:val="24"/>
          <w:vertAlign w:val="baseline"/>
          <w:lang w:eastAsia="zh-CN"/>
        </w:rPr>
        <w:t>，为中型</w:t>
      </w:r>
      <w:r>
        <w:rPr>
          <w:rFonts w:hint="eastAsia" w:ascii="Times New Roman" w:hAnsi="Times New Roman" w:eastAsia="宋体" w:cs="Times New Roman"/>
          <w:color w:val="auto"/>
          <w:sz w:val="24"/>
          <w:szCs w:val="24"/>
          <w:vertAlign w:val="baseline"/>
          <w:lang w:val="en-US" w:eastAsia="zh-CN"/>
        </w:rPr>
        <w:t>。</w:t>
      </w:r>
    </w:p>
    <w:p>
      <w:pPr>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查阅《环境影响评价技术导则-土壤环境（试行）》（HJ964-2018）附录 A，确定本项目所属的</w:t>
      </w:r>
      <w:r>
        <w:rPr>
          <w:rFonts w:hint="eastAsia" w:ascii="Times New Roman" w:hAnsi="Times New Roman" w:eastAsia="宋体" w:cs="Times New Roman"/>
          <w:color w:val="auto"/>
          <w:sz w:val="24"/>
          <w:szCs w:val="24"/>
          <w:lang w:eastAsia="zh-CN"/>
        </w:rPr>
        <w:t>土壤</w:t>
      </w:r>
      <w:r>
        <w:rPr>
          <w:rFonts w:hint="eastAsia" w:ascii="Times New Roman" w:hAnsi="Times New Roman" w:eastAsia="宋体" w:cs="Times New Roman"/>
          <w:color w:val="auto"/>
          <w:sz w:val="24"/>
          <w:szCs w:val="24"/>
        </w:rPr>
        <w:t>环境影响评价项目类别为Ⅲ类。建设项目土壤环境影响评价工作等级划分为三级评价，具体见下表。</w:t>
      </w:r>
    </w:p>
    <w:p>
      <w:pPr>
        <w:spacing w:line="360" w:lineRule="auto"/>
        <w:ind w:firstLine="480" w:firstLineChars="200"/>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因此，</w:t>
      </w:r>
      <w:r>
        <w:rPr>
          <w:rFonts w:hint="eastAsia" w:ascii="Times New Roman" w:hAnsi="Times New Roman" w:eastAsia="宋体" w:cs="Times New Roman"/>
          <w:color w:val="auto"/>
          <w:sz w:val="24"/>
          <w:szCs w:val="24"/>
        </w:rPr>
        <w:t>依据污染影响型评价工作等级划分表1.6-</w:t>
      </w:r>
      <w:r>
        <w:rPr>
          <w:rFonts w:hint="eastAsia" w:ascii="Times New Roman" w:hAnsi="Times New Roman" w:eastAsia="宋体" w:cs="Times New Roman"/>
          <w:color w:val="auto"/>
          <w:sz w:val="24"/>
          <w:szCs w:val="24"/>
          <w:lang w:val="en-US" w:eastAsia="zh-CN"/>
        </w:rPr>
        <w:t>11</w:t>
      </w:r>
      <w:r>
        <w:rPr>
          <w:rFonts w:hint="eastAsia" w:ascii="Times New Roman" w:hAnsi="Times New Roman" w:eastAsia="宋体" w:cs="Times New Roman"/>
          <w:color w:val="auto"/>
          <w:sz w:val="24"/>
          <w:szCs w:val="24"/>
        </w:rPr>
        <w:t>，项目生产场地土壤评价等级为</w:t>
      </w:r>
      <w:r>
        <w:rPr>
          <w:rFonts w:hint="eastAsia" w:ascii="Times New Roman" w:hAnsi="Times New Roman" w:eastAsia="宋体" w:cs="Times New Roman"/>
          <w:color w:val="auto"/>
          <w:sz w:val="24"/>
          <w:szCs w:val="24"/>
          <w:lang w:eastAsia="zh-CN"/>
        </w:rPr>
        <w:t>三</w:t>
      </w:r>
      <w:r>
        <w:rPr>
          <w:rFonts w:hint="eastAsia" w:ascii="Times New Roman" w:hAnsi="Times New Roman" w:eastAsia="宋体" w:cs="Times New Roman"/>
          <w:color w:val="auto"/>
          <w:sz w:val="24"/>
          <w:szCs w:val="24"/>
        </w:rPr>
        <w:t>级。</w:t>
      </w:r>
    </w:p>
    <w:p>
      <w:pPr>
        <w:spacing w:after="120"/>
        <w:ind w:left="420" w:leftChars="200" w:firstLine="422" w:firstLineChars="200"/>
        <w:jc w:val="center"/>
        <w:rPr>
          <w:rFonts w:ascii="Times New Roman" w:hAnsi="Times New Roman" w:eastAsia="宋体" w:cs="Times New Roman"/>
          <w:b/>
          <w:bCs/>
          <w:color w:val="auto"/>
          <w:kern w:val="0"/>
          <w:szCs w:val="21"/>
        </w:rPr>
      </w:pPr>
      <w:r>
        <w:rPr>
          <w:rFonts w:hint="eastAsia" w:ascii="Times New Roman" w:hAnsi="Times New Roman" w:eastAsia="宋体" w:cs="Times New Roman"/>
          <w:b/>
          <w:bCs/>
          <w:color w:val="auto"/>
          <w:kern w:val="0"/>
          <w:szCs w:val="21"/>
        </w:rPr>
        <w:t>表1.</w:t>
      </w:r>
      <w:r>
        <w:rPr>
          <w:rFonts w:ascii="Times New Roman" w:hAnsi="Times New Roman" w:eastAsia="宋体" w:cs="Times New Roman"/>
          <w:b/>
          <w:bCs/>
          <w:color w:val="auto"/>
          <w:kern w:val="0"/>
          <w:szCs w:val="21"/>
        </w:rPr>
        <w:t>6</w:t>
      </w:r>
      <w:r>
        <w:rPr>
          <w:rFonts w:hint="eastAsia" w:ascii="Times New Roman" w:hAnsi="Times New Roman" w:eastAsia="宋体" w:cs="Times New Roman"/>
          <w:b/>
          <w:bCs/>
          <w:color w:val="auto"/>
          <w:kern w:val="0"/>
          <w:szCs w:val="21"/>
        </w:rPr>
        <w:t>-</w:t>
      </w:r>
      <w:r>
        <w:rPr>
          <w:rFonts w:hint="eastAsia" w:ascii="Times New Roman" w:hAnsi="Times New Roman" w:eastAsia="宋体" w:cs="Times New Roman"/>
          <w:b/>
          <w:bCs/>
          <w:color w:val="auto"/>
          <w:kern w:val="0"/>
          <w:szCs w:val="21"/>
          <w:lang w:val="en-US" w:eastAsia="zh-CN"/>
        </w:rPr>
        <w:t>10</w:t>
      </w:r>
      <w:r>
        <w:rPr>
          <w:rFonts w:hint="eastAsia" w:ascii="Times New Roman" w:hAnsi="Times New Roman" w:eastAsia="宋体" w:cs="Times New Roman"/>
          <w:b/>
          <w:bCs/>
          <w:color w:val="auto"/>
          <w:kern w:val="0"/>
          <w:szCs w:val="21"/>
        </w:rPr>
        <w:t>污染影响型敏感程度分级表</w:t>
      </w:r>
    </w:p>
    <w:tbl>
      <w:tblPr>
        <w:tblStyle w:val="35"/>
        <w:tblW w:w="9220"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595"/>
        <w:gridCol w:w="7625"/>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159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b/>
                <w:bCs/>
                <w:color w:val="auto"/>
                <w:kern w:val="0"/>
                <w:sz w:val="21"/>
                <w:szCs w:val="21"/>
              </w:rPr>
            </w:pPr>
            <w:r>
              <w:rPr>
                <w:rFonts w:hint="eastAsia" w:ascii="Times New Roman" w:hAnsi="Times New Roman" w:eastAsia="宋体" w:cs="Times New Roman"/>
                <w:b/>
                <w:bCs/>
                <w:color w:val="auto"/>
                <w:kern w:val="0"/>
                <w:sz w:val="21"/>
                <w:szCs w:val="21"/>
              </w:rPr>
              <w:t>敏感程度</w:t>
            </w:r>
          </w:p>
        </w:tc>
        <w:tc>
          <w:tcPr>
            <w:tcW w:w="762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b/>
                <w:bCs/>
                <w:color w:val="auto"/>
                <w:kern w:val="0"/>
                <w:sz w:val="21"/>
                <w:szCs w:val="21"/>
              </w:rPr>
            </w:pPr>
            <w:r>
              <w:rPr>
                <w:rFonts w:hint="eastAsia" w:ascii="Times New Roman" w:hAnsi="Times New Roman" w:eastAsia="宋体" w:cs="Times New Roman"/>
                <w:b/>
                <w:bCs/>
                <w:color w:val="auto"/>
                <w:kern w:val="0"/>
                <w:sz w:val="21"/>
                <w:szCs w:val="21"/>
              </w:rPr>
              <w:t>判别依据</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44" w:hRule="atLeast"/>
          <w:jc w:val="center"/>
        </w:trPr>
        <w:tc>
          <w:tcPr>
            <w:tcW w:w="159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color w:val="auto"/>
                <w:kern w:val="0"/>
                <w:sz w:val="21"/>
                <w:szCs w:val="21"/>
              </w:rPr>
            </w:pPr>
            <w:r>
              <w:rPr>
                <w:rFonts w:hint="eastAsia" w:ascii="Calibri" w:hAnsi="Calibri" w:eastAsia="宋体" w:cs="Times New Roman"/>
                <w:color w:val="auto"/>
                <w:kern w:val="0"/>
                <w:sz w:val="21"/>
                <w:szCs w:val="21"/>
              </w:rPr>
              <w:t>敏感</w:t>
            </w:r>
          </w:p>
        </w:tc>
        <w:tc>
          <w:tcPr>
            <w:tcW w:w="762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color w:val="auto"/>
                <w:kern w:val="0"/>
                <w:sz w:val="21"/>
                <w:szCs w:val="21"/>
              </w:rPr>
            </w:pPr>
            <w:r>
              <w:rPr>
                <w:rFonts w:hint="eastAsia" w:ascii="Times New Roman" w:hAnsi="Times New Roman" w:eastAsia="宋体" w:cs="Times New Roman"/>
                <w:color w:val="auto"/>
                <w:kern w:val="0"/>
                <w:sz w:val="21"/>
                <w:szCs w:val="21"/>
              </w:rPr>
              <w:t>建设</w:t>
            </w:r>
            <w:r>
              <w:rPr>
                <w:rFonts w:ascii="Times New Roman" w:hAnsi="Times New Roman" w:eastAsia="宋体" w:cs="Times New Roman"/>
                <w:color w:val="auto"/>
                <w:kern w:val="0"/>
                <w:sz w:val="21"/>
                <w:szCs w:val="21"/>
              </w:rPr>
              <w:t>项目</w:t>
            </w:r>
            <w:r>
              <w:rPr>
                <w:rFonts w:hint="eastAsia" w:ascii="Times New Roman" w:hAnsi="Times New Roman" w:eastAsia="宋体" w:cs="Times New Roman"/>
                <w:color w:val="auto"/>
                <w:kern w:val="0"/>
                <w:sz w:val="21"/>
                <w:szCs w:val="21"/>
              </w:rPr>
              <w:t>周边存在耕地、园地、牧草地、饮用水水源地或居民区、学校、医院、疗养院、养老院等土壤环境敏感目标的</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0" w:hRule="atLeast"/>
          <w:jc w:val="center"/>
        </w:trPr>
        <w:tc>
          <w:tcPr>
            <w:tcW w:w="159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color w:val="auto"/>
                <w:kern w:val="0"/>
                <w:sz w:val="21"/>
                <w:szCs w:val="21"/>
              </w:rPr>
            </w:pPr>
            <w:r>
              <w:rPr>
                <w:rFonts w:hint="eastAsia" w:ascii="Calibri" w:hAnsi="Calibri" w:eastAsia="宋体" w:cs="Times New Roman"/>
                <w:color w:val="auto"/>
                <w:kern w:val="0"/>
                <w:sz w:val="21"/>
                <w:szCs w:val="21"/>
              </w:rPr>
              <w:t>较敏感</w:t>
            </w:r>
          </w:p>
        </w:tc>
        <w:tc>
          <w:tcPr>
            <w:tcW w:w="762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color w:val="auto"/>
                <w:kern w:val="0"/>
                <w:sz w:val="21"/>
                <w:szCs w:val="21"/>
              </w:rPr>
            </w:pPr>
            <w:r>
              <w:rPr>
                <w:rFonts w:hint="eastAsia" w:ascii="Calibri" w:hAnsi="Calibri" w:eastAsia="宋体" w:cs="Times New Roman"/>
                <w:color w:val="auto"/>
                <w:kern w:val="0"/>
                <w:sz w:val="21"/>
                <w:szCs w:val="21"/>
              </w:rPr>
              <w:t>建设项目</w:t>
            </w:r>
            <w:r>
              <w:rPr>
                <w:rFonts w:hint="eastAsia" w:ascii="Times New Roman" w:hAnsi="Times New Roman" w:eastAsia="宋体" w:cs="Times New Roman"/>
                <w:color w:val="auto"/>
                <w:kern w:val="0"/>
                <w:sz w:val="21"/>
                <w:szCs w:val="21"/>
              </w:rPr>
              <w:t>周边存在其他土壤环境敏感目标的</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44" w:hRule="atLeast"/>
          <w:jc w:val="center"/>
        </w:trPr>
        <w:tc>
          <w:tcPr>
            <w:tcW w:w="159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color w:val="auto"/>
                <w:kern w:val="0"/>
                <w:sz w:val="21"/>
                <w:szCs w:val="21"/>
              </w:rPr>
            </w:pPr>
            <w:r>
              <w:rPr>
                <w:rFonts w:hint="eastAsia" w:ascii="Calibri" w:hAnsi="Calibri" w:eastAsia="宋体" w:cs="Times New Roman"/>
                <w:color w:val="auto"/>
                <w:kern w:val="0"/>
                <w:sz w:val="21"/>
                <w:szCs w:val="21"/>
              </w:rPr>
              <w:t>不敏感</w:t>
            </w:r>
          </w:p>
        </w:tc>
        <w:tc>
          <w:tcPr>
            <w:tcW w:w="762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color w:val="auto"/>
                <w:kern w:val="0"/>
                <w:sz w:val="21"/>
                <w:szCs w:val="21"/>
              </w:rPr>
            </w:pPr>
            <w:r>
              <w:rPr>
                <w:rFonts w:hint="eastAsia" w:ascii="Calibri" w:hAnsi="Calibri" w:eastAsia="宋体" w:cs="Times New Roman"/>
                <w:color w:val="auto"/>
                <w:kern w:val="0"/>
                <w:sz w:val="21"/>
                <w:szCs w:val="21"/>
              </w:rPr>
              <w:t>其他情况</w:t>
            </w:r>
          </w:p>
        </w:tc>
      </w:tr>
    </w:tbl>
    <w:p>
      <w:pPr>
        <w:spacing w:after="120"/>
        <w:ind w:left="420" w:leftChars="200" w:firstLine="422" w:firstLineChars="200"/>
        <w:jc w:val="center"/>
        <w:rPr>
          <w:rFonts w:ascii="Times New Roman" w:hAnsi="Times New Roman" w:eastAsia="宋体" w:cs="Times New Roman"/>
          <w:b/>
          <w:bCs/>
          <w:color w:val="auto"/>
          <w:kern w:val="0"/>
          <w:szCs w:val="21"/>
        </w:rPr>
      </w:pPr>
      <w:r>
        <w:rPr>
          <w:rFonts w:hint="eastAsia" w:ascii="Times New Roman" w:hAnsi="Times New Roman" w:eastAsia="宋体" w:cs="Times New Roman"/>
          <w:b/>
          <w:bCs/>
          <w:color w:val="auto"/>
          <w:kern w:val="0"/>
          <w:szCs w:val="21"/>
        </w:rPr>
        <w:t>表1.</w:t>
      </w:r>
      <w:r>
        <w:rPr>
          <w:rFonts w:ascii="Times New Roman" w:hAnsi="Times New Roman" w:eastAsia="宋体" w:cs="Times New Roman"/>
          <w:b/>
          <w:bCs/>
          <w:color w:val="auto"/>
          <w:kern w:val="0"/>
          <w:szCs w:val="21"/>
        </w:rPr>
        <w:t>6</w:t>
      </w:r>
      <w:r>
        <w:rPr>
          <w:rFonts w:hint="eastAsia" w:ascii="Times New Roman" w:hAnsi="Times New Roman" w:eastAsia="宋体" w:cs="Times New Roman"/>
          <w:b/>
          <w:bCs/>
          <w:color w:val="auto"/>
          <w:kern w:val="0"/>
          <w:szCs w:val="21"/>
        </w:rPr>
        <w:t>-1</w:t>
      </w:r>
      <w:r>
        <w:rPr>
          <w:rFonts w:hint="eastAsia" w:ascii="Times New Roman" w:hAnsi="Times New Roman" w:eastAsia="宋体" w:cs="Times New Roman"/>
          <w:b/>
          <w:bCs/>
          <w:color w:val="auto"/>
          <w:kern w:val="0"/>
          <w:szCs w:val="21"/>
          <w:lang w:val="en-US" w:eastAsia="zh-CN"/>
        </w:rPr>
        <w:t>1</w:t>
      </w:r>
      <w:r>
        <w:rPr>
          <w:rFonts w:hint="eastAsia" w:ascii="Times New Roman" w:hAnsi="Times New Roman" w:eastAsia="宋体" w:cs="Times New Roman"/>
          <w:b/>
          <w:bCs/>
          <w:color w:val="auto"/>
          <w:kern w:val="0"/>
          <w:szCs w:val="21"/>
        </w:rPr>
        <w:t>污染影响型评价工作等级划分表</w:t>
      </w:r>
    </w:p>
    <w:tbl>
      <w:tblPr>
        <w:tblStyle w:val="35"/>
        <w:tblW w:w="9220"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2161"/>
        <w:gridCol w:w="742"/>
        <w:gridCol w:w="817"/>
        <w:gridCol w:w="793"/>
        <w:gridCol w:w="862"/>
        <w:gridCol w:w="780"/>
        <w:gridCol w:w="712"/>
        <w:gridCol w:w="794"/>
        <w:gridCol w:w="835"/>
        <w:gridCol w:w="724"/>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2161" w:type="dxa"/>
            <w:vMerge w:val="restart"/>
            <w:tcBorders>
              <w:tl2br w:val="single" w:color="000000" w:sz="12"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color w:val="auto"/>
                <w:kern w:val="0"/>
                <w:sz w:val="21"/>
                <w:szCs w:val="21"/>
              </w:rPr>
            </w:pPr>
            <w:r>
              <w:rPr>
                <w:rFonts w:hint="eastAsia" w:ascii="Calibri" w:hAnsi="Calibri" w:eastAsia="宋体" w:cs="Times New Roman"/>
                <w:color w:val="auto"/>
                <w:kern w:val="0"/>
                <w:sz w:val="21"/>
                <w:szCs w:val="21"/>
              </w:rPr>
              <w:t>占地规模</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color w:val="auto"/>
                <w:kern w:val="0"/>
                <w:sz w:val="21"/>
                <w:szCs w:val="21"/>
              </w:rPr>
            </w:pPr>
            <w:r>
              <w:rPr>
                <w:rFonts w:hint="eastAsia" w:ascii="Calibri" w:hAnsi="Calibri" w:eastAsia="宋体" w:cs="Times New Roman"/>
                <w:color w:val="auto"/>
                <w:kern w:val="0"/>
                <w:sz w:val="21"/>
                <w:szCs w:val="21"/>
              </w:rPr>
              <w:t>敏感程度</w:t>
            </w:r>
          </w:p>
        </w:tc>
        <w:tc>
          <w:tcPr>
            <w:tcW w:w="2352" w:type="dxa"/>
            <w:gridSpan w:val="3"/>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b/>
                <w:bCs/>
                <w:color w:val="auto"/>
                <w:kern w:val="0"/>
                <w:sz w:val="21"/>
                <w:szCs w:val="21"/>
              </w:rPr>
            </w:pPr>
            <w:r>
              <w:rPr>
                <w:rFonts w:ascii="Calibri" w:hAnsi="Calibri" w:eastAsia="宋体" w:cs="Times New Roman"/>
                <w:b/>
                <w:bCs/>
                <w:color w:val="auto"/>
                <w:kern w:val="0"/>
                <w:sz w:val="21"/>
                <w:szCs w:val="21"/>
              </w:rPr>
              <w:t>I类</w:t>
            </w:r>
          </w:p>
        </w:tc>
        <w:tc>
          <w:tcPr>
            <w:tcW w:w="2354" w:type="dxa"/>
            <w:gridSpan w:val="3"/>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b/>
                <w:bCs/>
                <w:color w:val="auto"/>
                <w:kern w:val="0"/>
                <w:sz w:val="21"/>
                <w:szCs w:val="21"/>
              </w:rPr>
            </w:pPr>
            <w:r>
              <w:rPr>
                <w:rFonts w:hint="eastAsia" w:ascii="Calibri" w:hAnsi="Calibri" w:eastAsia="宋体" w:cs="Times New Roman"/>
                <w:b/>
                <w:bCs/>
                <w:color w:val="auto"/>
                <w:kern w:val="0"/>
                <w:sz w:val="21"/>
                <w:szCs w:val="21"/>
              </w:rPr>
              <w:t>I</w:t>
            </w:r>
            <w:r>
              <w:rPr>
                <w:rFonts w:ascii="Calibri" w:hAnsi="Calibri" w:eastAsia="宋体" w:cs="Times New Roman"/>
                <w:b/>
                <w:bCs/>
                <w:color w:val="auto"/>
                <w:kern w:val="0"/>
                <w:sz w:val="21"/>
                <w:szCs w:val="21"/>
              </w:rPr>
              <w:t>I类</w:t>
            </w:r>
          </w:p>
        </w:tc>
        <w:tc>
          <w:tcPr>
            <w:tcW w:w="2353" w:type="dxa"/>
            <w:gridSpan w:val="3"/>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b/>
                <w:bCs/>
                <w:color w:val="auto"/>
                <w:kern w:val="0"/>
                <w:sz w:val="21"/>
                <w:szCs w:val="21"/>
              </w:rPr>
            </w:pPr>
            <w:r>
              <w:rPr>
                <w:rFonts w:hint="eastAsia" w:ascii="Calibri" w:hAnsi="Calibri" w:eastAsia="宋体" w:cs="Times New Roman"/>
                <w:b/>
                <w:bCs/>
                <w:color w:val="auto"/>
                <w:kern w:val="0"/>
                <w:sz w:val="21"/>
                <w:szCs w:val="21"/>
              </w:rPr>
              <w:t>I</w:t>
            </w:r>
            <w:r>
              <w:rPr>
                <w:rFonts w:ascii="Calibri" w:hAnsi="Calibri" w:eastAsia="宋体" w:cs="Times New Roman"/>
                <w:b/>
                <w:bCs/>
                <w:color w:val="auto"/>
                <w:kern w:val="0"/>
                <w:sz w:val="21"/>
                <w:szCs w:val="21"/>
              </w:rPr>
              <w:t>II类</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2161"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color w:val="auto"/>
                <w:kern w:val="0"/>
                <w:sz w:val="21"/>
                <w:szCs w:val="21"/>
              </w:rPr>
            </w:pPr>
          </w:p>
        </w:tc>
        <w:tc>
          <w:tcPr>
            <w:tcW w:w="74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color w:val="auto"/>
                <w:kern w:val="0"/>
                <w:sz w:val="21"/>
                <w:szCs w:val="21"/>
              </w:rPr>
            </w:pPr>
            <w:r>
              <w:rPr>
                <w:rFonts w:hint="eastAsia" w:ascii="Calibri" w:hAnsi="Calibri" w:eastAsia="宋体" w:cs="Times New Roman"/>
                <w:color w:val="auto"/>
                <w:kern w:val="0"/>
                <w:sz w:val="21"/>
                <w:szCs w:val="21"/>
              </w:rPr>
              <w:t>大</w:t>
            </w:r>
          </w:p>
        </w:tc>
        <w:tc>
          <w:tcPr>
            <w:tcW w:w="81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color w:val="auto"/>
                <w:kern w:val="0"/>
                <w:sz w:val="21"/>
                <w:szCs w:val="21"/>
              </w:rPr>
            </w:pPr>
            <w:r>
              <w:rPr>
                <w:rFonts w:hint="eastAsia" w:ascii="Calibri" w:hAnsi="Calibri" w:eastAsia="宋体" w:cs="Times New Roman"/>
                <w:color w:val="auto"/>
                <w:kern w:val="0"/>
                <w:sz w:val="21"/>
                <w:szCs w:val="21"/>
              </w:rPr>
              <w:t>中</w:t>
            </w:r>
          </w:p>
        </w:tc>
        <w:tc>
          <w:tcPr>
            <w:tcW w:w="79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color w:val="auto"/>
                <w:kern w:val="0"/>
                <w:sz w:val="21"/>
                <w:szCs w:val="21"/>
              </w:rPr>
            </w:pPr>
            <w:r>
              <w:rPr>
                <w:rFonts w:hint="eastAsia" w:ascii="Calibri" w:hAnsi="Calibri" w:eastAsia="宋体" w:cs="Times New Roman"/>
                <w:color w:val="auto"/>
                <w:kern w:val="0"/>
                <w:sz w:val="21"/>
                <w:szCs w:val="21"/>
              </w:rPr>
              <w:t>小</w:t>
            </w:r>
          </w:p>
        </w:tc>
        <w:tc>
          <w:tcPr>
            <w:tcW w:w="86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color w:val="auto"/>
                <w:kern w:val="0"/>
                <w:sz w:val="21"/>
                <w:szCs w:val="21"/>
              </w:rPr>
            </w:pPr>
            <w:r>
              <w:rPr>
                <w:rFonts w:hint="eastAsia" w:ascii="Calibri" w:hAnsi="Calibri" w:eastAsia="宋体" w:cs="Times New Roman"/>
                <w:color w:val="auto"/>
                <w:kern w:val="0"/>
                <w:sz w:val="21"/>
                <w:szCs w:val="21"/>
              </w:rPr>
              <w:t>大</w:t>
            </w:r>
          </w:p>
        </w:tc>
        <w:tc>
          <w:tcPr>
            <w:tcW w:w="78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color w:val="auto"/>
                <w:kern w:val="0"/>
                <w:sz w:val="21"/>
                <w:szCs w:val="21"/>
              </w:rPr>
            </w:pPr>
            <w:r>
              <w:rPr>
                <w:rFonts w:hint="eastAsia" w:ascii="Calibri" w:hAnsi="Calibri" w:eastAsia="宋体" w:cs="Times New Roman"/>
                <w:color w:val="auto"/>
                <w:kern w:val="0"/>
                <w:sz w:val="21"/>
                <w:szCs w:val="21"/>
              </w:rPr>
              <w:t>中</w:t>
            </w:r>
          </w:p>
        </w:tc>
        <w:tc>
          <w:tcPr>
            <w:tcW w:w="71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color w:val="auto"/>
                <w:kern w:val="0"/>
                <w:sz w:val="21"/>
                <w:szCs w:val="21"/>
              </w:rPr>
            </w:pPr>
            <w:r>
              <w:rPr>
                <w:rFonts w:hint="eastAsia" w:ascii="Calibri" w:hAnsi="Calibri" w:eastAsia="宋体" w:cs="Times New Roman"/>
                <w:color w:val="auto"/>
                <w:kern w:val="0"/>
                <w:sz w:val="21"/>
                <w:szCs w:val="21"/>
              </w:rPr>
              <w:t>小</w:t>
            </w:r>
          </w:p>
        </w:tc>
        <w:tc>
          <w:tcPr>
            <w:tcW w:w="79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color w:val="auto"/>
                <w:kern w:val="0"/>
                <w:sz w:val="21"/>
                <w:szCs w:val="21"/>
              </w:rPr>
            </w:pPr>
            <w:r>
              <w:rPr>
                <w:rFonts w:hint="eastAsia" w:ascii="Calibri" w:hAnsi="Calibri" w:eastAsia="宋体" w:cs="Times New Roman"/>
                <w:color w:val="auto"/>
                <w:kern w:val="0"/>
                <w:sz w:val="21"/>
                <w:szCs w:val="21"/>
              </w:rPr>
              <w:t>大</w:t>
            </w:r>
          </w:p>
        </w:tc>
        <w:tc>
          <w:tcPr>
            <w:tcW w:w="83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color w:val="auto"/>
                <w:kern w:val="0"/>
                <w:sz w:val="21"/>
                <w:szCs w:val="21"/>
              </w:rPr>
            </w:pPr>
            <w:r>
              <w:rPr>
                <w:rFonts w:hint="eastAsia" w:ascii="Calibri" w:hAnsi="Calibri" w:eastAsia="宋体" w:cs="Times New Roman"/>
                <w:color w:val="auto"/>
                <w:kern w:val="0"/>
                <w:sz w:val="21"/>
                <w:szCs w:val="21"/>
              </w:rPr>
              <w:t>中</w:t>
            </w:r>
          </w:p>
        </w:tc>
        <w:tc>
          <w:tcPr>
            <w:tcW w:w="72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color w:val="auto"/>
                <w:kern w:val="0"/>
                <w:sz w:val="21"/>
                <w:szCs w:val="21"/>
              </w:rPr>
            </w:pPr>
            <w:r>
              <w:rPr>
                <w:rFonts w:hint="eastAsia" w:ascii="Calibri" w:hAnsi="Calibri" w:eastAsia="宋体" w:cs="Times New Roman"/>
                <w:color w:val="auto"/>
                <w:kern w:val="0"/>
                <w:sz w:val="21"/>
                <w:szCs w:val="21"/>
              </w:rPr>
              <w:t>小</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216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color w:val="auto"/>
                <w:kern w:val="0"/>
                <w:sz w:val="21"/>
                <w:szCs w:val="21"/>
              </w:rPr>
            </w:pPr>
            <w:r>
              <w:rPr>
                <w:rFonts w:hint="eastAsia" w:ascii="Calibri" w:hAnsi="Calibri" w:eastAsia="宋体" w:cs="Times New Roman"/>
                <w:color w:val="auto"/>
                <w:kern w:val="0"/>
                <w:sz w:val="21"/>
                <w:szCs w:val="21"/>
              </w:rPr>
              <w:t>敏感</w:t>
            </w:r>
          </w:p>
        </w:tc>
        <w:tc>
          <w:tcPr>
            <w:tcW w:w="74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color w:val="auto"/>
                <w:kern w:val="0"/>
                <w:sz w:val="21"/>
                <w:szCs w:val="21"/>
              </w:rPr>
            </w:pPr>
            <w:r>
              <w:rPr>
                <w:rFonts w:hint="eastAsia" w:ascii="Calibri" w:hAnsi="Calibri" w:eastAsia="宋体" w:cs="Times New Roman"/>
                <w:color w:val="auto"/>
                <w:kern w:val="0"/>
                <w:sz w:val="21"/>
                <w:szCs w:val="21"/>
              </w:rPr>
              <w:t>一级</w:t>
            </w:r>
          </w:p>
        </w:tc>
        <w:tc>
          <w:tcPr>
            <w:tcW w:w="81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color w:val="auto"/>
                <w:kern w:val="0"/>
                <w:sz w:val="21"/>
                <w:szCs w:val="21"/>
              </w:rPr>
            </w:pPr>
            <w:r>
              <w:rPr>
                <w:rFonts w:hint="eastAsia" w:ascii="Calibri" w:hAnsi="Calibri" w:eastAsia="宋体" w:cs="Times New Roman"/>
                <w:color w:val="auto"/>
                <w:kern w:val="0"/>
                <w:sz w:val="21"/>
                <w:szCs w:val="21"/>
              </w:rPr>
              <w:t>一级</w:t>
            </w:r>
          </w:p>
        </w:tc>
        <w:tc>
          <w:tcPr>
            <w:tcW w:w="79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color w:val="auto"/>
                <w:kern w:val="0"/>
                <w:sz w:val="21"/>
                <w:szCs w:val="21"/>
              </w:rPr>
            </w:pPr>
            <w:r>
              <w:rPr>
                <w:rFonts w:hint="eastAsia" w:ascii="Calibri" w:hAnsi="Calibri" w:eastAsia="宋体" w:cs="Times New Roman"/>
                <w:color w:val="auto"/>
                <w:kern w:val="0"/>
                <w:sz w:val="21"/>
                <w:szCs w:val="21"/>
              </w:rPr>
              <w:t>一级</w:t>
            </w:r>
          </w:p>
        </w:tc>
        <w:tc>
          <w:tcPr>
            <w:tcW w:w="86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Calibri" w:hAnsi="Calibri" w:eastAsia="宋体" w:cs="Times New Roman"/>
                <w:color w:val="auto"/>
                <w:kern w:val="0"/>
                <w:sz w:val="21"/>
                <w:szCs w:val="21"/>
              </w:rPr>
            </w:pPr>
            <w:r>
              <w:rPr>
                <w:rFonts w:hint="eastAsia" w:ascii="Calibri" w:hAnsi="Calibri" w:eastAsia="宋体" w:cs="Times New Roman"/>
                <w:color w:val="auto"/>
                <w:kern w:val="0"/>
                <w:sz w:val="21"/>
                <w:szCs w:val="21"/>
              </w:rPr>
              <w:t>二级</w:t>
            </w:r>
          </w:p>
        </w:tc>
        <w:tc>
          <w:tcPr>
            <w:tcW w:w="78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Calibri" w:hAnsi="Calibri" w:eastAsia="宋体" w:cs="Times New Roman"/>
                <w:color w:val="auto"/>
                <w:kern w:val="0"/>
                <w:sz w:val="21"/>
                <w:szCs w:val="21"/>
              </w:rPr>
            </w:pPr>
            <w:r>
              <w:rPr>
                <w:rFonts w:hint="eastAsia" w:ascii="Calibri" w:hAnsi="Calibri" w:eastAsia="宋体" w:cs="Times New Roman"/>
                <w:color w:val="auto"/>
                <w:kern w:val="0"/>
                <w:sz w:val="21"/>
                <w:szCs w:val="21"/>
              </w:rPr>
              <w:t>二级</w:t>
            </w:r>
          </w:p>
        </w:tc>
        <w:tc>
          <w:tcPr>
            <w:tcW w:w="71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Calibri" w:hAnsi="Calibri" w:eastAsia="宋体" w:cs="Times New Roman"/>
                <w:color w:val="auto"/>
                <w:kern w:val="0"/>
                <w:sz w:val="21"/>
                <w:szCs w:val="21"/>
              </w:rPr>
            </w:pPr>
            <w:r>
              <w:rPr>
                <w:rFonts w:hint="eastAsia" w:ascii="Calibri" w:hAnsi="Calibri" w:eastAsia="宋体" w:cs="Times New Roman"/>
                <w:color w:val="auto"/>
                <w:kern w:val="0"/>
                <w:sz w:val="21"/>
                <w:szCs w:val="21"/>
              </w:rPr>
              <w:t>二级</w:t>
            </w:r>
          </w:p>
        </w:tc>
        <w:tc>
          <w:tcPr>
            <w:tcW w:w="79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Calibri" w:hAnsi="Calibri" w:eastAsia="宋体" w:cs="Times New Roman"/>
                <w:color w:val="auto"/>
                <w:kern w:val="0"/>
                <w:sz w:val="21"/>
                <w:szCs w:val="21"/>
              </w:rPr>
            </w:pPr>
            <w:r>
              <w:rPr>
                <w:rFonts w:hint="eastAsia" w:ascii="Calibri" w:hAnsi="Calibri" w:eastAsia="宋体" w:cs="Times New Roman"/>
                <w:color w:val="auto"/>
                <w:kern w:val="0"/>
                <w:sz w:val="21"/>
                <w:szCs w:val="21"/>
                <w:lang w:eastAsia="zh-CN"/>
              </w:rPr>
              <w:t>三</w:t>
            </w:r>
            <w:r>
              <w:rPr>
                <w:rFonts w:hint="eastAsia" w:ascii="Calibri" w:hAnsi="Calibri" w:eastAsia="宋体" w:cs="Times New Roman"/>
                <w:color w:val="auto"/>
                <w:kern w:val="0"/>
                <w:sz w:val="21"/>
                <w:szCs w:val="21"/>
              </w:rPr>
              <w:t>级</w:t>
            </w:r>
          </w:p>
        </w:tc>
        <w:tc>
          <w:tcPr>
            <w:tcW w:w="83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Calibri" w:hAnsi="Calibri" w:eastAsia="宋体" w:cs="Times New Roman"/>
                <w:color w:val="auto"/>
                <w:kern w:val="0"/>
                <w:sz w:val="21"/>
                <w:szCs w:val="21"/>
              </w:rPr>
            </w:pPr>
            <w:r>
              <w:rPr>
                <w:rFonts w:hint="eastAsia" w:ascii="Calibri" w:hAnsi="Calibri" w:eastAsia="宋体" w:cs="Times New Roman"/>
                <w:color w:val="auto"/>
                <w:kern w:val="0"/>
                <w:sz w:val="21"/>
                <w:szCs w:val="21"/>
                <w:lang w:eastAsia="zh-CN"/>
              </w:rPr>
              <w:t>三</w:t>
            </w:r>
            <w:r>
              <w:rPr>
                <w:rFonts w:hint="eastAsia" w:ascii="Calibri" w:hAnsi="Calibri" w:eastAsia="宋体" w:cs="Times New Roman"/>
                <w:color w:val="auto"/>
                <w:kern w:val="0"/>
                <w:sz w:val="21"/>
                <w:szCs w:val="21"/>
              </w:rPr>
              <w:t>级</w:t>
            </w:r>
          </w:p>
        </w:tc>
        <w:tc>
          <w:tcPr>
            <w:tcW w:w="72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Calibri" w:hAnsi="Calibri" w:eastAsia="宋体" w:cs="Times New Roman"/>
                <w:color w:val="auto"/>
                <w:kern w:val="0"/>
                <w:sz w:val="21"/>
                <w:szCs w:val="21"/>
              </w:rPr>
            </w:pPr>
            <w:r>
              <w:rPr>
                <w:rFonts w:hint="eastAsia" w:ascii="Calibri" w:hAnsi="Calibri" w:eastAsia="宋体" w:cs="Times New Roman"/>
                <w:color w:val="auto"/>
                <w:kern w:val="0"/>
                <w:sz w:val="21"/>
                <w:szCs w:val="21"/>
                <w:lang w:eastAsia="zh-CN"/>
              </w:rPr>
              <w:t>三</w:t>
            </w:r>
            <w:r>
              <w:rPr>
                <w:rFonts w:hint="eastAsia" w:ascii="Calibri" w:hAnsi="Calibri" w:eastAsia="宋体" w:cs="Times New Roman"/>
                <w:color w:val="auto"/>
                <w:kern w:val="0"/>
                <w:sz w:val="21"/>
                <w:szCs w:val="21"/>
              </w:rPr>
              <w:t>级</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216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color w:val="auto"/>
                <w:kern w:val="0"/>
                <w:sz w:val="21"/>
                <w:szCs w:val="21"/>
              </w:rPr>
            </w:pPr>
            <w:r>
              <w:rPr>
                <w:rFonts w:hint="eastAsia" w:ascii="Calibri" w:hAnsi="Calibri" w:eastAsia="宋体" w:cs="Times New Roman"/>
                <w:color w:val="auto"/>
                <w:kern w:val="0"/>
                <w:sz w:val="21"/>
                <w:szCs w:val="21"/>
              </w:rPr>
              <w:t>较敏感</w:t>
            </w:r>
          </w:p>
        </w:tc>
        <w:tc>
          <w:tcPr>
            <w:tcW w:w="74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color w:val="auto"/>
                <w:kern w:val="0"/>
                <w:sz w:val="21"/>
                <w:szCs w:val="21"/>
              </w:rPr>
            </w:pPr>
            <w:r>
              <w:rPr>
                <w:rFonts w:hint="eastAsia" w:ascii="Calibri" w:hAnsi="Calibri" w:eastAsia="宋体" w:cs="Times New Roman"/>
                <w:color w:val="auto"/>
                <w:kern w:val="0"/>
                <w:sz w:val="21"/>
                <w:szCs w:val="21"/>
              </w:rPr>
              <w:t>一级</w:t>
            </w:r>
          </w:p>
        </w:tc>
        <w:tc>
          <w:tcPr>
            <w:tcW w:w="81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color w:val="auto"/>
                <w:kern w:val="0"/>
                <w:sz w:val="21"/>
                <w:szCs w:val="21"/>
              </w:rPr>
            </w:pPr>
            <w:r>
              <w:rPr>
                <w:rFonts w:hint="eastAsia" w:ascii="Calibri" w:hAnsi="Calibri" w:eastAsia="宋体" w:cs="Times New Roman"/>
                <w:color w:val="auto"/>
                <w:kern w:val="0"/>
                <w:sz w:val="21"/>
                <w:szCs w:val="21"/>
              </w:rPr>
              <w:t>一级</w:t>
            </w:r>
          </w:p>
        </w:tc>
        <w:tc>
          <w:tcPr>
            <w:tcW w:w="79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color w:val="auto"/>
                <w:kern w:val="0"/>
                <w:sz w:val="21"/>
                <w:szCs w:val="21"/>
              </w:rPr>
            </w:pPr>
            <w:r>
              <w:rPr>
                <w:rFonts w:hint="eastAsia" w:ascii="Calibri" w:hAnsi="Calibri" w:eastAsia="宋体" w:cs="Times New Roman"/>
                <w:color w:val="auto"/>
                <w:kern w:val="0"/>
                <w:sz w:val="21"/>
                <w:szCs w:val="21"/>
              </w:rPr>
              <w:t>二级</w:t>
            </w:r>
          </w:p>
        </w:tc>
        <w:tc>
          <w:tcPr>
            <w:tcW w:w="86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Calibri" w:hAnsi="Calibri" w:eastAsia="宋体" w:cs="Times New Roman"/>
                <w:color w:val="auto"/>
                <w:kern w:val="0"/>
                <w:sz w:val="21"/>
                <w:szCs w:val="21"/>
              </w:rPr>
            </w:pPr>
            <w:r>
              <w:rPr>
                <w:rFonts w:hint="eastAsia" w:ascii="Calibri" w:hAnsi="Calibri" w:eastAsia="宋体" w:cs="Times New Roman"/>
                <w:color w:val="auto"/>
                <w:kern w:val="0"/>
                <w:sz w:val="21"/>
                <w:szCs w:val="21"/>
              </w:rPr>
              <w:t>二级</w:t>
            </w:r>
          </w:p>
        </w:tc>
        <w:tc>
          <w:tcPr>
            <w:tcW w:w="78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Calibri" w:hAnsi="Calibri" w:eastAsia="宋体" w:cs="Times New Roman"/>
                <w:color w:val="auto"/>
                <w:kern w:val="0"/>
                <w:sz w:val="21"/>
                <w:szCs w:val="21"/>
              </w:rPr>
            </w:pPr>
            <w:r>
              <w:rPr>
                <w:rFonts w:hint="eastAsia" w:ascii="Calibri" w:hAnsi="Calibri" w:eastAsia="宋体" w:cs="Times New Roman"/>
                <w:color w:val="auto"/>
                <w:kern w:val="0"/>
                <w:sz w:val="21"/>
                <w:szCs w:val="21"/>
              </w:rPr>
              <w:t>二级</w:t>
            </w:r>
          </w:p>
        </w:tc>
        <w:tc>
          <w:tcPr>
            <w:tcW w:w="71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Calibri" w:hAnsi="Calibri" w:eastAsia="宋体" w:cs="Times New Roman"/>
                <w:color w:val="auto"/>
                <w:kern w:val="0"/>
                <w:sz w:val="21"/>
                <w:szCs w:val="21"/>
              </w:rPr>
            </w:pPr>
            <w:r>
              <w:rPr>
                <w:rFonts w:hint="eastAsia" w:ascii="Calibri" w:hAnsi="Calibri" w:eastAsia="宋体" w:cs="Times New Roman"/>
                <w:color w:val="auto"/>
                <w:kern w:val="0"/>
                <w:sz w:val="21"/>
                <w:szCs w:val="21"/>
                <w:lang w:eastAsia="zh-CN"/>
              </w:rPr>
              <w:t>三</w:t>
            </w:r>
            <w:r>
              <w:rPr>
                <w:rFonts w:hint="eastAsia" w:ascii="Calibri" w:hAnsi="Calibri" w:eastAsia="宋体" w:cs="Times New Roman"/>
                <w:color w:val="auto"/>
                <w:kern w:val="0"/>
                <w:sz w:val="21"/>
                <w:szCs w:val="21"/>
              </w:rPr>
              <w:t>级</w:t>
            </w:r>
          </w:p>
        </w:tc>
        <w:tc>
          <w:tcPr>
            <w:tcW w:w="794" w:type="dxa"/>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ascii="Calibri" w:hAnsi="Calibri" w:eastAsia="宋体" w:cs="Times New Roman"/>
                <w:color w:val="auto"/>
                <w:kern w:val="0"/>
                <w:sz w:val="21"/>
                <w:szCs w:val="21"/>
              </w:rPr>
            </w:pPr>
            <w:r>
              <w:rPr>
                <w:rFonts w:hint="eastAsia" w:ascii="Calibri" w:hAnsi="Calibri" w:eastAsia="宋体" w:cs="Times New Roman"/>
                <w:color w:val="auto"/>
                <w:kern w:val="0"/>
                <w:sz w:val="21"/>
                <w:szCs w:val="21"/>
                <w:lang w:eastAsia="zh-CN"/>
              </w:rPr>
              <w:t>三</w:t>
            </w:r>
            <w:r>
              <w:rPr>
                <w:rFonts w:hint="eastAsia" w:ascii="Calibri" w:hAnsi="Calibri" w:eastAsia="宋体" w:cs="Times New Roman"/>
                <w:color w:val="auto"/>
                <w:kern w:val="0"/>
                <w:sz w:val="21"/>
                <w:szCs w:val="21"/>
              </w:rPr>
              <w:t>级</w:t>
            </w:r>
          </w:p>
        </w:tc>
        <w:tc>
          <w:tcPr>
            <w:tcW w:w="83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Calibri" w:hAnsi="Calibri" w:eastAsia="宋体" w:cs="Times New Roman"/>
                <w:color w:val="auto"/>
                <w:kern w:val="0"/>
                <w:sz w:val="21"/>
                <w:szCs w:val="21"/>
              </w:rPr>
            </w:pPr>
            <w:r>
              <w:rPr>
                <w:rFonts w:hint="eastAsia" w:ascii="Calibri" w:hAnsi="Calibri" w:eastAsia="宋体" w:cs="Times New Roman"/>
                <w:color w:val="auto"/>
                <w:kern w:val="0"/>
                <w:sz w:val="21"/>
                <w:szCs w:val="21"/>
                <w:shd w:val="clear" w:color="FFFFFF" w:fill="D9D9D9"/>
                <w:lang w:eastAsia="zh-CN"/>
              </w:rPr>
              <w:t>三</w:t>
            </w:r>
            <w:r>
              <w:rPr>
                <w:rFonts w:hint="eastAsia" w:ascii="Calibri" w:hAnsi="Calibri" w:eastAsia="宋体" w:cs="Times New Roman"/>
                <w:color w:val="auto"/>
                <w:kern w:val="0"/>
                <w:sz w:val="21"/>
                <w:szCs w:val="21"/>
                <w:shd w:val="clear" w:color="FFFFFF" w:fill="D9D9D9"/>
              </w:rPr>
              <w:t>级</w:t>
            </w:r>
          </w:p>
        </w:tc>
        <w:tc>
          <w:tcPr>
            <w:tcW w:w="72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color w:val="auto"/>
                <w:kern w:val="0"/>
                <w:sz w:val="21"/>
                <w:szCs w:val="21"/>
              </w:rPr>
            </w:pPr>
            <w:r>
              <w:rPr>
                <w:rFonts w:hint="eastAsia" w:ascii="Calibri" w:hAnsi="Calibri" w:eastAsia="宋体" w:cs="Times New Roman"/>
                <w:color w:val="auto"/>
                <w:kern w:val="0"/>
                <w:sz w:val="21"/>
                <w:szCs w:val="21"/>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216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color w:val="auto"/>
                <w:kern w:val="0"/>
                <w:sz w:val="21"/>
                <w:szCs w:val="21"/>
              </w:rPr>
            </w:pPr>
            <w:r>
              <w:rPr>
                <w:rFonts w:hint="eastAsia" w:ascii="Calibri" w:hAnsi="Calibri" w:eastAsia="宋体" w:cs="Times New Roman"/>
                <w:color w:val="auto"/>
                <w:kern w:val="0"/>
                <w:sz w:val="21"/>
                <w:szCs w:val="21"/>
              </w:rPr>
              <w:t>不敏感</w:t>
            </w:r>
          </w:p>
        </w:tc>
        <w:tc>
          <w:tcPr>
            <w:tcW w:w="74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color w:val="auto"/>
                <w:kern w:val="0"/>
                <w:sz w:val="21"/>
                <w:szCs w:val="21"/>
              </w:rPr>
            </w:pPr>
            <w:r>
              <w:rPr>
                <w:rFonts w:hint="eastAsia" w:ascii="Calibri" w:hAnsi="Calibri" w:eastAsia="宋体" w:cs="Times New Roman"/>
                <w:color w:val="auto"/>
                <w:kern w:val="0"/>
                <w:sz w:val="21"/>
                <w:szCs w:val="21"/>
              </w:rPr>
              <w:t>一级</w:t>
            </w:r>
          </w:p>
        </w:tc>
        <w:tc>
          <w:tcPr>
            <w:tcW w:w="81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color w:val="auto"/>
                <w:kern w:val="0"/>
                <w:sz w:val="21"/>
                <w:szCs w:val="21"/>
              </w:rPr>
            </w:pPr>
            <w:r>
              <w:rPr>
                <w:rFonts w:hint="eastAsia" w:ascii="Calibri" w:hAnsi="Calibri" w:eastAsia="宋体" w:cs="Times New Roman"/>
                <w:color w:val="auto"/>
                <w:kern w:val="0"/>
                <w:sz w:val="21"/>
                <w:szCs w:val="21"/>
              </w:rPr>
              <w:t>二级</w:t>
            </w:r>
          </w:p>
        </w:tc>
        <w:tc>
          <w:tcPr>
            <w:tcW w:w="79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color w:val="auto"/>
                <w:kern w:val="0"/>
                <w:sz w:val="21"/>
                <w:szCs w:val="21"/>
              </w:rPr>
            </w:pPr>
            <w:r>
              <w:rPr>
                <w:rFonts w:hint="eastAsia" w:ascii="Calibri" w:hAnsi="Calibri" w:eastAsia="宋体" w:cs="Times New Roman"/>
                <w:color w:val="auto"/>
                <w:kern w:val="0"/>
                <w:sz w:val="21"/>
                <w:szCs w:val="21"/>
              </w:rPr>
              <w:t>二级</w:t>
            </w:r>
          </w:p>
        </w:tc>
        <w:tc>
          <w:tcPr>
            <w:tcW w:w="86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Calibri" w:hAnsi="Calibri" w:eastAsia="宋体" w:cs="Times New Roman"/>
                <w:color w:val="auto"/>
                <w:kern w:val="0"/>
                <w:sz w:val="21"/>
                <w:szCs w:val="21"/>
              </w:rPr>
            </w:pPr>
            <w:r>
              <w:rPr>
                <w:rFonts w:hint="eastAsia" w:ascii="Calibri" w:hAnsi="Calibri" w:eastAsia="宋体" w:cs="Times New Roman"/>
                <w:color w:val="auto"/>
                <w:kern w:val="0"/>
                <w:sz w:val="21"/>
                <w:szCs w:val="21"/>
              </w:rPr>
              <w:t>二级</w:t>
            </w:r>
          </w:p>
        </w:tc>
        <w:tc>
          <w:tcPr>
            <w:tcW w:w="78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Calibri" w:hAnsi="Calibri" w:eastAsia="宋体" w:cs="Times New Roman"/>
                <w:color w:val="auto"/>
                <w:kern w:val="0"/>
                <w:sz w:val="21"/>
                <w:szCs w:val="21"/>
              </w:rPr>
            </w:pPr>
            <w:r>
              <w:rPr>
                <w:rFonts w:hint="eastAsia" w:ascii="Calibri" w:hAnsi="Calibri" w:eastAsia="宋体" w:cs="Times New Roman"/>
                <w:color w:val="auto"/>
                <w:kern w:val="0"/>
                <w:sz w:val="21"/>
                <w:szCs w:val="21"/>
                <w:lang w:eastAsia="zh-CN"/>
              </w:rPr>
              <w:t>三</w:t>
            </w:r>
            <w:r>
              <w:rPr>
                <w:rFonts w:hint="eastAsia" w:ascii="Calibri" w:hAnsi="Calibri" w:eastAsia="宋体" w:cs="Times New Roman"/>
                <w:color w:val="auto"/>
                <w:kern w:val="0"/>
                <w:sz w:val="21"/>
                <w:szCs w:val="21"/>
              </w:rPr>
              <w:t>级</w:t>
            </w:r>
          </w:p>
        </w:tc>
        <w:tc>
          <w:tcPr>
            <w:tcW w:w="712" w:type="dxa"/>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ascii="Calibri" w:hAnsi="Calibri" w:eastAsia="宋体" w:cs="Times New Roman"/>
                <w:color w:val="auto"/>
                <w:kern w:val="0"/>
                <w:sz w:val="21"/>
                <w:szCs w:val="21"/>
              </w:rPr>
            </w:pPr>
            <w:r>
              <w:rPr>
                <w:rFonts w:hint="eastAsia" w:ascii="Calibri" w:hAnsi="Calibri" w:eastAsia="宋体" w:cs="Times New Roman"/>
                <w:color w:val="auto"/>
                <w:kern w:val="0"/>
                <w:sz w:val="21"/>
                <w:szCs w:val="21"/>
                <w:lang w:eastAsia="zh-CN"/>
              </w:rPr>
              <w:t>三</w:t>
            </w:r>
            <w:r>
              <w:rPr>
                <w:rFonts w:hint="eastAsia" w:ascii="Calibri" w:hAnsi="Calibri" w:eastAsia="宋体" w:cs="Times New Roman"/>
                <w:color w:val="auto"/>
                <w:kern w:val="0"/>
                <w:sz w:val="21"/>
                <w:szCs w:val="21"/>
              </w:rPr>
              <w:t>级</w:t>
            </w:r>
          </w:p>
        </w:tc>
        <w:tc>
          <w:tcPr>
            <w:tcW w:w="79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color w:val="auto"/>
                <w:kern w:val="0"/>
                <w:sz w:val="21"/>
                <w:szCs w:val="21"/>
              </w:rPr>
            </w:pPr>
            <w:r>
              <w:rPr>
                <w:rFonts w:hint="eastAsia" w:ascii="Calibri" w:hAnsi="Calibri" w:eastAsia="宋体" w:cs="Times New Roman"/>
                <w:color w:val="auto"/>
                <w:kern w:val="0"/>
                <w:sz w:val="21"/>
                <w:szCs w:val="21"/>
                <w:lang w:eastAsia="zh-CN"/>
              </w:rPr>
              <w:t>三</w:t>
            </w:r>
            <w:r>
              <w:rPr>
                <w:rFonts w:hint="eastAsia" w:ascii="Calibri" w:hAnsi="Calibri" w:eastAsia="宋体" w:cs="Times New Roman"/>
                <w:color w:val="auto"/>
                <w:kern w:val="0"/>
                <w:sz w:val="21"/>
                <w:szCs w:val="21"/>
              </w:rPr>
              <w:t>级</w:t>
            </w:r>
          </w:p>
        </w:tc>
        <w:tc>
          <w:tcPr>
            <w:tcW w:w="83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color w:val="auto"/>
                <w:kern w:val="0"/>
                <w:sz w:val="21"/>
                <w:szCs w:val="21"/>
              </w:rPr>
            </w:pPr>
            <w:r>
              <w:rPr>
                <w:rFonts w:hint="eastAsia" w:ascii="Calibri" w:hAnsi="Calibri" w:eastAsia="宋体" w:cs="Times New Roman"/>
                <w:color w:val="auto"/>
                <w:kern w:val="0"/>
                <w:sz w:val="21"/>
                <w:szCs w:val="21"/>
              </w:rPr>
              <w:t>—</w:t>
            </w:r>
          </w:p>
        </w:tc>
        <w:tc>
          <w:tcPr>
            <w:tcW w:w="72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Calibri" w:hAnsi="Calibri" w:eastAsia="宋体" w:cs="Times New Roman"/>
                <w:color w:val="auto"/>
                <w:kern w:val="0"/>
                <w:sz w:val="21"/>
                <w:szCs w:val="21"/>
              </w:rPr>
            </w:pPr>
            <w:r>
              <w:rPr>
                <w:rFonts w:hint="eastAsia" w:ascii="Calibri" w:hAnsi="Calibri" w:eastAsia="宋体" w:cs="Times New Roman"/>
                <w:color w:val="auto"/>
                <w:kern w:val="0"/>
                <w:sz w:val="21"/>
                <w:szCs w:val="21"/>
              </w:rPr>
              <w:t>—</w:t>
            </w:r>
          </w:p>
        </w:tc>
      </w:tr>
    </w:tbl>
    <w:p>
      <w:pPr>
        <w:spacing w:line="360" w:lineRule="auto"/>
        <w:ind w:firstLine="480" w:firstLineChars="200"/>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eastAsia="zh-CN"/>
        </w:rPr>
        <w:t>7</w:t>
      </w:r>
      <w:r>
        <w:rPr>
          <w:rFonts w:ascii="Times New Roman" w:hAnsi="Times New Roman" w:eastAsia="宋体" w:cs="Times New Roman"/>
          <w:color w:val="auto"/>
          <w:sz w:val="24"/>
          <w:szCs w:val="24"/>
        </w:rPr>
        <w:t>）环境风险</w:t>
      </w:r>
      <w:r>
        <w:rPr>
          <w:rFonts w:hint="eastAsia" w:ascii="Times New Roman" w:hAnsi="Times New Roman" w:eastAsia="宋体" w:cs="Times New Roman"/>
          <w:color w:val="auto"/>
          <w:sz w:val="24"/>
          <w:szCs w:val="24"/>
        </w:rPr>
        <w:t>评价</w:t>
      </w:r>
    </w:p>
    <w:p>
      <w:pPr>
        <w:autoSpaceDN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根据《建设项目环境风险评价技术导则》（HJ169-2018）附录 C，计算所涉及的每种危险物质在厂界内的最大存在总量与其在附录 B 中对应的临界量的比值 Q。在不同厂区的同一种物质，按其在厂界内的最大存在总量计算。</w:t>
      </w:r>
    </w:p>
    <w:p>
      <w:pPr>
        <w:autoSpaceDN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当只涉及一种危险物质时，计算该物质的总量与其临界量比值，即为 Q；</w:t>
      </w:r>
    </w:p>
    <w:p>
      <w:pPr>
        <w:autoSpaceDN w:val="0"/>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当存在多种危险物质时，则按下式计算物质总量与其临界量比值（Q）；</w:t>
      </w:r>
    </w:p>
    <w:p>
      <w:pPr>
        <w:autoSpaceDN w:val="0"/>
        <w:spacing w:line="360" w:lineRule="auto"/>
        <w:ind w:firstLine="480" w:firstLineChars="200"/>
        <w:jc w:val="center"/>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position w:val="-14"/>
          <w:sz w:val="24"/>
          <w:szCs w:val="24"/>
          <w:lang w:eastAsia="zh-CN"/>
        </w:rPr>
        <w:object>
          <v:shape id="_x0000_i1025" o:spt="75" type="#_x0000_t75" style="height:20pt;width:73pt;" o:ole="t" filled="f" o:preferrelative="t" stroked="f" coordsize="21600,21600">
            <v:path/>
            <v:fill on="f" focussize="0,0"/>
            <v:stroke on="f"/>
            <v:imagedata r:id="rId21" o:title=""/>
            <o:lock v:ext="edit" aspectratio="t"/>
            <w10:wrap type="none"/>
            <w10:anchorlock/>
          </v:shape>
          <o:OLEObject Type="Embed" ProgID="Equation.KSEE3" ShapeID="_x0000_i1025" DrawAspect="Content" ObjectID="_1468075725" r:id="rId20">
            <o:LockedField>false</o:LockedField>
          </o:OLEObject>
        </w:object>
      </w:r>
    </w:p>
    <w:p>
      <w:pPr>
        <w:autoSpaceDN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式中：qi——每种危险化学品实际存在量，单位为吨(t)；</w:t>
      </w:r>
    </w:p>
    <w:p>
      <w:pPr>
        <w:autoSpaceDN w:val="0"/>
        <w:spacing w:line="360" w:lineRule="auto"/>
        <w:ind w:firstLine="1200" w:firstLineChars="5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Qi——与各危险化学品相对应的临界量，单位为吨(t)。</w:t>
      </w:r>
    </w:p>
    <w:p>
      <w:pPr>
        <w:autoSpaceDN w:val="0"/>
        <w:spacing w:line="360" w:lineRule="auto"/>
        <w:ind w:firstLine="1200" w:firstLineChars="5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当 Q＜1 时，该项目环境风险潜势为Ⅰ。</w:t>
      </w:r>
    </w:p>
    <w:p>
      <w:pPr>
        <w:autoSpaceDN w:val="0"/>
        <w:spacing w:line="360" w:lineRule="auto"/>
        <w:ind w:firstLine="1200" w:firstLineChars="5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当 Q≥1 时，分为（1）1≤Q＜10；（2）10≤Q＜100；（3）Q≥100。</w:t>
      </w:r>
    </w:p>
    <w:p>
      <w:pPr>
        <w:autoSpaceDN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根据《建设项目环境风险评价技术导则》（HJ/T169-2018），本项目所使用的物料</w:t>
      </w:r>
    </w:p>
    <w:p>
      <w:pPr>
        <w:autoSpaceDN w:val="0"/>
        <w:spacing w:line="360" w:lineRule="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中属于附录B中规定的有毒有害、易燃易爆物质为：柴油，属于381油类物质（矿物油</w:t>
      </w:r>
    </w:p>
    <w:p>
      <w:pPr>
        <w:autoSpaceDN w:val="0"/>
        <w:spacing w:line="360" w:lineRule="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类，如石油、汽油、柴油等；生物柴油等），临界量为2500t，本项目最大存在量为</w:t>
      </w:r>
      <w:r>
        <w:rPr>
          <w:rFonts w:hint="eastAsia" w:ascii="Times New Roman" w:hAnsi="Times New Roman" w:eastAsia="宋体" w:cs="Times New Roman"/>
          <w:color w:val="auto"/>
          <w:sz w:val="24"/>
          <w:szCs w:val="24"/>
          <w:lang w:val="en-US" w:eastAsia="zh-CN"/>
        </w:rPr>
        <w:t>0.5</w:t>
      </w:r>
      <w:r>
        <w:rPr>
          <w:rFonts w:hint="eastAsia" w:ascii="Times New Roman" w:hAnsi="Times New Roman" w:eastAsia="宋体" w:cs="Times New Roman"/>
          <w:color w:val="auto"/>
          <w:sz w:val="24"/>
          <w:szCs w:val="24"/>
        </w:rPr>
        <w:t>t，</w:t>
      </w:r>
    </w:p>
    <w:p>
      <w:pPr>
        <w:autoSpaceDN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根据附录 B.1 和附录 B.2，本项目的危险物质主要为硫化氢及柴油。</w:t>
      </w:r>
    </w:p>
    <w:p>
      <w:pPr>
        <w:spacing w:line="480" w:lineRule="exact"/>
        <w:jc w:val="center"/>
        <w:rPr>
          <w:rFonts w:hint="default" w:ascii="Times New Roman" w:hAnsi="Times New Roman" w:eastAsia="宋体"/>
          <w:b/>
          <w:bCs/>
          <w:color w:val="auto"/>
          <w:lang w:val="en-US" w:eastAsia="zh-CN"/>
        </w:rPr>
      </w:pPr>
      <w:r>
        <w:rPr>
          <w:rFonts w:ascii="Times New Roman" w:hAnsi="Times New Roman" w:eastAsia="宋体"/>
          <w:b/>
          <w:bCs/>
          <w:color w:val="auto"/>
        </w:rPr>
        <w:t>表1</w:t>
      </w:r>
      <w:r>
        <w:rPr>
          <w:rFonts w:hint="eastAsia" w:ascii="Times New Roman" w:hAnsi="Times New Roman" w:eastAsia="宋体"/>
          <w:b/>
          <w:bCs/>
          <w:color w:val="auto"/>
        </w:rPr>
        <w:t>.6</w:t>
      </w:r>
      <w:r>
        <w:rPr>
          <w:rFonts w:ascii="Times New Roman" w:hAnsi="Times New Roman" w:eastAsia="宋体"/>
          <w:b/>
          <w:bCs/>
          <w:color w:val="auto"/>
        </w:rPr>
        <w:t>-</w:t>
      </w:r>
      <w:r>
        <w:rPr>
          <w:rFonts w:hint="eastAsia" w:ascii="Times New Roman" w:hAnsi="Times New Roman" w:eastAsia="宋体"/>
          <w:b/>
          <w:bCs/>
          <w:color w:val="auto"/>
          <w:lang w:val="en-US" w:eastAsia="zh-CN"/>
        </w:rPr>
        <w:t>12</w:t>
      </w:r>
      <w:r>
        <w:rPr>
          <w:rFonts w:ascii="Times New Roman" w:hAnsi="Times New Roman" w:eastAsia="宋体"/>
          <w:b/>
          <w:bCs/>
          <w:color w:val="auto"/>
        </w:rPr>
        <w:t xml:space="preserve">  </w:t>
      </w:r>
      <w:r>
        <w:rPr>
          <w:rFonts w:hint="eastAsia" w:ascii="Times New Roman" w:hAnsi="Times New Roman" w:eastAsia="宋体"/>
          <w:b/>
          <w:bCs/>
          <w:color w:val="auto"/>
          <w:lang w:eastAsia="zh-CN"/>
        </w:rPr>
        <w:t>建设项目</w:t>
      </w:r>
      <w:r>
        <w:rPr>
          <w:rFonts w:hint="eastAsia" w:ascii="Times New Roman" w:hAnsi="Times New Roman" w:eastAsia="宋体"/>
          <w:b/>
          <w:bCs/>
          <w:color w:val="auto"/>
          <w:lang w:val="en-US" w:eastAsia="zh-CN"/>
        </w:rPr>
        <w:t>Q值确定表</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6"/>
        <w:gridCol w:w="2150"/>
        <w:gridCol w:w="1438"/>
        <w:gridCol w:w="1870"/>
        <w:gridCol w:w="1536"/>
        <w:gridCol w:w="1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vAlign w:val="center"/>
          </w:tcPr>
          <w:p>
            <w:pPr>
              <w:adjustRightInd w:val="0"/>
              <w:snapToGrid w:val="0"/>
              <w:jc w:val="center"/>
              <w:rPr>
                <w:rFonts w:hint="eastAsia" w:ascii="Times New Roman" w:hAnsi="Times New Roman" w:eastAsia="宋体" w:cs="Times New Roman"/>
                <w:b/>
                <w:bCs w:val="0"/>
                <w:color w:val="auto"/>
                <w:sz w:val="21"/>
                <w:szCs w:val="21"/>
                <w:lang w:eastAsia="zh-CN"/>
              </w:rPr>
            </w:pPr>
            <w:r>
              <w:rPr>
                <w:rFonts w:hint="eastAsia" w:ascii="Times New Roman" w:hAnsi="Times New Roman" w:eastAsia="宋体" w:cs="Times New Roman"/>
                <w:b/>
                <w:bCs w:val="0"/>
                <w:color w:val="auto"/>
                <w:sz w:val="21"/>
                <w:szCs w:val="21"/>
                <w:lang w:eastAsia="zh-CN"/>
              </w:rPr>
              <w:t>序号</w:t>
            </w:r>
          </w:p>
        </w:tc>
        <w:tc>
          <w:tcPr>
            <w:tcW w:w="2150" w:type="dxa"/>
            <w:vAlign w:val="center"/>
          </w:tcPr>
          <w:p>
            <w:pPr>
              <w:adjustRightInd w:val="0"/>
              <w:snapToGrid w:val="0"/>
              <w:jc w:val="center"/>
              <w:rPr>
                <w:rFonts w:hint="eastAsia" w:ascii="Times New Roman" w:hAnsi="Times New Roman" w:eastAsia="宋体" w:cs="Times New Roman"/>
                <w:b/>
                <w:bCs w:val="0"/>
                <w:color w:val="auto"/>
                <w:sz w:val="21"/>
                <w:szCs w:val="21"/>
                <w:lang w:eastAsia="zh-CN"/>
              </w:rPr>
            </w:pPr>
            <w:r>
              <w:rPr>
                <w:rFonts w:hint="eastAsia" w:ascii="Times New Roman" w:hAnsi="Times New Roman" w:eastAsia="宋体" w:cs="Times New Roman"/>
                <w:b/>
                <w:bCs w:val="0"/>
                <w:color w:val="auto"/>
                <w:sz w:val="21"/>
                <w:szCs w:val="21"/>
                <w:lang w:eastAsia="zh-CN"/>
              </w:rPr>
              <w:t>环境风险物质名称</w:t>
            </w:r>
          </w:p>
        </w:tc>
        <w:tc>
          <w:tcPr>
            <w:tcW w:w="1438" w:type="dxa"/>
            <w:vAlign w:val="center"/>
          </w:tcPr>
          <w:p>
            <w:pPr>
              <w:adjustRightInd w:val="0"/>
              <w:snapToGrid w:val="0"/>
              <w:jc w:val="center"/>
              <w:rPr>
                <w:rFonts w:hint="default" w:ascii="Times New Roman" w:hAnsi="Times New Roman" w:eastAsia="宋体" w:cs="Times New Roman"/>
                <w:b/>
                <w:bCs w:val="0"/>
                <w:color w:val="auto"/>
                <w:sz w:val="21"/>
                <w:szCs w:val="21"/>
                <w:lang w:val="en-US" w:eastAsia="zh-CN"/>
              </w:rPr>
            </w:pPr>
            <w:r>
              <w:rPr>
                <w:rFonts w:hint="eastAsia" w:ascii="Times New Roman" w:hAnsi="Times New Roman" w:eastAsia="宋体" w:cs="Times New Roman"/>
                <w:b/>
                <w:bCs w:val="0"/>
                <w:color w:val="auto"/>
                <w:sz w:val="21"/>
                <w:szCs w:val="21"/>
                <w:lang w:val="en-US" w:eastAsia="zh-CN"/>
              </w:rPr>
              <w:t>CAS号</w:t>
            </w:r>
          </w:p>
        </w:tc>
        <w:tc>
          <w:tcPr>
            <w:tcW w:w="1870" w:type="dxa"/>
            <w:vAlign w:val="center"/>
          </w:tcPr>
          <w:p>
            <w:pPr>
              <w:adjustRightInd w:val="0"/>
              <w:snapToGrid w:val="0"/>
              <w:jc w:val="center"/>
              <w:rPr>
                <w:rFonts w:hint="eastAsia" w:ascii="Times New Roman" w:hAnsi="Times New Roman" w:eastAsia="宋体" w:cs="Times New Roman"/>
                <w:b/>
                <w:bCs w:val="0"/>
                <w:color w:val="auto"/>
                <w:sz w:val="21"/>
                <w:szCs w:val="21"/>
                <w:lang w:eastAsia="zh-CN"/>
              </w:rPr>
            </w:pPr>
            <w:r>
              <w:rPr>
                <w:rFonts w:hint="eastAsia" w:ascii="Times New Roman" w:hAnsi="Times New Roman" w:eastAsia="宋体" w:cs="Times New Roman"/>
                <w:b/>
                <w:bCs w:val="0"/>
                <w:color w:val="auto"/>
                <w:sz w:val="21"/>
                <w:szCs w:val="21"/>
                <w:lang w:eastAsia="zh-CN"/>
              </w:rPr>
              <w:t>最大存在总量qn/t</w:t>
            </w:r>
          </w:p>
        </w:tc>
        <w:tc>
          <w:tcPr>
            <w:tcW w:w="1536" w:type="dxa"/>
            <w:vAlign w:val="center"/>
          </w:tcPr>
          <w:p>
            <w:pPr>
              <w:adjustRightInd w:val="0"/>
              <w:snapToGrid w:val="0"/>
              <w:jc w:val="center"/>
              <w:rPr>
                <w:rFonts w:hint="default" w:ascii="Times New Roman" w:hAnsi="Times New Roman" w:eastAsia="宋体" w:cs="Times New Roman"/>
                <w:b/>
                <w:bCs w:val="0"/>
                <w:color w:val="auto"/>
                <w:sz w:val="21"/>
                <w:szCs w:val="21"/>
                <w:lang w:val="en-US" w:eastAsia="zh-CN"/>
              </w:rPr>
            </w:pPr>
            <w:r>
              <w:rPr>
                <w:rFonts w:hint="eastAsia" w:ascii="Times New Roman" w:hAnsi="Times New Roman" w:eastAsia="宋体" w:cs="Times New Roman"/>
                <w:b/>
                <w:bCs w:val="0"/>
                <w:color w:val="auto"/>
                <w:sz w:val="21"/>
                <w:szCs w:val="21"/>
                <w:lang w:val="en-US" w:eastAsia="zh-CN"/>
              </w:rPr>
              <w:t>临界量</w:t>
            </w:r>
          </w:p>
        </w:tc>
        <w:tc>
          <w:tcPr>
            <w:tcW w:w="1536" w:type="dxa"/>
            <w:vAlign w:val="center"/>
          </w:tcPr>
          <w:p>
            <w:pPr>
              <w:adjustRightInd w:val="0"/>
              <w:snapToGrid w:val="0"/>
              <w:jc w:val="center"/>
              <w:rPr>
                <w:rFonts w:hint="default" w:ascii="Times New Roman" w:hAnsi="Times New Roman" w:eastAsia="宋体" w:cs="Times New Roman"/>
                <w:b/>
                <w:bCs w:val="0"/>
                <w:color w:val="auto"/>
                <w:sz w:val="21"/>
                <w:szCs w:val="21"/>
                <w:lang w:val="en-US" w:eastAsia="zh-CN"/>
              </w:rPr>
            </w:pPr>
            <w:r>
              <w:rPr>
                <w:rFonts w:hint="eastAsia" w:ascii="Times New Roman" w:hAnsi="Times New Roman" w:eastAsia="宋体" w:cs="Times New Roman"/>
                <w:b/>
                <w:bCs w:val="0"/>
                <w:color w:val="auto"/>
                <w:sz w:val="21"/>
                <w:szCs w:val="21"/>
                <w:lang w:val="en-US" w:eastAsia="zh-CN"/>
              </w:rPr>
              <w:t>qn/Qn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vAlign w:val="center"/>
          </w:tcPr>
          <w:p>
            <w:pPr>
              <w:adjustRightInd w:val="0"/>
              <w:snapToGrid w:val="0"/>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1</w:t>
            </w:r>
          </w:p>
        </w:tc>
        <w:tc>
          <w:tcPr>
            <w:tcW w:w="2150" w:type="dxa"/>
            <w:vAlign w:val="center"/>
          </w:tcPr>
          <w:p>
            <w:pPr>
              <w:adjustRightInd w:val="0"/>
              <w:snapToGrid w:val="0"/>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eastAsia="zh-CN"/>
              </w:rPr>
              <w:t>柴油</w:t>
            </w:r>
          </w:p>
        </w:tc>
        <w:tc>
          <w:tcPr>
            <w:tcW w:w="1438" w:type="dxa"/>
            <w:vAlign w:val="center"/>
          </w:tcPr>
          <w:p>
            <w:pPr>
              <w:adjustRightInd w:val="0"/>
              <w:snapToGrid w:val="0"/>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w:t>
            </w:r>
          </w:p>
        </w:tc>
        <w:tc>
          <w:tcPr>
            <w:tcW w:w="1870" w:type="dxa"/>
            <w:vAlign w:val="center"/>
          </w:tcPr>
          <w:p>
            <w:pPr>
              <w:adjustRightInd w:val="0"/>
              <w:snapToGrid w:val="0"/>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0.5</w:t>
            </w:r>
          </w:p>
        </w:tc>
        <w:tc>
          <w:tcPr>
            <w:tcW w:w="1536" w:type="dxa"/>
            <w:vAlign w:val="center"/>
          </w:tcPr>
          <w:p>
            <w:pPr>
              <w:adjustRightInd w:val="0"/>
              <w:snapToGrid w:val="0"/>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2500</w:t>
            </w:r>
          </w:p>
        </w:tc>
        <w:tc>
          <w:tcPr>
            <w:tcW w:w="1536" w:type="dxa"/>
            <w:vAlign w:val="center"/>
          </w:tcPr>
          <w:p>
            <w:pPr>
              <w:adjustRightInd w:val="0"/>
              <w:snapToGrid w:val="0"/>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0.0002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vAlign w:val="center"/>
          </w:tcPr>
          <w:p>
            <w:pPr>
              <w:adjustRightInd w:val="0"/>
              <w:snapToGrid w:val="0"/>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2</w:t>
            </w:r>
          </w:p>
        </w:tc>
        <w:tc>
          <w:tcPr>
            <w:tcW w:w="2150" w:type="dxa"/>
            <w:vAlign w:val="center"/>
          </w:tcPr>
          <w:p>
            <w:pPr>
              <w:adjustRightInd w:val="0"/>
              <w:snapToGrid w:val="0"/>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eastAsia="zh-CN"/>
              </w:rPr>
              <w:t>硫化氢</w:t>
            </w:r>
          </w:p>
        </w:tc>
        <w:tc>
          <w:tcPr>
            <w:tcW w:w="1438" w:type="dxa"/>
            <w:vAlign w:val="center"/>
          </w:tcPr>
          <w:p>
            <w:pPr>
              <w:adjustRightInd w:val="0"/>
              <w:snapToGrid w:val="0"/>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7783-06-4</w:t>
            </w:r>
          </w:p>
        </w:tc>
        <w:tc>
          <w:tcPr>
            <w:tcW w:w="1870" w:type="dxa"/>
            <w:vAlign w:val="center"/>
          </w:tcPr>
          <w:p>
            <w:pPr>
              <w:adjustRightInd w:val="0"/>
              <w:snapToGrid w:val="0"/>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不储存</w:t>
            </w:r>
          </w:p>
        </w:tc>
        <w:tc>
          <w:tcPr>
            <w:tcW w:w="1536" w:type="dxa"/>
            <w:vAlign w:val="center"/>
          </w:tcPr>
          <w:p>
            <w:pPr>
              <w:adjustRightInd w:val="0"/>
              <w:snapToGrid w:val="0"/>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2.5</w:t>
            </w:r>
          </w:p>
        </w:tc>
        <w:tc>
          <w:tcPr>
            <w:tcW w:w="1536" w:type="dxa"/>
            <w:vAlign w:val="center"/>
          </w:tcPr>
          <w:p>
            <w:pPr>
              <w:adjustRightInd w:val="0"/>
              <w:snapToGrid w:val="0"/>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0" w:type="dxa"/>
            <w:gridSpan w:val="5"/>
            <w:vAlign w:val="center"/>
          </w:tcPr>
          <w:p>
            <w:pPr>
              <w:adjustRightInd w:val="0"/>
              <w:snapToGrid w:val="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合计</w:t>
            </w:r>
          </w:p>
        </w:tc>
        <w:tc>
          <w:tcPr>
            <w:tcW w:w="1536" w:type="dxa"/>
            <w:vAlign w:val="center"/>
          </w:tcPr>
          <w:p>
            <w:pPr>
              <w:adjustRightInd w:val="0"/>
              <w:snapToGrid w:val="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0.0002</w:t>
            </w:r>
          </w:p>
        </w:tc>
      </w:tr>
    </w:tbl>
    <w:p>
      <w:pPr>
        <w:autoSpaceDN w:val="0"/>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风险评级工作级别按下表划分。</w:t>
      </w:r>
    </w:p>
    <w:p>
      <w:pPr>
        <w:spacing w:line="480" w:lineRule="exact"/>
        <w:jc w:val="center"/>
        <w:rPr>
          <w:rFonts w:ascii="Times New Roman" w:hAnsi="Times New Roman" w:eastAsia="宋体"/>
          <w:b/>
          <w:bCs/>
          <w:color w:val="auto"/>
        </w:rPr>
      </w:pPr>
      <w:r>
        <w:rPr>
          <w:rFonts w:ascii="Times New Roman" w:hAnsi="Times New Roman" w:eastAsia="宋体"/>
          <w:b/>
          <w:bCs/>
          <w:color w:val="auto"/>
        </w:rPr>
        <w:t>表1</w:t>
      </w:r>
      <w:r>
        <w:rPr>
          <w:rFonts w:hint="eastAsia" w:ascii="Times New Roman" w:hAnsi="Times New Roman" w:eastAsia="宋体"/>
          <w:b/>
          <w:bCs/>
          <w:color w:val="auto"/>
        </w:rPr>
        <w:t>.6</w:t>
      </w:r>
      <w:r>
        <w:rPr>
          <w:rFonts w:ascii="Times New Roman" w:hAnsi="Times New Roman" w:eastAsia="宋体"/>
          <w:b/>
          <w:bCs/>
          <w:color w:val="auto"/>
        </w:rPr>
        <w:t>-</w:t>
      </w:r>
      <w:r>
        <w:rPr>
          <w:rFonts w:hint="eastAsia" w:ascii="Times New Roman" w:hAnsi="Times New Roman" w:eastAsia="宋体"/>
          <w:b/>
          <w:bCs/>
          <w:color w:val="auto"/>
          <w:lang w:val="en-US" w:eastAsia="zh-CN"/>
        </w:rPr>
        <w:t>13</w:t>
      </w:r>
      <w:r>
        <w:rPr>
          <w:rFonts w:ascii="Times New Roman" w:hAnsi="Times New Roman" w:eastAsia="宋体"/>
          <w:b/>
          <w:bCs/>
          <w:color w:val="auto"/>
        </w:rPr>
        <w:t xml:space="preserve">  环境风险评价工作级别划分</w:t>
      </w:r>
    </w:p>
    <w:tbl>
      <w:tblPr>
        <w:tblStyle w:val="34"/>
        <w:tblW w:w="900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00"/>
        <w:gridCol w:w="1801"/>
        <w:gridCol w:w="1800"/>
        <w:gridCol w:w="1801"/>
        <w:gridCol w:w="18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800" w:type="dxa"/>
            <w:tcBorders>
              <w:top w:val="single" w:color="000000" w:sz="12" w:space="0"/>
              <w:left w:val="nil"/>
            </w:tcBorders>
            <w:vAlign w:val="center"/>
          </w:tcPr>
          <w:p>
            <w:pPr>
              <w:pStyle w:val="98"/>
              <w:ind w:left="71" w:right="64"/>
              <w:jc w:val="center"/>
              <w:rPr>
                <w:color w:val="auto"/>
                <w:sz w:val="21"/>
              </w:rPr>
            </w:pPr>
            <w:r>
              <w:rPr>
                <w:color w:val="auto"/>
                <w:sz w:val="21"/>
              </w:rPr>
              <w:t>环境风险潜势</w:t>
            </w:r>
          </w:p>
        </w:tc>
        <w:tc>
          <w:tcPr>
            <w:tcW w:w="1801" w:type="dxa"/>
            <w:tcBorders>
              <w:top w:val="single" w:color="000000" w:sz="12" w:space="0"/>
            </w:tcBorders>
            <w:vAlign w:val="center"/>
          </w:tcPr>
          <w:p>
            <w:pPr>
              <w:pStyle w:val="98"/>
              <w:spacing w:before="2" w:line="251" w:lineRule="exact"/>
              <w:ind w:left="199" w:right="188"/>
              <w:jc w:val="center"/>
              <w:rPr>
                <w:rFonts w:ascii="Times New Roman" w:eastAsia="Times New Roman"/>
                <w:color w:val="auto"/>
                <w:sz w:val="21"/>
              </w:rPr>
            </w:pPr>
            <w:r>
              <w:rPr>
                <w:rFonts w:ascii="Times New Roman" w:eastAsia="Times New Roman"/>
                <w:color w:val="auto"/>
                <w:sz w:val="21"/>
              </w:rPr>
              <w:t>IV</w:t>
            </w:r>
            <w:r>
              <w:rPr>
                <w:rFonts w:hint="eastAsia" w:ascii="Times New Roman"/>
                <w:color w:val="auto"/>
                <w:sz w:val="21"/>
                <w:lang w:eastAsia="zh-CN"/>
              </w:rPr>
              <w:t>、</w:t>
            </w:r>
            <w:r>
              <w:rPr>
                <w:rFonts w:ascii="Times New Roman" w:eastAsia="Times New Roman"/>
                <w:color w:val="auto"/>
                <w:sz w:val="21"/>
              </w:rPr>
              <w:t>IV</w:t>
            </w:r>
            <w:r>
              <w:rPr>
                <w:rFonts w:ascii="Times New Roman" w:eastAsia="Times New Roman"/>
                <w:color w:val="auto"/>
                <w:sz w:val="22"/>
                <w:szCs w:val="24"/>
                <w:vertAlign w:val="superscript"/>
              </w:rPr>
              <w:t>+</w:t>
            </w:r>
          </w:p>
        </w:tc>
        <w:tc>
          <w:tcPr>
            <w:tcW w:w="1800" w:type="dxa"/>
            <w:tcBorders>
              <w:top w:val="single" w:color="000000" w:sz="12" w:space="0"/>
            </w:tcBorders>
            <w:vAlign w:val="center"/>
          </w:tcPr>
          <w:p>
            <w:pPr>
              <w:pStyle w:val="98"/>
              <w:spacing w:line="240" w:lineRule="exact"/>
              <w:ind w:left="199" w:right="190"/>
              <w:jc w:val="center"/>
              <w:rPr>
                <w:rFonts w:ascii="Times New Roman"/>
                <w:color w:val="auto"/>
                <w:sz w:val="21"/>
              </w:rPr>
            </w:pPr>
            <w:r>
              <w:rPr>
                <w:rFonts w:ascii="Times New Roman"/>
                <w:color w:val="auto"/>
                <w:sz w:val="21"/>
              </w:rPr>
              <w:t>III</w:t>
            </w:r>
          </w:p>
        </w:tc>
        <w:tc>
          <w:tcPr>
            <w:tcW w:w="1801" w:type="dxa"/>
            <w:tcBorders>
              <w:top w:val="single" w:color="000000" w:sz="12" w:space="0"/>
            </w:tcBorders>
            <w:vAlign w:val="center"/>
          </w:tcPr>
          <w:p>
            <w:pPr>
              <w:pStyle w:val="98"/>
              <w:spacing w:line="240" w:lineRule="exact"/>
              <w:ind w:left="199" w:right="190"/>
              <w:jc w:val="center"/>
              <w:rPr>
                <w:rFonts w:ascii="Times New Roman"/>
                <w:color w:val="auto"/>
                <w:sz w:val="21"/>
              </w:rPr>
            </w:pPr>
            <w:r>
              <w:rPr>
                <w:rFonts w:ascii="Times New Roman"/>
                <w:color w:val="auto"/>
                <w:sz w:val="21"/>
              </w:rPr>
              <w:t>II</w:t>
            </w:r>
          </w:p>
        </w:tc>
        <w:tc>
          <w:tcPr>
            <w:tcW w:w="1802" w:type="dxa"/>
            <w:tcBorders>
              <w:top w:val="single" w:color="000000" w:sz="12" w:space="0"/>
              <w:right w:val="nil"/>
            </w:tcBorders>
            <w:vAlign w:val="center"/>
          </w:tcPr>
          <w:p>
            <w:pPr>
              <w:pStyle w:val="98"/>
              <w:spacing w:line="240" w:lineRule="exact"/>
              <w:ind w:left="9"/>
              <w:jc w:val="center"/>
              <w:rPr>
                <w:rFonts w:ascii="Times New Roman"/>
                <w:color w:val="auto"/>
                <w:sz w:val="21"/>
              </w:rPr>
            </w:pPr>
            <w:r>
              <w:rPr>
                <w:rFonts w:ascii="Times New Roman"/>
                <w:color w:val="auto"/>
                <w:w w:val="99"/>
                <w:sz w:val="21"/>
              </w:rPr>
              <w:t>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800" w:type="dxa"/>
            <w:tcBorders>
              <w:left w:val="nil"/>
            </w:tcBorders>
            <w:vAlign w:val="center"/>
          </w:tcPr>
          <w:p>
            <w:pPr>
              <w:pStyle w:val="98"/>
              <w:ind w:left="71" w:right="64"/>
              <w:jc w:val="center"/>
              <w:rPr>
                <w:color w:val="auto"/>
                <w:sz w:val="21"/>
              </w:rPr>
            </w:pPr>
            <w:r>
              <w:rPr>
                <w:color w:val="auto"/>
                <w:sz w:val="21"/>
              </w:rPr>
              <w:t>评价工作等级</w:t>
            </w:r>
          </w:p>
        </w:tc>
        <w:tc>
          <w:tcPr>
            <w:tcW w:w="1801" w:type="dxa"/>
            <w:vAlign w:val="center"/>
          </w:tcPr>
          <w:p>
            <w:pPr>
              <w:pStyle w:val="98"/>
              <w:spacing w:line="240" w:lineRule="exact"/>
              <w:ind w:left="199" w:right="190"/>
              <w:jc w:val="center"/>
              <w:rPr>
                <w:rFonts w:ascii="Times New Roman"/>
                <w:color w:val="auto"/>
                <w:sz w:val="21"/>
              </w:rPr>
            </w:pPr>
            <w:r>
              <w:rPr>
                <w:rFonts w:ascii="Times New Roman"/>
                <w:color w:val="auto"/>
                <w:sz w:val="21"/>
              </w:rPr>
              <w:t>一</w:t>
            </w:r>
          </w:p>
        </w:tc>
        <w:tc>
          <w:tcPr>
            <w:tcW w:w="1800" w:type="dxa"/>
            <w:vAlign w:val="center"/>
          </w:tcPr>
          <w:p>
            <w:pPr>
              <w:pStyle w:val="98"/>
              <w:spacing w:line="240" w:lineRule="exact"/>
              <w:ind w:left="199" w:right="190"/>
              <w:jc w:val="center"/>
              <w:rPr>
                <w:rFonts w:ascii="Times New Roman"/>
                <w:color w:val="auto"/>
                <w:sz w:val="21"/>
              </w:rPr>
            </w:pPr>
            <w:r>
              <w:rPr>
                <w:rFonts w:ascii="Times New Roman"/>
                <w:color w:val="auto"/>
                <w:sz w:val="21"/>
              </w:rPr>
              <w:t>二</w:t>
            </w:r>
          </w:p>
        </w:tc>
        <w:tc>
          <w:tcPr>
            <w:tcW w:w="1801" w:type="dxa"/>
            <w:vAlign w:val="center"/>
          </w:tcPr>
          <w:p>
            <w:pPr>
              <w:pStyle w:val="98"/>
              <w:spacing w:line="240" w:lineRule="exact"/>
              <w:ind w:left="199" w:right="190"/>
              <w:jc w:val="center"/>
              <w:rPr>
                <w:rFonts w:ascii="Times New Roman"/>
                <w:color w:val="auto"/>
                <w:sz w:val="21"/>
              </w:rPr>
            </w:pPr>
            <w:r>
              <w:rPr>
                <w:rFonts w:ascii="Times New Roman"/>
                <w:color w:val="auto"/>
                <w:sz w:val="21"/>
              </w:rPr>
              <w:t>三</w:t>
            </w:r>
          </w:p>
        </w:tc>
        <w:tc>
          <w:tcPr>
            <w:tcW w:w="1802" w:type="dxa"/>
            <w:tcBorders>
              <w:right w:val="nil"/>
            </w:tcBorders>
            <w:vAlign w:val="center"/>
          </w:tcPr>
          <w:p>
            <w:pPr>
              <w:pStyle w:val="98"/>
              <w:spacing w:line="252" w:lineRule="exact"/>
              <w:ind w:left="311" w:right="302"/>
              <w:jc w:val="center"/>
              <w:rPr>
                <w:rFonts w:ascii="Times New Roman" w:eastAsia="Times New Roman"/>
                <w:color w:val="auto"/>
                <w:sz w:val="21"/>
              </w:rPr>
            </w:pPr>
            <w:r>
              <w:rPr>
                <w:color w:val="auto"/>
                <w:sz w:val="21"/>
              </w:rPr>
              <w:t>简单分析</w:t>
            </w:r>
            <w:r>
              <w:rPr>
                <w:rFonts w:ascii="Times New Roman" w:eastAsia="Times New Roman"/>
                <w:color w:val="auto"/>
                <w:sz w:val="32"/>
                <w:szCs w:val="36"/>
                <w:vertAlign w:val="superscript"/>
              </w:rPr>
              <w: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9004" w:type="dxa"/>
            <w:gridSpan w:val="5"/>
            <w:tcBorders>
              <w:left w:val="nil"/>
              <w:bottom w:val="single" w:color="000000" w:sz="12" w:space="0"/>
              <w:right w:val="nil"/>
            </w:tcBorders>
            <w:vAlign w:val="center"/>
          </w:tcPr>
          <w:p>
            <w:pPr>
              <w:pStyle w:val="98"/>
              <w:ind w:left="71" w:right="64"/>
              <w:jc w:val="center"/>
              <w:rPr>
                <w:color w:val="auto"/>
                <w:sz w:val="21"/>
              </w:rPr>
            </w:pPr>
            <w:r>
              <w:rPr>
                <w:rFonts w:ascii="Times New Roman" w:eastAsia="Times New Roman"/>
                <w:color w:val="auto"/>
                <w:sz w:val="21"/>
              </w:rPr>
              <w:t xml:space="preserve">a </w:t>
            </w:r>
            <w:r>
              <w:rPr>
                <w:color w:val="auto"/>
                <w:sz w:val="21"/>
              </w:rPr>
              <w:t>是相对于详细评价工作内容而言，在描述危险物质、环境影响途径、环境危害后果、风险</w:t>
            </w:r>
          </w:p>
          <w:p>
            <w:pPr>
              <w:pStyle w:val="98"/>
              <w:spacing w:before="3" w:line="253" w:lineRule="exact"/>
              <w:ind w:left="71" w:right="64"/>
              <w:jc w:val="center"/>
              <w:rPr>
                <w:color w:val="auto"/>
                <w:sz w:val="21"/>
              </w:rPr>
            </w:pPr>
            <w:r>
              <w:rPr>
                <w:color w:val="auto"/>
                <w:sz w:val="21"/>
              </w:rPr>
              <w:t xml:space="preserve">防范措施等方面给出定性说明。见附录 </w:t>
            </w:r>
            <w:r>
              <w:rPr>
                <w:rFonts w:ascii="Times New Roman" w:eastAsia="Times New Roman"/>
                <w:color w:val="auto"/>
                <w:sz w:val="21"/>
              </w:rPr>
              <w:t>A</w:t>
            </w:r>
            <w:r>
              <w:rPr>
                <w:color w:val="auto"/>
                <w:sz w:val="21"/>
              </w:rPr>
              <w:t>。</w:t>
            </w:r>
          </w:p>
        </w:tc>
      </w:tr>
    </w:tbl>
    <w:p>
      <w:pPr>
        <w:pStyle w:val="14"/>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jc w:val="both"/>
        <w:textAlignment w:val="auto"/>
        <w:rPr>
          <w:color w:val="auto"/>
        </w:rPr>
      </w:pPr>
      <w:r>
        <w:rPr>
          <w:rFonts w:hint="eastAsia" w:ascii="Times New Roman" w:hAnsi="Times New Roman" w:eastAsia="宋体" w:cs="Times New Roman"/>
          <w:color w:val="auto"/>
          <w:kern w:val="2"/>
          <w:sz w:val="24"/>
          <w:szCs w:val="24"/>
          <w:lang w:val="en-US" w:eastAsia="zh-CN" w:bidi="ar-SA"/>
        </w:rPr>
        <w:t>据上表，确定本项目环境风险评价工作等级为简单分析。</w:t>
      </w:r>
    </w:p>
    <w:p>
      <w:pPr>
        <w:pStyle w:val="6"/>
        <w:adjustRightInd w:val="0"/>
        <w:snapToGrid w:val="0"/>
        <w:spacing w:before="0" w:after="0" w:line="360" w:lineRule="auto"/>
        <w:rPr>
          <w:rFonts w:ascii="Times New Roman" w:hAnsi="Times New Roman" w:eastAsia="宋体"/>
          <w:color w:val="auto"/>
          <w:sz w:val="28"/>
          <w:szCs w:val="28"/>
        </w:rPr>
      </w:pPr>
      <w:bookmarkStart w:id="50" w:name="_Toc459118379"/>
      <w:bookmarkStart w:id="51" w:name="_Toc27160"/>
      <w:r>
        <w:rPr>
          <w:rFonts w:ascii="Times New Roman" w:hAnsi="Times New Roman" w:eastAsia="宋体"/>
          <w:color w:val="auto"/>
          <w:sz w:val="28"/>
          <w:szCs w:val="28"/>
        </w:rPr>
        <w:t>1.6.2评价重点</w:t>
      </w:r>
      <w:bookmarkEnd w:id="50"/>
      <w:bookmarkEnd w:id="51"/>
    </w:p>
    <w:p>
      <w:pPr>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根据项目特征和排污特点、评价区内环境特征和环境质量现状等，确定评价重点为：</w:t>
      </w:r>
    </w:p>
    <w:p>
      <w:pPr>
        <w:numPr>
          <w:ilvl w:val="0"/>
          <w:numId w:val="6"/>
        </w:numPr>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工程分析：根据本项目营运期的工艺技术及公用工程消耗的情况，分析项目污染物排放源强和排放特征。</w:t>
      </w:r>
    </w:p>
    <w:p>
      <w:pPr>
        <w:numPr>
          <w:ilvl w:val="0"/>
          <w:numId w:val="6"/>
        </w:numPr>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环境影响分析：对本项目排放的污染物（如恶臭气体、养殖粪污等）对环境可能造成的影响进行分析，明确本项目排污对环境的影响范围和程度。</w:t>
      </w:r>
    </w:p>
    <w:p>
      <w:pPr>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（3）环境保护措施及经济、技术可行论证：结合环境影响评价结果，并按技术先进、适用及有效的原则，论证本项目拟采取的环境保护措施技术、经济的可行性。</w:t>
      </w:r>
    </w:p>
    <w:p>
      <w:pPr>
        <w:pStyle w:val="6"/>
        <w:adjustRightInd w:val="0"/>
        <w:snapToGrid w:val="0"/>
        <w:spacing w:before="0" w:after="0" w:line="360" w:lineRule="auto"/>
        <w:rPr>
          <w:rFonts w:ascii="Times New Roman" w:hAnsi="Times New Roman" w:eastAsia="宋体"/>
          <w:color w:val="auto"/>
          <w:sz w:val="28"/>
          <w:szCs w:val="28"/>
        </w:rPr>
      </w:pPr>
      <w:bookmarkStart w:id="52" w:name="_Toc140"/>
      <w:bookmarkStart w:id="53" w:name="_Toc459118381"/>
      <w:r>
        <w:rPr>
          <w:rFonts w:ascii="Times New Roman" w:hAnsi="Times New Roman" w:eastAsia="宋体"/>
          <w:color w:val="auto"/>
          <w:sz w:val="28"/>
          <w:szCs w:val="28"/>
        </w:rPr>
        <w:t>1.</w:t>
      </w:r>
      <w:r>
        <w:rPr>
          <w:rFonts w:hint="eastAsia" w:ascii="Times New Roman" w:hAnsi="Times New Roman" w:eastAsia="宋体"/>
          <w:color w:val="auto"/>
          <w:sz w:val="28"/>
          <w:szCs w:val="28"/>
        </w:rPr>
        <w:t>6</w:t>
      </w:r>
      <w:r>
        <w:rPr>
          <w:rFonts w:ascii="Times New Roman" w:hAnsi="Times New Roman" w:eastAsia="宋体"/>
          <w:color w:val="auto"/>
          <w:sz w:val="28"/>
          <w:szCs w:val="28"/>
        </w:rPr>
        <w:t>.</w:t>
      </w:r>
      <w:r>
        <w:rPr>
          <w:rFonts w:hint="eastAsia" w:ascii="Times New Roman" w:hAnsi="Times New Roman" w:eastAsia="宋体"/>
          <w:color w:val="auto"/>
          <w:sz w:val="28"/>
          <w:szCs w:val="28"/>
        </w:rPr>
        <w:t>3</w:t>
      </w:r>
      <w:r>
        <w:rPr>
          <w:rFonts w:ascii="Times New Roman" w:hAnsi="Times New Roman" w:eastAsia="宋体"/>
          <w:color w:val="auto"/>
          <w:sz w:val="28"/>
          <w:szCs w:val="28"/>
        </w:rPr>
        <w:t>评价范围</w:t>
      </w:r>
      <w:bookmarkEnd w:id="52"/>
      <w:bookmarkEnd w:id="53"/>
    </w:p>
    <w:p>
      <w:pPr>
        <w:spacing w:line="360" w:lineRule="auto"/>
        <w:ind w:firstLine="480" w:firstLineChars="200"/>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（1）大气环境</w:t>
      </w:r>
    </w:p>
    <w:p>
      <w:pPr>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根据评价工作等级，按照</w:t>
      </w:r>
      <w:r>
        <w:rPr>
          <w:rFonts w:ascii="Times New Roman" w:hAnsi="Times New Roman" w:eastAsia="宋体" w:cs="Times New Roman"/>
          <w:color w:val="auto"/>
          <w:sz w:val="24"/>
          <w:szCs w:val="24"/>
        </w:rPr>
        <w:t>《环境影响评价技术导则</w:t>
      </w:r>
      <w:r>
        <w:rPr>
          <w:rFonts w:hint="eastAsia" w:ascii="Times New Roman" w:hAnsi="Times New Roman" w:eastAsia="宋体" w:cs="Times New Roman"/>
          <w:color w:val="auto"/>
          <w:sz w:val="24"/>
          <w:szCs w:val="24"/>
          <w:lang w:val="en-US" w:eastAsia="zh-CN"/>
        </w:rPr>
        <w:t xml:space="preserve"> </w:t>
      </w:r>
      <w:r>
        <w:rPr>
          <w:rFonts w:ascii="Times New Roman" w:hAnsi="Times New Roman" w:eastAsia="宋体" w:cs="Times New Roman"/>
          <w:color w:val="auto"/>
          <w:sz w:val="24"/>
          <w:szCs w:val="24"/>
        </w:rPr>
        <w:t>大气环境》（HJ2.2-20</w:t>
      </w:r>
      <w:r>
        <w:rPr>
          <w:rFonts w:hint="eastAsia" w:ascii="Times New Roman" w:hAnsi="Times New Roman" w:eastAsia="宋体" w:cs="Times New Roman"/>
          <w:color w:val="auto"/>
          <w:sz w:val="24"/>
          <w:szCs w:val="24"/>
          <w:lang w:val="en-US" w:eastAsia="zh-CN"/>
        </w:rPr>
        <w:t>1</w:t>
      </w:r>
      <w:r>
        <w:rPr>
          <w:rFonts w:ascii="Times New Roman" w:hAnsi="Times New Roman" w:eastAsia="宋体" w:cs="Times New Roman"/>
          <w:color w:val="auto"/>
          <w:sz w:val="24"/>
          <w:szCs w:val="24"/>
        </w:rPr>
        <w:t>8）的规定</w:t>
      </w:r>
      <w:r>
        <w:rPr>
          <w:rFonts w:hint="eastAsia"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eastAsia="zh-CN"/>
        </w:rPr>
        <w:t>二级评价</w:t>
      </w:r>
      <w:r>
        <w:rPr>
          <w:rFonts w:hint="eastAsia" w:ascii="Times New Roman" w:hAnsi="Times New Roman" w:eastAsia="宋体" w:cs="Times New Roman"/>
          <w:color w:val="auto"/>
          <w:sz w:val="24"/>
          <w:szCs w:val="24"/>
          <w:lang w:val="en-US" w:eastAsia="zh-CN"/>
        </w:rPr>
        <w:t>确定</w:t>
      </w:r>
      <w:r>
        <w:rPr>
          <w:rFonts w:hint="eastAsia" w:ascii="Times New Roman" w:hAnsi="Times New Roman" w:eastAsia="宋体" w:cs="Times New Roman"/>
          <w:color w:val="auto"/>
          <w:sz w:val="24"/>
          <w:szCs w:val="24"/>
        </w:rPr>
        <w:t>本项目大气环境评价范围为边长5km的矩形区域范围。</w:t>
      </w:r>
    </w:p>
    <w:p>
      <w:pPr>
        <w:numPr>
          <w:ilvl w:val="0"/>
          <w:numId w:val="7"/>
        </w:numPr>
        <w:spacing w:line="360" w:lineRule="auto"/>
        <w:ind w:firstLine="480" w:firstLineChars="200"/>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地表水环境</w:t>
      </w:r>
    </w:p>
    <w:p>
      <w:pPr>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本项目废水经处理后，全部用于</w:t>
      </w:r>
      <w:r>
        <w:rPr>
          <w:rFonts w:hint="eastAsia" w:ascii="Times New Roman" w:hAnsi="Times New Roman" w:eastAsia="宋体" w:cs="Times New Roman"/>
          <w:color w:val="auto"/>
          <w:sz w:val="24"/>
          <w:szCs w:val="24"/>
          <w:lang w:eastAsia="zh-CN"/>
        </w:rPr>
        <w:t>周边果园灌溉</w:t>
      </w:r>
      <w:r>
        <w:rPr>
          <w:rFonts w:hint="eastAsia" w:ascii="Times New Roman" w:hAnsi="Times New Roman" w:eastAsia="宋体" w:cs="Times New Roman"/>
          <w:color w:val="auto"/>
          <w:sz w:val="24"/>
          <w:szCs w:val="24"/>
        </w:rPr>
        <w:t>，资源化利用，无废水外排。根据《环境影响评价技术导则  地表水环境》（HJ2.3-2018）中5.3.2.2中，地表水为三级B时，其评价范围应符合以下要求：</w:t>
      </w:r>
    </w:p>
    <w:p>
      <w:pPr>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a）应满足其依托污水处理设施环境可行性分析的要求；</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b）涉及地表水环境风险的，应覆盖环境风险影响范围所及的水环境保护目标水域。</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（3）地下水环境</w:t>
      </w:r>
    </w:p>
    <w:p>
      <w:pPr>
        <w:adjustRightInd w:val="0"/>
        <w:snapToGrid w:val="0"/>
        <w:spacing w:line="360" w:lineRule="auto"/>
        <w:ind w:firstLine="480" w:firstLineChars="200"/>
        <w:rPr>
          <w:rFonts w:ascii="Times New Roman" w:hAnsi="Times New Roman" w:eastAsia="宋体"/>
          <w:color w:val="auto"/>
          <w:sz w:val="24"/>
        </w:rPr>
      </w:pPr>
      <w:r>
        <w:rPr>
          <w:rFonts w:hint="eastAsia" w:ascii="Times New Roman" w:hAnsi="Times New Roman" w:eastAsia="宋体"/>
          <w:color w:val="auto"/>
          <w:sz w:val="24"/>
        </w:rPr>
        <w:t>根据《环境影响评价技术导则 地下水环境》（HJ610-2016）中的有关规定，</w:t>
      </w:r>
      <w:r>
        <w:rPr>
          <w:rFonts w:hint="eastAsia" w:ascii="Times New Roman" w:hAnsi="Times New Roman" w:eastAsia="宋体"/>
          <w:color w:val="auto"/>
          <w:sz w:val="24"/>
          <w:lang w:eastAsia="zh-CN"/>
        </w:rPr>
        <w:t>本项目采用查表法</w:t>
      </w:r>
      <w:r>
        <w:rPr>
          <w:rFonts w:hint="eastAsia" w:ascii="Times New Roman" w:hAnsi="Times New Roman" w:eastAsia="宋体"/>
          <w:color w:val="auto"/>
          <w:sz w:val="24"/>
        </w:rPr>
        <w:t>确定本项目地下水评价范围</w:t>
      </w:r>
      <w:r>
        <w:rPr>
          <w:rFonts w:hint="eastAsia" w:ascii="Times New Roman" w:hAnsi="Times New Roman" w:eastAsia="宋体"/>
          <w:color w:val="auto"/>
          <w:sz w:val="24"/>
          <w:lang w:eastAsia="zh-CN"/>
        </w:rPr>
        <w:t>。评价范围</w:t>
      </w:r>
      <w:r>
        <w:rPr>
          <w:rFonts w:hint="eastAsia" w:ascii="Times New Roman" w:hAnsi="Times New Roman" w:eastAsia="宋体"/>
          <w:color w:val="auto"/>
          <w:sz w:val="24"/>
        </w:rPr>
        <w:t>为建设项目场区边为中心，面积为 6km</w:t>
      </w:r>
      <w:r>
        <w:rPr>
          <w:rFonts w:hint="eastAsia" w:ascii="Times New Roman" w:hAnsi="Times New Roman" w:eastAsia="宋体"/>
          <w:color w:val="auto"/>
          <w:sz w:val="24"/>
          <w:vertAlign w:val="superscript"/>
        </w:rPr>
        <w:t>2</w:t>
      </w:r>
      <w:r>
        <w:rPr>
          <w:rFonts w:hint="eastAsia" w:ascii="Times New Roman" w:hAnsi="Times New Roman" w:eastAsia="宋体"/>
          <w:color w:val="auto"/>
          <w:sz w:val="24"/>
        </w:rPr>
        <w:t xml:space="preserve"> 范围内。</w:t>
      </w:r>
    </w:p>
    <w:p>
      <w:pPr>
        <w:spacing w:line="360" w:lineRule="auto"/>
        <w:ind w:firstLine="480" w:firstLineChars="200"/>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rPr>
        <w:t>4</w:t>
      </w:r>
      <w:r>
        <w:rPr>
          <w:rFonts w:ascii="Times New Roman" w:hAnsi="Times New Roman" w:eastAsia="宋体" w:cs="Times New Roman"/>
          <w:color w:val="auto"/>
          <w:sz w:val="24"/>
          <w:szCs w:val="24"/>
        </w:rPr>
        <w:t>）声</w:t>
      </w:r>
      <w:r>
        <w:rPr>
          <w:rFonts w:hint="eastAsia" w:ascii="Times New Roman" w:hAnsi="Times New Roman" w:eastAsia="宋体" w:cs="Times New Roman"/>
          <w:color w:val="auto"/>
          <w:sz w:val="24"/>
          <w:szCs w:val="24"/>
        </w:rPr>
        <w:t>环境</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根据《环境影响评价技术导则 声环境》（HJ2.4-2009）中的有关规定，确定本项目声环境评价范围为建设项目场区边界外200m以内的范围。</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5</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rPr>
        <w:t>土壤环境</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根据《环境影响评价技术导则 土壤环境（试行）》（HJ964-2018）中的有关规定，确定本项目土壤评价范围为建设项目场区范围内全部、厂区范围外50m的范围。</w:t>
      </w:r>
    </w:p>
    <w:p>
      <w:pPr>
        <w:spacing w:line="360" w:lineRule="auto"/>
        <w:ind w:firstLine="480" w:firstLineChars="200"/>
        <w:rPr>
          <w:rFonts w:hint="eastAsia"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eastAsia="zh-CN"/>
        </w:rPr>
        <w:t>生态环境评价范围</w:t>
      </w:r>
    </w:p>
    <w:p>
      <w:pPr>
        <w:pStyle w:val="14"/>
        <w:keepNext w:val="0"/>
        <w:keepLines w:val="0"/>
        <w:pageBreakBefore w:val="0"/>
        <w:widowControl w:val="0"/>
        <w:kinsoku/>
        <w:wordWrap/>
        <w:overflowPunct/>
        <w:topLinePunct w:val="0"/>
        <w:autoSpaceDE/>
        <w:autoSpaceDN/>
        <w:bidi w:val="0"/>
        <w:adjustRightInd/>
        <w:snapToGrid/>
        <w:spacing w:after="0" w:line="360" w:lineRule="auto"/>
        <w:ind w:left="0" w:right="0" w:firstLine="482"/>
        <w:jc w:val="both"/>
        <w:textAlignment w:val="auto"/>
        <w:rPr>
          <w:rFonts w:hint="default" w:ascii="Times New Roman" w:hAnsi="Times New Roman" w:cs="Times New Roman"/>
          <w:color w:val="auto"/>
          <w:spacing w:val="7"/>
          <w:sz w:val="24"/>
          <w:szCs w:val="24"/>
        </w:rPr>
      </w:pPr>
      <w:bookmarkStart w:id="54" w:name="_Toc8040"/>
      <w:bookmarkStart w:id="55" w:name="_Toc459118382"/>
      <w:r>
        <w:rPr>
          <w:rFonts w:hint="default" w:ascii="Times New Roman" w:hAnsi="Times New Roman" w:cs="Times New Roman"/>
          <w:color w:val="auto"/>
          <w:spacing w:val="7"/>
          <w:sz w:val="24"/>
          <w:szCs w:val="24"/>
        </w:rPr>
        <w:t>项目建设对周边的生态环境影响较小，对生态环境的影响评价只做一般性的分析，根据</w:t>
      </w:r>
      <w:r>
        <w:rPr>
          <w:rFonts w:hint="default"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eastAsia="zh-CN"/>
        </w:rPr>
        <w:t>环境影响评价技术导则</w:t>
      </w:r>
      <w:r>
        <w:rPr>
          <w:rFonts w:hint="eastAsia" w:ascii="Times New Roman" w:hAnsi="Times New Roman" w:eastAsia="宋体" w:cs="Times New Roman"/>
          <w:color w:val="auto"/>
          <w:sz w:val="24"/>
          <w:szCs w:val="24"/>
          <w:lang w:val="en-US" w:eastAsia="zh-CN"/>
        </w:rPr>
        <w:t xml:space="preserve">  生态影响</w:t>
      </w:r>
      <w:r>
        <w:rPr>
          <w:rFonts w:hint="default" w:ascii="Times New Roman" w:hAnsi="Times New Roman" w:eastAsia="宋体" w:cs="Times New Roman"/>
          <w:color w:val="auto"/>
          <w:sz w:val="24"/>
          <w:szCs w:val="24"/>
        </w:rPr>
        <w:t>》（HJ19-201</w:t>
      </w:r>
      <w:r>
        <w:rPr>
          <w:rFonts w:hint="eastAsia"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w:t>
      </w:r>
      <w:r>
        <w:rPr>
          <w:rFonts w:hint="default" w:ascii="Times New Roman" w:hAnsi="Times New Roman" w:cs="Times New Roman"/>
          <w:color w:val="auto"/>
          <w:spacing w:val="7"/>
          <w:sz w:val="24"/>
          <w:szCs w:val="24"/>
        </w:rPr>
        <w:t>的规定，并结合本项目周边实际环境情况，评价范围为项目全部活动的直接影响区域和间接影响区域</w:t>
      </w:r>
    </w:p>
    <w:p>
      <w:pPr>
        <w:spacing w:line="360" w:lineRule="auto"/>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7</w:t>
      </w:r>
      <w:r>
        <w:rPr>
          <w:rFonts w:hint="eastAsia" w:ascii="Times New Roman" w:hAnsi="Times New Roman" w:eastAsia="宋体" w:cs="Times New Roman"/>
          <w:color w:val="auto"/>
          <w:sz w:val="24"/>
          <w:szCs w:val="24"/>
          <w:lang w:eastAsia="zh-CN"/>
        </w:rPr>
        <w:t>）风险环境范围</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按照</w:t>
      </w:r>
      <w:r>
        <w:rPr>
          <w:rFonts w:hint="default" w:ascii="Times New Roman" w:hAnsi="Times New Roman" w:cs="Times New Roman"/>
          <w:color w:val="auto"/>
          <w:spacing w:val="7"/>
          <w:sz w:val="24"/>
          <w:szCs w:val="24"/>
        </w:rPr>
        <w:t>《</w:t>
      </w:r>
      <w:r>
        <w:rPr>
          <w:rFonts w:hint="eastAsia" w:cs="Times New Roman"/>
          <w:color w:val="auto"/>
          <w:spacing w:val="7"/>
          <w:sz w:val="24"/>
          <w:szCs w:val="24"/>
          <w:lang w:eastAsia="zh-CN"/>
        </w:rPr>
        <w:t>建设项目环境风险评价技术导则</w:t>
      </w:r>
      <w:r>
        <w:rPr>
          <w:rFonts w:hint="default" w:ascii="Times New Roman" w:hAnsi="Times New Roman" w:cs="Times New Roman"/>
          <w:color w:val="auto"/>
          <w:spacing w:val="7"/>
          <w:sz w:val="24"/>
          <w:szCs w:val="24"/>
        </w:rPr>
        <w:t>》（HJ1</w:t>
      </w:r>
      <w:r>
        <w:rPr>
          <w:rFonts w:hint="eastAsia" w:cs="Times New Roman"/>
          <w:color w:val="auto"/>
          <w:spacing w:val="7"/>
          <w:sz w:val="24"/>
          <w:szCs w:val="24"/>
          <w:lang w:val="en-US" w:eastAsia="zh-CN"/>
        </w:rPr>
        <w:t>6</w:t>
      </w:r>
      <w:r>
        <w:rPr>
          <w:rFonts w:hint="default" w:ascii="Times New Roman" w:hAnsi="Times New Roman" w:cs="Times New Roman"/>
          <w:color w:val="auto"/>
          <w:spacing w:val="7"/>
          <w:sz w:val="24"/>
          <w:szCs w:val="24"/>
        </w:rPr>
        <w:t>9-201</w:t>
      </w:r>
      <w:r>
        <w:rPr>
          <w:rFonts w:hint="eastAsia" w:cs="Times New Roman"/>
          <w:color w:val="auto"/>
          <w:spacing w:val="7"/>
          <w:sz w:val="24"/>
          <w:szCs w:val="24"/>
          <w:lang w:val="en-US" w:eastAsia="zh-CN"/>
        </w:rPr>
        <w:t>8</w:t>
      </w:r>
      <w:r>
        <w:rPr>
          <w:rFonts w:hint="default" w:ascii="Times New Roman" w:hAnsi="Times New Roman" w:cs="Times New Roman"/>
          <w:color w:val="auto"/>
          <w:spacing w:val="7"/>
          <w:sz w:val="24"/>
          <w:szCs w:val="24"/>
        </w:rPr>
        <w:t>）</w:t>
      </w:r>
      <w:r>
        <w:rPr>
          <w:rFonts w:hint="default" w:ascii="Times New Roman" w:hAnsi="Times New Roman" w:eastAsia="宋体" w:cs="Times New Roman"/>
          <w:color w:val="auto"/>
          <w:sz w:val="24"/>
          <w:szCs w:val="24"/>
        </w:rPr>
        <w:t>的有关规定，本项目风险评价进行简单分析即可。</w:t>
      </w:r>
    </w:p>
    <w:p>
      <w:pPr>
        <w:spacing w:line="480" w:lineRule="exact"/>
        <w:jc w:val="center"/>
        <w:rPr>
          <w:rFonts w:hint="default" w:ascii="Times New Roman" w:hAnsi="Times New Roman" w:cs="Times New Roman"/>
          <w:color w:val="auto"/>
          <w:spacing w:val="7"/>
          <w:sz w:val="24"/>
          <w:szCs w:val="24"/>
        </w:rPr>
      </w:pPr>
      <w:r>
        <w:rPr>
          <w:rFonts w:ascii="Times New Roman" w:hAnsi="Times New Roman" w:eastAsia="宋体"/>
          <w:b/>
          <w:bCs/>
          <w:color w:val="auto"/>
        </w:rPr>
        <w:t>表1</w:t>
      </w:r>
      <w:r>
        <w:rPr>
          <w:rFonts w:hint="eastAsia" w:ascii="Times New Roman" w:hAnsi="Times New Roman" w:eastAsia="宋体"/>
          <w:b/>
          <w:bCs/>
          <w:color w:val="auto"/>
        </w:rPr>
        <w:t>.6</w:t>
      </w:r>
      <w:r>
        <w:rPr>
          <w:rFonts w:ascii="Times New Roman" w:hAnsi="Times New Roman" w:eastAsia="宋体"/>
          <w:b/>
          <w:bCs/>
          <w:color w:val="auto"/>
        </w:rPr>
        <w:t>-</w:t>
      </w:r>
      <w:r>
        <w:rPr>
          <w:rFonts w:hint="eastAsia" w:ascii="Times New Roman" w:hAnsi="Times New Roman" w:eastAsia="宋体"/>
          <w:b/>
          <w:bCs/>
          <w:color w:val="auto"/>
          <w:lang w:val="en-US" w:eastAsia="zh-CN"/>
        </w:rPr>
        <w:t>14</w:t>
      </w:r>
      <w:r>
        <w:rPr>
          <w:rFonts w:ascii="Times New Roman" w:hAnsi="Times New Roman" w:eastAsia="宋体"/>
          <w:b/>
          <w:bCs/>
          <w:color w:val="auto"/>
        </w:rPr>
        <w:t xml:space="preserve">  </w:t>
      </w:r>
      <w:r>
        <w:rPr>
          <w:rFonts w:hint="eastAsia" w:ascii="Times New Roman" w:hAnsi="Times New Roman" w:eastAsia="宋体"/>
          <w:b/>
          <w:bCs/>
          <w:color w:val="auto"/>
        </w:rPr>
        <w:t>环境影响评价范围及等级一览表</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8"/>
        <w:gridCol w:w="5820"/>
        <w:gridCol w:w="1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8" w:type="dxa"/>
            <w:vAlign w:val="center"/>
          </w:tcPr>
          <w:p>
            <w:pPr>
              <w:keepNext w:val="0"/>
              <w:keepLines w:val="0"/>
              <w:widowControl/>
              <w:suppressLineNumbers w:val="0"/>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eastAsia" w:ascii="Times New Roman" w:hAnsi="Times New Roman" w:eastAsia="宋体" w:cs="Times New Roman"/>
                <w:b/>
                <w:bCs/>
                <w:i w:val="0"/>
                <w:color w:val="auto"/>
                <w:kern w:val="0"/>
                <w:sz w:val="21"/>
                <w:szCs w:val="21"/>
                <w:u w:val="none"/>
                <w:lang w:val="en-US" w:eastAsia="zh-CN" w:bidi="ar"/>
              </w:rPr>
              <w:t>评价要素</w:t>
            </w:r>
          </w:p>
        </w:tc>
        <w:tc>
          <w:tcPr>
            <w:tcW w:w="5820" w:type="dxa"/>
            <w:vAlign w:val="center"/>
          </w:tcPr>
          <w:p>
            <w:pPr>
              <w:keepNext w:val="0"/>
              <w:keepLines w:val="0"/>
              <w:widowControl/>
              <w:suppressLineNumbers w:val="0"/>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eastAsia" w:ascii="Times New Roman" w:hAnsi="Times New Roman" w:eastAsia="宋体" w:cs="Times New Roman"/>
                <w:b/>
                <w:bCs/>
                <w:i w:val="0"/>
                <w:color w:val="auto"/>
                <w:kern w:val="0"/>
                <w:sz w:val="21"/>
                <w:szCs w:val="21"/>
                <w:u w:val="none"/>
                <w:lang w:val="en-US" w:eastAsia="zh-CN" w:bidi="ar"/>
              </w:rPr>
              <w:t>评价范围</w:t>
            </w:r>
          </w:p>
        </w:tc>
        <w:tc>
          <w:tcPr>
            <w:tcW w:w="1782" w:type="dxa"/>
            <w:vAlign w:val="center"/>
          </w:tcPr>
          <w:p>
            <w:pPr>
              <w:keepNext w:val="0"/>
              <w:keepLines w:val="0"/>
              <w:widowControl/>
              <w:suppressLineNumbers w:val="0"/>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eastAsia" w:ascii="Times New Roman" w:hAnsi="Times New Roman" w:eastAsia="宋体" w:cs="Times New Roman"/>
                <w:b/>
                <w:bCs/>
                <w:i w:val="0"/>
                <w:color w:val="auto"/>
                <w:kern w:val="0"/>
                <w:sz w:val="21"/>
                <w:szCs w:val="21"/>
                <w:u w:val="none"/>
                <w:lang w:val="en-US" w:eastAsia="zh-CN" w:bidi="ar"/>
              </w:rPr>
              <w:t>评价等级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18" w:type="dxa"/>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Times New Roman"/>
                <w:i w:val="0"/>
                <w:color w:val="auto"/>
                <w:kern w:val="0"/>
                <w:sz w:val="21"/>
                <w:szCs w:val="21"/>
                <w:u w:val="none"/>
                <w:lang w:val="en-US" w:eastAsia="zh-CN" w:bidi="ar"/>
              </w:rPr>
              <w:t>空气</w:t>
            </w:r>
          </w:p>
        </w:tc>
        <w:tc>
          <w:tcPr>
            <w:tcW w:w="5820" w:type="dxa"/>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以项目为中心，为边长为 5km 的矩形区域</w:t>
            </w:r>
          </w:p>
        </w:tc>
        <w:tc>
          <w:tcPr>
            <w:tcW w:w="1782" w:type="dxa"/>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Times New Roman"/>
                <w:i w:val="0"/>
                <w:color w:val="auto"/>
                <w:kern w:val="0"/>
                <w:sz w:val="21"/>
                <w:szCs w:val="21"/>
                <w:u w:val="none"/>
                <w:lang w:val="en-US" w:eastAsia="zh-CN" w:bidi="ar"/>
              </w:rPr>
              <w:t>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8" w:type="dxa"/>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Times New Roman"/>
                <w:i w:val="0"/>
                <w:color w:val="auto"/>
                <w:kern w:val="0"/>
                <w:sz w:val="21"/>
                <w:szCs w:val="21"/>
                <w:u w:val="none"/>
                <w:lang w:val="en-US" w:eastAsia="zh-CN" w:bidi="ar"/>
              </w:rPr>
              <w:t>地表水</w:t>
            </w:r>
          </w:p>
        </w:tc>
        <w:tc>
          <w:tcPr>
            <w:tcW w:w="5820" w:type="dxa"/>
            <w:vAlign w:val="center"/>
          </w:tcPr>
          <w:p>
            <w:pPr>
              <w:spacing w:line="260" w:lineRule="exact"/>
              <w:ind w:firstLine="0" w:firstLineChars="0"/>
              <w:jc w:val="left"/>
              <w:rPr>
                <w:rFonts w:hint="eastAsia"/>
                <w:color w:val="auto"/>
                <w:sz w:val="21"/>
                <w:szCs w:val="21"/>
              </w:rPr>
            </w:pPr>
            <w:r>
              <w:rPr>
                <w:rFonts w:hint="eastAsia"/>
                <w:color w:val="auto"/>
                <w:sz w:val="21"/>
                <w:szCs w:val="21"/>
              </w:rPr>
              <w:t>a）应满足其依托污水处理设施环境可行性分析的要求；</w:t>
            </w:r>
          </w:p>
          <w:p>
            <w:pPr>
              <w:keepNext w:val="0"/>
              <w:keepLines w:val="0"/>
              <w:widowControl/>
              <w:suppressLineNumbers w:val="0"/>
              <w:jc w:val="left"/>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color w:val="auto"/>
                <w:sz w:val="21"/>
                <w:szCs w:val="21"/>
              </w:rPr>
              <w:t>b）涉及地表水环境风险的，应覆盖环境风险影响范围所及的水环境保护目标水域。</w:t>
            </w:r>
          </w:p>
        </w:tc>
        <w:tc>
          <w:tcPr>
            <w:tcW w:w="1782" w:type="dxa"/>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Times New Roman"/>
                <w:i w:val="0"/>
                <w:color w:val="auto"/>
                <w:kern w:val="0"/>
                <w:sz w:val="21"/>
                <w:szCs w:val="21"/>
                <w:u w:val="none"/>
                <w:lang w:val="en-US" w:eastAsia="zh-CN" w:bidi="ar"/>
              </w:rPr>
              <w:t>三级B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18" w:type="dxa"/>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Times New Roman"/>
                <w:i w:val="0"/>
                <w:color w:val="auto"/>
                <w:kern w:val="0"/>
                <w:sz w:val="21"/>
                <w:szCs w:val="21"/>
                <w:u w:val="none"/>
                <w:lang w:val="en-US" w:eastAsia="zh-CN" w:bidi="ar"/>
              </w:rPr>
              <w:t>地下水</w:t>
            </w:r>
          </w:p>
        </w:tc>
        <w:tc>
          <w:tcPr>
            <w:tcW w:w="5820" w:type="dxa"/>
            <w:vAlign w:val="center"/>
          </w:tcPr>
          <w:p>
            <w:pPr>
              <w:keepNext w:val="0"/>
              <w:keepLines w:val="0"/>
              <w:widowControl/>
              <w:suppressLineNumbers w:val="0"/>
              <w:jc w:val="left"/>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建设项目场区边为中心，面积为 6km</w:t>
            </w:r>
            <w:r>
              <w:rPr>
                <w:rFonts w:hint="default" w:ascii="Times New Roman" w:hAnsi="Times New Roman" w:eastAsia="宋体" w:cs="Times New Roman"/>
                <w:i w:val="0"/>
                <w:color w:val="auto"/>
                <w:kern w:val="0"/>
                <w:sz w:val="21"/>
                <w:szCs w:val="21"/>
                <w:u w:val="none"/>
                <w:vertAlign w:val="superscript"/>
                <w:lang w:val="en-US" w:eastAsia="zh-CN" w:bidi="ar"/>
              </w:rPr>
              <w:t>2</w:t>
            </w:r>
            <w:r>
              <w:rPr>
                <w:rFonts w:hint="default" w:ascii="Times New Roman" w:hAnsi="Times New Roman" w:eastAsia="宋体" w:cs="Times New Roman"/>
                <w:i w:val="0"/>
                <w:color w:val="auto"/>
                <w:kern w:val="0"/>
                <w:sz w:val="21"/>
                <w:szCs w:val="21"/>
                <w:u w:val="none"/>
                <w:lang w:val="en-US" w:eastAsia="zh-CN" w:bidi="ar"/>
              </w:rPr>
              <w:t>范围内。</w:t>
            </w:r>
          </w:p>
        </w:tc>
        <w:tc>
          <w:tcPr>
            <w:tcW w:w="1782" w:type="dxa"/>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Times New Roman"/>
                <w:i w:val="0"/>
                <w:color w:val="auto"/>
                <w:kern w:val="0"/>
                <w:sz w:val="21"/>
                <w:szCs w:val="21"/>
                <w:u w:val="none"/>
                <w:lang w:val="en-US" w:eastAsia="zh-CN" w:bidi="ar"/>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8" w:type="dxa"/>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Times New Roman"/>
                <w:i w:val="0"/>
                <w:color w:val="auto"/>
                <w:kern w:val="0"/>
                <w:sz w:val="21"/>
                <w:szCs w:val="21"/>
                <w:u w:val="none"/>
                <w:lang w:val="en-US" w:eastAsia="zh-CN" w:bidi="ar"/>
              </w:rPr>
              <w:t>土壤</w:t>
            </w:r>
          </w:p>
        </w:tc>
        <w:tc>
          <w:tcPr>
            <w:tcW w:w="5820" w:type="dxa"/>
            <w:vAlign w:val="center"/>
          </w:tcPr>
          <w:p>
            <w:pPr>
              <w:keepNext w:val="0"/>
              <w:keepLines w:val="0"/>
              <w:widowControl/>
              <w:suppressLineNumbers w:val="0"/>
              <w:jc w:val="left"/>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建设项目场区范围内全部；厂区范围外 50m 的范围。</w:t>
            </w:r>
          </w:p>
        </w:tc>
        <w:tc>
          <w:tcPr>
            <w:tcW w:w="1782" w:type="dxa"/>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Times New Roman"/>
                <w:i w:val="0"/>
                <w:color w:val="auto"/>
                <w:kern w:val="0"/>
                <w:sz w:val="21"/>
                <w:szCs w:val="21"/>
                <w:u w:val="none"/>
                <w:lang w:val="en-US" w:eastAsia="zh-CN" w:bidi="ar"/>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8" w:type="dxa"/>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Times New Roman"/>
                <w:i w:val="0"/>
                <w:color w:val="auto"/>
                <w:kern w:val="0"/>
                <w:sz w:val="21"/>
                <w:szCs w:val="21"/>
                <w:u w:val="none"/>
                <w:lang w:val="en-US" w:eastAsia="zh-CN" w:bidi="ar"/>
              </w:rPr>
              <w:t>声环境</w:t>
            </w:r>
          </w:p>
        </w:tc>
        <w:tc>
          <w:tcPr>
            <w:tcW w:w="5820" w:type="dxa"/>
            <w:vAlign w:val="center"/>
          </w:tcPr>
          <w:p>
            <w:pPr>
              <w:keepNext w:val="0"/>
              <w:keepLines w:val="0"/>
              <w:widowControl/>
              <w:suppressLineNumbers w:val="0"/>
              <w:jc w:val="left"/>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建设项目场区边界外 200m 以内的范围。</w:t>
            </w:r>
          </w:p>
        </w:tc>
        <w:tc>
          <w:tcPr>
            <w:tcW w:w="1782" w:type="dxa"/>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Times New Roman"/>
                <w:i w:val="0"/>
                <w:color w:val="auto"/>
                <w:kern w:val="0"/>
                <w:sz w:val="21"/>
                <w:szCs w:val="21"/>
                <w:u w:val="none"/>
                <w:lang w:val="en-US" w:eastAsia="zh-CN" w:bidi="ar"/>
              </w:rPr>
              <w:t>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8" w:type="dxa"/>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Times New Roman"/>
                <w:i w:val="0"/>
                <w:color w:val="auto"/>
                <w:kern w:val="0"/>
                <w:sz w:val="21"/>
                <w:szCs w:val="21"/>
                <w:u w:val="none"/>
                <w:lang w:val="en-US" w:eastAsia="zh-CN" w:bidi="ar"/>
              </w:rPr>
              <w:t>生态环境</w:t>
            </w:r>
          </w:p>
        </w:tc>
        <w:tc>
          <w:tcPr>
            <w:tcW w:w="5820" w:type="dxa"/>
            <w:vAlign w:val="center"/>
          </w:tcPr>
          <w:p>
            <w:pPr>
              <w:keepNext w:val="0"/>
              <w:keepLines w:val="0"/>
              <w:widowControl/>
              <w:suppressLineNumbers w:val="0"/>
              <w:jc w:val="left"/>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项目全部活动的直接影响区域和间接影响区域（厂区内及厂界外 200m 范围）</w:t>
            </w:r>
          </w:p>
        </w:tc>
        <w:tc>
          <w:tcPr>
            <w:tcW w:w="1782" w:type="dxa"/>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eastAsia" w:ascii="Times New Roman" w:hAnsi="Times New Roman" w:eastAsia="宋体" w:cs="Times New Roman"/>
                <w:i w:val="0"/>
                <w:color w:val="auto"/>
                <w:kern w:val="0"/>
                <w:sz w:val="21"/>
                <w:szCs w:val="21"/>
                <w:u w:val="none"/>
                <w:lang w:val="en-US" w:eastAsia="zh-CN" w:bidi="ar"/>
              </w:rPr>
              <w:t>三级</w:t>
            </w:r>
          </w:p>
        </w:tc>
      </w:tr>
    </w:tbl>
    <w:p>
      <w:pPr>
        <w:pStyle w:val="5"/>
        <w:keepNext/>
        <w:keepLines/>
        <w:pageBreakBefore w:val="0"/>
        <w:widowControl w:val="0"/>
        <w:kinsoku/>
        <w:wordWrap/>
        <w:overflowPunct/>
        <w:topLinePunct w:val="0"/>
        <w:autoSpaceDE/>
        <w:autoSpaceDN/>
        <w:bidi w:val="0"/>
        <w:adjustRightInd w:val="0"/>
        <w:snapToGrid w:val="0"/>
        <w:spacing w:before="0" w:after="0" w:line="360" w:lineRule="auto"/>
        <w:textAlignment w:val="auto"/>
        <w:rPr>
          <w:rFonts w:ascii="Times New Roman" w:hAnsi="Times New Roman" w:eastAsia="宋体"/>
          <w:color w:val="auto"/>
          <w:sz w:val="30"/>
          <w:szCs w:val="30"/>
        </w:rPr>
      </w:pPr>
      <w:bookmarkStart w:id="56" w:name="_Toc12371"/>
      <w:r>
        <w:rPr>
          <w:rFonts w:ascii="Times New Roman" w:hAnsi="Times New Roman" w:eastAsia="宋体"/>
          <w:color w:val="auto"/>
          <w:sz w:val="30"/>
          <w:szCs w:val="30"/>
        </w:rPr>
        <w:t>1.7环境保护目标</w:t>
      </w:r>
      <w:bookmarkEnd w:id="54"/>
      <w:bookmarkEnd w:id="55"/>
      <w:bookmarkEnd w:id="56"/>
    </w:p>
    <w:p>
      <w:pPr>
        <w:spacing w:line="360" w:lineRule="auto"/>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1</w:t>
      </w:r>
      <w:r>
        <w:rPr>
          <w:rFonts w:hint="eastAsia" w:ascii="Times New Roman" w:hAnsi="Times New Roman" w:eastAsia="宋体" w:cs="Times New Roman"/>
          <w:color w:val="auto"/>
          <w:sz w:val="24"/>
          <w:szCs w:val="24"/>
          <w:lang w:eastAsia="zh-CN"/>
        </w:rPr>
        <w:t>）外环境关系</w:t>
      </w:r>
    </w:p>
    <w:p>
      <w:pPr>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根据现场勘查可知，项目养殖区猪舍拟建厂址四周主要为</w:t>
      </w:r>
      <w:r>
        <w:rPr>
          <w:rFonts w:hint="eastAsia" w:ascii="Times New Roman" w:hAnsi="Times New Roman" w:eastAsia="宋体" w:cs="Times New Roman"/>
          <w:color w:val="auto"/>
          <w:sz w:val="24"/>
          <w:szCs w:val="24"/>
          <w:lang w:eastAsia="zh-CN"/>
        </w:rPr>
        <w:t>园地。</w:t>
      </w:r>
      <w:r>
        <w:rPr>
          <w:rFonts w:hint="default" w:ascii="Times New Roman" w:hAnsi="Times New Roman" w:eastAsia="宋体" w:cs="Times New Roman"/>
          <w:color w:val="auto"/>
          <w:sz w:val="24"/>
          <w:szCs w:val="24"/>
          <w:lang w:val="zh-CN"/>
        </w:rPr>
        <w:t>拟建厂址</w:t>
      </w:r>
      <w:r>
        <w:rPr>
          <w:rFonts w:hint="eastAsia" w:ascii="Times New Roman" w:hAnsi="Times New Roman" w:eastAsia="宋体" w:cs="Times New Roman"/>
          <w:color w:val="auto"/>
          <w:sz w:val="24"/>
          <w:szCs w:val="24"/>
          <w:lang w:val="en-US" w:eastAsia="zh-CN"/>
        </w:rPr>
        <w:t>四周主要种植柑橘，本项目200m范围内仅有1户居民，该居民位于本项目东北侧84m处，本项目已将该处租赁用作本项目杂物间</w:t>
      </w:r>
      <w:r>
        <w:rPr>
          <w:rFonts w:hint="eastAsia" w:ascii="Times New Roman" w:hAnsi="Times New Roman" w:eastAsia="宋体" w:cs="Times New Roman"/>
          <w:color w:val="auto"/>
          <w:sz w:val="24"/>
          <w:szCs w:val="24"/>
          <w:lang w:val="zh-CN"/>
        </w:rPr>
        <w:t>。</w:t>
      </w:r>
      <w:r>
        <w:rPr>
          <w:rFonts w:hint="eastAsia" w:ascii="Times New Roman" w:hAnsi="Times New Roman" w:eastAsia="宋体" w:cs="Times New Roman"/>
          <w:color w:val="auto"/>
          <w:sz w:val="24"/>
          <w:szCs w:val="24"/>
          <w:lang w:val="en-US" w:eastAsia="zh-CN"/>
        </w:rPr>
        <w:t>本项目四周居住散居居民，具体情况见下表。</w:t>
      </w:r>
      <w:r>
        <w:rPr>
          <w:rFonts w:hint="eastAsia" w:ascii="Times New Roman" w:hAnsi="Times New Roman" w:eastAsia="宋体" w:cs="Times New Roman"/>
          <w:color w:val="auto"/>
          <w:sz w:val="24"/>
          <w:szCs w:val="24"/>
          <w:lang w:eastAsia="zh-CN"/>
        </w:rPr>
        <w:t>本项目距离最近水体安溪河约</w:t>
      </w:r>
      <w:r>
        <w:rPr>
          <w:rFonts w:hint="eastAsia" w:ascii="Times New Roman" w:hAnsi="Times New Roman" w:eastAsia="宋体" w:cs="Times New Roman"/>
          <w:color w:val="auto"/>
          <w:sz w:val="24"/>
          <w:szCs w:val="24"/>
          <w:lang w:val="en-US" w:eastAsia="zh-CN"/>
        </w:rPr>
        <w:t>2.5km。</w:t>
      </w:r>
    </w:p>
    <w:p>
      <w:pPr>
        <w:spacing w:line="360" w:lineRule="auto"/>
        <w:ind w:firstLine="480" w:firstLineChars="200"/>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eastAsia="zh-CN"/>
        </w:rPr>
        <w:t>2</w:t>
      </w:r>
      <w:r>
        <w:rPr>
          <w:rFonts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rPr>
        <w:t>大气环境保护目标</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本项目大气环境评价范围内保护目标及</w:t>
      </w:r>
      <w:r>
        <w:rPr>
          <w:rFonts w:ascii="Times New Roman" w:hAnsi="Times New Roman" w:eastAsia="宋体" w:cs="Times New Roman"/>
          <w:color w:val="auto"/>
          <w:sz w:val="24"/>
          <w:szCs w:val="24"/>
        </w:rPr>
        <w:t>保护目标与项目的距离方位详见</w:t>
      </w:r>
      <w:r>
        <w:rPr>
          <w:rFonts w:hint="eastAsia" w:ascii="Times New Roman" w:hAnsi="Times New Roman" w:eastAsia="宋体" w:cs="Times New Roman"/>
          <w:color w:val="auto"/>
          <w:sz w:val="24"/>
          <w:szCs w:val="24"/>
        </w:rPr>
        <w:t>下</w:t>
      </w:r>
      <w:r>
        <w:rPr>
          <w:rFonts w:ascii="Times New Roman" w:hAnsi="Times New Roman" w:eastAsia="宋体" w:cs="Times New Roman"/>
          <w:color w:val="auto"/>
          <w:sz w:val="24"/>
          <w:szCs w:val="24"/>
        </w:rPr>
        <w:t>表</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要求环境空气质量达到《环境空气质量标准》（GB3095-2012）</w:t>
      </w:r>
      <w:r>
        <w:rPr>
          <w:rFonts w:hint="eastAsia" w:ascii="Times New Roman" w:hAnsi="Times New Roman" w:eastAsia="宋体" w:cs="Times New Roman"/>
          <w:color w:val="auto"/>
          <w:sz w:val="24"/>
          <w:szCs w:val="24"/>
        </w:rPr>
        <w:t>二</w:t>
      </w:r>
      <w:r>
        <w:rPr>
          <w:rFonts w:ascii="Times New Roman" w:hAnsi="Times New Roman" w:eastAsia="宋体" w:cs="Times New Roman"/>
          <w:color w:val="auto"/>
          <w:sz w:val="24"/>
          <w:szCs w:val="24"/>
        </w:rPr>
        <w:t>级标准</w:t>
      </w:r>
      <w:r>
        <w:rPr>
          <w:rFonts w:hint="eastAsia" w:ascii="Times New Roman" w:hAnsi="Times New Roman" w:eastAsia="宋体" w:cs="Times New Roman"/>
          <w:color w:val="auto"/>
          <w:sz w:val="24"/>
          <w:szCs w:val="24"/>
        </w:rPr>
        <w:t>。</w:t>
      </w:r>
    </w:p>
    <w:p>
      <w:pPr>
        <w:jc w:val="center"/>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表1</w:t>
      </w:r>
      <w:r>
        <w:rPr>
          <w:rFonts w:hint="eastAsia" w:ascii="Times New Roman" w:hAnsi="Times New Roman" w:eastAsia="宋体" w:cs="Times New Roman"/>
          <w:b/>
          <w:color w:val="auto"/>
          <w:sz w:val="21"/>
          <w:szCs w:val="21"/>
        </w:rPr>
        <w:t>.7</w:t>
      </w:r>
      <w:r>
        <w:rPr>
          <w:rFonts w:ascii="Times New Roman" w:hAnsi="Times New Roman" w:eastAsia="宋体" w:cs="Times New Roman"/>
          <w:b/>
          <w:color w:val="auto"/>
          <w:sz w:val="21"/>
          <w:szCs w:val="21"/>
        </w:rPr>
        <w:t>-1</w:t>
      </w:r>
      <w:r>
        <w:rPr>
          <w:rFonts w:hint="eastAsia" w:ascii="Times New Roman" w:hAnsi="Times New Roman" w:eastAsia="宋体" w:cs="Times New Roman"/>
          <w:b/>
          <w:color w:val="auto"/>
          <w:sz w:val="21"/>
          <w:szCs w:val="21"/>
          <w:lang w:val="en-US" w:eastAsia="zh-CN"/>
        </w:rPr>
        <w:t xml:space="preserve">  </w:t>
      </w:r>
      <w:r>
        <w:rPr>
          <w:rFonts w:ascii="Times New Roman" w:hAnsi="Times New Roman" w:eastAsia="宋体" w:cs="Times New Roman"/>
          <w:b/>
          <w:color w:val="auto"/>
          <w:sz w:val="21"/>
          <w:szCs w:val="21"/>
        </w:rPr>
        <w:t>环境空气保护目标</w:t>
      </w:r>
    </w:p>
    <w:tbl>
      <w:tblPr>
        <w:tblStyle w:val="34"/>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24"/>
        <w:gridCol w:w="1335"/>
        <w:gridCol w:w="1192"/>
        <w:gridCol w:w="1107"/>
        <w:gridCol w:w="1374"/>
        <w:gridCol w:w="1446"/>
        <w:gridCol w:w="933"/>
        <w:gridCol w:w="130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4" w:type="pct"/>
            <w:vMerge w:val="restar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eastAsia"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序号</w:t>
            </w:r>
          </w:p>
        </w:tc>
        <w:tc>
          <w:tcPr>
            <w:tcW w:w="724" w:type="pct"/>
            <w:vMerge w:val="restar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rPr>
            </w:pPr>
            <w:r>
              <w:rPr>
                <w:rStyle w:val="135"/>
                <w:rFonts w:hint="default" w:ascii="Times New Roman" w:hAnsi="Times New Roman" w:eastAsia="宋体" w:cs="Times New Roman"/>
                <w:color w:val="auto"/>
                <w:sz w:val="21"/>
                <w:szCs w:val="21"/>
              </w:rPr>
              <w:t>名称</w:t>
            </w:r>
          </w:p>
        </w:tc>
        <w:tc>
          <w:tcPr>
            <w:tcW w:w="1246" w:type="pct"/>
            <w:gridSpan w:val="2"/>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eastAsia" w:ascii="Times New Roman" w:hAnsi="Times New Roman" w:eastAsia="宋体" w:cs="Times New Roman"/>
                <w:color w:val="auto"/>
                <w:sz w:val="21"/>
                <w:szCs w:val="21"/>
                <w:lang w:eastAsia="zh-CN"/>
              </w:rPr>
            </w:pPr>
            <w:r>
              <w:rPr>
                <w:rStyle w:val="135"/>
                <w:rFonts w:hint="default" w:ascii="Times New Roman" w:hAnsi="Times New Roman" w:eastAsia="宋体" w:cs="Times New Roman"/>
                <w:color w:val="auto"/>
                <w:sz w:val="21"/>
                <w:szCs w:val="21"/>
              </w:rPr>
              <w:t>坐标/</w:t>
            </w:r>
            <w:r>
              <w:rPr>
                <w:rStyle w:val="135"/>
                <w:rFonts w:hint="eastAsia" w:ascii="Times New Roman" w:hAnsi="Times New Roman" w:eastAsia="宋体" w:cs="Times New Roman"/>
                <w:color w:val="auto"/>
                <w:sz w:val="21"/>
                <w:szCs w:val="21"/>
                <w:lang w:val="en-US" w:eastAsia="zh-CN"/>
              </w:rPr>
              <w:t>°</w:t>
            </w:r>
          </w:p>
        </w:tc>
        <w:tc>
          <w:tcPr>
            <w:tcW w:w="745" w:type="pct"/>
            <w:vMerge w:val="restar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rPr>
            </w:pPr>
            <w:r>
              <w:rPr>
                <w:rStyle w:val="135"/>
                <w:rFonts w:hint="default" w:ascii="Times New Roman" w:hAnsi="Times New Roman" w:eastAsia="宋体" w:cs="Times New Roman"/>
                <w:color w:val="auto"/>
                <w:sz w:val="21"/>
                <w:szCs w:val="21"/>
              </w:rPr>
              <w:t>保护对象</w:t>
            </w:r>
          </w:p>
        </w:tc>
        <w:tc>
          <w:tcPr>
            <w:tcW w:w="784" w:type="pct"/>
            <w:vMerge w:val="restar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rPr>
            </w:pPr>
            <w:r>
              <w:rPr>
                <w:rStyle w:val="135"/>
                <w:rFonts w:hint="default" w:ascii="Times New Roman" w:hAnsi="Times New Roman" w:eastAsia="宋体" w:cs="Times New Roman"/>
                <w:color w:val="auto"/>
                <w:sz w:val="21"/>
                <w:szCs w:val="21"/>
              </w:rPr>
              <w:t>保护内容</w:t>
            </w:r>
          </w:p>
        </w:tc>
        <w:tc>
          <w:tcPr>
            <w:tcW w:w="506" w:type="pct"/>
            <w:vMerge w:val="restar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rPr>
            </w:pPr>
            <w:r>
              <w:rPr>
                <w:rStyle w:val="135"/>
                <w:rFonts w:hint="default" w:ascii="Times New Roman" w:hAnsi="Times New Roman" w:eastAsia="宋体" w:cs="Times New Roman"/>
                <w:color w:val="auto"/>
                <w:sz w:val="21"/>
                <w:szCs w:val="21"/>
              </w:rPr>
              <w:t>相对厂址方位</w:t>
            </w:r>
          </w:p>
        </w:tc>
        <w:tc>
          <w:tcPr>
            <w:tcW w:w="707" w:type="pct"/>
            <w:vMerge w:val="restar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rPr>
            </w:pPr>
            <w:r>
              <w:rPr>
                <w:rStyle w:val="135"/>
                <w:rFonts w:hint="default" w:ascii="Times New Roman" w:hAnsi="Times New Roman" w:eastAsia="宋体" w:cs="Times New Roman"/>
                <w:color w:val="auto"/>
                <w:sz w:val="21"/>
                <w:szCs w:val="21"/>
              </w:rPr>
              <w:t>相对厂址距离(m)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84" w:type="pct"/>
            <w:vMerge w:val="continue"/>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rPr>
            </w:pPr>
          </w:p>
        </w:tc>
        <w:tc>
          <w:tcPr>
            <w:tcW w:w="724" w:type="pct"/>
            <w:vMerge w:val="continue"/>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rPr>
            </w:pP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eastAsia="zh-CN"/>
              </w:rPr>
            </w:pPr>
            <w:r>
              <w:rPr>
                <w:rStyle w:val="135"/>
                <w:rFonts w:hint="default" w:ascii="Times New Roman" w:hAnsi="Times New Roman" w:eastAsia="宋体" w:cs="Times New Roman"/>
                <w:color w:val="auto"/>
                <w:sz w:val="21"/>
                <w:szCs w:val="21"/>
                <w:lang w:eastAsia="zh-CN"/>
              </w:rPr>
              <w:t>经度</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eastAsia="zh-CN"/>
              </w:rPr>
            </w:pPr>
            <w:r>
              <w:rPr>
                <w:rStyle w:val="135"/>
                <w:rFonts w:hint="default" w:ascii="Times New Roman" w:hAnsi="Times New Roman" w:eastAsia="宋体" w:cs="Times New Roman"/>
                <w:color w:val="auto"/>
                <w:sz w:val="21"/>
                <w:szCs w:val="21"/>
                <w:lang w:eastAsia="zh-CN"/>
              </w:rPr>
              <w:t>纬度</w:t>
            </w:r>
          </w:p>
        </w:tc>
        <w:tc>
          <w:tcPr>
            <w:tcW w:w="745" w:type="pct"/>
            <w:vMerge w:val="continue"/>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420"/>
              <w:jc w:val="center"/>
              <w:textAlignment w:val="auto"/>
              <w:rPr>
                <w:rStyle w:val="135"/>
                <w:rFonts w:hint="default" w:ascii="Times New Roman" w:hAnsi="Times New Roman" w:eastAsia="宋体" w:cs="Times New Roman"/>
                <w:color w:val="auto"/>
                <w:sz w:val="21"/>
                <w:szCs w:val="21"/>
              </w:rPr>
            </w:pPr>
          </w:p>
        </w:tc>
        <w:tc>
          <w:tcPr>
            <w:tcW w:w="784" w:type="pct"/>
            <w:vMerge w:val="continue"/>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rPr>
            </w:pPr>
          </w:p>
        </w:tc>
        <w:tc>
          <w:tcPr>
            <w:tcW w:w="506" w:type="pct"/>
            <w:vMerge w:val="continue"/>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rPr>
            </w:pPr>
          </w:p>
        </w:tc>
        <w:tc>
          <w:tcPr>
            <w:tcW w:w="707" w:type="pct"/>
            <w:vMerge w:val="continue"/>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eastAsia"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1</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白马庙</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103.4439</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29.9856</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白马庙村民</w:t>
            </w:r>
          </w:p>
        </w:tc>
        <w:tc>
          <w:tcPr>
            <w:tcW w:w="7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54户居民，约180人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233-814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eastAsia"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2</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转山顶</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103.4386</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29.9835</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转山顶村民</w:t>
            </w:r>
          </w:p>
        </w:tc>
        <w:tc>
          <w:tcPr>
            <w:tcW w:w="7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40户居民，约100人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595-1045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eastAsia"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3</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雄义村</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103.4393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29.9763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雄义村村民</w:t>
            </w:r>
          </w:p>
        </w:tc>
        <w:tc>
          <w:tcPr>
            <w:tcW w:w="7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100户居民，约280人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1253-1970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4</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杨硚</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103.4310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29.9751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杨硚村民</w:t>
            </w:r>
          </w:p>
        </w:tc>
        <w:tc>
          <w:tcPr>
            <w:tcW w:w="7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50户居民，约120人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西南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1918-2257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5</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田坝</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103.4323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29.9720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田坝村民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45户居民，约75人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西南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2253-2374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6</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湾子角</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103.4389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29.9698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湾子角村民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52户居民，约118人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1973-2343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7</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余坝</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103.4362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29.9675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余坝村民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14户居民，约23人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2463-2651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8</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中心社区</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103.4435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29.9675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中心社区村民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256户居民，约600人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1907-2500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9</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仁美镇初级中学</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103.4458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29.9747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仁美镇初级中学</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约1000人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1698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10</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仁美镇小学校</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103.4456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29.9736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仁美镇小学校</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约800人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1756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11</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古井坝</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103.4445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29.9785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古井坝村民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20户居民，约35人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1024-1432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12</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黄坳口</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103.4479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29.9683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黄坳口村民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28户居民，约60人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2191-2500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13</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黄坳口</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103.4504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29.9704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黄坳口村民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9户居民，约20人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2101-2285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14</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彭家湾</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103.4559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29.9734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彭家湾村民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22户居民，约52人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东南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1963-2260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15</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碉堡山</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103.4517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29.9765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碉堡山村民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16户居民，约30人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东南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1340-1860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16</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核桃湾</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103.4628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29.9809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核桃湾村民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42户居民，约90人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东南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1757-2136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17</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大坟包</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103.4607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29.9791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大坟包村民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8户居民，约25人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东南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1833-1999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18</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严家口</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103.4562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29.9779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严家口村民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32户居民，约80人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东南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1515-1869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19</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刘家口</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103.4581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29.9772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刘家口村民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22户居民，约50人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东南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1650-2066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20</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柏树林</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103.4554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29.9819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柏树林村民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24户居民，约60人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东南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1202-1387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21</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湾氹</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103.4510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29.9816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湾氹村民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18户居民，约30人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东南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870-1191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22</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骑山庙</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103.4524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29.9850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骑山庙村民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20户居民，约62人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东南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840-942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23</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魏家口</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103.4482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29.9836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魏家口村民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43户居民，约144人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东南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505-854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24</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华口</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103.4523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29.9866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华口村民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23户居民，约58人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东南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595-815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25</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黎家口</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103.4551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29.9858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黎家口村民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12户居民，约32人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东南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946-1192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26</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何家湾</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103.4587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29.9858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何家湾村民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46户居民，约130人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东南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1180-1525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27</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郭湾</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103.4622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29.9869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郭湾村民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28户居民，约64人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东南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1470-1983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28</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朱湾</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103.4617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29.9887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朱湾村民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18户居民，约55人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东南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1285-1791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29</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七湾顶</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103.4510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29.9949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七湾顶村民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12户居民，约30人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东北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521-729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30</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谢湾</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103.4588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29.9946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谢湾村民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9户居民，约25人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东北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1179-1425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31</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青冈岭</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103.4536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29.9991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青冈岭村民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15户居民，约40人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东北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1117-1226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32</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石家口</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103.4650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30.0017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石家口村民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16户居民，约46人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东北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1987-2402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33</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卢大冲</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103.4703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30.0039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卢大冲村民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12户居民，约30人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东北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2786-3061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34</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黄家湾</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103.4700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30.0107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黄家湾村民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8户居民，约22人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东北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3027-3360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35</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卢家口</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103.4695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30.0073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卢家口村民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10户居民，约26人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东北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2802-3060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36</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陈口</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103.4625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30.0069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陈口村民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24户居民，约68人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东北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2170-2505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37</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花宫庙</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103.4693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30.0145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花宫庙村民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12户居民，约36人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东北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3307-3586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38</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水井湾</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103.4458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29.9968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水井湾村民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7户居民，约18人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442-651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39</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黎湾</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103.4468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30.0000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黎湾村民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8户居民，约24人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783-992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40</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天宫庙</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103.4479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30.0040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天宫庙村民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15户居民，约24人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1264-1555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41</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乌龟店</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103.4535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30.0046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乌龟店村民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17户居民，约30人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1464-2020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42</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郭口</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103.4536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30.0100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郭口村民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28户居民，约80人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2055-2390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43</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陈奄子</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103.4548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30.0135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陈奄子村民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15户居民，约40人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2473-2640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44</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黄土地</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103.4594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30.0152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黄土地村民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18户居民，约58人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东北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2836-2995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45</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文家湾</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103.4402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29.9931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文家湾村民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6户居民，约16人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西北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222-287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46</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何沟</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103.4412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30.0003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何沟村民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12户居民，约30人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西北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674-941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47</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大坪山</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103.4406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30.0057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大坪山村民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10户居民，约26人</w:t>
            </w:r>
          </w:p>
        </w:tc>
        <w:tc>
          <w:tcPr>
            <w:tcW w:w="863" w:type="dxa"/>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西北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1264-1517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48</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岳家湾</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103.4412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30.0083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岳家湾村民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6户居民，约15人</w:t>
            </w:r>
          </w:p>
        </w:tc>
        <w:tc>
          <w:tcPr>
            <w:tcW w:w="863" w:type="dxa"/>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西北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1574-1765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49</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宿场村</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103.4393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30.0124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宿场村村民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100户居民，约275人</w:t>
            </w:r>
          </w:p>
        </w:tc>
        <w:tc>
          <w:tcPr>
            <w:tcW w:w="863" w:type="dxa"/>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西北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1727-2384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50</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甘江庙</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103.4303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30.0114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甘江庙村民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21户居民，约55人</w:t>
            </w:r>
          </w:p>
        </w:tc>
        <w:tc>
          <w:tcPr>
            <w:tcW w:w="863" w:type="dxa"/>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西北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2052-2527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51</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宿场</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103.4334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30.0055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宿场村民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13户居民，约30人</w:t>
            </w:r>
          </w:p>
        </w:tc>
        <w:tc>
          <w:tcPr>
            <w:tcW w:w="863" w:type="dxa"/>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西北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1499-1752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52</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大屋基</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103.4297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30.0052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大屋基村民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10户居民，约24人</w:t>
            </w:r>
          </w:p>
        </w:tc>
        <w:tc>
          <w:tcPr>
            <w:tcW w:w="863" w:type="dxa"/>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西北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1870-1954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53</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凉水井</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103.4292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30.0031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凉水井村民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14户居民，约40人</w:t>
            </w:r>
          </w:p>
        </w:tc>
        <w:tc>
          <w:tcPr>
            <w:tcW w:w="863" w:type="dxa"/>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西北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1574-1778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54</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罗家口</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103.4323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30.0030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罗家口村民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7户居民，约18人</w:t>
            </w:r>
          </w:p>
        </w:tc>
        <w:tc>
          <w:tcPr>
            <w:tcW w:w="863" w:type="dxa"/>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西北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1450-1569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55</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谢家湾</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103.4271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30.0008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谢家湾村民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14户居民，约30人</w:t>
            </w:r>
          </w:p>
        </w:tc>
        <w:tc>
          <w:tcPr>
            <w:tcW w:w="863" w:type="dxa"/>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西北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1663-1761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56</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石家湾</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103.4354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30.0016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石家湾村民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25户居民，约68人</w:t>
            </w:r>
          </w:p>
        </w:tc>
        <w:tc>
          <w:tcPr>
            <w:tcW w:w="863" w:type="dxa"/>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西北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1102-1343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57</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袁湾</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103.4346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29.9944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袁湾村民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6户居民，约15人</w:t>
            </w:r>
          </w:p>
        </w:tc>
        <w:tc>
          <w:tcPr>
            <w:tcW w:w="863" w:type="dxa"/>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西北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714-845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58</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何家口</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103.4282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29.9934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何家口村民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15户居民，约28人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西</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1204-1427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59</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刘家口</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103.4249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29.9926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刘家口村民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23户居民，约60人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西</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1478-1838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60</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毛家冲</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103.4231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29.9882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毛家冲村民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45户居民，约120人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西</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1748-2203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61</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水井湾</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103.4185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29.9850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水井湾村民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51户居民，约140人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西</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2248-2704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62</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松林山</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103.4277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29.9875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松林山村民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12户居民，约30人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西南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1421-1771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63</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团林子</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103.4260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29.9839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团林子村民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28户居民，约86人</w:t>
            </w:r>
          </w:p>
        </w:tc>
        <w:tc>
          <w:tcPr>
            <w:tcW w:w="50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西南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1714-2010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64</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李子湾</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103.4332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29.9833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李子湾村民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52户居民，约150人</w:t>
            </w:r>
          </w:p>
        </w:tc>
        <w:tc>
          <w:tcPr>
            <w:tcW w:w="863" w:type="dxa"/>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西南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1037-1640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65</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李坝</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103.4262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29.9799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李坝村民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10户居民，约26人</w:t>
            </w:r>
          </w:p>
        </w:tc>
        <w:tc>
          <w:tcPr>
            <w:tcW w:w="863" w:type="dxa"/>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西南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1967-2155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66</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王家口上</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103.4286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29.9781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王家口上村民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22户居民，约56人</w:t>
            </w:r>
          </w:p>
        </w:tc>
        <w:tc>
          <w:tcPr>
            <w:tcW w:w="863" w:type="dxa"/>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西南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1758-2105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67</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严沟村</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103.4222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29.9786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严沟村村民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38户居民，约100人</w:t>
            </w:r>
          </w:p>
        </w:tc>
        <w:tc>
          <w:tcPr>
            <w:tcW w:w="863" w:type="dxa"/>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西南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2299-2617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68</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彭湾</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103.4173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29.9794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彭湾村民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13户居民，约30人</w:t>
            </w:r>
          </w:p>
        </w:tc>
        <w:tc>
          <w:tcPr>
            <w:tcW w:w="863" w:type="dxa"/>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西南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2693-3000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69</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高河村</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103.4197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29.9747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高河村村民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26户居民，约80人</w:t>
            </w:r>
          </w:p>
        </w:tc>
        <w:tc>
          <w:tcPr>
            <w:tcW w:w="863" w:type="dxa"/>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西南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2645-3126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70</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高湾</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103.4213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29.9692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高湾村民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28户居民，约80人</w:t>
            </w:r>
          </w:p>
        </w:tc>
        <w:tc>
          <w:tcPr>
            <w:tcW w:w="863" w:type="dxa"/>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西南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2990-3430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71</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东岳庙</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103.4173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29.9706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东岳庙村民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18户居民，约36人</w:t>
            </w:r>
          </w:p>
        </w:tc>
        <w:tc>
          <w:tcPr>
            <w:tcW w:w="863" w:type="dxa"/>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西南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3195-3404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72</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狗脚湾</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103.4281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29.9722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狗脚湾村民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21户居民，约55人</w:t>
            </w:r>
          </w:p>
        </w:tc>
        <w:tc>
          <w:tcPr>
            <w:tcW w:w="863" w:type="dxa"/>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西南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2395-2733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90" w:hRule="atLeast"/>
          <w:jc w:val="center"/>
        </w:trPr>
        <w:tc>
          <w:tcPr>
            <w:tcW w:w="28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Style w:val="135"/>
                <w:rFonts w:hint="default" w:ascii="Times New Roman" w:hAnsi="Times New Roman" w:eastAsia="宋体" w:cs="Times New Roman"/>
                <w:color w:val="auto"/>
                <w:sz w:val="21"/>
                <w:szCs w:val="21"/>
                <w:lang w:val="en-US" w:eastAsia="zh-CN"/>
              </w:rPr>
            </w:pPr>
            <w:r>
              <w:rPr>
                <w:rStyle w:val="135"/>
                <w:rFonts w:hint="eastAsia" w:ascii="Times New Roman" w:hAnsi="Times New Roman" w:eastAsia="宋体" w:cs="Times New Roman"/>
                <w:color w:val="auto"/>
                <w:sz w:val="21"/>
                <w:szCs w:val="21"/>
                <w:lang w:val="en-US" w:eastAsia="zh-CN"/>
              </w:rPr>
              <w:t>73</w:t>
            </w:r>
          </w:p>
        </w:tc>
        <w:tc>
          <w:tcPr>
            <w:tcW w:w="724"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田坝村</w:t>
            </w:r>
          </w:p>
        </w:tc>
        <w:tc>
          <w:tcPr>
            <w:tcW w:w="646"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103.4331 </w:t>
            </w:r>
          </w:p>
        </w:tc>
        <w:tc>
          <w:tcPr>
            <w:tcW w:w="599"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 xml:space="preserve">29.9688 </w:t>
            </w:r>
          </w:p>
        </w:tc>
        <w:tc>
          <w:tcPr>
            <w:tcW w:w="745"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田坝村村民</w:t>
            </w:r>
          </w:p>
        </w:tc>
        <w:tc>
          <w:tcPr>
            <w:tcW w:w="7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43户居民，约120人</w:t>
            </w:r>
          </w:p>
        </w:tc>
        <w:tc>
          <w:tcPr>
            <w:tcW w:w="863" w:type="dxa"/>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西南</w:t>
            </w:r>
          </w:p>
        </w:tc>
        <w:tc>
          <w:tcPr>
            <w:tcW w:w="707" w:type="pct"/>
            <w:noWrap w:val="0"/>
            <w:vAlign w:val="center"/>
          </w:tcPr>
          <w:p>
            <w:pPr>
              <w:pStyle w:val="13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2507-2797</w:t>
            </w:r>
          </w:p>
        </w:tc>
      </w:tr>
    </w:tbl>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lang w:eastAsia="zh-CN"/>
        </w:rPr>
        <w:t>）其他</w:t>
      </w:r>
      <w:r>
        <w:rPr>
          <w:rFonts w:hint="eastAsia" w:ascii="Times New Roman" w:hAnsi="Times New Roman" w:eastAsia="宋体"/>
          <w:color w:val="auto"/>
          <w:sz w:val="24"/>
          <w:szCs w:val="24"/>
        </w:rPr>
        <w:t>环境保护目标</w:t>
      </w:r>
    </w:p>
    <w:p>
      <w:pPr>
        <w:jc w:val="center"/>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表1</w:t>
      </w:r>
      <w:r>
        <w:rPr>
          <w:rFonts w:hint="eastAsia" w:ascii="Times New Roman" w:hAnsi="Times New Roman" w:eastAsia="宋体" w:cs="Times New Roman"/>
          <w:b/>
          <w:color w:val="auto"/>
          <w:sz w:val="21"/>
          <w:szCs w:val="21"/>
        </w:rPr>
        <w:t>.7</w:t>
      </w:r>
      <w:r>
        <w:rPr>
          <w:rFonts w:ascii="Times New Roman" w:hAnsi="Times New Roman" w:eastAsia="宋体" w:cs="Times New Roman"/>
          <w:b/>
          <w:color w:val="auto"/>
          <w:sz w:val="21"/>
          <w:szCs w:val="21"/>
        </w:rPr>
        <w:t>-</w:t>
      </w:r>
      <w:r>
        <w:rPr>
          <w:rFonts w:hint="eastAsia" w:ascii="Times New Roman" w:hAnsi="Times New Roman" w:eastAsia="宋体" w:cs="Times New Roman"/>
          <w:b/>
          <w:color w:val="auto"/>
          <w:sz w:val="21"/>
          <w:szCs w:val="21"/>
          <w:lang w:val="en-US" w:eastAsia="zh-CN"/>
        </w:rPr>
        <w:t xml:space="preserve">2  </w:t>
      </w:r>
      <w:r>
        <w:rPr>
          <w:rFonts w:hint="eastAsia" w:ascii="Times New Roman" w:hAnsi="Times New Roman" w:eastAsia="宋体" w:cs="Times New Roman"/>
          <w:b/>
          <w:color w:val="auto"/>
          <w:sz w:val="21"/>
          <w:szCs w:val="21"/>
        </w:rPr>
        <w:t>项目噪声、地表水、地下水主要环境保护目标</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6"/>
        <w:gridCol w:w="875"/>
        <w:gridCol w:w="372"/>
        <w:gridCol w:w="553"/>
        <w:gridCol w:w="813"/>
        <w:gridCol w:w="1387"/>
        <w:gridCol w:w="39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6" w:type="dxa"/>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环境要素</w:t>
            </w:r>
          </w:p>
        </w:tc>
        <w:tc>
          <w:tcPr>
            <w:tcW w:w="1247" w:type="dxa"/>
            <w:gridSpan w:val="2"/>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保护目标</w:t>
            </w:r>
          </w:p>
        </w:tc>
        <w:tc>
          <w:tcPr>
            <w:tcW w:w="1366" w:type="dxa"/>
            <w:gridSpan w:val="2"/>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相对位置</w:t>
            </w:r>
          </w:p>
        </w:tc>
        <w:tc>
          <w:tcPr>
            <w:tcW w:w="1387" w:type="dxa"/>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szCs w:val="21"/>
                <w:lang w:val="en-US" w:eastAsia="zh-CN"/>
              </w:rPr>
              <w:t>性质及规模</w:t>
            </w:r>
          </w:p>
        </w:tc>
        <w:tc>
          <w:tcPr>
            <w:tcW w:w="3904" w:type="dxa"/>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szCs w:val="21"/>
                <w:lang w:val="en-US" w:eastAsia="zh-CN"/>
              </w:rPr>
              <w:t>保护级别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1316" w:type="dxa"/>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声环境</w:t>
            </w:r>
          </w:p>
        </w:tc>
        <w:tc>
          <w:tcPr>
            <w:tcW w:w="4000" w:type="dxa"/>
            <w:gridSpan w:val="5"/>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厂界周边200m内1户居民</w:t>
            </w:r>
          </w:p>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（东北侧84m处）</w:t>
            </w:r>
          </w:p>
        </w:tc>
        <w:tc>
          <w:tcPr>
            <w:tcW w:w="3904" w:type="dxa"/>
            <w:vAlign w:val="center"/>
          </w:tcPr>
          <w:p>
            <w:pPr>
              <w:keepNext w:val="0"/>
              <w:keepLines w:val="0"/>
              <w:pageBreakBefore w:val="0"/>
              <w:kinsoku/>
              <w:wordWrap/>
              <w:overflowPunct/>
              <w:topLinePunct w:val="0"/>
              <w:autoSpaceDE/>
              <w:autoSpaceDN/>
              <w:bidi w:val="0"/>
              <w:adjustRightInd/>
              <w:snapToGrid/>
              <w:jc w:val="left"/>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《声环境质量标准》GB3096-2008 中 2 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6" w:type="dxa"/>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地表水环境</w:t>
            </w:r>
          </w:p>
        </w:tc>
        <w:tc>
          <w:tcPr>
            <w:tcW w:w="875" w:type="dxa"/>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安溪河</w:t>
            </w:r>
          </w:p>
        </w:tc>
        <w:tc>
          <w:tcPr>
            <w:tcW w:w="925" w:type="dxa"/>
            <w:gridSpan w:val="2"/>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Cs w:val="21"/>
                <w:highlight w:val="green"/>
                <w:lang w:val="en-US" w:eastAsia="zh-CN"/>
              </w:rPr>
            </w:pPr>
            <w:r>
              <w:rPr>
                <w:rFonts w:hint="eastAsia" w:ascii="Times New Roman" w:hAnsi="Times New Roman" w:eastAsia="宋体" w:cs="Times New Roman"/>
                <w:color w:val="auto"/>
                <w:szCs w:val="21"/>
                <w:highlight w:val="none"/>
                <w:lang w:val="en-US" w:eastAsia="zh-CN"/>
              </w:rPr>
              <w:t>项目西南侧</w:t>
            </w:r>
          </w:p>
        </w:tc>
        <w:tc>
          <w:tcPr>
            <w:tcW w:w="813" w:type="dxa"/>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2.5km</w:t>
            </w:r>
          </w:p>
        </w:tc>
        <w:tc>
          <w:tcPr>
            <w:tcW w:w="1387" w:type="dxa"/>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农灌、泄洪</w:t>
            </w:r>
          </w:p>
        </w:tc>
        <w:tc>
          <w:tcPr>
            <w:tcW w:w="3904" w:type="dxa"/>
            <w:vAlign w:val="center"/>
          </w:tcPr>
          <w:p>
            <w:pPr>
              <w:keepNext w:val="0"/>
              <w:keepLines w:val="0"/>
              <w:pageBreakBefore w:val="0"/>
              <w:kinsoku/>
              <w:wordWrap/>
              <w:overflowPunct/>
              <w:topLinePunct w:val="0"/>
              <w:autoSpaceDE/>
              <w:autoSpaceDN/>
              <w:bidi w:val="0"/>
              <w:adjustRightInd/>
              <w:snapToGrid/>
              <w:jc w:val="left"/>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达到《地表水环境质量标准》 （GB3838-2002）中的Ⅲ类水域标准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6" w:type="dxa"/>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地下水环境</w:t>
            </w:r>
          </w:p>
        </w:tc>
        <w:tc>
          <w:tcPr>
            <w:tcW w:w="4000" w:type="dxa"/>
            <w:gridSpan w:val="5"/>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周围农户、地下水取水井</w:t>
            </w:r>
          </w:p>
        </w:tc>
        <w:tc>
          <w:tcPr>
            <w:tcW w:w="3904" w:type="dxa"/>
            <w:vAlign w:val="center"/>
          </w:tcPr>
          <w:p>
            <w:pPr>
              <w:keepNext w:val="0"/>
              <w:keepLines w:val="0"/>
              <w:pageBreakBefore w:val="0"/>
              <w:kinsoku/>
              <w:wordWrap/>
              <w:overflowPunct/>
              <w:topLinePunct w:val="0"/>
              <w:autoSpaceDE/>
              <w:autoSpaceDN/>
              <w:bidi w:val="0"/>
              <w:adjustRightInd/>
              <w:snapToGrid/>
              <w:jc w:val="left"/>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《地下水环境质量标准》（GB/T14848-93)中Ⅲ类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6" w:type="dxa"/>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土壤</w:t>
            </w:r>
          </w:p>
        </w:tc>
        <w:tc>
          <w:tcPr>
            <w:tcW w:w="4000" w:type="dxa"/>
            <w:gridSpan w:val="5"/>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项目周围50m范围</w:t>
            </w:r>
          </w:p>
        </w:tc>
        <w:tc>
          <w:tcPr>
            <w:tcW w:w="3904" w:type="dxa"/>
            <w:vAlign w:val="center"/>
          </w:tcPr>
          <w:p>
            <w:pPr>
              <w:keepNext w:val="0"/>
              <w:keepLines w:val="0"/>
              <w:pageBreakBefore w:val="0"/>
              <w:kinsoku/>
              <w:wordWrap/>
              <w:overflowPunct/>
              <w:topLinePunct w:val="0"/>
              <w:autoSpaceDE/>
              <w:autoSpaceDN/>
              <w:bidi w:val="0"/>
              <w:adjustRightInd/>
              <w:snapToGrid/>
              <w:jc w:val="left"/>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《土壤环境质量农用地土壤污染风险管控标准（试行）》 （GB15618-2018）中农用地筛选值和管控制</w:t>
            </w:r>
          </w:p>
        </w:tc>
      </w:tr>
    </w:tbl>
    <w:p>
      <w:pPr>
        <w:adjustRightInd w:val="0"/>
        <w:snapToGrid w:val="0"/>
        <w:spacing w:line="360" w:lineRule="auto"/>
        <w:rPr>
          <w:rFonts w:hint="eastAsia" w:ascii="Times New Roman" w:hAnsi="Times New Roman" w:eastAsia="宋体"/>
          <w:color w:val="auto"/>
          <w:sz w:val="24"/>
          <w:szCs w:val="24"/>
        </w:rPr>
      </w:pPr>
    </w:p>
    <w:p>
      <w:pPr>
        <w:pStyle w:val="5"/>
        <w:adjustRightInd w:val="0"/>
        <w:snapToGrid w:val="0"/>
        <w:spacing w:before="0" w:after="0" w:line="360" w:lineRule="auto"/>
        <w:rPr>
          <w:rFonts w:ascii="Times New Roman" w:hAnsi="Times New Roman" w:eastAsia="宋体"/>
          <w:color w:val="auto"/>
          <w:sz w:val="30"/>
          <w:szCs w:val="30"/>
        </w:rPr>
      </w:pPr>
      <w:bookmarkStart w:id="57" w:name="_Toc11318"/>
      <w:bookmarkStart w:id="58" w:name="_Toc25690"/>
      <w:bookmarkStart w:id="59" w:name="_Toc459118383"/>
      <w:r>
        <w:rPr>
          <w:rFonts w:hint="eastAsia" w:ascii="Times New Roman" w:hAnsi="Times New Roman" w:eastAsia="宋体"/>
          <w:color w:val="auto"/>
          <w:sz w:val="30"/>
          <w:szCs w:val="30"/>
        </w:rPr>
        <w:t>1.</w:t>
      </w:r>
      <w:bookmarkEnd w:id="57"/>
      <w:bookmarkStart w:id="60" w:name="_Toc5460"/>
      <w:r>
        <w:rPr>
          <w:rFonts w:hint="eastAsia" w:ascii="Times New Roman" w:hAnsi="Times New Roman" w:eastAsia="宋体"/>
          <w:color w:val="auto"/>
          <w:sz w:val="30"/>
          <w:szCs w:val="30"/>
          <w:lang w:val="en-US" w:eastAsia="zh-CN"/>
        </w:rPr>
        <w:t>8</w:t>
      </w:r>
      <w:r>
        <w:rPr>
          <w:rFonts w:hint="eastAsia" w:ascii="Times New Roman" w:hAnsi="Times New Roman" w:eastAsia="宋体"/>
          <w:color w:val="auto"/>
          <w:sz w:val="30"/>
          <w:szCs w:val="30"/>
        </w:rPr>
        <w:t>选址合理性分析</w:t>
      </w:r>
      <w:bookmarkEnd w:id="58"/>
      <w:bookmarkEnd w:id="60"/>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对照《畜禽养殖业污染防治技术规范》（HJ</w:t>
      </w:r>
      <w:r>
        <w:rPr>
          <w:rFonts w:hint="eastAsia" w:ascii="Times New Roman" w:hAnsi="Times New Roman" w:eastAsia="宋体"/>
          <w:color w:val="auto"/>
          <w:sz w:val="24"/>
          <w:szCs w:val="24"/>
          <w:lang w:val="en-US" w:eastAsia="zh-CN"/>
        </w:rPr>
        <w:t>/T81</w:t>
      </w:r>
      <w:r>
        <w:rPr>
          <w:rFonts w:hint="eastAsia" w:ascii="Times New Roman" w:hAnsi="Times New Roman" w:eastAsia="宋体"/>
          <w:color w:val="auto"/>
          <w:sz w:val="24"/>
          <w:szCs w:val="24"/>
        </w:rPr>
        <w:t>-200</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）、《四川省饮用水水源保护管理条例》（NO:SC080963）、《饮用水源保护区划分技术规范》（HJ/T338-2007）及其他法律法规的要求，畜禽养殖业项目选址的环境制约因素有以下几点：</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1、禁止在城市和城镇居民区，包括文教科研区、医疗区、商业区、工业区、游览区等人口集中地区建设畜禽养殖场；</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2、禁止在生活饮用水水源保护区（包括地表水源保护区和地下水源保护区）、风景名胜区、自然保护区的核心区及缓冲区建设畜禽养殖场；</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3、禁止在县级人民政府依法划定的禁养区域建设畜禽养殖场；</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4、禁止在国家或地方法律、法规规定需特殊保护的其它区域建设畜禽养殖场；</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5、养殖场建设用地应符合当地村镇发展规划和土地利用规划及种猪生产要求；</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6、养殖场应建在地势高、干燥、背风向阳、排水良好、符合防疫要求；</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7、养殖场水源充足、水质应符合 NY 5027 的规定；</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8、符合《畜禽养殖场环境质量标准》；</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9、粪便贮存设施的位置必须远离各类功能地表水体（距离不得小于400m），并应设在养殖场生产及</w:t>
      </w:r>
      <w:r>
        <w:rPr>
          <w:rFonts w:hint="eastAsia" w:ascii="Times New Roman" w:hAnsi="Times New Roman" w:eastAsia="宋体"/>
          <w:color w:val="auto"/>
          <w:sz w:val="24"/>
          <w:szCs w:val="24"/>
          <w:lang w:eastAsia="zh-CN"/>
        </w:rPr>
        <w:t>生活办公区</w:t>
      </w:r>
      <w:r>
        <w:rPr>
          <w:rFonts w:hint="eastAsia" w:ascii="Times New Roman" w:hAnsi="Times New Roman" w:eastAsia="宋体"/>
          <w:color w:val="auto"/>
          <w:sz w:val="24"/>
          <w:szCs w:val="24"/>
        </w:rPr>
        <w:t>的常年主导风向的下风向或侧风向处。</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针对以上几点，本次评价对项目选址进行合理性分析，具体如下：</w:t>
      </w:r>
    </w:p>
    <w:p>
      <w:pPr>
        <w:jc w:val="center"/>
        <w:rPr>
          <w:rFonts w:ascii="Times New Roman" w:hAnsi="Times New Roman" w:eastAsia="宋体" w:cs="Times New Roman"/>
          <w:b/>
          <w:color w:val="auto"/>
          <w:sz w:val="21"/>
          <w:szCs w:val="21"/>
        </w:rPr>
      </w:pPr>
    </w:p>
    <w:p>
      <w:pPr>
        <w:jc w:val="center"/>
        <w:rPr>
          <w:rFonts w:hint="default" w:ascii="Times New Roman" w:hAnsi="Times New Roman" w:eastAsia="宋体" w:cs="Times New Roman"/>
          <w:b/>
          <w:color w:val="auto"/>
          <w:sz w:val="21"/>
          <w:szCs w:val="21"/>
          <w:lang w:val="en-US"/>
        </w:rPr>
      </w:pPr>
      <w:r>
        <w:rPr>
          <w:rFonts w:ascii="Times New Roman" w:hAnsi="Times New Roman" w:eastAsia="宋体" w:cs="Times New Roman"/>
          <w:b/>
          <w:color w:val="auto"/>
          <w:sz w:val="21"/>
          <w:szCs w:val="21"/>
        </w:rPr>
        <w:t>表1</w:t>
      </w:r>
      <w:r>
        <w:rPr>
          <w:rFonts w:hint="eastAsia" w:ascii="Times New Roman" w:hAnsi="Times New Roman" w:eastAsia="宋体" w:cs="Times New Roman"/>
          <w:b/>
          <w:color w:val="auto"/>
          <w:sz w:val="21"/>
          <w:szCs w:val="21"/>
        </w:rPr>
        <w:t>.</w:t>
      </w:r>
      <w:r>
        <w:rPr>
          <w:rFonts w:hint="eastAsia" w:ascii="Times New Roman" w:hAnsi="Times New Roman" w:eastAsia="宋体" w:cs="Times New Roman"/>
          <w:b/>
          <w:color w:val="auto"/>
          <w:sz w:val="21"/>
          <w:szCs w:val="21"/>
          <w:lang w:val="en-US" w:eastAsia="zh-CN"/>
        </w:rPr>
        <w:t>8</w:t>
      </w:r>
      <w:r>
        <w:rPr>
          <w:rFonts w:ascii="Times New Roman" w:hAnsi="Times New Roman" w:eastAsia="宋体" w:cs="Times New Roman"/>
          <w:b/>
          <w:color w:val="auto"/>
          <w:sz w:val="21"/>
          <w:szCs w:val="21"/>
        </w:rPr>
        <w:t>-</w:t>
      </w:r>
      <w:r>
        <w:rPr>
          <w:rFonts w:hint="eastAsia" w:ascii="Times New Roman" w:hAnsi="Times New Roman" w:eastAsia="宋体" w:cs="Times New Roman"/>
          <w:b/>
          <w:color w:val="auto"/>
          <w:sz w:val="21"/>
          <w:szCs w:val="21"/>
          <w:lang w:val="en-US" w:eastAsia="zh-CN"/>
        </w:rPr>
        <w:t>1  厂区选址合理性分析</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9"/>
        <w:gridCol w:w="3851"/>
        <w:gridCol w:w="3889"/>
        <w:gridCol w:w="7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9" w:type="dxa"/>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序号</w:t>
            </w:r>
          </w:p>
        </w:tc>
        <w:tc>
          <w:tcPr>
            <w:tcW w:w="3851" w:type="dxa"/>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有关选址的具体规定与要求</w:t>
            </w:r>
          </w:p>
        </w:tc>
        <w:tc>
          <w:tcPr>
            <w:tcW w:w="3889" w:type="dxa"/>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本项目情况</w:t>
            </w:r>
          </w:p>
        </w:tc>
        <w:tc>
          <w:tcPr>
            <w:tcW w:w="721" w:type="dxa"/>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9" w:type="dxa"/>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p>
        </w:tc>
        <w:tc>
          <w:tcPr>
            <w:tcW w:w="3851" w:type="dxa"/>
            <w:vAlign w:val="center"/>
          </w:tcPr>
          <w:p>
            <w:pPr>
              <w:keepNext w:val="0"/>
              <w:keepLines w:val="0"/>
              <w:pageBreakBefore w:val="0"/>
              <w:kinsoku/>
              <w:wordWrap/>
              <w:overflowPunct/>
              <w:topLinePunct w:val="0"/>
              <w:autoSpaceDE/>
              <w:autoSpaceDN/>
              <w:bidi w:val="0"/>
              <w:adjustRightInd/>
              <w:snapToGrid/>
              <w:jc w:val="left"/>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禁止在城市和城镇居民区，包括文教科研区、医疗区、商业区、工业区、游览区等人口集中地区建设畜禽养殖场；</w:t>
            </w:r>
          </w:p>
        </w:tc>
        <w:tc>
          <w:tcPr>
            <w:tcW w:w="3889" w:type="dxa"/>
            <w:vAlign w:val="center"/>
          </w:tcPr>
          <w:p>
            <w:pPr>
              <w:keepNext w:val="0"/>
              <w:keepLines w:val="0"/>
              <w:pageBreakBefore w:val="0"/>
              <w:kinsoku/>
              <w:wordWrap/>
              <w:overflowPunct/>
              <w:topLinePunct w:val="0"/>
              <w:autoSpaceDE/>
              <w:autoSpaceDN/>
              <w:bidi w:val="0"/>
              <w:adjustRightInd/>
              <w:snapToGrid/>
              <w:jc w:val="left"/>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项目选址于眉山市丹棱县仁美镇镇雄义村，地处农村，不涉及文教科研所、医疗区、商业区、工业区、旅游区等。</w:t>
            </w:r>
          </w:p>
        </w:tc>
        <w:tc>
          <w:tcPr>
            <w:tcW w:w="721" w:type="dxa"/>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9" w:type="dxa"/>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w:t>
            </w:r>
          </w:p>
        </w:tc>
        <w:tc>
          <w:tcPr>
            <w:tcW w:w="3851" w:type="dxa"/>
            <w:vAlign w:val="center"/>
          </w:tcPr>
          <w:p>
            <w:pPr>
              <w:keepNext w:val="0"/>
              <w:keepLines w:val="0"/>
              <w:pageBreakBefore w:val="0"/>
              <w:kinsoku/>
              <w:wordWrap/>
              <w:overflowPunct/>
              <w:topLinePunct w:val="0"/>
              <w:autoSpaceDE/>
              <w:autoSpaceDN/>
              <w:bidi w:val="0"/>
              <w:adjustRightInd/>
              <w:snapToGrid/>
              <w:jc w:val="left"/>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禁止在生活饮用水水源保护区（包括地表水源保护区和地下水源保护区）、风景名胜区、自然保护区的核心区及缓冲区建设畜禽养殖场；</w:t>
            </w:r>
          </w:p>
        </w:tc>
        <w:tc>
          <w:tcPr>
            <w:tcW w:w="3889" w:type="dxa"/>
            <w:vAlign w:val="center"/>
          </w:tcPr>
          <w:p>
            <w:pPr>
              <w:keepNext w:val="0"/>
              <w:keepLines w:val="0"/>
              <w:pageBreakBefore w:val="0"/>
              <w:kinsoku/>
              <w:wordWrap/>
              <w:overflowPunct/>
              <w:topLinePunct w:val="0"/>
              <w:autoSpaceDE/>
              <w:autoSpaceDN/>
              <w:bidi w:val="0"/>
              <w:adjustRightInd/>
              <w:snapToGrid/>
              <w:jc w:val="left"/>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本项目周边500m范围内主要为园地，有零星居民住户，无生活饮用水水源保护区、风景名胜区、自然保护区的核心区及缓冲区。</w:t>
            </w:r>
          </w:p>
        </w:tc>
        <w:tc>
          <w:tcPr>
            <w:tcW w:w="721" w:type="dxa"/>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9" w:type="dxa"/>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w:t>
            </w:r>
          </w:p>
        </w:tc>
        <w:tc>
          <w:tcPr>
            <w:tcW w:w="3851" w:type="dxa"/>
            <w:vAlign w:val="center"/>
          </w:tcPr>
          <w:p>
            <w:pPr>
              <w:keepNext w:val="0"/>
              <w:keepLines w:val="0"/>
              <w:pageBreakBefore w:val="0"/>
              <w:kinsoku/>
              <w:wordWrap/>
              <w:overflowPunct/>
              <w:topLinePunct w:val="0"/>
              <w:autoSpaceDE/>
              <w:autoSpaceDN/>
              <w:bidi w:val="0"/>
              <w:adjustRightInd/>
              <w:snapToGrid/>
              <w:jc w:val="left"/>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禁止在县级人民政府依法划定的禁养区域建设畜禽养殖场；</w:t>
            </w:r>
          </w:p>
        </w:tc>
        <w:tc>
          <w:tcPr>
            <w:tcW w:w="3889" w:type="dxa"/>
            <w:vAlign w:val="center"/>
          </w:tcPr>
          <w:p>
            <w:pPr>
              <w:keepNext w:val="0"/>
              <w:keepLines w:val="0"/>
              <w:pageBreakBefore w:val="0"/>
              <w:kinsoku/>
              <w:wordWrap/>
              <w:overflowPunct/>
              <w:topLinePunct w:val="0"/>
              <w:autoSpaceDE/>
              <w:autoSpaceDN/>
              <w:bidi w:val="0"/>
              <w:adjustRightInd/>
              <w:snapToGrid/>
              <w:jc w:val="left"/>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本项目拟建地不属于县级人民政府依法划定的禁养区。</w:t>
            </w:r>
          </w:p>
        </w:tc>
        <w:tc>
          <w:tcPr>
            <w:tcW w:w="721" w:type="dxa"/>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9" w:type="dxa"/>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w:t>
            </w:r>
          </w:p>
        </w:tc>
        <w:tc>
          <w:tcPr>
            <w:tcW w:w="3851" w:type="dxa"/>
            <w:vAlign w:val="center"/>
          </w:tcPr>
          <w:p>
            <w:pPr>
              <w:keepNext w:val="0"/>
              <w:keepLines w:val="0"/>
              <w:pageBreakBefore w:val="0"/>
              <w:kinsoku/>
              <w:wordWrap/>
              <w:overflowPunct/>
              <w:topLinePunct w:val="0"/>
              <w:autoSpaceDE/>
              <w:autoSpaceDN/>
              <w:bidi w:val="0"/>
              <w:adjustRightInd/>
              <w:snapToGrid/>
              <w:jc w:val="left"/>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禁止在国家或地方法律、法规规定需特殊保护的其它区域建设畜禽养殖场；</w:t>
            </w:r>
          </w:p>
        </w:tc>
        <w:tc>
          <w:tcPr>
            <w:tcW w:w="3889" w:type="dxa"/>
            <w:vAlign w:val="center"/>
          </w:tcPr>
          <w:p>
            <w:pPr>
              <w:keepNext w:val="0"/>
              <w:keepLines w:val="0"/>
              <w:pageBreakBefore w:val="0"/>
              <w:kinsoku/>
              <w:wordWrap/>
              <w:overflowPunct/>
              <w:topLinePunct w:val="0"/>
              <w:autoSpaceDE/>
              <w:autoSpaceDN/>
              <w:bidi w:val="0"/>
              <w:adjustRightInd/>
              <w:snapToGrid/>
              <w:jc w:val="left"/>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本项目拟建地不属于国家或地方法律、法规规定需特殊保护的其他地区。</w:t>
            </w:r>
          </w:p>
        </w:tc>
        <w:tc>
          <w:tcPr>
            <w:tcW w:w="721" w:type="dxa"/>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9" w:type="dxa"/>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w:t>
            </w:r>
          </w:p>
        </w:tc>
        <w:tc>
          <w:tcPr>
            <w:tcW w:w="3851" w:type="dxa"/>
            <w:vAlign w:val="center"/>
          </w:tcPr>
          <w:p>
            <w:pPr>
              <w:keepNext w:val="0"/>
              <w:keepLines w:val="0"/>
              <w:pageBreakBefore w:val="0"/>
              <w:kinsoku/>
              <w:wordWrap/>
              <w:overflowPunct/>
              <w:topLinePunct w:val="0"/>
              <w:autoSpaceDE/>
              <w:autoSpaceDN/>
              <w:bidi w:val="0"/>
              <w:adjustRightInd/>
              <w:snapToGrid/>
              <w:jc w:val="left"/>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养殖场建设用地应符合当地村镇发展规划和土地利用规划及种猪生产要求；</w:t>
            </w:r>
          </w:p>
        </w:tc>
        <w:tc>
          <w:tcPr>
            <w:tcW w:w="3889" w:type="dxa"/>
            <w:vAlign w:val="center"/>
          </w:tcPr>
          <w:p>
            <w:pPr>
              <w:keepNext w:val="0"/>
              <w:keepLines w:val="0"/>
              <w:pageBreakBefore w:val="0"/>
              <w:kinsoku/>
              <w:wordWrap/>
              <w:overflowPunct/>
              <w:topLinePunct w:val="0"/>
              <w:autoSpaceDE/>
              <w:autoSpaceDN/>
              <w:bidi w:val="0"/>
              <w:adjustRightInd/>
              <w:snapToGrid/>
              <w:jc w:val="left"/>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本项目位于农村地区，不在当地场镇规划范围内。</w:t>
            </w:r>
          </w:p>
        </w:tc>
        <w:tc>
          <w:tcPr>
            <w:tcW w:w="721" w:type="dxa"/>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9" w:type="dxa"/>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w:t>
            </w:r>
          </w:p>
        </w:tc>
        <w:tc>
          <w:tcPr>
            <w:tcW w:w="3851" w:type="dxa"/>
            <w:vAlign w:val="center"/>
          </w:tcPr>
          <w:p>
            <w:pPr>
              <w:keepNext w:val="0"/>
              <w:keepLines w:val="0"/>
              <w:pageBreakBefore w:val="0"/>
              <w:kinsoku/>
              <w:wordWrap/>
              <w:overflowPunct/>
              <w:topLinePunct w:val="0"/>
              <w:autoSpaceDE/>
              <w:autoSpaceDN/>
              <w:bidi w:val="0"/>
              <w:adjustRightInd/>
              <w:snapToGrid/>
              <w:jc w:val="left"/>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养殖场应建在地势高、干燥、背风向阳、排水良好、符合防疫要求；</w:t>
            </w:r>
          </w:p>
        </w:tc>
        <w:tc>
          <w:tcPr>
            <w:tcW w:w="3889" w:type="dxa"/>
            <w:vAlign w:val="center"/>
          </w:tcPr>
          <w:p>
            <w:pPr>
              <w:keepNext w:val="0"/>
              <w:keepLines w:val="0"/>
              <w:pageBreakBefore w:val="0"/>
              <w:kinsoku/>
              <w:wordWrap/>
              <w:overflowPunct/>
              <w:topLinePunct w:val="0"/>
              <w:autoSpaceDE/>
              <w:autoSpaceDN/>
              <w:bidi w:val="0"/>
              <w:adjustRightInd/>
              <w:snapToGrid/>
              <w:jc w:val="left"/>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本项目拟建地地势高、地势开阔，干燥、背风向阳、排水良好，符合防疫要求。</w:t>
            </w:r>
          </w:p>
        </w:tc>
        <w:tc>
          <w:tcPr>
            <w:tcW w:w="721" w:type="dxa"/>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9" w:type="dxa"/>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w:t>
            </w:r>
          </w:p>
        </w:tc>
        <w:tc>
          <w:tcPr>
            <w:tcW w:w="3851" w:type="dxa"/>
            <w:vAlign w:val="center"/>
          </w:tcPr>
          <w:p>
            <w:pPr>
              <w:keepNext w:val="0"/>
              <w:keepLines w:val="0"/>
              <w:pageBreakBefore w:val="0"/>
              <w:kinsoku/>
              <w:wordWrap/>
              <w:overflowPunct/>
              <w:topLinePunct w:val="0"/>
              <w:autoSpaceDE/>
              <w:autoSpaceDN/>
              <w:bidi w:val="0"/>
              <w:adjustRightInd/>
              <w:snapToGrid/>
              <w:jc w:val="left"/>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养殖场水源充足、水质应符合 NY 5027 的规定；</w:t>
            </w:r>
          </w:p>
        </w:tc>
        <w:tc>
          <w:tcPr>
            <w:tcW w:w="3889" w:type="dxa"/>
            <w:vAlign w:val="center"/>
          </w:tcPr>
          <w:p>
            <w:pPr>
              <w:keepNext w:val="0"/>
              <w:keepLines w:val="0"/>
              <w:pageBreakBefore w:val="0"/>
              <w:kinsoku/>
              <w:wordWrap/>
              <w:overflowPunct/>
              <w:topLinePunct w:val="0"/>
              <w:autoSpaceDE/>
              <w:autoSpaceDN/>
              <w:bidi w:val="0"/>
              <w:adjustRightInd/>
              <w:snapToGrid/>
              <w:jc w:val="left"/>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项目养殖用水、生活用水通过自建水井给水，水源充足，水质符合 NY 5027 的规定。</w:t>
            </w:r>
          </w:p>
        </w:tc>
        <w:tc>
          <w:tcPr>
            <w:tcW w:w="721" w:type="dxa"/>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9" w:type="dxa"/>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8</w:t>
            </w:r>
          </w:p>
        </w:tc>
        <w:tc>
          <w:tcPr>
            <w:tcW w:w="3851" w:type="dxa"/>
            <w:vAlign w:val="center"/>
          </w:tcPr>
          <w:p>
            <w:pPr>
              <w:keepNext w:val="0"/>
              <w:keepLines w:val="0"/>
              <w:pageBreakBefore w:val="0"/>
              <w:kinsoku/>
              <w:wordWrap/>
              <w:overflowPunct/>
              <w:topLinePunct w:val="0"/>
              <w:autoSpaceDE/>
              <w:autoSpaceDN/>
              <w:bidi w:val="0"/>
              <w:adjustRightInd/>
              <w:snapToGrid/>
              <w:jc w:val="left"/>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符合《畜禽养殖场环境质量标准》；</w:t>
            </w:r>
          </w:p>
        </w:tc>
        <w:tc>
          <w:tcPr>
            <w:tcW w:w="3889" w:type="dxa"/>
            <w:vAlign w:val="center"/>
          </w:tcPr>
          <w:p>
            <w:pPr>
              <w:keepNext w:val="0"/>
              <w:keepLines w:val="0"/>
              <w:pageBreakBefore w:val="0"/>
              <w:kinsoku/>
              <w:wordWrap/>
              <w:overflowPunct/>
              <w:topLinePunct w:val="0"/>
              <w:autoSpaceDE/>
              <w:autoSpaceDN/>
              <w:bidi w:val="0"/>
              <w:adjustRightInd/>
              <w:snapToGrid/>
              <w:jc w:val="left"/>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符合《畜禽养殖场环境质量标准》。</w:t>
            </w:r>
          </w:p>
        </w:tc>
        <w:tc>
          <w:tcPr>
            <w:tcW w:w="721" w:type="dxa"/>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9" w:type="dxa"/>
            <w:vAlign w:val="center"/>
          </w:tcPr>
          <w:p>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w:t>
            </w:r>
          </w:p>
        </w:tc>
        <w:tc>
          <w:tcPr>
            <w:tcW w:w="3851" w:type="dxa"/>
            <w:vAlign w:val="center"/>
          </w:tcPr>
          <w:p>
            <w:pPr>
              <w:keepNext w:val="0"/>
              <w:keepLines w:val="0"/>
              <w:pageBreakBefore w:val="0"/>
              <w:kinsoku/>
              <w:wordWrap/>
              <w:overflowPunct/>
              <w:topLinePunct w:val="0"/>
              <w:autoSpaceDE/>
              <w:autoSpaceDN/>
              <w:bidi w:val="0"/>
              <w:adjustRightInd/>
              <w:snapToGrid/>
              <w:jc w:val="left"/>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粪便贮存设施的位置必须远离各类功能地表水体（距离不得小于 400m），并应设在养殖场生产及生活办公区的常年主导风向的</w:t>
            </w:r>
          </w:p>
        </w:tc>
        <w:tc>
          <w:tcPr>
            <w:tcW w:w="3889" w:type="dxa"/>
            <w:vAlign w:val="center"/>
          </w:tcPr>
          <w:p>
            <w:pPr>
              <w:keepNext w:val="0"/>
              <w:keepLines w:val="0"/>
              <w:pageBreakBefore w:val="0"/>
              <w:kinsoku/>
              <w:wordWrap/>
              <w:overflowPunct/>
              <w:topLinePunct w:val="0"/>
              <w:autoSpaceDE/>
              <w:autoSpaceDN/>
              <w:bidi w:val="0"/>
              <w:adjustRightInd/>
              <w:snapToGrid/>
              <w:jc w:val="left"/>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本项目红线距离最近的主要河流为安溪河约2.5km，粪便贮存设施距离安溪河2.5km；不在安溪河河岸400m的范围内粪便贮存、处理设施位于生产及生活办公区的常年主导风向的下风向。</w:t>
            </w:r>
          </w:p>
        </w:tc>
        <w:tc>
          <w:tcPr>
            <w:tcW w:w="721" w:type="dxa"/>
            <w:vAlign w:val="center"/>
          </w:tcPr>
          <w:p>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符合</w:t>
            </w:r>
          </w:p>
        </w:tc>
      </w:tr>
    </w:tbl>
    <w:p>
      <w:pPr>
        <w:pageBreakBefore w:val="0"/>
        <w:widowControl w:val="0"/>
        <w:kinsoku/>
        <w:wordWrap/>
        <w:overflowPunct/>
        <w:topLinePunct w:val="0"/>
        <w:autoSpaceDE/>
        <w:autoSpaceDN/>
        <w:bidi w:val="0"/>
        <w:snapToGrid w:val="0"/>
        <w:spacing w:line="360" w:lineRule="auto"/>
        <w:ind w:firstLine="480" w:firstLineChars="200"/>
        <w:jc w:val="both"/>
        <w:textAlignment w:val="auto"/>
        <w:rPr>
          <w:rFonts w:hint="default" w:ascii="Times New Roman" w:hAnsi="Times New Roman" w:eastAsia="宋体" w:cs="宋体"/>
          <w:bCs/>
          <w:color w:val="auto"/>
          <w:sz w:val="24"/>
          <w:szCs w:val="24"/>
          <w:lang w:val="en-US" w:eastAsia="zh-CN"/>
        </w:rPr>
      </w:pPr>
      <w:r>
        <w:rPr>
          <w:rFonts w:hint="eastAsia" w:ascii="Times New Roman" w:hAnsi="Times New Roman" w:eastAsia="宋体"/>
          <w:color w:val="auto"/>
          <w:sz w:val="24"/>
          <w:szCs w:val="24"/>
          <w:lang w:eastAsia="zh-CN"/>
        </w:rPr>
        <w:t>项目拟建丹棱县生猪种养循环工程建设项目位于眉山市丹棱县仁美镇雄义村5组，该项目利用土地</w:t>
      </w:r>
      <w:r>
        <w:rPr>
          <w:rFonts w:hint="eastAsia" w:ascii="Times New Roman" w:hAnsi="Times New Roman" w:eastAsia="宋体"/>
          <w:color w:val="auto"/>
          <w:sz w:val="24"/>
          <w:szCs w:val="24"/>
          <w:lang w:val="en-US" w:eastAsia="zh-CN"/>
        </w:rPr>
        <w:t>90亩</w:t>
      </w:r>
      <w:r>
        <w:rPr>
          <w:rFonts w:hint="eastAsia" w:ascii="Times New Roman" w:hAnsi="Times New Roman" w:eastAsia="宋体"/>
          <w:color w:val="auto"/>
          <w:sz w:val="24"/>
          <w:szCs w:val="24"/>
          <w:lang w:eastAsia="zh-CN"/>
        </w:rPr>
        <w:t>，主要</w:t>
      </w:r>
      <w:r>
        <w:rPr>
          <w:rFonts w:hint="eastAsia" w:ascii="Times New Roman" w:hAnsi="Times New Roman" w:eastAsia="宋体" w:cs="宋体"/>
          <w:bCs/>
          <w:color w:val="auto"/>
          <w:sz w:val="24"/>
          <w:szCs w:val="24"/>
          <w:lang w:val="en-US" w:eastAsia="zh-CN"/>
        </w:rPr>
        <w:t>修建育肥舍2栋。</w:t>
      </w:r>
    </w:p>
    <w:p>
      <w:pPr>
        <w:adjustRightInd w:val="0"/>
        <w:snapToGrid w:val="0"/>
        <w:spacing w:line="360" w:lineRule="auto"/>
        <w:ind w:firstLine="480" w:firstLineChars="200"/>
        <w:rPr>
          <w:rFonts w:hint="default" w:ascii="Times New Roman" w:hAnsi="Times New Roman" w:eastAsia="宋体"/>
          <w:color w:val="auto"/>
          <w:sz w:val="24"/>
          <w:szCs w:val="24"/>
          <w:lang w:val="en-US"/>
        </w:rPr>
      </w:pPr>
      <w:r>
        <w:rPr>
          <w:rFonts w:hint="eastAsia" w:ascii="Times New Roman" w:hAnsi="Times New Roman" w:eastAsia="宋体"/>
          <w:color w:val="auto"/>
          <w:sz w:val="24"/>
          <w:szCs w:val="24"/>
        </w:rPr>
        <w:t>根据现场勘查可知，项目猪场拟建厂址四周主要为</w:t>
      </w:r>
      <w:r>
        <w:rPr>
          <w:rFonts w:hint="eastAsia" w:ascii="Times New Roman" w:hAnsi="Times New Roman" w:eastAsia="宋体"/>
          <w:color w:val="auto"/>
          <w:sz w:val="24"/>
          <w:szCs w:val="24"/>
          <w:lang w:eastAsia="zh-CN"/>
        </w:rPr>
        <w:t>园地</w:t>
      </w:r>
      <w:r>
        <w:rPr>
          <w:rFonts w:hint="eastAsia" w:ascii="Times New Roman" w:hAnsi="Times New Roman" w:eastAsia="宋体"/>
          <w:color w:val="auto"/>
          <w:sz w:val="24"/>
          <w:szCs w:val="24"/>
        </w:rPr>
        <w:t>。</w:t>
      </w:r>
      <w:r>
        <w:rPr>
          <w:rFonts w:hint="eastAsia" w:ascii="Times New Roman" w:hAnsi="Times New Roman" w:eastAsia="宋体" w:cs="Times New Roman"/>
          <w:color w:val="auto"/>
          <w:sz w:val="24"/>
          <w:szCs w:val="24"/>
          <w:lang w:val="en-US" w:eastAsia="zh-CN"/>
        </w:rPr>
        <w:t>本项目200m范围内仅有1户居民，该居民位于本项目东北侧84m处，本项目已将该处租赁用作本项目杂物间</w:t>
      </w:r>
      <w:r>
        <w:rPr>
          <w:rFonts w:hint="eastAsia" w:ascii="Times New Roman" w:hAnsi="Times New Roman" w:eastAsia="宋体"/>
          <w:color w:val="auto"/>
          <w:sz w:val="24"/>
          <w:szCs w:val="24"/>
        </w:rPr>
        <w:t>。本项目红线距离最近的主要河流为</w:t>
      </w:r>
      <w:r>
        <w:rPr>
          <w:rFonts w:hint="eastAsia" w:ascii="Times New Roman" w:hAnsi="Times New Roman" w:eastAsia="宋体"/>
          <w:color w:val="auto"/>
          <w:sz w:val="24"/>
          <w:szCs w:val="24"/>
          <w:lang w:eastAsia="zh-CN"/>
        </w:rPr>
        <w:t>安溪河</w:t>
      </w:r>
      <w:r>
        <w:rPr>
          <w:rFonts w:hint="eastAsia" w:ascii="Times New Roman" w:hAnsi="Times New Roman" w:eastAsia="宋体"/>
          <w:color w:val="auto"/>
          <w:sz w:val="24"/>
          <w:szCs w:val="24"/>
        </w:rPr>
        <w:t>约</w:t>
      </w:r>
      <w:r>
        <w:rPr>
          <w:rFonts w:hint="eastAsia" w:ascii="Times New Roman" w:hAnsi="Times New Roman" w:eastAsia="宋体"/>
          <w:color w:val="auto"/>
          <w:sz w:val="24"/>
          <w:szCs w:val="24"/>
          <w:lang w:eastAsia="zh-CN"/>
        </w:rPr>
        <w:t>2.5km</w:t>
      </w:r>
      <w:r>
        <w:rPr>
          <w:rFonts w:hint="eastAsia" w:ascii="Times New Roman" w:hAnsi="Times New Roman" w:eastAsia="宋体"/>
          <w:color w:val="auto"/>
          <w:sz w:val="24"/>
          <w:szCs w:val="24"/>
        </w:rPr>
        <w:t>，粪便贮存设施距离</w:t>
      </w:r>
      <w:r>
        <w:rPr>
          <w:rFonts w:hint="eastAsia" w:ascii="Times New Roman" w:hAnsi="Times New Roman" w:eastAsia="宋体"/>
          <w:color w:val="auto"/>
          <w:sz w:val="24"/>
          <w:szCs w:val="24"/>
          <w:lang w:eastAsia="zh-CN"/>
        </w:rPr>
        <w:t>安溪河</w:t>
      </w:r>
      <w:r>
        <w:rPr>
          <w:rFonts w:hint="eastAsia" w:ascii="Times New Roman" w:hAnsi="Times New Roman" w:eastAsia="宋体"/>
          <w:color w:val="auto"/>
          <w:sz w:val="24"/>
          <w:szCs w:val="24"/>
          <w:lang w:val="en-US" w:eastAsia="zh-CN"/>
        </w:rPr>
        <w:t>2.5k</w:t>
      </w:r>
      <w:r>
        <w:rPr>
          <w:rFonts w:hint="eastAsia" w:ascii="Times New Roman" w:hAnsi="Times New Roman" w:eastAsia="宋体"/>
          <w:color w:val="auto"/>
          <w:sz w:val="24"/>
          <w:szCs w:val="24"/>
        </w:rPr>
        <w:t>m</w:t>
      </w:r>
      <w:r>
        <w:rPr>
          <w:rFonts w:hint="eastAsia" w:ascii="Times New Roman" w:hAnsi="Times New Roman" w:eastAsia="宋体"/>
          <w:color w:val="auto"/>
          <w:sz w:val="24"/>
          <w:szCs w:val="24"/>
          <w:lang w:val="en-US" w:eastAsia="zh-CN"/>
        </w:rPr>
        <w:t>，</w:t>
      </w:r>
      <w:r>
        <w:rPr>
          <w:rFonts w:hint="eastAsia" w:ascii="Times New Roman" w:hAnsi="Times New Roman" w:eastAsia="宋体"/>
          <w:color w:val="auto"/>
          <w:sz w:val="24"/>
          <w:szCs w:val="24"/>
          <w:lang w:eastAsia="zh-CN"/>
        </w:rPr>
        <w:t>安溪河</w:t>
      </w:r>
      <w:r>
        <w:rPr>
          <w:rFonts w:hint="eastAsia" w:ascii="Times New Roman" w:hAnsi="Times New Roman" w:eastAsia="宋体"/>
          <w:color w:val="auto"/>
          <w:sz w:val="24"/>
          <w:szCs w:val="24"/>
          <w:lang w:val="en-US" w:eastAsia="zh-CN"/>
        </w:rPr>
        <w:t>主要功能为灌溉、防洪，不属于饮用水源地；具体外环境关系图见附图3。</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经现场踏勘及相关资料，本养殖场场址不在生活饮用水水源保护区范围；不涉及风景名胜区、自然保护区；不属于城市和城镇居民区等人口集中地区；不属县级人民政府依法划定的禁养区域以及国家或地方法律、法规规定需特殊保护的其它区域。本项目选址不涉及基本农田，不在</w:t>
      </w:r>
      <w:r>
        <w:rPr>
          <w:rFonts w:hint="eastAsia" w:ascii="Times New Roman" w:hAnsi="Times New Roman" w:eastAsia="宋体"/>
          <w:color w:val="auto"/>
          <w:sz w:val="24"/>
          <w:szCs w:val="24"/>
          <w:lang w:eastAsia="zh-CN"/>
        </w:rPr>
        <w:t>东坡区</w:t>
      </w:r>
      <w:r>
        <w:rPr>
          <w:rFonts w:hint="eastAsia" w:ascii="Times New Roman" w:hAnsi="Times New Roman" w:eastAsia="宋体"/>
          <w:color w:val="auto"/>
          <w:sz w:val="24"/>
          <w:szCs w:val="24"/>
        </w:rPr>
        <w:t>禁养区和限养区范围内，项目生猪养殖配套完善的粪污处理系统，实现粪、污水资源化利用，不外排。拟选场址满足《畜禽养殖业污染防治技术规范》（HJ／T81-2001）、《畜禽养殖业污染</w:t>
      </w:r>
      <w:r>
        <w:rPr>
          <w:rFonts w:hint="eastAsia" w:ascii="Times New Roman" w:hAnsi="Times New Roman" w:eastAsia="宋体"/>
          <w:color w:val="auto"/>
          <w:sz w:val="24"/>
          <w:szCs w:val="24"/>
          <w:lang w:eastAsia="zh-CN"/>
        </w:rPr>
        <w:t>治理</w:t>
      </w:r>
      <w:r>
        <w:rPr>
          <w:rFonts w:hint="eastAsia" w:ascii="Times New Roman" w:hAnsi="Times New Roman" w:eastAsia="宋体"/>
          <w:color w:val="auto"/>
          <w:sz w:val="24"/>
          <w:szCs w:val="24"/>
        </w:rPr>
        <w:t>工程技术规范》（HJ497-2009）、《畜禽规模养殖污染防治条例》（2014 年 1 月 1 日）、《动物防疫条件审查办法》（中华人民共和国农业部令 2010 年 第 7 号）等规范中的选址要求。</w:t>
      </w:r>
    </w:p>
    <w:p>
      <w:pPr>
        <w:adjustRightInd w:val="0"/>
        <w:snapToGrid w:val="0"/>
        <w:spacing w:line="360" w:lineRule="auto"/>
        <w:ind w:firstLine="482" w:firstLineChars="200"/>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rPr>
        <w:t>综上所述，评价认为建设单位在按照报告提出的环保要求，与周边外环境相容，符合畜禽养殖要求，选址合理。</w:t>
      </w:r>
    </w:p>
    <w:p>
      <w:pPr>
        <w:pStyle w:val="5"/>
        <w:adjustRightInd w:val="0"/>
        <w:snapToGrid w:val="0"/>
        <w:spacing w:before="0" w:after="0" w:line="360" w:lineRule="auto"/>
        <w:rPr>
          <w:rFonts w:ascii="Times New Roman" w:hAnsi="Times New Roman" w:eastAsia="宋体"/>
          <w:color w:val="auto"/>
          <w:sz w:val="30"/>
          <w:szCs w:val="30"/>
        </w:rPr>
      </w:pPr>
      <w:bookmarkStart w:id="61" w:name="_Toc20823"/>
      <w:bookmarkStart w:id="62" w:name="_Toc26306"/>
      <w:r>
        <w:rPr>
          <w:rFonts w:ascii="Times New Roman" w:hAnsi="Times New Roman" w:eastAsia="宋体"/>
          <w:color w:val="auto"/>
          <w:sz w:val="30"/>
          <w:szCs w:val="30"/>
        </w:rPr>
        <w:t>1.</w:t>
      </w:r>
      <w:r>
        <w:rPr>
          <w:rFonts w:hint="eastAsia" w:ascii="Times New Roman" w:hAnsi="Times New Roman" w:eastAsia="宋体"/>
          <w:color w:val="auto"/>
          <w:sz w:val="30"/>
          <w:szCs w:val="30"/>
          <w:lang w:val="en-US" w:eastAsia="zh-CN"/>
        </w:rPr>
        <w:t>9</w:t>
      </w:r>
      <w:r>
        <w:rPr>
          <w:rFonts w:ascii="Times New Roman" w:hAnsi="Times New Roman" w:eastAsia="宋体"/>
          <w:color w:val="auto"/>
          <w:sz w:val="30"/>
          <w:szCs w:val="30"/>
        </w:rPr>
        <w:t>评价程序</w:t>
      </w:r>
      <w:bookmarkEnd w:id="59"/>
      <w:bookmarkEnd w:id="61"/>
      <w:bookmarkEnd w:id="62"/>
    </w:p>
    <w:p>
      <w:pPr>
        <w:spacing w:line="360" w:lineRule="auto"/>
        <w:ind w:firstLine="480" w:firstLineChars="200"/>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本项目环境影响评价的工作程序详见图1</w:t>
      </w:r>
      <w:r>
        <w:rPr>
          <w:rFonts w:hint="eastAsia"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eastAsia="zh-CN"/>
        </w:rPr>
        <w:t>9</w:t>
      </w:r>
      <w:r>
        <w:rPr>
          <w:rFonts w:ascii="Times New Roman" w:hAnsi="Times New Roman" w:eastAsia="宋体" w:cs="Times New Roman"/>
          <w:color w:val="auto"/>
          <w:sz w:val="24"/>
          <w:szCs w:val="24"/>
        </w:rPr>
        <w:t>-1。</w:t>
      </w:r>
    </w:p>
    <w:p>
      <w:pPr>
        <w:spacing w:line="360" w:lineRule="auto"/>
        <w:jc w:val="center"/>
        <w:rPr>
          <w:rFonts w:ascii="Times New Roman" w:hAnsi="Times New Roman" w:eastAsia="宋体" w:cs="Times New Roman"/>
          <w:color w:val="auto"/>
          <w:sz w:val="24"/>
          <w:szCs w:val="24"/>
        </w:rPr>
      </w:pPr>
      <w:r>
        <w:rPr>
          <w:rFonts w:ascii="Times New Roman" w:hAnsi="Times New Roman" w:eastAsia="宋体"/>
          <w:color w:val="auto"/>
        </w:rPr>
        <w:drawing>
          <wp:inline distT="0" distB="0" distL="114300" distR="114300">
            <wp:extent cx="5621655" cy="6120130"/>
            <wp:effectExtent l="0" t="0" r="17145" b="13970"/>
            <wp:docPr id="11"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0"/>
                    <pic:cNvPicPr>
                      <a:picLocks noChangeAspect="1"/>
                    </pic:cNvPicPr>
                  </pic:nvPicPr>
                  <pic:blipFill>
                    <a:blip r:embed="rId22"/>
                    <a:stretch>
                      <a:fillRect/>
                    </a:stretch>
                  </pic:blipFill>
                  <pic:spPr>
                    <a:xfrm>
                      <a:off x="0" y="0"/>
                      <a:ext cx="5621655" cy="6120130"/>
                    </a:xfrm>
                    <a:prstGeom prst="rect">
                      <a:avLst/>
                    </a:prstGeom>
                    <a:noFill/>
                    <a:ln w="9525">
                      <a:noFill/>
                    </a:ln>
                  </pic:spPr>
                </pic:pic>
              </a:graphicData>
            </a:graphic>
          </wp:inline>
        </w:drawing>
      </w:r>
    </w:p>
    <w:p>
      <w:pPr>
        <w:spacing w:line="360" w:lineRule="auto"/>
        <w:jc w:val="center"/>
        <w:rPr>
          <w:rFonts w:ascii="Times New Roman" w:hAnsi="Times New Roman" w:eastAsia="宋体" w:cs="Times New Roman"/>
          <w:b/>
          <w:color w:val="auto"/>
          <w:sz w:val="24"/>
          <w:szCs w:val="24"/>
        </w:rPr>
      </w:pPr>
      <w:r>
        <w:rPr>
          <w:rFonts w:ascii="Times New Roman" w:hAnsi="Times New Roman" w:eastAsia="宋体" w:cs="Times New Roman"/>
          <w:b/>
          <w:color w:val="auto"/>
          <w:sz w:val="24"/>
          <w:szCs w:val="24"/>
        </w:rPr>
        <w:t>图1</w:t>
      </w:r>
      <w:r>
        <w:rPr>
          <w:rFonts w:hint="eastAsia" w:ascii="Times New Roman" w:hAnsi="Times New Roman" w:eastAsia="宋体" w:cs="Times New Roman"/>
          <w:b/>
          <w:color w:val="auto"/>
          <w:sz w:val="24"/>
          <w:szCs w:val="24"/>
        </w:rPr>
        <w:t>.</w:t>
      </w:r>
      <w:r>
        <w:rPr>
          <w:rFonts w:hint="eastAsia" w:ascii="Times New Roman" w:hAnsi="Times New Roman" w:eastAsia="宋体" w:cs="Times New Roman"/>
          <w:b/>
          <w:color w:val="auto"/>
          <w:sz w:val="24"/>
          <w:szCs w:val="24"/>
          <w:lang w:val="en-US" w:eastAsia="zh-CN"/>
        </w:rPr>
        <w:t>9</w:t>
      </w:r>
      <w:r>
        <w:rPr>
          <w:rFonts w:ascii="Times New Roman" w:hAnsi="Times New Roman" w:eastAsia="宋体" w:cs="Times New Roman"/>
          <w:b/>
          <w:color w:val="auto"/>
          <w:sz w:val="24"/>
          <w:szCs w:val="24"/>
        </w:rPr>
        <w:t>-1  环境影响评价工作程序流程图</w:t>
      </w:r>
    </w:p>
    <w:p>
      <w:pPr>
        <w:spacing w:line="360" w:lineRule="auto"/>
        <w:rPr>
          <w:rFonts w:ascii="Times New Roman" w:hAnsi="Times New Roman" w:eastAsia="宋体" w:cs="Times New Roman"/>
          <w:b/>
          <w:color w:val="auto"/>
          <w:kern w:val="44"/>
          <w:sz w:val="32"/>
          <w:szCs w:val="32"/>
        </w:rPr>
      </w:pPr>
      <w:bookmarkStart w:id="63" w:name="_Toc459118408"/>
      <w:r>
        <w:rPr>
          <w:rFonts w:ascii="Times New Roman" w:hAnsi="Times New Roman" w:eastAsia="宋体" w:cs="Times New Roman"/>
          <w:color w:val="auto"/>
          <w:sz w:val="32"/>
          <w:szCs w:val="32"/>
        </w:rPr>
        <w:br w:type="page"/>
      </w:r>
    </w:p>
    <w:p>
      <w:pPr>
        <w:pStyle w:val="4"/>
        <w:adjustRightInd w:val="0"/>
        <w:snapToGrid w:val="0"/>
        <w:spacing w:line="360" w:lineRule="auto"/>
        <w:jc w:val="center"/>
        <w:rPr>
          <w:rFonts w:ascii="Times New Roman" w:hAnsi="Times New Roman" w:eastAsia="宋体"/>
          <w:color w:val="auto"/>
          <w:sz w:val="32"/>
          <w:szCs w:val="32"/>
        </w:rPr>
      </w:pPr>
      <w:bookmarkStart w:id="64" w:name="_Toc24747"/>
      <w:bookmarkStart w:id="65" w:name="_Toc6980"/>
      <w:r>
        <w:rPr>
          <w:rFonts w:hint="eastAsia" w:ascii="Times New Roman" w:hAnsi="Times New Roman" w:eastAsia="宋体"/>
          <w:color w:val="auto"/>
          <w:sz w:val="32"/>
          <w:szCs w:val="32"/>
        </w:rPr>
        <w:t>2</w:t>
      </w:r>
      <w:r>
        <w:rPr>
          <w:rFonts w:ascii="Times New Roman" w:hAnsi="Times New Roman" w:eastAsia="宋体"/>
          <w:color w:val="auto"/>
          <w:sz w:val="32"/>
          <w:szCs w:val="32"/>
        </w:rPr>
        <w:t>工程概况</w:t>
      </w:r>
      <w:bookmarkEnd w:id="63"/>
      <w:bookmarkEnd w:id="64"/>
      <w:bookmarkEnd w:id="65"/>
    </w:p>
    <w:p>
      <w:pPr>
        <w:pStyle w:val="5"/>
        <w:adjustRightInd w:val="0"/>
        <w:snapToGrid w:val="0"/>
        <w:spacing w:before="0" w:after="0" w:line="360" w:lineRule="auto"/>
        <w:rPr>
          <w:rFonts w:ascii="Times New Roman" w:hAnsi="Times New Roman" w:eastAsia="宋体"/>
          <w:color w:val="auto"/>
          <w:sz w:val="30"/>
          <w:szCs w:val="30"/>
        </w:rPr>
      </w:pPr>
      <w:bookmarkStart w:id="66" w:name="_Toc459118409"/>
      <w:bookmarkStart w:id="67" w:name="_Toc17659"/>
      <w:bookmarkStart w:id="68" w:name="_Toc11335"/>
      <w:r>
        <w:rPr>
          <w:rFonts w:hint="eastAsia" w:ascii="Times New Roman" w:hAnsi="Times New Roman" w:eastAsia="宋体"/>
          <w:color w:val="auto"/>
          <w:sz w:val="30"/>
          <w:szCs w:val="30"/>
        </w:rPr>
        <w:t>2</w:t>
      </w:r>
      <w:r>
        <w:rPr>
          <w:rFonts w:ascii="Times New Roman" w:hAnsi="Times New Roman" w:eastAsia="宋体"/>
          <w:color w:val="auto"/>
          <w:sz w:val="30"/>
          <w:szCs w:val="30"/>
        </w:rPr>
        <w:t>.1</w:t>
      </w:r>
      <w:bookmarkEnd w:id="66"/>
      <w:r>
        <w:rPr>
          <w:rFonts w:hint="eastAsia" w:ascii="Times New Roman" w:hAnsi="Times New Roman" w:eastAsia="宋体"/>
          <w:color w:val="auto"/>
          <w:sz w:val="30"/>
          <w:szCs w:val="30"/>
        </w:rPr>
        <w:t>项目基本情况</w:t>
      </w:r>
      <w:bookmarkEnd w:id="67"/>
      <w:bookmarkEnd w:id="68"/>
    </w:p>
    <w:p>
      <w:pPr>
        <w:spacing w:line="360" w:lineRule="auto"/>
        <w:ind w:firstLine="480" w:firstLineChars="200"/>
        <w:rPr>
          <w:rFonts w:hint="eastAsia" w:ascii="Times New Roman" w:hAnsi="Times New Roman" w:eastAsia="宋体" w:cs="Times New Roman"/>
          <w:color w:val="auto"/>
          <w:sz w:val="24"/>
          <w:szCs w:val="24"/>
          <w:lang w:eastAsia="zh-CN"/>
        </w:rPr>
      </w:pPr>
      <w:r>
        <w:rPr>
          <w:rFonts w:ascii="Times New Roman" w:hAnsi="Times New Roman" w:eastAsia="宋体" w:cs="Times New Roman"/>
          <w:color w:val="auto"/>
          <w:sz w:val="24"/>
          <w:szCs w:val="24"/>
        </w:rPr>
        <w:t>项目名称：</w:t>
      </w:r>
      <w:r>
        <w:rPr>
          <w:rFonts w:hint="eastAsia" w:ascii="Times New Roman" w:hAnsi="Times New Roman" w:eastAsia="宋体" w:cs="Times New Roman"/>
          <w:color w:val="auto"/>
          <w:sz w:val="24"/>
          <w:szCs w:val="24"/>
          <w:lang w:eastAsia="zh-CN"/>
        </w:rPr>
        <w:t>丹棱县生猪种养循环工程建设项目</w:t>
      </w:r>
    </w:p>
    <w:p>
      <w:pPr>
        <w:spacing w:line="360" w:lineRule="auto"/>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rPr>
        <w:t>建设单位：</w:t>
      </w:r>
      <w:r>
        <w:rPr>
          <w:rFonts w:hint="eastAsia" w:ascii="Times New Roman" w:hAnsi="Times New Roman" w:eastAsia="宋体" w:cs="Times New Roman"/>
          <w:color w:val="auto"/>
          <w:sz w:val="24"/>
          <w:szCs w:val="24"/>
          <w:lang w:eastAsia="zh-CN"/>
        </w:rPr>
        <w:t>四川省丹橙现代果业有限公司</w:t>
      </w:r>
    </w:p>
    <w:p>
      <w:pPr>
        <w:spacing w:line="360" w:lineRule="auto"/>
        <w:ind w:firstLine="480" w:firstLineChars="200"/>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建设地点：</w:t>
      </w:r>
      <w:r>
        <w:rPr>
          <w:rFonts w:hint="eastAsia" w:ascii="Times New Roman" w:hAnsi="Times New Roman" w:eastAsia="宋体" w:cs="Times New Roman"/>
          <w:color w:val="auto"/>
          <w:sz w:val="24"/>
          <w:szCs w:val="24"/>
          <w:lang w:eastAsia="zh-CN"/>
        </w:rPr>
        <w:t>眉山市丹棱县仁美镇雄义村5组</w:t>
      </w:r>
      <w:r>
        <w:rPr>
          <w:rFonts w:ascii="Times New Roman" w:hAnsi="Times New Roman" w:eastAsia="宋体" w:cs="Times New Roman"/>
          <w:color w:val="auto"/>
          <w:sz w:val="24"/>
          <w:szCs w:val="24"/>
        </w:rPr>
        <w:t>，厂址</w:t>
      </w:r>
      <w:r>
        <w:rPr>
          <w:rFonts w:hint="eastAsia" w:ascii="Times New Roman" w:hAnsi="Times New Roman" w:eastAsia="宋体" w:cs="Times New Roman"/>
          <w:color w:val="auto"/>
          <w:sz w:val="24"/>
          <w:szCs w:val="24"/>
        </w:rPr>
        <w:t>中心</w:t>
      </w:r>
      <w:r>
        <w:rPr>
          <w:rFonts w:ascii="Times New Roman" w:hAnsi="Times New Roman" w:eastAsia="宋体" w:cs="Times New Roman"/>
          <w:color w:val="auto"/>
          <w:sz w:val="24"/>
          <w:szCs w:val="24"/>
        </w:rPr>
        <w:t>地理位置为东经</w:t>
      </w:r>
      <w:r>
        <w:rPr>
          <w:rFonts w:hint="eastAsia" w:ascii="Times New Roman" w:hAnsi="Times New Roman" w:eastAsia="宋体" w:cs="Times New Roman"/>
          <w:color w:val="auto"/>
          <w:sz w:val="24"/>
          <w:szCs w:val="24"/>
          <w:lang w:eastAsia="zh-CN"/>
        </w:rPr>
        <w:t>103.444013</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，北纬</w:t>
      </w:r>
      <w:r>
        <w:rPr>
          <w:rFonts w:hint="eastAsia" w:ascii="Times New Roman" w:hAnsi="Times New Roman" w:eastAsia="宋体" w:cs="Times New Roman"/>
          <w:color w:val="auto"/>
          <w:sz w:val="24"/>
          <w:szCs w:val="24"/>
          <w:lang w:val="en-US" w:eastAsia="zh-CN"/>
        </w:rPr>
        <w:t>29.991998</w:t>
      </w:r>
      <w:r>
        <w:rPr>
          <w:rFonts w:hint="eastAsia" w:ascii="Times New Roman" w:hAnsi="Times New Roman" w:eastAsia="宋体" w:cs="Times New Roman"/>
          <w:color w:val="auto"/>
          <w:sz w:val="24"/>
          <w:szCs w:val="24"/>
        </w:rPr>
        <w:t>°。</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项目</w:t>
      </w:r>
      <w:r>
        <w:rPr>
          <w:rFonts w:ascii="Times New Roman" w:hAnsi="Times New Roman" w:eastAsia="宋体" w:cs="Times New Roman"/>
          <w:color w:val="auto"/>
          <w:sz w:val="24"/>
          <w:szCs w:val="24"/>
        </w:rPr>
        <w:t>性质：</w:t>
      </w:r>
      <w:r>
        <w:rPr>
          <w:rFonts w:hint="eastAsia" w:ascii="Times New Roman" w:hAnsi="Times New Roman" w:eastAsia="宋体" w:cs="Times New Roman"/>
          <w:color w:val="auto"/>
          <w:sz w:val="24"/>
          <w:szCs w:val="24"/>
        </w:rPr>
        <w:t>新建</w:t>
      </w:r>
    </w:p>
    <w:p>
      <w:pPr>
        <w:pageBreakBefore w:val="0"/>
        <w:widowControl w:val="0"/>
        <w:kinsoku/>
        <w:wordWrap/>
        <w:overflowPunct/>
        <w:topLinePunct w:val="0"/>
        <w:autoSpaceDE/>
        <w:autoSpaceDN/>
        <w:bidi w:val="0"/>
        <w:snapToGrid w:val="0"/>
        <w:spacing w:line="360" w:lineRule="auto"/>
        <w:ind w:firstLine="480" w:firstLineChars="200"/>
        <w:jc w:val="both"/>
        <w:textAlignment w:val="auto"/>
        <w:rPr>
          <w:rFonts w:hint="default" w:ascii="Times New Roman" w:hAnsi="Times New Roman" w:eastAsia="宋体" w:cs="宋体"/>
          <w:bCs/>
          <w:color w:val="auto"/>
          <w:sz w:val="24"/>
          <w:szCs w:val="24"/>
          <w:lang w:val="en-US" w:eastAsia="zh-CN"/>
        </w:rPr>
      </w:pPr>
      <w:r>
        <w:rPr>
          <w:rFonts w:hint="eastAsia" w:ascii="Times New Roman" w:hAnsi="Times New Roman" w:eastAsia="宋体" w:cs="Times New Roman"/>
          <w:color w:val="auto"/>
          <w:sz w:val="24"/>
          <w:szCs w:val="24"/>
        </w:rPr>
        <w:t>建设规模：</w:t>
      </w:r>
      <w:r>
        <w:rPr>
          <w:rFonts w:hint="eastAsia" w:ascii="Times New Roman" w:hAnsi="Times New Roman" w:eastAsia="宋体" w:cs="Times New Roman"/>
          <w:color w:val="auto"/>
          <w:sz w:val="24"/>
          <w:szCs w:val="24"/>
          <w:lang w:eastAsia="zh-CN"/>
        </w:rPr>
        <w:t>租用土地</w:t>
      </w:r>
      <w:r>
        <w:rPr>
          <w:rFonts w:hint="eastAsia" w:ascii="Times New Roman" w:hAnsi="Times New Roman" w:eastAsia="宋体" w:cs="Times New Roman"/>
          <w:color w:val="auto"/>
          <w:sz w:val="24"/>
          <w:szCs w:val="24"/>
          <w:lang w:val="en-US" w:eastAsia="zh-CN"/>
        </w:rPr>
        <w:t>90亩</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宋体"/>
          <w:bCs/>
          <w:color w:val="auto"/>
          <w:sz w:val="24"/>
          <w:szCs w:val="24"/>
          <w:lang w:val="en-US" w:eastAsia="zh-CN"/>
        </w:rPr>
        <w:t>修建育肥舍2栋（15个单元），办公生活区，以及配套的污粪处理系统，</w:t>
      </w:r>
      <w:r>
        <w:rPr>
          <w:rFonts w:hint="eastAsia" w:ascii="Times New Roman" w:hAnsi="Times New Roman" w:eastAsia="宋体" w:cs="Times New Roman"/>
          <w:color w:val="auto"/>
          <w:sz w:val="24"/>
          <w:szCs w:val="24"/>
          <w:lang w:eastAsia="zh-CN"/>
        </w:rPr>
        <w:t>常年存栏生猪</w:t>
      </w:r>
      <w:r>
        <w:rPr>
          <w:rFonts w:hint="eastAsia" w:ascii="Times New Roman" w:hAnsi="Times New Roman" w:eastAsia="宋体" w:cs="Times New Roman"/>
          <w:color w:val="auto"/>
          <w:sz w:val="24"/>
          <w:szCs w:val="24"/>
          <w:lang w:val="en-US" w:eastAsia="zh-CN"/>
        </w:rPr>
        <w:t>1.5万</w:t>
      </w:r>
      <w:r>
        <w:rPr>
          <w:rFonts w:hint="eastAsia" w:ascii="Times New Roman" w:hAnsi="Times New Roman" w:eastAsia="宋体" w:cs="Times New Roman"/>
          <w:color w:val="auto"/>
          <w:sz w:val="24"/>
          <w:szCs w:val="24"/>
          <w:lang w:eastAsia="zh-CN"/>
        </w:rPr>
        <w:t>头，出栏生猪3万头</w:t>
      </w:r>
      <w:r>
        <w:rPr>
          <w:rFonts w:hint="eastAsia" w:ascii="Times New Roman" w:hAnsi="Times New Roman" w:eastAsia="宋体" w:cs="宋体"/>
          <w:bCs/>
          <w:color w:val="auto"/>
          <w:sz w:val="24"/>
          <w:szCs w:val="24"/>
          <w:lang w:val="en-US" w:eastAsia="zh-CN"/>
        </w:rPr>
        <w:t>。</w:t>
      </w:r>
    </w:p>
    <w:p>
      <w:pPr>
        <w:spacing w:line="360" w:lineRule="auto"/>
        <w:ind w:firstLine="480" w:firstLineChars="200"/>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rPr>
        <w:t>项目投资：项目总投资为</w:t>
      </w:r>
      <w:r>
        <w:rPr>
          <w:rFonts w:hint="eastAsia" w:ascii="Times New Roman" w:hAnsi="Times New Roman" w:eastAsia="宋体" w:cs="Times New Roman"/>
          <w:color w:val="auto"/>
          <w:sz w:val="24"/>
          <w:szCs w:val="24"/>
          <w:lang w:val="en-US" w:eastAsia="zh-CN"/>
        </w:rPr>
        <w:t>12000万元</w:t>
      </w:r>
      <w:r>
        <w:rPr>
          <w:rFonts w:hint="eastAsia" w:ascii="Times New Roman" w:hAnsi="Times New Roman" w:eastAsia="宋体" w:cs="Times New Roman"/>
          <w:color w:val="auto"/>
          <w:sz w:val="24"/>
          <w:szCs w:val="24"/>
        </w:rPr>
        <w:t>，环保投资</w:t>
      </w:r>
      <w:r>
        <w:rPr>
          <w:rFonts w:hint="eastAsia" w:ascii="Times New Roman" w:hAnsi="Times New Roman" w:eastAsia="宋体" w:cs="Times New Roman"/>
          <w:color w:val="auto"/>
          <w:sz w:val="24"/>
          <w:szCs w:val="24"/>
          <w:lang w:val="en-US" w:eastAsia="zh-CN"/>
        </w:rPr>
        <w:t>609.50万</w:t>
      </w:r>
      <w:r>
        <w:rPr>
          <w:rFonts w:hint="eastAsia" w:ascii="Times New Roman" w:hAnsi="Times New Roman" w:eastAsia="宋体" w:cs="Times New Roman"/>
          <w:color w:val="auto"/>
          <w:sz w:val="24"/>
          <w:szCs w:val="24"/>
        </w:rPr>
        <w:t>元</w:t>
      </w:r>
      <w:r>
        <w:rPr>
          <w:rFonts w:hint="eastAsia" w:ascii="Times New Roman" w:hAnsi="Times New Roman" w:eastAsia="宋体" w:cs="Times New Roman"/>
          <w:color w:val="auto"/>
          <w:sz w:val="24"/>
          <w:szCs w:val="24"/>
          <w:lang w:eastAsia="zh-CN"/>
        </w:rPr>
        <w:t>。</w:t>
      </w:r>
    </w:p>
    <w:p>
      <w:pPr>
        <w:pStyle w:val="5"/>
        <w:adjustRightInd w:val="0"/>
        <w:snapToGrid w:val="0"/>
        <w:spacing w:before="0" w:after="0" w:line="360" w:lineRule="auto"/>
        <w:rPr>
          <w:rFonts w:ascii="Times New Roman" w:hAnsi="Times New Roman" w:eastAsia="宋体"/>
          <w:color w:val="auto"/>
          <w:sz w:val="30"/>
          <w:szCs w:val="30"/>
        </w:rPr>
      </w:pPr>
      <w:bookmarkStart w:id="69" w:name="_Toc459118411"/>
      <w:bookmarkStart w:id="70" w:name="_Toc17106"/>
      <w:bookmarkStart w:id="71" w:name="_Toc20890"/>
      <w:r>
        <w:rPr>
          <w:rFonts w:hint="eastAsia" w:ascii="Times New Roman" w:hAnsi="Times New Roman" w:eastAsia="宋体"/>
          <w:color w:val="auto"/>
          <w:sz w:val="30"/>
          <w:szCs w:val="30"/>
        </w:rPr>
        <w:t>2</w:t>
      </w:r>
      <w:r>
        <w:rPr>
          <w:rFonts w:ascii="Times New Roman" w:hAnsi="Times New Roman" w:eastAsia="宋体"/>
          <w:color w:val="auto"/>
          <w:sz w:val="30"/>
          <w:szCs w:val="30"/>
        </w:rPr>
        <w:t>.2</w:t>
      </w:r>
      <w:r>
        <w:rPr>
          <w:rFonts w:hint="eastAsia" w:ascii="Times New Roman" w:hAnsi="Times New Roman" w:eastAsia="宋体"/>
          <w:color w:val="auto"/>
          <w:sz w:val="30"/>
          <w:szCs w:val="30"/>
        </w:rPr>
        <w:t>工程</w:t>
      </w:r>
      <w:r>
        <w:rPr>
          <w:rFonts w:ascii="Times New Roman" w:hAnsi="Times New Roman" w:eastAsia="宋体"/>
          <w:color w:val="auto"/>
          <w:sz w:val="30"/>
          <w:szCs w:val="30"/>
        </w:rPr>
        <w:t>内容</w:t>
      </w:r>
      <w:bookmarkEnd w:id="69"/>
      <w:r>
        <w:rPr>
          <w:rFonts w:hint="eastAsia" w:ascii="Times New Roman" w:hAnsi="Times New Roman" w:eastAsia="宋体"/>
          <w:color w:val="auto"/>
          <w:sz w:val="30"/>
          <w:szCs w:val="30"/>
        </w:rPr>
        <w:t>组成</w:t>
      </w:r>
      <w:bookmarkEnd w:id="70"/>
      <w:bookmarkEnd w:id="71"/>
    </w:p>
    <w:p>
      <w:pPr>
        <w:numPr>
          <w:ilvl w:val="0"/>
          <w:numId w:val="8"/>
        </w:num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建设</w:t>
      </w:r>
      <w:r>
        <w:rPr>
          <w:rFonts w:ascii="Times New Roman" w:hAnsi="Times New Roman" w:eastAsia="宋体" w:cs="Times New Roman"/>
          <w:color w:val="auto"/>
          <w:sz w:val="24"/>
          <w:szCs w:val="24"/>
        </w:rPr>
        <w:t>内容</w:t>
      </w:r>
    </w:p>
    <w:p>
      <w:pPr>
        <w:spacing w:line="360" w:lineRule="auto"/>
        <w:ind w:firstLine="570"/>
        <w:jc w:val="both"/>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本项目总规划用地面积90亩，建筑面积14000m</w:t>
      </w:r>
      <w:r>
        <w:rPr>
          <w:rFonts w:hint="eastAsia" w:ascii="Times New Roman" w:hAnsi="Times New Roman" w:eastAsia="宋体" w:cs="Times New Roman"/>
          <w:color w:val="auto"/>
          <w:sz w:val="24"/>
          <w:szCs w:val="24"/>
          <w:vertAlign w:val="superscript"/>
          <w:lang w:val="en-US" w:eastAsia="zh-CN"/>
        </w:rPr>
        <w:t>2</w:t>
      </w:r>
      <w:r>
        <w:rPr>
          <w:rFonts w:hint="eastAsia" w:ascii="Times New Roman" w:hAnsi="Times New Roman" w:eastAsia="宋体" w:cs="Times New Roman"/>
          <w:color w:val="auto"/>
          <w:sz w:val="24"/>
          <w:szCs w:val="24"/>
          <w:lang w:val="en-US" w:eastAsia="zh-CN"/>
        </w:rPr>
        <w:t>，主要建设内容为保育/育肥舍、前置洗消房、员工综合用房、附属综合用房、员工隔离消毒房、恒压设备供水房、料塔、后置烘干房、后置洗消房、环保站等，配套废水处理设施、有机物处理设施、固废处理设施、危废暂存间等环保设施及公用、辅助设施，采用先进的生产工艺技术，通过相应的环保措施建设，符合生产要求，污染物全面实现达标排放。项目建成后常年存栏生猪1.5万头，年出栏商品猪3万头</w:t>
      </w:r>
      <w:r>
        <w:rPr>
          <w:rFonts w:hint="eastAsia" w:ascii="Times New Roman" w:hAnsi="Times New Roman" w:eastAsia="宋体" w:cs="Times New Roman"/>
          <w:color w:val="auto"/>
          <w:sz w:val="24"/>
          <w:szCs w:val="24"/>
        </w:rPr>
        <w:t>。本项目为生猪养殖项目，</w:t>
      </w:r>
      <w:r>
        <w:rPr>
          <w:rFonts w:hint="eastAsia" w:ascii="Times New Roman" w:hAnsi="Times New Roman" w:eastAsia="宋体" w:cs="Times New Roman"/>
          <w:b/>
          <w:bCs/>
          <w:color w:val="auto"/>
          <w:sz w:val="24"/>
          <w:szCs w:val="24"/>
        </w:rPr>
        <w:t>本项目无种猪饲养、配种及分娩等过程，不涉及饲料加工、生猪屠宰</w:t>
      </w:r>
      <w:r>
        <w:rPr>
          <w:rFonts w:hint="eastAsia" w:ascii="Times New Roman" w:hAnsi="Times New Roman" w:eastAsia="宋体" w:cs="Times New Roman"/>
          <w:color w:val="auto"/>
          <w:sz w:val="24"/>
          <w:szCs w:val="24"/>
        </w:rPr>
        <w:t>。</w:t>
      </w:r>
    </w:p>
    <w:p>
      <w:pPr>
        <w:spacing w:line="360" w:lineRule="auto"/>
        <w:ind w:firstLine="570"/>
        <w:jc w:val="both"/>
        <w:rPr>
          <w:rFonts w:ascii="Times New Roman" w:hAnsi="Times New Roman" w:eastAsia="宋体" w:cs="Times New Roman"/>
          <w:color w:val="auto"/>
          <w:sz w:val="24"/>
        </w:rPr>
      </w:pPr>
      <w:r>
        <w:rPr>
          <w:rFonts w:hint="eastAsia" w:ascii="Times New Roman" w:hAnsi="Times New Roman" w:eastAsia="宋体" w:cs="Times New Roman"/>
          <w:color w:val="auto"/>
          <w:sz w:val="24"/>
          <w:szCs w:val="24"/>
        </w:rPr>
        <w:t>项目严格按照《无公害食品生猪饲养管理准则》（NY/T5033）建设</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rPr>
        <w:t>主要工程内容见</w:t>
      </w:r>
      <w:r>
        <w:rPr>
          <w:rFonts w:ascii="Times New Roman" w:hAnsi="Times New Roman" w:eastAsia="宋体" w:cs="Times New Roman"/>
          <w:color w:val="auto"/>
          <w:sz w:val="24"/>
        </w:rPr>
        <w:t>项目</w:t>
      </w:r>
      <w:r>
        <w:rPr>
          <w:rFonts w:hint="eastAsia" w:ascii="Times New Roman" w:hAnsi="Times New Roman" w:eastAsia="宋体" w:cs="Times New Roman"/>
          <w:color w:val="auto"/>
          <w:sz w:val="24"/>
        </w:rPr>
        <w:t>工程组成一览</w:t>
      </w:r>
      <w:r>
        <w:rPr>
          <w:rFonts w:ascii="Times New Roman" w:hAnsi="Times New Roman" w:eastAsia="宋体" w:cs="Times New Roman"/>
          <w:color w:val="auto"/>
          <w:sz w:val="24"/>
        </w:rPr>
        <w:t>表</w:t>
      </w:r>
      <w:r>
        <w:rPr>
          <w:rFonts w:hint="eastAsia" w:ascii="Times New Roman" w:hAnsi="Times New Roman" w:eastAsia="宋体" w:cs="Times New Roman"/>
          <w:color w:val="auto"/>
          <w:sz w:val="24"/>
        </w:rPr>
        <w:t>2.2</w:t>
      </w:r>
      <w:r>
        <w:rPr>
          <w:rFonts w:ascii="Times New Roman" w:hAnsi="Times New Roman" w:eastAsia="宋体" w:cs="Times New Roman"/>
          <w:color w:val="auto"/>
          <w:sz w:val="24"/>
        </w:rPr>
        <w:t>-1。</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表</w:t>
      </w:r>
      <w:r>
        <w:rPr>
          <w:rFonts w:hint="eastAsia" w:ascii="Times New Roman" w:hAnsi="Times New Roman" w:eastAsia="宋体" w:cs="Times New Roman"/>
          <w:b/>
          <w:bCs/>
          <w:color w:val="auto"/>
          <w:sz w:val="21"/>
          <w:szCs w:val="21"/>
        </w:rPr>
        <w:t>2.2</w:t>
      </w:r>
      <w:r>
        <w:rPr>
          <w:rFonts w:ascii="Times New Roman" w:hAnsi="Times New Roman" w:eastAsia="宋体" w:cs="Times New Roman"/>
          <w:b/>
          <w:bCs/>
          <w:color w:val="auto"/>
          <w:sz w:val="21"/>
          <w:szCs w:val="21"/>
        </w:rPr>
        <w:t>-1  项目</w:t>
      </w:r>
      <w:r>
        <w:rPr>
          <w:rFonts w:hint="eastAsia" w:ascii="Times New Roman" w:hAnsi="Times New Roman" w:eastAsia="宋体" w:cs="Times New Roman"/>
          <w:b/>
          <w:bCs/>
          <w:color w:val="auto"/>
          <w:sz w:val="21"/>
          <w:szCs w:val="21"/>
        </w:rPr>
        <w:t>工程</w:t>
      </w:r>
      <w:r>
        <w:rPr>
          <w:rFonts w:ascii="Times New Roman" w:hAnsi="Times New Roman" w:eastAsia="宋体" w:cs="Times New Roman"/>
          <w:b/>
          <w:bCs/>
          <w:color w:val="auto"/>
          <w:sz w:val="21"/>
          <w:szCs w:val="21"/>
        </w:rPr>
        <w:t>组成</w:t>
      </w:r>
      <w:r>
        <w:rPr>
          <w:rFonts w:hint="eastAsia" w:ascii="Times New Roman" w:hAnsi="Times New Roman" w:eastAsia="宋体" w:cs="Times New Roman"/>
          <w:b/>
          <w:bCs/>
          <w:color w:val="auto"/>
          <w:sz w:val="21"/>
          <w:szCs w:val="21"/>
        </w:rPr>
        <w:t>一览</w:t>
      </w:r>
      <w:r>
        <w:rPr>
          <w:rFonts w:ascii="Times New Roman" w:hAnsi="Times New Roman" w:eastAsia="宋体" w:cs="Times New Roman"/>
          <w:b/>
          <w:bCs/>
          <w:color w:val="auto"/>
          <w:sz w:val="21"/>
          <w:szCs w:val="21"/>
        </w:rPr>
        <w:t>表</w:t>
      </w:r>
    </w:p>
    <w:tbl>
      <w:tblPr>
        <w:tblStyle w:val="35"/>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642"/>
        <w:gridCol w:w="630"/>
        <w:gridCol w:w="125"/>
        <w:gridCol w:w="4125"/>
        <w:gridCol w:w="1093"/>
        <w:gridCol w:w="1230"/>
        <w:gridCol w:w="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660" w:type="dxa"/>
            <w:vMerge w:val="restart"/>
            <w:tcBorders>
              <w:top w:val="single" w:color="auto" w:sz="12" w:space="0"/>
              <w:lef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工程分类</w:t>
            </w:r>
          </w:p>
        </w:tc>
        <w:tc>
          <w:tcPr>
            <w:tcW w:w="5522" w:type="dxa"/>
            <w:gridSpan w:val="4"/>
            <w:vMerge w:val="restart"/>
            <w:tcBorders>
              <w:top w:val="single" w:color="auto" w:sz="12" w:space="0"/>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rPr>
              <w:t>建设内容及规模</w:t>
            </w:r>
          </w:p>
        </w:tc>
        <w:tc>
          <w:tcPr>
            <w:tcW w:w="2323" w:type="dxa"/>
            <w:gridSpan w:val="2"/>
            <w:tcBorders>
              <w:top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主要环境问题</w:t>
            </w:r>
          </w:p>
        </w:tc>
        <w:tc>
          <w:tcPr>
            <w:tcW w:w="669" w:type="dxa"/>
            <w:vMerge w:val="restart"/>
            <w:tcBorders>
              <w:top w:val="single" w:color="auto" w:sz="12" w:space="0"/>
              <w:righ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660" w:type="dxa"/>
            <w:vMerge w:val="continue"/>
            <w:tcBorders>
              <w:lef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auto"/>
                <w:sz w:val="21"/>
                <w:szCs w:val="21"/>
                <w:highlight w:val="none"/>
              </w:rPr>
            </w:pPr>
          </w:p>
        </w:tc>
        <w:tc>
          <w:tcPr>
            <w:tcW w:w="5522" w:type="dxa"/>
            <w:gridSpan w:val="4"/>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auto"/>
                <w:sz w:val="21"/>
                <w:szCs w:val="21"/>
                <w:highlight w:val="none"/>
              </w:rPr>
            </w:pPr>
          </w:p>
        </w:tc>
        <w:tc>
          <w:tcPr>
            <w:tcW w:w="109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施工期</w:t>
            </w:r>
          </w:p>
        </w:tc>
        <w:tc>
          <w:tcPr>
            <w:tcW w:w="12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运营期</w:t>
            </w:r>
          </w:p>
        </w:tc>
        <w:tc>
          <w:tcPr>
            <w:tcW w:w="669" w:type="dxa"/>
            <w:vMerge w:val="continue"/>
            <w:tcBorders>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restart"/>
            <w:tcBorders>
              <w:lef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主体工程</w:t>
            </w:r>
          </w:p>
        </w:tc>
        <w:tc>
          <w:tcPr>
            <w:tcW w:w="1272"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eastAsia" w:ascii="Times New Roman" w:hAnsi="Times New Roman" w:cs="Times New Roman"/>
                <w:bCs/>
                <w:color w:val="auto"/>
                <w:sz w:val="21"/>
                <w:szCs w:val="21"/>
                <w:highlight w:val="none"/>
                <w:vertAlign w:val="baseline"/>
                <w:lang w:val="en-US" w:eastAsia="zh-CN"/>
              </w:rPr>
              <w:t>育肥舍1</w:t>
            </w:r>
          </w:p>
        </w:tc>
        <w:tc>
          <w:tcPr>
            <w:tcW w:w="4250"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均为1层砖混彩钢结构，建筑面积</w:t>
            </w:r>
            <w:r>
              <w:rPr>
                <w:rFonts w:hint="eastAsia" w:cs="Times New Roman"/>
                <w:bCs/>
                <w:color w:val="auto"/>
                <w:sz w:val="21"/>
                <w:szCs w:val="21"/>
                <w:highlight w:val="none"/>
                <w:vertAlign w:val="baseline"/>
                <w:lang w:val="en-US" w:eastAsia="zh-CN"/>
              </w:rPr>
              <w:t>6240</w:t>
            </w:r>
            <w:r>
              <w:rPr>
                <w:rFonts w:hint="default" w:ascii="Times New Roman" w:hAnsi="Times New Roman" w:cs="Times New Roman"/>
                <w:bCs/>
                <w:color w:val="auto"/>
                <w:sz w:val="21"/>
                <w:szCs w:val="21"/>
                <w:highlight w:val="none"/>
                <w:vertAlign w:val="baseline"/>
                <w:lang w:val="en-US" w:eastAsia="zh-CN"/>
              </w:rPr>
              <w:t>m</w:t>
            </w:r>
            <w:r>
              <w:rPr>
                <w:rFonts w:hint="default" w:ascii="Times New Roman" w:hAnsi="Times New Roman" w:cs="Times New Roman"/>
                <w:bCs/>
                <w:color w:val="auto"/>
                <w:sz w:val="21"/>
                <w:szCs w:val="21"/>
                <w:highlight w:val="none"/>
                <w:vertAlign w:val="superscript"/>
                <w:lang w:val="en-US" w:eastAsia="zh-CN"/>
              </w:rPr>
              <w:t>2</w:t>
            </w:r>
            <w:r>
              <w:rPr>
                <w:rFonts w:hint="default" w:ascii="Times New Roman" w:hAnsi="Times New Roman" w:cs="Times New Roman"/>
                <w:bCs/>
                <w:color w:val="auto"/>
                <w:sz w:val="21"/>
                <w:szCs w:val="21"/>
                <w:highlight w:val="none"/>
                <w:vertAlign w:val="baseline"/>
                <w:lang w:val="en-US" w:eastAsia="zh-CN"/>
              </w:rPr>
              <w:t>，位于厂内西北侧</w:t>
            </w:r>
          </w:p>
        </w:tc>
        <w:tc>
          <w:tcPr>
            <w:tcW w:w="1093" w:type="dxa"/>
            <w:vMerge w:val="restart"/>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施工废水、施工废气、施工噪声、建筑垃圾、生活垃圾、生活污水、水土流失</w:t>
            </w:r>
          </w:p>
        </w:tc>
        <w:tc>
          <w:tcPr>
            <w:tcW w:w="1230" w:type="dxa"/>
            <w:vMerge w:val="restart"/>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猪粪、猪尿、冲洗废水、恶臭、噪声</w:t>
            </w:r>
          </w:p>
        </w:tc>
        <w:tc>
          <w:tcPr>
            <w:tcW w:w="669" w:type="dxa"/>
            <w:tcBorders>
              <w:righ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tcBorders>
              <w:lef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1272"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育肥舍</w:t>
            </w:r>
            <w:r>
              <w:rPr>
                <w:rFonts w:hint="eastAsia" w:ascii="Times New Roman" w:hAnsi="Times New Roman" w:eastAsia="宋体" w:cs="Times New Roman"/>
                <w:bCs/>
                <w:color w:val="auto"/>
                <w:sz w:val="21"/>
                <w:szCs w:val="21"/>
                <w:highlight w:val="none"/>
                <w:vertAlign w:val="baseline"/>
                <w:lang w:val="en-US" w:eastAsia="zh-CN"/>
              </w:rPr>
              <w:t>2</w:t>
            </w:r>
          </w:p>
        </w:tc>
        <w:tc>
          <w:tcPr>
            <w:tcW w:w="4250"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均为1层砖混彩钢结构，建筑面积</w:t>
            </w:r>
            <w:r>
              <w:rPr>
                <w:rFonts w:hint="eastAsia" w:cs="Times New Roman"/>
                <w:bCs/>
                <w:color w:val="auto"/>
                <w:sz w:val="21"/>
                <w:szCs w:val="21"/>
                <w:highlight w:val="none"/>
                <w:vertAlign w:val="baseline"/>
                <w:lang w:val="en-US" w:eastAsia="zh-CN"/>
              </w:rPr>
              <w:t>6240</w:t>
            </w:r>
            <w:r>
              <w:rPr>
                <w:rFonts w:hint="default" w:ascii="Times New Roman" w:hAnsi="Times New Roman" w:cs="Times New Roman"/>
                <w:bCs/>
                <w:color w:val="auto"/>
                <w:sz w:val="21"/>
                <w:szCs w:val="21"/>
                <w:highlight w:val="none"/>
                <w:vertAlign w:val="baseline"/>
                <w:lang w:val="en-US" w:eastAsia="zh-CN"/>
              </w:rPr>
              <w:t>m</w:t>
            </w:r>
            <w:r>
              <w:rPr>
                <w:rFonts w:hint="default" w:ascii="Times New Roman" w:hAnsi="Times New Roman" w:cs="Times New Roman"/>
                <w:bCs/>
                <w:color w:val="auto"/>
                <w:sz w:val="21"/>
                <w:szCs w:val="21"/>
                <w:highlight w:val="none"/>
                <w:vertAlign w:val="superscript"/>
                <w:lang w:val="en-US" w:eastAsia="zh-CN"/>
              </w:rPr>
              <w:t>2</w:t>
            </w:r>
            <w:r>
              <w:rPr>
                <w:rFonts w:hint="default" w:ascii="Times New Roman" w:hAnsi="Times New Roman" w:cs="Times New Roman"/>
                <w:bCs/>
                <w:color w:val="auto"/>
                <w:sz w:val="21"/>
                <w:szCs w:val="21"/>
                <w:highlight w:val="none"/>
                <w:vertAlign w:val="baseline"/>
                <w:lang w:val="en-US" w:eastAsia="zh-CN"/>
              </w:rPr>
              <w:t>，位于厂内中部</w:t>
            </w:r>
          </w:p>
        </w:tc>
        <w:tc>
          <w:tcPr>
            <w:tcW w:w="1093"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1230"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669" w:type="dxa"/>
            <w:tcBorders>
              <w:righ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restart"/>
            <w:tcBorders>
              <w:lef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辅助工程</w:t>
            </w:r>
          </w:p>
        </w:tc>
        <w:tc>
          <w:tcPr>
            <w:tcW w:w="1272"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前置洗消房</w:t>
            </w:r>
          </w:p>
        </w:tc>
        <w:tc>
          <w:tcPr>
            <w:tcW w:w="4250"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color w:val="auto"/>
                <w:kern w:val="2"/>
                <w:sz w:val="21"/>
                <w:szCs w:val="21"/>
                <w:highlight w:val="none"/>
                <w:lang w:val="en-US" w:eastAsia="zh-CN"/>
              </w:rPr>
              <w:t>1间，砖混结构，1F，位于场地入口，建筑面积约26.93m</w:t>
            </w:r>
            <w:r>
              <w:rPr>
                <w:rFonts w:hint="default" w:ascii="Times New Roman" w:hAnsi="Times New Roman" w:cs="Times New Roman"/>
                <w:color w:val="auto"/>
                <w:kern w:val="2"/>
                <w:sz w:val="21"/>
                <w:szCs w:val="21"/>
                <w:highlight w:val="none"/>
                <w:vertAlign w:val="superscript"/>
                <w:lang w:val="en-US" w:eastAsia="zh-CN"/>
              </w:rPr>
              <w:t>2</w:t>
            </w:r>
            <w:r>
              <w:rPr>
                <w:rFonts w:hint="default" w:ascii="Times New Roman" w:hAnsi="Times New Roman" w:cs="Times New Roman"/>
                <w:color w:val="auto"/>
                <w:kern w:val="2"/>
                <w:sz w:val="21"/>
                <w:szCs w:val="21"/>
                <w:highlight w:val="none"/>
                <w:lang w:val="en-US" w:eastAsia="zh-CN"/>
              </w:rPr>
              <w:t>，用于用于进场车辆消毒清洗</w:t>
            </w:r>
          </w:p>
        </w:tc>
        <w:tc>
          <w:tcPr>
            <w:tcW w:w="1093"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1230"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消毒废水</w:t>
            </w:r>
          </w:p>
        </w:tc>
        <w:tc>
          <w:tcPr>
            <w:tcW w:w="669" w:type="dxa"/>
            <w:tcBorders>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tcBorders>
              <w:lef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1272"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恒压设备供水房</w:t>
            </w:r>
          </w:p>
        </w:tc>
        <w:tc>
          <w:tcPr>
            <w:tcW w:w="4250"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superscript"/>
                <w:lang w:val="en-US" w:eastAsia="zh-CN"/>
              </w:rPr>
            </w:pPr>
            <w:r>
              <w:rPr>
                <w:rFonts w:hint="default" w:ascii="Times New Roman" w:hAnsi="Times New Roman" w:cs="Times New Roman"/>
                <w:bCs/>
                <w:color w:val="auto"/>
                <w:sz w:val="21"/>
                <w:szCs w:val="21"/>
                <w:highlight w:val="none"/>
                <w:vertAlign w:val="baseline"/>
                <w:lang w:val="en-US" w:eastAsia="zh-CN"/>
              </w:rPr>
              <w:t>1间，</w:t>
            </w:r>
            <w:r>
              <w:rPr>
                <w:rFonts w:hint="default" w:ascii="Times New Roman" w:hAnsi="Times New Roman" w:cs="Times New Roman"/>
                <w:color w:val="auto"/>
                <w:kern w:val="2"/>
                <w:sz w:val="21"/>
                <w:szCs w:val="21"/>
                <w:highlight w:val="none"/>
                <w:lang w:val="en-US" w:eastAsia="zh-CN"/>
              </w:rPr>
              <w:t>砖混结构，</w:t>
            </w:r>
            <w:r>
              <w:rPr>
                <w:rFonts w:hint="default" w:ascii="Times New Roman" w:hAnsi="Times New Roman" w:cs="Times New Roman"/>
                <w:bCs/>
                <w:color w:val="auto"/>
                <w:sz w:val="21"/>
                <w:szCs w:val="21"/>
                <w:highlight w:val="none"/>
                <w:vertAlign w:val="baseline"/>
                <w:lang w:val="en-US" w:eastAsia="zh-CN"/>
              </w:rPr>
              <w:t>建筑面积</w:t>
            </w:r>
            <w:r>
              <w:rPr>
                <w:rFonts w:hint="eastAsia" w:ascii="Times New Roman" w:hAnsi="Times New Roman" w:cs="Times New Roman"/>
                <w:bCs/>
                <w:color w:val="auto"/>
                <w:sz w:val="21"/>
                <w:szCs w:val="21"/>
                <w:highlight w:val="none"/>
                <w:vertAlign w:val="baseline"/>
                <w:lang w:val="en-US" w:eastAsia="zh-CN"/>
              </w:rPr>
              <w:t>20</w:t>
            </w:r>
            <w:r>
              <w:rPr>
                <w:rFonts w:hint="default" w:ascii="Times New Roman" w:hAnsi="Times New Roman" w:cs="Times New Roman"/>
                <w:color w:val="auto"/>
                <w:kern w:val="2"/>
                <w:sz w:val="21"/>
                <w:szCs w:val="21"/>
                <w:highlight w:val="none"/>
                <w:lang w:val="en-US" w:eastAsia="zh-CN"/>
              </w:rPr>
              <w:t>m</w:t>
            </w:r>
            <w:r>
              <w:rPr>
                <w:rFonts w:hint="eastAsia" w:ascii="Times New Roman" w:hAnsi="Times New Roman" w:cs="Times New Roman"/>
                <w:color w:val="auto"/>
                <w:kern w:val="2"/>
                <w:sz w:val="21"/>
                <w:szCs w:val="21"/>
                <w:highlight w:val="none"/>
                <w:vertAlign w:val="superscript"/>
                <w:lang w:val="en-US" w:eastAsia="zh-CN"/>
              </w:rPr>
              <w:t>2</w:t>
            </w:r>
          </w:p>
        </w:tc>
        <w:tc>
          <w:tcPr>
            <w:tcW w:w="1093"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1230"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噪声</w:t>
            </w:r>
          </w:p>
        </w:tc>
        <w:tc>
          <w:tcPr>
            <w:tcW w:w="669" w:type="dxa"/>
            <w:tcBorders>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tcBorders>
              <w:lef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1272"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后置烘干房</w:t>
            </w:r>
          </w:p>
        </w:tc>
        <w:tc>
          <w:tcPr>
            <w:tcW w:w="42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1间，</w:t>
            </w:r>
            <w:r>
              <w:rPr>
                <w:rFonts w:hint="default" w:ascii="Times New Roman" w:hAnsi="Times New Roman" w:cs="Times New Roman"/>
                <w:color w:val="auto"/>
                <w:kern w:val="2"/>
                <w:sz w:val="21"/>
                <w:szCs w:val="21"/>
                <w:highlight w:val="none"/>
                <w:lang w:val="en-US" w:eastAsia="zh-CN"/>
              </w:rPr>
              <w:t>砖混结构，</w:t>
            </w:r>
            <w:r>
              <w:rPr>
                <w:rFonts w:hint="default" w:ascii="Times New Roman" w:hAnsi="Times New Roman" w:cs="Times New Roman"/>
                <w:bCs/>
                <w:color w:val="auto"/>
                <w:sz w:val="21"/>
                <w:szCs w:val="21"/>
                <w:highlight w:val="none"/>
                <w:vertAlign w:val="baseline"/>
                <w:lang w:val="en-US" w:eastAsia="zh-CN"/>
              </w:rPr>
              <w:t>建筑面积</w:t>
            </w:r>
            <w:r>
              <w:rPr>
                <w:rFonts w:hint="eastAsia" w:ascii="Times New Roman" w:hAnsi="Times New Roman" w:cs="Times New Roman"/>
                <w:bCs/>
                <w:color w:val="auto"/>
                <w:sz w:val="21"/>
                <w:szCs w:val="21"/>
                <w:highlight w:val="none"/>
                <w:vertAlign w:val="baseline"/>
                <w:lang w:val="en-US" w:eastAsia="zh-CN"/>
              </w:rPr>
              <w:t>20</w:t>
            </w:r>
            <w:r>
              <w:rPr>
                <w:rFonts w:hint="default" w:ascii="Times New Roman" w:hAnsi="Times New Roman" w:cs="Times New Roman"/>
                <w:color w:val="auto"/>
                <w:kern w:val="2"/>
                <w:sz w:val="21"/>
                <w:szCs w:val="21"/>
                <w:highlight w:val="none"/>
                <w:lang w:val="en-US" w:eastAsia="zh-CN"/>
              </w:rPr>
              <w:t>m</w:t>
            </w:r>
            <w:r>
              <w:rPr>
                <w:rFonts w:hint="default" w:ascii="Times New Roman" w:hAnsi="Times New Roman" w:cs="Times New Roman"/>
                <w:color w:val="auto"/>
                <w:kern w:val="2"/>
                <w:sz w:val="21"/>
                <w:szCs w:val="21"/>
                <w:highlight w:val="none"/>
                <w:vertAlign w:val="superscript"/>
                <w:lang w:val="en-US" w:eastAsia="zh-CN"/>
              </w:rPr>
              <w:t>2</w:t>
            </w:r>
          </w:p>
        </w:tc>
        <w:tc>
          <w:tcPr>
            <w:tcW w:w="1093"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1230"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噪声</w:t>
            </w:r>
          </w:p>
        </w:tc>
        <w:tc>
          <w:tcPr>
            <w:tcW w:w="669" w:type="dxa"/>
            <w:tcBorders>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tcBorders>
              <w:lef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1272"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后置洗消房</w:t>
            </w:r>
          </w:p>
        </w:tc>
        <w:tc>
          <w:tcPr>
            <w:tcW w:w="42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1间，</w:t>
            </w:r>
            <w:r>
              <w:rPr>
                <w:rFonts w:hint="default" w:ascii="Times New Roman" w:hAnsi="Times New Roman" w:cs="Times New Roman"/>
                <w:color w:val="auto"/>
                <w:kern w:val="2"/>
                <w:sz w:val="21"/>
                <w:szCs w:val="21"/>
                <w:highlight w:val="none"/>
                <w:lang w:val="en-US" w:eastAsia="zh-CN"/>
              </w:rPr>
              <w:t>砖混结构，</w:t>
            </w:r>
            <w:r>
              <w:rPr>
                <w:rFonts w:hint="default" w:ascii="Times New Roman" w:hAnsi="Times New Roman" w:cs="Times New Roman"/>
                <w:bCs/>
                <w:color w:val="auto"/>
                <w:sz w:val="21"/>
                <w:szCs w:val="21"/>
                <w:highlight w:val="none"/>
                <w:vertAlign w:val="baseline"/>
                <w:lang w:val="en-US" w:eastAsia="zh-CN"/>
              </w:rPr>
              <w:t>建筑面积</w:t>
            </w:r>
            <w:r>
              <w:rPr>
                <w:rFonts w:hint="eastAsia" w:ascii="Times New Roman" w:hAnsi="Times New Roman" w:cs="Times New Roman"/>
                <w:bCs/>
                <w:color w:val="auto"/>
                <w:sz w:val="21"/>
                <w:szCs w:val="21"/>
                <w:highlight w:val="none"/>
                <w:vertAlign w:val="baseline"/>
                <w:lang w:val="en-US" w:eastAsia="zh-CN"/>
              </w:rPr>
              <w:t>20</w:t>
            </w:r>
            <w:r>
              <w:rPr>
                <w:rFonts w:hint="default" w:ascii="Times New Roman" w:hAnsi="Times New Roman" w:cs="Times New Roman"/>
                <w:color w:val="auto"/>
                <w:kern w:val="2"/>
                <w:sz w:val="21"/>
                <w:szCs w:val="21"/>
                <w:highlight w:val="none"/>
                <w:lang w:val="en-US" w:eastAsia="zh-CN"/>
              </w:rPr>
              <w:t>m</w:t>
            </w:r>
            <w:r>
              <w:rPr>
                <w:rFonts w:hint="default" w:ascii="Times New Roman" w:hAnsi="Times New Roman" w:cs="Times New Roman"/>
                <w:color w:val="auto"/>
                <w:kern w:val="2"/>
                <w:sz w:val="21"/>
                <w:szCs w:val="21"/>
                <w:highlight w:val="none"/>
                <w:vertAlign w:val="superscript"/>
                <w:lang w:val="en-US" w:eastAsia="zh-CN"/>
              </w:rPr>
              <w:t>2</w:t>
            </w:r>
          </w:p>
        </w:tc>
        <w:tc>
          <w:tcPr>
            <w:tcW w:w="1093"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1230"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消毒废水</w:t>
            </w:r>
          </w:p>
        </w:tc>
        <w:tc>
          <w:tcPr>
            <w:tcW w:w="669" w:type="dxa"/>
            <w:tcBorders>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tcBorders>
              <w:lef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1272"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进场道路</w:t>
            </w:r>
          </w:p>
        </w:tc>
        <w:tc>
          <w:tcPr>
            <w:tcW w:w="4250"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水泥路面，宽3.5m，长约200m</w:t>
            </w:r>
          </w:p>
        </w:tc>
        <w:tc>
          <w:tcPr>
            <w:tcW w:w="1093"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1230"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w:t>
            </w:r>
          </w:p>
        </w:tc>
        <w:tc>
          <w:tcPr>
            <w:tcW w:w="669" w:type="dxa"/>
            <w:tcBorders>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restart"/>
            <w:tcBorders>
              <w:lef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公用工程</w:t>
            </w:r>
          </w:p>
        </w:tc>
        <w:tc>
          <w:tcPr>
            <w:tcW w:w="1272"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供水系统</w:t>
            </w:r>
          </w:p>
        </w:tc>
        <w:tc>
          <w:tcPr>
            <w:tcW w:w="4250" w:type="dxa"/>
            <w:gridSpan w:val="2"/>
            <w:noWrap w:val="0"/>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项目生活用水、养猪用水及清洗用水采用自来水</w:t>
            </w:r>
          </w:p>
        </w:tc>
        <w:tc>
          <w:tcPr>
            <w:tcW w:w="1093"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1230"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w:t>
            </w:r>
          </w:p>
        </w:tc>
        <w:tc>
          <w:tcPr>
            <w:tcW w:w="669" w:type="dxa"/>
            <w:tcBorders>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tcBorders>
              <w:lef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1272"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供电系统</w:t>
            </w:r>
          </w:p>
        </w:tc>
        <w:tc>
          <w:tcPr>
            <w:tcW w:w="4250"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 w:val="0"/>
                <w:bCs/>
                <w:color w:val="auto"/>
                <w:kern w:val="0"/>
                <w:sz w:val="21"/>
                <w:szCs w:val="21"/>
                <w:highlight w:val="none"/>
                <w:lang w:bidi="ar"/>
              </w:rPr>
              <w:t>由</w:t>
            </w:r>
            <w:r>
              <w:rPr>
                <w:rFonts w:hint="default" w:ascii="Times New Roman" w:hAnsi="Times New Roman" w:cs="Times New Roman"/>
                <w:b w:val="0"/>
                <w:bCs/>
                <w:color w:val="auto"/>
                <w:kern w:val="0"/>
                <w:sz w:val="21"/>
                <w:szCs w:val="21"/>
                <w:highlight w:val="none"/>
                <w:lang w:val="en-US" w:eastAsia="zh-CN" w:bidi="ar"/>
              </w:rPr>
              <w:t>当地</w:t>
            </w:r>
            <w:r>
              <w:rPr>
                <w:rFonts w:hint="default" w:ascii="Times New Roman" w:hAnsi="Times New Roman" w:cs="Times New Roman"/>
                <w:b w:val="0"/>
                <w:bCs/>
                <w:color w:val="auto"/>
                <w:kern w:val="0"/>
                <w:sz w:val="21"/>
                <w:szCs w:val="21"/>
                <w:highlight w:val="none"/>
                <w:lang w:eastAsia="zh-CN" w:bidi="ar"/>
              </w:rPr>
              <w:t>乡镇</w:t>
            </w:r>
            <w:r>
              <w:rPr>
                <w:rFonts w:hint="default" w:ascii="Times New Roman" w:hAnsi="Times New Roman" w:cs="Times New Roman"/>
                <w:b w:val="0"/>
                <w:bCs/>
                <w:color w:val="auto"/>
                <w:kern w:val="0"/>
                <w:sz w:val="21"/>
                <w:szCs w:val="21"/>
                <w:highlight w:val="none"/>
                <w:lang w:bidi="ar"/>
              </w:rPr>
              <w:t>供电系统供给</w:t>
            </w:r>
            <w:r>
              <w:rPr>
                <w:rFonts w:hint="default" w:ascii="Times New Roman" w:hAnsi="Times New Roman" w:cs="Times New Roman"/>
                <w:b w:val="0"/>
                <w:bCs/>
                <w:color w:val="auto"/>
                <w:kern w:val="0"/>
                <w:sz w:val="21"/>
                <w:szCs w:val="21"/>
                <w:highlight w:val="none"/>
                <w:lang w:eastAsia="zh-CN" w:bidi="ar"/>
              </w:rPr>
              <w:t>，本项目设置配电房建筑面积</w:t>
            </w:r>
            <w:r>
              <w:rPr>
                <w:rFonts w:hint="eastAsia" w:ascii="Times New Roman" w:hAnsi="Times New Roman" w:cs="Times New Roman"/>
                <w:b w:val="0"/>
                <w:bCs/>
                <w:color w:val="auto"/>
                <w:kern w:val="0"/>
                <w:sz w:val="21"/>
                <w:szCs w:val="21"/>
                <w:highlight w:val="none"/>
                <w:lang w:val="en-US" w:eastAsia="zh-CN" w:bidi="ar"/>
              </w:rPr>
              <w:t>3</w:t>
            </w:r>
            <w:r>
              <w:rPr>
                <w:rFonts w:hint="default" w:ascii="Times New Roman" w:hAnsi="Times New Roman" w:cs="Times New Roman"/>
                <w:bCs/>
                <w:color w:val="auto"/>
                <w:sz w:val="21"/>
                <w:szCs w:val="21"/>
                <w:highlight w:val="none"/>
                <w:vertAlign w:val="baseline"/>
                <w:lang w:val="en-US" w:eastAsia="zh-CN"/>
              </w:rPr>
              <w:t>m</w:t>
            </w:r>
            <w:r>
              <w:rPr>
                <w:rFonts w:hint="default" w:ascii="Times New Roman" w:hAnsi="Times New Roman" w:cs="Times New Roman"/>
                <w:bCs/>
                <w:color w:val="auto"/>
                <w:sz w:val="21"/>
                <w:szCs w:val="21"/>
                <w:highlight w:val="none"/>
                <w:vertAlign w:val="superscript"/>
                <w:lang w:val="en-US" w:eastAsia="zh-CN"/>
              </w:rPr>
              <w:t>2</w:t>
            </w:r>
            <w:r>
              <w:rPr>
                <w:rFonts w:hint="default" w:ascii="Times New Roman" w:hAnsi="Times New Roman" w:cs="Times New Roman"/>
                <w:b w:val="0"/>
                <w:bCs/>
                <w:color w:val="auto"/>
                <w:kern w:val="0"/>
                <w:sz w:val="21"/>
                <w:szCs w:val="21"/>
                <w:highlight w:val="none"/>
                <w:lang w:eastAsia="zh-CN" w:bidi="ar"/>
              </w:rPr>
              <w:t>，配置设</w:t>
            </w:r>
            <w:r>
              <w:rPr>
                <w:rFonts w:hint="default" w:ascii="Times New Roman" w:hAnsi="Times New Roman" w:cs="Times New Roman"/>
                <w:b w:val="0"/>
                <w:bCs/>
                <w:color w:val="auto"/>
                <w:kern w:val="0"/>
                <w:sz w:val="21"/>
                <w:szCs w:val="21"/>
                <w:highlight w:val="none"/>
                <w:lang w:val="en-US" w:eastAsia="zh-CN" w:bidi="ar"/>
              </w:rPr>
              <w:t>1</w:t>
            </w:r>
            <w:r>
              <w:rPr>
                <w:rFonts w:hint="default" w:ascii="Times New Roman" w:hAnsi="Times New Roman" w:cs="Times New Roman"/>
                <w:b w:val="0"/>
                <w:bCs/>
                <w:color w:val="auto"/>
                <w:kern w:val="0"/>
                <w:sz w:val="21"/>
                <w:szCs w:val="21"/>
                <w:highlight w:val="none"/>
                <w:lang w:eastAsia="zh-CN" w:bidi="ar"/>
              </w:rPr>
              <w:t>台</w:t>
            </w:r>
            <w:r>
              <w:rPr>
                <w:rFonts w:hint="eastAsia" w:cs="Times New Roman"/>
                <w:b w:val="0"/>
                <w:bCs/>
                <w:color w:val="auto"/>
                <w:kern w:val="0"/>
                <w:sz w:val="21"/>
                <w:szCs w:val="21"/>
                <w:highlight w:val="none"/>
                <w:lang w:eastAsia="zh-CN" w:bidi="ar"/>
              </w:rPr>
              <w:t>800kVA</w:t>
            </w:r>
            <w:r>
              <w:rPr>
                <w:rFonts w:hint="default" w:ascii="Times New Roman" w:hAnsi="Times New Roman" w:cs="Times New Roman"/>
                <w:b w:val="0"/>
                <w:bCs/>
                <w:color w:val="auto"/>
                <w:kern w:val="0"/>
                <w:sz w:val="21"/>
                <w:szCs w:val="21"/>
                <w:highlight w:val="none"/>
                <w:lang w:eastAsia="zh-CN" w:bidi="ar"/>
              </w:rPr>
              <w:t>变压器，并设有</w:t>
            </w:r>
            <w:r>
              <w:rPr>
                <w:rFonts w:hint="eastAsia" w:cs="Times New Roman"/>
                <w:color w:val="auto"/>
                <w:sz w:val="21"/>
                <w:szCs w:val="21"/>
                <w:highlight w:val="none"/>
                <w:lang w:val="en-US" w:eastAsia="zh-CN"/>
              </w:rPr>
              <w:t>1台700KW</w:t>
            </w:r>
            <w:r>
              <w:rPr>
                <w:rFonts w:hint="default" w:ascii="Times New Roman" w:hAnsi="Times New Roman" w:eastAsia="宋体" w:cs="Times New Roman"/>
                <w:color w:val="auto"/>
                <w:sz w:val="21"/>
                <w:szCs w:val="21"/>
                <w:highlight w:val="none"/>
              </w:rPr>
              <w:t>柴油发电机</w:t>
            </w:r>
            <w:r>
              <w:rPr>
                <w:rFonts w:hint="default" w:ascii="Times New Roman" w:hAnsi="Times New Roman" w:cs="Times New Roman"/>
                <w:color w:val="auto"/>
                <w:sz w:val="21"/>
                <w:szCs w:val="21"/>
                <w:highlight w:val="none"/>
                <w:lang w:eastAsia="zh-CN"/>
              </w:rPr>
              <w:t>，用于停电时应急使用</w:t>
            </w:r>
          </w:p>
        </w:tc>
        <w:tc>
          <w:tcPr>
            <w:tcW w:w="1093"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1230"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lang w:val="en-US" w:eastAsia="zh-CN"/>
              </w:rPr>
              <w:t>柴油发电机废气、噪声</w:t>
            </w:r>
          </w:p>
        </w:tc>
        <w:tc>
          <w:tcPr>
            <w:tcW w:w="669" w:type="dxa"/>
            <w:tcBorders>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tcBorders>
              <w:lef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1272"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排水系统</w:t>
            </w:r>
          </w:p>
        </w:tc>
        <w:tc>
          <w:tcPr>
            <w:tcW w:w="4250"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项目采用雨污分流制，雨水通过项目区内雨水管网收集排出场区外，食堂废水经隔油池处理后与养殖废水、其他生活污水经污水管道收集进入污水处理站处理后，用于周边</w:t>
            </w:r>
            <w:r>
              <w:rPr>
                <w:rFonts w:hint="eastAsia" w:cs="Times New Roman"/>
                <w:bCs/>
                <w:color w:val="auto"/>
                <w:sz w:val="21"/>
                <w:szCs w:val="21"/>
                <w:highlight w:val="none"/>
                <w:lang w:val="en-US" w:eastAsia="zh-CN"/>
              </w:rPr>
              <w:t>果园</w:t>
            </w:r>
            <w:r>
              <w:rPr>
                <w:rFonts w:hint="default" w:ascii="Times New Roman" w:hAnsi="Times New Roman" w:eastAsia="宋体" w:cs="Times New Roman"/>
                <w:bCs/>
                <w:color w:val="auto"/>
                <w:sz w:val="21"/>
                <w:szCs w:val="21"/>
                <w:highlight w:val="none"/>
                <w:lang w:val="en-US" w:eastAsia="zh-CN"/>
              </w:rPr>
              <w:t>灌溉，不外排</w:t>
            </w:r>
          </w:p>
        </w:tc>
        <w:tc>
          <w:tcPr>
            <w:tcW w:w="1093"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1230"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w:t>
            </w:r>
          </w:p>
        </w:tc>
        <w:tc>
          <w:tcPr>
            <w:tcW w:w="669" w:type="dxa"/>
            <w:tcBorders>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tcBorders>
              <w:lef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1272"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供气系统</w:t>
            </w:r>
          </w:p>
        </w:tc>
        <w:tc>
          <w:tcPr>
            <w:tcW w:w="4250"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本项目食堂燃料为液化气，液化气罐外购。</w:t>
            </w:r>
          </w:p>
        </w:tc>
        <w:tc>
          <w:tcPr>
            <w:tcW w:w="1093"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1230"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eastAsia" w:cs="Times New Roman"/>
                <w:bCs/>
                <w:color w:val="auto"/>
                <w:sz w:val="21"/>
                <w:szCs w:val="21"/>
                <w:highlight w:val="none"/>
                <w:vertAlign w:val="baseline"/>
                <w:lang w:val="en-US" w:eastAsia="zh-CN"/>
              </w:rPr>
              <w:t>/</w:t>
            </w:r>
          </w:p>
        </w:tc>
        <w:tc>
          <w:tcPr>
            <w:tcW w:w="669" w:type="dxa"/>
            <w:tcBorders>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tcBorders>
              <w:lef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1272"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通风供暖系统</w:t>
            </w:r>
          </w:p>
        </w:tc>
        <w:tc>
          <w:tcPr>
            <w:tcW w:w="4250"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猪舍通风采用机械通风、夏季采用水帘降温并保持猪舍温度、湿度；冬季主要是通过猪舍墙体保温；生活管理区冬季采取空调，不设置锅炉</w:t>
            </w:r>
          </w:p>
        </w:tc>
        <w:tc>
          <w:tcPr>
            <w:tcW w:w="1093"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1230"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噪声、水帘降温系统冷却水</w:t>
            </w:r>
          </w:p>
        </w:tc>
        <w:tc>
          <w:tcPr>
            <w:tcW w:w="669" w:type="dxa"/>
            <w:tcBorders>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restart"/>
            <w:tcBorders>
              <w:lef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办公及生活设施</w:t>
            </w:r>
          </w:p>
        </w:tc>
        <w:tc>
          <w:tcPr>
            <w:tcW w:w="1272"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lang w:val="en-US" w:eastAsia="zh-CN"/>
              </w:rPr>
              <w:t>员工隔离消毒房</w:t>
            </w:r>
          </w:p>
        </w:tc>
        <w:tc>
          <w:tcPr>
            <w:tcW w:w="4250"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1栋，砖混结构，建筑面积约</w:t>
            </w:r>
            <w:r>
              <w:rPr>
                <w:rFonts w:hint="eastAsia" w:ascii="Times New Roman" w:hAnsi="Times New Roman" w:cs="Times New Roman"/>
                <w:bCs/>
                <w:color w:val="auto"/>
                <w:sz w:val="21"/>
                <w:szCs w:val="21"/>
                <w:highlight w:val="none"/>
                <w:vertAlign w:val="baseline"/>
                <w:lang w:val="en-US" w:eastAsia="zh-CN"/>
              </w:rPr>
              <w:t>120</w:t>
            </w:r>
            <w:r>
              <w:rPr>
                <w:rFonts w:hint="default" w:ascii="Times New Roman" w:hAnsi="Times New Roman" w:cs="Times New Roman"/>
                <w:bCs/>
                <w:color w:val="auto"/>
                <w:sz w:val="21"/>
                <w:szCs w:val="21"/>
                <w:highlight w:val="none"/>
                <w:vertAlign w:val="baseline"/>
                <w:lang w:val="en-US" w:eastAsia="zh-CN"/>
              </w:rPr>
              <w:t>m</w:t>
            </w:r>
            <w:r>
              <w:rPr>
                <w:rFonts w:hint="default" w:ascii="Times New Roman" w:hAnsi="Times New Roman" w:cs="Times New Roman"/>
                <w:bCs/>
                <w:color w:val="auto"/>
                <w:sz w:val="21"/>
                <w:szCs w:val="21"/>
                <w:highlight w:val="none"/>
                <w:vertAlign w:val="superscript"/>
                <w:lang w:val="en-US" w:eastAsia="zh-CN"/>
              </w:rPr>
              <w:t>2</w:t>
            </w:r>
            <w:r>
              <w:rPr>
                <w:rFonts w:hint="default" w:ascii="Times New Roman" w:hAnsi="Times New Roman" w:cs="Times New Roman"/>
                <w:bCs/>
                <w:color w:val="auto"/>
                <w:sz w:val="21"/>
                <w:szCs w:val="21"/>
                <w:highlight w:val="none"/>
                <w:vertAlign w:val="baseline"/>
                <w:lang w:val="en-US" w:eastAsia="zh-CN"/>
              </w:rPr>
              <w:t>，位于场区北侧，用于员工的日常生活、办公及休息</w:t>
            </w:r>
          </w:p>
        </w:tc>
        <w:tc>
          <w:tcPr>
            <w:tcW w:w="1093"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1230" w:type="dxa"/>
            <w:vMerge w:val="restart"/>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cs="Times New Roman"/>
                <w:color w:val="auto"/>
                <w:sz w:val="21"/>
                <w:szCs w:val="21"/>
                <w:highlight w:val="none"/>
              </w:rPr>
              <w:t>生活垃圾、生活污水、固废</w:t>
            </w:r>
          </w:p>
        </w:tc>
        <w:tc>
          <w:tcPr>
            <w:tcW w:w="669" w:type="dxa"/>
            <w:tcBorders>
              <w:righ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tcBorders>
              <w:lef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1272"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lang w:val="en-US" w:eastAsia="zh-CN"/>
              </w:rPr>
              <w:t>员工综合用房</w:t>
            </w:r>
          </w:p>
        </w:tc>
        <w:tc>
          <w:tcPr>
            <w:tcW w:w="42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1栋，砖混结构，建筑面积约</w:t>
            </w:r>
            <w:r>
              <w:rPr>
                <w:rFonts w:hint="eastAsia" w:ascii="Times New Roman" w:hAnsi="Times New Roman" w:cs="Times New Roman"/>
                <w:bCs/>
                <w:color w:val="auto"/>
                <w:sz w:val="21"/>
                <w:szCs w:val="21"/>
                <w:highlight w:val="none"/>
                <w:vertAlign w:val="baseline"/>
                <w:lang w:val="en-US" w:eastAsia="zh-CN"/>
              </w:rPr>
              <w:t>400</w:t>
            </w:r>
            <w:r>
              <w:rPr>
                <w:rFonts w:hint="default" w:ascii="Times New Roman" w:hAnsi="Times New Roman" w:cs="Times New Roman"/>
                <w:bCs/>
                <w:color w:val="auto"/>
                <w:sz w:val="21"/>
                <w:szCs w:val="21"/>
                <w:highlight w:val="none"/>
                <w:vertAlign w:val="baseline"/>
                <w:lang w:val="en-US" w:eastAsia="zh-CN"/>
              </w:rPr>
              <w:t>m</w:t>
            </w:r>
            <w:r>
              <w:rPr>
                <w:rFonts w:hint="default" w:ascii="Times New Roman" w:hAnsi="Times New Roman" w:cs="Times New Roman"/>
                <w:bCs/>
                <w:color w:val="auto"/>
                <w:sz w:val="21"/>
                <w:szCs w:val="21"/>
                <w:highlight w:val="none"/>
                <w:vertAlign w:val="superscript"/>
                <w:lang w:val="en-US" w:eastAsia="zh-CN"/>
              </w:rPr>
              <w:t>2</w:t>
            </w:r>
            <w:r>
              <w:rPr>
                <w:rFonts w:hint="default" w:ascii="Times New Roman" w:hAnsi="Times New Roman" w:cs="Times New Roman"/>
                <w:bCs/>
                <w:color w:val="auto"/>
                <w:sz w:val="21"/>
                <w:szCs w:val="21"/>
                <w:highlight w:val="none"/>
                <w:vertAlign w:val="baseline"/>
                <w:lang w:val="en-US" w:eastAsia="zh-CN"/>
              </w:rPr>
              <w:t>，位于场区北侧，用于员工的日常生活、办公及休息</w:t>
            </w:r>
          </w:p>
        </w:tc>
        <w:tc>
          <w:tcPr>
            <w:tcW w:w="1093"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1230"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669" w:type="dxa"/>
            <w:tcBorders>
              <w:righ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tcBorders>
              <w:lef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1272"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lang w:val="en-US" w:eastAsia="zh-CN"/>
              </w:rPr>
              <w:t>附属综合用</w:t>
            </w:r>
          </w:p>
        </w:tc>
        <w:tc>
          <w:tcPr>
            <w:tcW w:w="42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1栋，砖混结构，建筑面积约</w:t>
            </w:r>
            <w:r>
              <w:rPr>
                <w:rFonts w:hint="eastAsia" w:ascii="Times New Roman" w:hAnsi="Times New Roman" w:cs="Times New Roman"/>
                <w:bCs/>
                <w:color w:val="auto"/>
                <w:sz w:val="21"/>
                <w:szCs w:val="21"/>
                <w:highlight w:val="none"/>
                <w:vertAlign w:val="baseline"/>
                <w:lang w:val="en-US" w:eastAsia="zh-CN"/>
              </w:rPr>
              <w:t>30</w:t>
            </w:r>
            <w:r>
              <w:rPr>
                <w:rFonts w:hint="default" w:ascii="Times New Roman" w:hAnsi="Times New Roman" w:cs="Times New Roman"/>
                <w:bCs/>
                <w:color w:val="auto"/>
                <w:sz w:val="21"/>
                <w:szCs w:val="21"/>
                <w:highlight w:val="none"/>
                <w:vertAlign w:val="baseline"/>
                <w:lang w:val="en-US" w:eastAsia="zh-CN"/>
              </w:rPr>
              <w:t>m</w:t>
            </w:r>
            <w:r>
              <w:rPr>
                <w:rFonts w:hint="default" w:ascii="Times New Roman" w:hAnsi="Times New Roman" w:cs="Times New Roman"/>
                <w:bCs/>
                <w:color w:val="auto"/>
                <w:sz w:val="21"/>
                <w:szCs w:val="21"/>
                <w:highlight w:val="none"/>
                <w:vertAlign w:val="superscript"/>
                <w:lang w:val="en-US" w:eastAsia="zh-CN"/>
              </w:rPr>
              <w:t>2</w:t>
            </w:r>
            <w:r>
              <w:rPr>
                <w:rFonts w:hint="default" w:ascii="Times New Roman" w:hAnsi="Times New Roman" w:cs="Times New Roman"/>
                <w:bCs/>
                <w:color w:val="auto"/>
                <w:sz w:val="21"/>
                <w:szCs w:val="21"/>
                <w:highlight w:val="none"/>
                <w:vertAlign w:val="baseline"/>
                <w:lang w:val="en-US" w:eastAsia="zh-CN"/>
              </w:rPr>
              <w:t>，位于场区北侧，用于员工的日常生活、办公及休息</w:t>
            </w:r>
          </w:p>
        </w:tc>
        <w:tc>
          <w:tcPr>
            <w:tcW w:w="1093"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1230"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669" w:type="dxa"/>
            <w:tcBorders>
              <w:righ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tcBorders>
              <w:lef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1272"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食堂</w:t>
            </w:r>
          </w:p>
        </w:tc>
        <w:tc>
          <w:tcPr>
            <w:tcW w:w="4250"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1间，砖混结构，位于员工综合房内，建筑面积</w:t>
            </w:r>
            <w:r>
              <w:rPr>
                <w:rFonts w:hint="eastAsia" w:ascii="Times New Roman" w:hAnsi="Times New Roman" w:cs="Times New Roman"/>
                <w:bCs/>
                <w:color w:val="auto"/>
                <w:sz w:val="21"/>
                <w:szCs w:val="21"/>
                <w:highlight w:val="none"/>
                <w:vertAlign w:val="baseline"/>
                <w:lang w:val="en-US" w:eastAsia="zh-CN"/>
              </w:rPr>
              <w:t>80</w:t>
            </w:r>
            <w:r>
              <w:rPr>
                <w:rFonts w:hint="default" w:ascii="Times New Roman" w:hAnsi="Times New Roman" w:cs="Times New Roman"/>
                <w:bCs/>
                <w:color w:val="auto"/>
                <w:sz w:val="21"/>
                <w:szCs w:val="21"/>
                <w:highlight w:val="none"/>
                <w:vertAlign w:val="baseline"/>
                <w:lang w:val="en-US" w:eastAsia="zh-CN"/>
              </w:rPr>
              <w:t>m</w:t>
            </w:r>
            <w:r>
              <w:rPr>
                <w:rFonts w:hint="default" w:ascii="Times New Roman" w:hAnsi="Times New Roman" w:cs="Times New Roman"/>
                <w:bCs/>
                <w:color w:val="auto"/>
                <w:sz w:val="21"/>
                <w:szCs w:val="21"/>
                <w:highlight w:val="none"/>
                <w:vertAlign w:val="superscript"/>
                <w:lang w:val="en-US" w:eastAsia="zh-CN"/>
              </w:rPr>
              <w:t>2</w:t>
            </w:r>
            <w:r>
              <w:rPr>
                <w:rFonts w:hint="default" w:ascii="Times New Roman" w:hAnsi="Times New Roman" w:cs="Times New Roman"/>
                <w:bCs/>
                <w:color w:val="auto"/>
                <w:sz w:val="21"/>
                <w:szCs w:val="21"/>
                <w:highlight w:val="none"/>
                <w:vertAlign w:val="baseline"/>
                <w:lang w:val="en-US" w:eastAsia="zh-CN"/>
              </w:rPr>
              <w:t>，就餐人员</w:t>
            </w:r>
            <w:r>
              <w:rPr>
                <w:rFonts w:hint="eastAsia" w:cs="Times New Roman"/>
                <w:bCs/>
                <w:color w:val="auto"/>
                <w:sz w:val="21"/>
                <w:szCs w:val="21"/>
                <w:highlight w:val="none"/>
                <w:vertAlign w:val="baseline"/>
                <w:lang w:val="en-US" w:eastAsia="zh-CN"/>
              </w:rPr>
              <w:t>50</w:t>
            </w:r>
            <w:r>
              <w:rPr>
                <w:rFonts w:hint="default" w:ascii="Times New Roman" w:hAnsi="Times New Roman" w:cs="Times New Roman"/>
                <w:bCs/>
                <w:color w:val="auto"/>
                <w:sz w:val="21"/>
                <w:szCs w:val="21"/>
                <w:highlight w:val="none"/>
                <w:vertAlign w:val="baseline"/>
                <w:lang w:val="en-US" w:eastAsia="zh-CN"/>
              </w:rPr>
              <w:t>人，提供一日三餐，厨房采用</w:t>
            </w:r>
            <w:r>
              <w:rPr>
                <w:rFonts w:hint="eastAsia" w:cs="Times New Roman"/>
                <w:bCs/>
                <w:color w:val="auto"/>
                <w:sz w:val="21"/>
                <w:szCs w:val="21"/>
                <w:highlight w:val="none"/>
                <w:vertAlign w:val="baseline"/>
                <w:lang w:val="en-US" w:eastAsia="zh-CN"/>
              </w:rPr>
              <w:t>液化气</w:t>
            </w:r>
            <w:r>
              <w:rPr>
                <w:rFonts w:hint="default" w:ascii="Times New Roman" w:hAnsi="Times New Roman" w:cs="Times New Roman"/>
                <w:bCs/>
                <w:color w:val="auto"/>
                <w:sz w:val="21"/>
                <w:szCs w:val="21"/>
                <w:highlight w:val="none"/>
                <w:vertAlign w:val="baseline"/>
                <w:lang w:val="en-US" w:eastAsia="zh-CN"/>
              </w:rPr>
              <w:t>作为燃料</w:t>
            </w:r>
          </w:p>
        </w:tc>
        <w:tc>
          <w:tcPr>
            <w:tcW w:w="1093"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1230"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油烟废气、餐饮废水、餐厨垃圾</w:t>
            </w:r>
          </w:p>
        </w:tc>
        <w:tc>
          <w:tcPr>
            <w:tcW w:w="669" w:type="dxa"/>
            <w:tcBorders>
              <w:righ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lef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仓储设施</w:t>
            </w:r>
          </w:p>
        </w:tc>
        <w:tc>
          <w:tcPr>
            <w:tcW w:w="1272"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料塔</w:t>
            </w:r>
          </w:p>
        </w:tc>
        <w:tc>
          <w:tcPr>
            <w:tcW w:w="4250"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color w:val="auto"/>
                <w:sz w:val="21"/>
                <w:szCs w:val="21"/>
                <w:highlight w:val="none"/>
              </w:rPr>
              <w:t>设置2个料塔</w:t>
            </w:r>
            <w:r>
              <w:rPr>
                <w:rFonts w:hint="default" w:ascii="Times New Roman" w:hAnsi="Times New Roman" w:cs="Times New Roman"/>
                <w:bCs/>
                <w:color w:val="auto"/>
                <w:sz w:val="21"/>
                <w:szCs w:val="21"/>
                <w:highlight w:val="none"/>
                <w:vertAlign w:val="baseline"/>
                <w:lang w:val="en-US" w:eastAsia="zh-CN"/>
              </w:rPr>
              <w:t>，位于生活区东侧，每个料塔可储存饲料26t，用于饲料的存储</w:t>
            </w:r>
          </w:p>
        </w:tc>
        <w:tc>
          <w:tcPr>
            <w:tcW w:w="1093"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1230"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w:t>
            </w:r>
          </w:p>
        </w:tc>
        <w:tc>
          <w:tcPr>
            <w:tcW w:w="669" w:type="dxa"/>
            <w:tcBorders>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restart"/>
            <w:tcBorders>
              <w:lef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环保工程</w:t>
            </w:r>
          </w:p>
        </w:tc>
        <w:tc>
          <w:tcPr>
            <w:tcW w:w="1272"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排水沟</w:t>
            </w:r>
          </w:p>
        </w:tc>
        <w:tc>
          <w:tcPr>
            <w:tcW w:w="4250"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明沟+暗管形式，水泥砂浆抹面，围绕整个养殖区周围建设，将截洪沟截留雨水引至附近雨水沟排放</w:t>
            </w:r>
          </w:p>
        </w:tc>
        <w:tc>
          <w:tcPr>
            <w:tcW w:w="1093"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1230"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雨水</w:t>
            </w:r>
          </w:p>
        </w:tc>
        <w:tc>
          <w:tcPr>
            <w:tcW w:w="669" w:type="dxa"/>
            <w:tcBorders>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tcBorders>
              <w:lef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642" w:type="dxa"/>
            <w:vMerge w:val="restart"/>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废水</w:t>
            </w:r>
          </w:p>
        </w:tc>
        <w:tc>
          <w:tcPr>
            <w:tcW w:w="755"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污水处理站</w:t>
            </w:r>
          </w:p>
        </w:tc>
        <w:tc>
          <w:tcPr>
            <w:tcW w:w="4125"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color w:val="auto"/>
                <w:sz w:val="21"/>
                <w:szCs w:val="21"/>
                <w:highlight w:val="none"/>
              </w:rPr>
              <w:t>建设一座处理规模为</w:t>
            </w:r>
            <w:r>
              <w:rPr>
                <w:rFonts w:hint="eastAsia" w:ascii="Times New Roman" w:hAnsi="Times New Roman" w:cs="Times New Roman"/>
                <w:color w:val="auto"/>
                <w:sz w:val="21"/>
                <w:szCs w:val="21"/>
                <w:highlight w:val="none"/>
                <w:lang w:val="en-US" w:eastAsia="zh-CN"/>
              </w:rPr>
              <w:t>150</w:t>
            </w:r>
            <w:r>
              <w:rPr>
                <w:rFonts w:hint="default" w:ascii="Times New Roman" w:hAnsi="Times New Roman" w:cs="Times New Roman"/>
                <w:color w:val="auto"/>
                <w:sz w:val="21"/>
                <w:szCs w:val="21"/>
                <w:highlight w:val="none"/>
              </w:rPr>
              <w:t>m</w:t>
            </w:r>
            <w:r>
              <w:rPr>
                <w:rFonts w:hint="default" w:ascii="Times New Roman" w:hAnsi="Times New Roman" w:cs="Times New Roman"/>
                <w:color w:val="auto"/>
                <w:sz w:val="21"/>
                <w:szCs w:val="21"/>
                <w:highlight w:val="none"/>
                <w:vertAlign w:val="superscript"/>
              </w:rPr>
              <w:t xml:space="preserve">3 </w:t>
            </w:r>
            <w:r>
              <w:rPr>
                <w:rFonts w:hint="default" w:ascii="Times New Roman" w:hAnsi="Times New Roman" w:cs="Times New Roman"/>
                <w:color w:val="auto"/>
                <w:sz w:val="21"/>
                <w:szCs w:val="21"/>
                <w:highlight w:val="none"/>
              </w:rPr>
              <w:t xml:space="preserve">/d的污水处理站，废水处理工艺为“ </w:t>
            </w:r>
            <w:r>
              <w:rPr>
                <w:rFonts w:hint="default" w:ascii="Times New Roman" w:hAnsi="Times New Roman" w:cs="Times New Roman"/>
                <w:color w:val="auto"/>
                <w:sz w:val="21"/>
                <w:szCs w:val="21"/>
                <w:highlight w:val="none"/>
                <w:lang w:val="en-US" w:eastAsia="zh-CN"/>
              </w:rPr>
              <w:t>格栅井+集粪池+固液分离机+污泥池（调节池）+叠螺脱水机+预反应及预沉池+一级光氧塘+</w:t>
            </w:r>
            <w:r>
              <w:rPr>
                <w:rFonts w:hint="eastAsia" w:cs="Times New Roman"/>
                <w:color w:val="auto"/>
                <w:sz w:val="21"/>
                <w:szCs w:val="21"/>
                <w:highlight w:val="none"/>
                <w:lang w:val="en-US" w:eastAsia="zh-CN"/>
              </w:rPr>
              <w:t>A/O组合池</w:t>
            </w:r>
            <w:r>
              <w:rPr>
                <w:rFonts w:hint="default" w:ascii="Times New Roman" w:hAnsi="Times New Roman" w:cs="Times New Roman"/>
                <w:color w:val="auto"/>
                <w:sz w:val="21"/>
                <w:szCs w:val="21"/>
                <w:highlight w:val="none"/>
                <w:lang w:val="en-US" w:eastAsia="zh-CN"/>
              </w:rPr>
              <w:t>+二沉池+深度反应池+终沉池+氧化塘</w:t>
            </w:r>
            <w:r>
              <w:rPr>
                <w:rFonts w:hint="default" w:ascii="Times New Roman" w:hAnsi="Times New Roman" w:cs="Times New Roman"/>
                <w:color w:val="auto"/>
                <w:sz w:val="21"/>
                <w:szCs w:val="21"/>
                <w:highlight w:val="none"/>
              </w:rPr>
              <w:t>”，修建圈舍污水收集管道（暗管）</w:t>
            </w:r>
          </w:p>
        </w:tc>
        <w:tc>
          <w:tcPr>
            <w:tcW w:w="1093"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1230"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恶臭、噪声、污泥</w:t>
            </w:r>
          </w:p>
        </w:tc>
        <w:tc>
          <w:tcPr>
            <w:tcW w:w="669" w:type="dxa"/>
            <w:tcBorders>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tcBorders>
              <w:lef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642"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755"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eastAsia" w:cs="Times New Roman"/>
                <w:bCs/>
                <w:color w:val="auto"/>
                <w:sz w:val="21"/>
                <w:szCs w:val="21"/>
                <w:highlight w:val="none"/>
                <w:vertAlign w:val="baseline"/>
                <w:lang w:val="en-US" w:eastAsia="zh-CN"/>
              </w:rPr>
              <w:t>事故应急池</w:t>
            </w:r>
          </w:p>
        </w:tc>
        <w:tc>
          <w:tcPr>
            <w:tcW w:w="4125"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color w:val="auto"/>
                <w:sz w:val="21"/>
                <w:szCs w:val="21"/>
                <w:highlight w:val="none"/>
              </w:rPr>
              <w:t>1 个，有效容积</w:t>
            </w:r>
            <w:r>
              <w:rPr>
                <w:rFonts w:hint="default" w:ascii="Times New Roman" w:hAnsi="Times New Roman" w:cs="Times New Roman"/>
                <w:color w:val="auto"/>
                <w:sz w:val="21"/>
                <w:szCs w:val="21"/>
                <w:highlight w:val="none"/>
                <w:lang w:val="en-US" w:eastAsia="zh-CN"/>
              </w:rPr>
              <w:t>2250</w:t>
            </w:r>
            <w:r>
              <w:rPr>
                <w:rFonts w:hint="default" w:ascii="Times New Roman" w:hAnsi="Times New Roman" w:cs="Times New Roman"/>
                <w:color w:val="auto"/>
                <w:sz w:val="21"/>
                <w:szCs w:val="21"/>
                <w:highlight w:val="none"/>
              </w:rPr>
              <w:t>m</w:t>
            </w:r>
            <w:r>
              <w:rPr>
                <w:rFonts w:hint="default" w:ascii="Times New Roman" w:hAnsi="Times New Roman" w:cs="Times New Roman"/>
                <w:color w:val="auto"/>
                <w:sz w:val="21"/>
                <w:szCs w:val="21"/>
                <w:highlight w:val="none"/>
                <w:vertAlign w:val="superscript"/>
              </w:rPr>
              <w:t>3</w:t>
            </w:r>
            <w:r>
              <w:rPr>
                <w:rFonts w:hint="default" w:ascii="Times New Roman" w:hAnsi="Times New Roman" w:cs="Times New Roman"/>
                <w:color w:val="auto"/>
                <w:sz w:val="21"/>
                <w:szCs w:val="21"/>
                <w:highlight w:val="none"/>
              </w:rPr>
              <w:t>，</w:t>
            </w:r>
            <w:r>
              <w:rPr>
                <w:rFonts w:hint="default" w:ascii="Times New Roman" w:hAnsi="Times New Roman" w:cs="Times New Roman"/>
                <w:color w:val="auto"/>
                <w:sz w:val="21"/>
                <w:szCs w:val="21"/>
                <w:highlight w:val="none"/>
                <w:lang w:val="en-US" w:eastAsia="zh-CN"/>
              </w:rPr>
              <w:t>用于</w:t>
            </w:r>
            <w:r>
              <w:rPr>
                <w:rFonts w:hint="default" w:ascii="Times New Roman" w:hAnsi="Times New Roman" w:cs="Times New Roman"/>
                <w:color w:val="auto"/>
                <w:sz w:val="21"/>
                <w:szCs w:val="21"/>
                <w:highlight w:val="none"/>
              </w:rPr>
              <w:t>污水处理站设备故障时事故废水的暂存</w:t>
            </w:r>
          </w:p>
        </w:tc>
        <w:tc>
          <w:tcPr>
            <w:tcW w:w="1093"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1230"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废水</w:t>
            </w:r>
          </w:p>
        </w:tc>
        <w:tc>
          <w:tcPr>
            <w:tcW w:w="669" w:type="dxa"/>
            <w:tcBorders>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tcBorders>
              <w:lef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642"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755"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废水灌溉系统</w:t>
            </w:r>
          </w:p>
        </w:tc>
        <w:tc>
          <w:tcPr>
            <w:tcW w:w="4125"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color w:val="auto"/>
                <w:sz w:val="21"/>
                <w:szCs w:val="21"/>
                <w:highlight w:val="none"/>
                <w:lang w:val="en-US"/>
              </w:rPr>
            </w:pPr>
            <w:r>
              <w:rPr>
                <w:rFonts w:hint="default" w:ascii="Times New Roman" w:hAnsi="Times New Roman" w:cs="Times New Roman"/>
                <w:color w:val="auto"/>
                <w:sz w:val="21"/>
                <w:szCs w:val="21"/>
                <w:highlight w:val="none"/>
                <w:lang w:eastAsia="zh-CN"/>
              </w:rPr>
              <w:t>与丹棱县兴农养殖服务专业合作社签订</w:t>
            </w:r>
            <w:r>
              <w:rPr>
                <w:rFonts w:hint="default" w:ascii="Times New Roman" w:hAnsi="Times New Roman" w:cs="Times New Roman"/>
                <w:color w:val="auto"/>
                <w:sz w:val="21"/>
                <w:szCs w:val="21"/>
                <w:highlight w:val="none"/>
                <w:lang w:val="en-US" w:eastAsia="zh-CN"/>
              </w:rPr>
              <w:t>猪场粪污消纳</w:t>
            </w:r>
            <w:r>
              <w:rPr>
                <w:rFonts w:hint="default" w:ascii="Times New Roman" w:hAnsi="Times New Roman" w:cs="Times New Roman"/>
                <w:color w:val="auto"/>
                <w:sz w:val="21"/>
                <w:szCs w:val="21"/>
                <w:highlight w:val="none"/>
                <w:lang w:eastAsia="zh-CN"/>
              </w:rPr>
              <w:t>服务合同，本项目处理后的粪水由丹棱县兴农养殖服务专业合作社</w:t>
            </w:r>
            <w:r>
              <w:rPr>
                <w:rFonts w:hint="default" w:ascii="Times New Roman" w:hAnsi="Times New Roman" w:cs="Times New Roman"/>
                <w:color w:val="auto"/>
                <w:sz w:val="21"/>
                <w:szCs w:val="21"/>
                <w:highlight w:val="none"/>
                <w:lang w:val="en-US" w:eastAsia="zh-CN"/>
              </w:rPr>
              <w:t>通过运输车辆转运</w:t>
            </w:r>
            <w:r>
              <w:rPr>
                <w:rFonts w:hint="eastAsia" w:cs="Times New Roman"/>
                <w:color w:val="auto"/>
                <w:sz w:val="21"/>
                <w:szCs w:val="21"/>
                <w:highlight w:val="none"/>
                <w:lang w:val="en-US" w:eastAsia="zh-CN"/>
              </w:rPr>
              <w:t>至双桥镇宿场村、齐乐镇中隆社区果园进行消纳</w:t>
            </w:r>
          </w:p>
        </w:tc>
        <w:tc>
          <w:tcPr>
            <w:tcW w:w="1093"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1230"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环境风险</w:t>
            </w:r>
          </w:p>
        </w:tc>
        <w:tc>
          <w:tcPr>
            <w:tcW w:w="669" w:type="dxa"/>
            <w:tcBorders>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tcBorders>
              <w:lef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642"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755"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油水分离器</w:t>
            </w:r>
          </w:p>
        </w:tc>
        <w:tc>
          <w:tcPr>
            <w:tcW w:w="4125"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设置1套油水分离器，容积不小于1m</w:t>
            </w:r>
            <w:r>
              <w:rPr>
                <w:rFonts w:hint="default" w:ascii="Times New Roman" w:hAnsi="Times New Roman" w:cs="Times New Roman"/>
                <w:bCs/>
                <w:color w:val="auto"/>
                <w:sz w:val="21"/>
                <w:szCs w:val="21"/>
                <w:highlight w:val="none"/>
                <w:vertAlign w:val="superscript"/>
                <w:lang w:val="en-US" w:eastAsia="zh-CN"/>
              </w:rPr>
              <w:t>3</w:t>
            </w:r>
            <w:r>
              <w:rPr>
                <w:rFonts w:hint="default" w:ascii="Times New Roman" w:hAnsi="Times New Roman" w:cs="Times New Roman"/>
                <w:bCs/>
                <w:color w:val="auto"/>
                <w:sz w:val="21"/>
                <w:szCs w:val="21"/>
                <w:highlight w:val="none"/>
                <w:vertAlign w:val="baseline"/>
                <w:lang w:val="en-US" w:eastAsia="zh-CN"/>
              </w:rPr>
              <w:t>，用于食堂废水隔油预处理</w:t>
            </w:r>
          </w:p>
        </w:tc>
        <w:tc>
          <w:tcPr>
            <w:tcW w:w="1093"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1230"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隔油池浮油</w:t>
            </w:r>
          </w:p>
        </w:tc>
        <w:tc>
          <w:tcPr>
            <w:tcW w:w="669" w:type="dxa"/>
            <w:tcBorders>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tcBorders>
              <w:lef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642" w:type="dxa"/>
            <w:vMerge w:val="restart"/>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废气</w:t>
            </w:r>
          </w:p>
        </w:tc>
        <w:tc>
          <w:tcPr>
            <w:tcW w:w="755"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猪舍恶臭</w:t>
            </w:r>
          </w:p>
        </w:tc>
        <w:tc>
          <w:tcPr>
            <w:tcW w:w="4125"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采取干清粪工艺，将粪便、尿液及时清理，提高饲料利用率，合理使用饲料添加剂，加强猪舍通风，定期进行消毒、定期喷洒除臭剂。加强场区绿化、设置卫生防护距离</w:t>
            </w:r>
          </w:p>
        </w:tc>
        <w:tc>
          <w:tcPr>
            <w:tcW w:w="1093"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1230"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恶臭</w:t>
            </w:r>
          </w:p>
        </w:tc>
        <w:tc>
          <w:tcPr>
            <w:tcW w:w="669" w:type="dxa"/>
            <w:tcBorders>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tcBorders>
              <w:lef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642"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755"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堆肥</w:t>
            </w:r>
            <w:r>
              <w:rPr>
                <w:rFonts w:hint="eastAsia" w:cs="Times New Roman"/>
                <w:bCs/>
                <w:color w:val="auto"/>
                <w:sz w:val="21"/>
                <w:szCs w:val="21"/>
                <w:highlight w:val="none"/>
                <w:vertAlign w:val="baseline"/>
                <w:lang w:val="en-US" w:eastAsia="zh-CN"/>
              </w:rPr>
              <w:t>间</w:t>
            </w:r>
            <w:r>
              <w:rPr>
                <w:rFonts w:hint="default" w:ascii="Times New Roman" w:hAnsi="Times New Roman" w:cs="Times New Roman"/>
                <w:bCs/>
                <w:color w:val="auto"/>
                <w:sz w:val="21"/>
                <w:szCs w:val="21"/>
                <w:highlight w:val="none"/>
                <w:vertAlign w:val="baseline"/>
                <w:lang w:val="en-US" w:eastAsia="zh-CN"/>
              </w:rPr>
              <w:t>恶臭</w:t>
            </w:r>
          </w:p>
        </w:tc>
        <w:tc>
          <w:tcPr>
            <w:tcW w:w="4125"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喷洒生物化学除臭剂，废气经设备自带净化系统（</w:t>
            </w:r>
            <w:r>
              <w:rPr>
                <w:rFonts w:hint="eastAsia" w:cs="Times New Roman"/>
                <w:bCs/>
                <w:color w:val="auto"/>
                <w:sz w:val="21"/>
                <w:szCs w:val="21"/>
                <w:highlight w:val="none"/>
                <w:vertAlign w:val="baseline"/>
                <w:lang w:val="en-US" w:eastAsia="zh-CN"/>
              </w:rPr>
              <w:t>喷淋洗涤吸收塔</w:t>
            </w:r>
            <w:r>
              <w:rPr>
                <w:rFonts w:hint="default" w:ascii="Times New Roman" w:hAnsi="Times New Roman" w:cs="Times New Roman"/>
                <w:bCs/>
                <w:color w:val="auto"/>
                <w:sz w:val="21"/>
                <w:szCs w:val="21"/>
                <w:highlight w:val="none"/>
                <w:vertAlign w:val="baseline"/>
                <w:lang w:val="en-US" w:eastAsia="zh-CN"/>
              </w:rPr>
              <w:t>）处理后经15m高排气筒排放</w:t>
            </w:r>
          </w:p>
        </w:tc>
        <w:tc>
          <w:tcPr>
            <w:tcW w:w="1093"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12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恶臭</w:t>
            </w:r>
          </w:p>
        </w:tc>
        <w:tc>
          <w:tcPr>
            <w:tcW w:w="669" w:type="dxa"/>
            <w:tcBorders>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tcBorders>
              <w:lef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642"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755"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污水处理</w:t>
            </w:r>
            <w:r>
              <w:rPr>
                <w:rFonts w:hint="eastAsia" w:cs="Times New Roman"/>
                <w:bCs/>
                <w:color w:val="auto"/>
                <w:sz w:val="21"/>
                <w:szCs w:val="21"/>
                <w:highlight w:val="none"/>
                <w:vertAlign w:val="baseline"/>
                <w:lang w:val="en-US" w:eastAsia="zh-CN"/>
              </w:rPr>
              <w:t>区</w:t>
            </w:r>
            <w:r>
              <w:rPr>
                <w:rFonts w:hint="default" w:ascii="Times New Roman" w:hAnsi="Times New Roman" w:cs="Times New Roman"/>
                <w:bCs/>
                <w:color w:val="auto"/>
                <w:sz w:val="21"/>
                <w:szCs w:val="21"/>
                <w:highlight w:val="none"/>
                <w:vertAlign w:val="baseline"/>
                <w:lang w:val="en-US" w:eastAsia="zh-CN"/>
              </w:rPr>
              <w:t>恶臭</w:t>
            </w:r>
          </w:p>
        </w:tc>
        <w:tc>
          <w:tcPr>
            <w:tcW w:w="4125"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eastAsia" w:cs="Times New Roman"/>
                <w:bCs/>
                <w:color w:val="auto"/>
                <w:sz w:val="21"/>
                <w:szCs w:val="21"/>
                <w:highlight w:val="none"/>
                <w:vertAlign w:val="baseline"/>
                <w:lang w:val="en-US" w:eastAsia="zh-CN"/>
              </w:rPr>
              <w:t>污水处理区恶臭主要是氧化塘（储蓄池）进行沼液储存产生的恶臭，在氧化塘（储蓄池）周围加强绿化措施，利用植物吸收臭气，定期喷洒除臭剂，减小储蓄池的臭气排放</w:t>
            </w:r>
          </w:p>
        </w:tc>
        <w:tc>
          <w:tcPr>
            <w:tcW w:w="1093"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12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恶臭</w:t>
            </w:r>
          </w:p>
        </w:tc>
        <w:tc>
          <w:tcPr>
            <w:tcW w:w="669" w:type="dxa"/>
            <w:tcBorders>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tcBorders>
              <w:lef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642"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755"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发电机废气</w:t>
            </w:r>
          </w:p>
        </w:tc>
        <w:tc>
          <w:tcPr>
            <w:tcW w:w="412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经自带的烟气净化装置处理后，引至屋顶排放</w:t>
            </w:r>
          </w:p>
        </w:tc>
        <w:tc>
          <w:tcPr>
            <w:tcW w:w="1093"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12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废气、噪声</w:t>
            </w:r>
          </w:p>
        </w:tc>
        <w:tc>
          <w:tcPr>
            <w:tcW w:w="669" w:type="dxa"/>
            <w:tcBorders>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tcBorders>
              <w:lef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642"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755"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食堂油烟</w:t>
            </w:r>
          </w:p>
        </w:tc>
        <w:tc>
          <w:tcPr>
            <w:tcW w:w="4125"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油烟经油烟净化器处理后引至屋顶排放</w:t>
            </w:r>
          </w:p>
        </w:tc>
        <w:tc>
          <w:tcPr>
            <w:tcW w:w="1093"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12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油烟</w:t>
            </w:r>
          </w:p>
        </w:tc>
        <w:tc>
          <w:tcPr>
            <w:tcW w:w="669" w:type="dxa"/>
            <w:tcBorders>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tcBorders>
              <w:lef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642"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噪声</w:t>
            </w:r>
          </w:p>
        </w:tc>
        <w:tc>
          <w:tcPr>
            <w:tcW w:w="4880" w:type="dxa"/>
            <w:gridSpan w:val="3"/>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eastAsia="宋体" w:cs="Times New Roman"/>
                <w:bCs/>
                <w:color w:val="auto"/>
                <w:kern w:val="2"/>
                <w:sz w:val="21"/>
                <w:szCs w:val="21"/>
                <w:highlight w:val="none"/>
                <w:lang w:val="en-US" w:eastAsia="zh-CN" w:bidi="ar-SA"/>
              </w:rPr>
              <w:t>选用低噪声设备；风机、水泵等设置在室内隔声；风机进口设置消声器；设备基础安装减震垫；加强厂区管理，绿化隔声，2m高围墙隔声。</w:t>
            </w:r>
          </w:p>
        </w:tc>
        <w:tc>
          <w:tcPr>
            <w:tcW w:w="1093"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1230"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w:t>
            </w:r>
          </w:p>
        </w:tc>
        <w:tc>
          <w:tcPr>
            <w:tcW w:w="669" w:type="dxa"/>
            <w:tcBorders>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tcBorders>
              <w:lef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642" w:type="dxa"/>
            <w:vMerge w:val="restart"/>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固废</w:t>
            </w:r>
          </w:p>
        </w:tc>
        <w:tc>
          <w:tcPr>
            <w:tcW w:w="755"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猪粪、污泥</w:t>
            </w:r>
          </w:p>
        </w:tc>
        <w:tc>
          <w:tcPr>
            <w:tcW w:w="4125"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采用干清粪工艺；日产日清，猪粪在</w:t>
            </w:r>
            <w:r>
              <w:rPr>
                <w:rFonts w:hint="eastAsia" w:cs="Times New Roman"/>
                <w:bCs/>
                <w:color w:val="auto"/>
                <w:sz w:val="21"/>
                <w:szCs w:val="21"/>
                <w:highlight w:val="none"/>
                <w:vertAlign w:val="baseline"/>
                <w:lang w:val="en-US" w:eastAsia="zh-CN"/>
              </w:rPr>
              <w:t>堆粪间</w:t>
            </w:r>
            <w:r>
              <w:rPr>
                <w:rFonts w:hint="default" w:ascii="Times New Roman" w:hAnsi="Times New Roman" w:cs="Times New Roman"/>
                <w:bCs/>
                <w:color w:val="auto"/>
                <w:sz w:val="21"/>
                <w:szCs w:val="21"/>
                <w:highlight w:val="none"/>
                <w:vertAlign w:val="baseline"/>
                <w:lang w:val="en-US" w:eastAsia="zh-CN"/>
              </w:rPr>
              <w:t>进行固液分离，粪渣</w:t>
            </w:r>
            <w:r>
              <w:rPr>
                <w:rFonts w:hint="eastAsia" w:cs="Times New Roman"/>
                <w:bCs/>
                <w:color w:val="auto"/>
                <w:sz w:val="21"/>
                <w:szCs w:val="21"/>
                <w:highlight w:val="none"/>
                <w:vertAlign w:val="baseline"/>
                <w:lang w:val="en-US" w:eastAsia="zh-CN"/>
              </w:rPr>
              <w:t>好氧堆肥</w:t>
            </w:r>
            <w:r>
              <w:rPr>
                <w:rFonts w:hint="default" w:ascii="Times New Roman" w:hAnsi="Times New Roman" w:cs="Times New Roman"/>
                <w:bCs/>
                <w:color w:val="auto"/>
                <w:sz w:val="21"/>
                <w:szCs w:val="21"/>
                <w:highlight w:val="none"/>
                <w:vertAlign w:val="baseline"/>
                <w:lang w:val="en-US" w:eastAsia="zh-CN"/>
              </w:rPr>
              <w:t>，</w:t>
            </w:r>
            <w:r>
              <w:rPr>
                <w:rFonts w:hint="eastAsia" w:cs="Times New Roman"/>
                <w:bCs/>
                <w:color w:val="auto"/>
                <w:sz w:val="21"/>
                <w:szCs w:val="21"/>
                <w:highlight w:val="none"/>
                <w:vertAlign w:val="baseline"/>
                <w:lang w:val="en-US" w:eastAsia="zh-CN"/>
              </w:rPr>
              <w:t>堆肥产物用于周边农田消纳</w:t>
            </w:r>
          </w:p>
        </w:tc>
        <w:tc>
          <w:tcPr>
            <w:tcW w:w="1093"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1230"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恶臭</w:t>
            </w:r>
          </w:p>
        </w:tc>
        <w:tc>
          <w:tcPr>
            <w:tcW w:w="669" w:type="dxa"/>
            <w:tcBorders>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tcBorders>
              <w:lef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642"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755"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病死猪</w:t>
            </w:r>
          </w:p>
        </w:tc>
        <w:tc>
          <w:tcPr>
            <w:tcW w:w="4125"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设置填埋井（2</w:t>
            </w:r>
            <w:r>
              <w:rPr>
                <w:rFonts w:hint="eastAsia" w:cs="Times New Roman"/>
                <w:bCs/>
                <w:color w:val="auto"/>
                <w:sz w:val="21"/>
                <w:szCs w:val="21"/>
                <w:highlight w:val="none"/>
                <w:vertAlign w:val="baseline"/>
                <w:lang w:val="en-US" w:eastAsia="zh-CN"/>
              </w:rPr>
              <w:t>.5</w:t>
            </w:r>
            <w:r>
              <w:rPr>
                <w:rFonts w:hint="default" w:ascii="Times New Roman" w:hAnsi="Times New Roman" w:eastAsia="宋体" w:cs="Times New Roman"/>
                <w:bCs/>
                <w:color w:val="auto"/>
                <w:sz w:val="21"/>
                <w:szCs w:val="21"/>
                <w:highlight w:val="none"/>
                <w:vertAlign w:val="baseline"/>
                <w:lang w:val="en-US" w:eastAsia="zh-CN"/>
              </w:rPr>
              <w:t>m×</w:t>
            </w:r>
            <w:r>
              <w:rPr>
                <w:rFonts w:hint="eastAsia" w:cs="Times New Roman"/>
                <w:bCs/>
                <w:color w:val="auto"/>
                <w:sz w:val="21"/>
                <w:szCs w:val="21"/>
                <w:highlight w:val="none"/>
                <w:vertAlign w:val="baseline"/>
                <w:lang w:val="en-US" w:eastAsia="zh-CN"/>
              </w:rPr>
              <w:t>10</w:t>
            </w:r>
            <w:r>
              <w:rPr>
                <w:rFonts w:hint="default" w:ascii="Times New Roman" w:hAnsi="Times New Roman" w:eastAsia="宋体" w:cs="Times New Roman"/>
                <w:bCs/>
                <w:color w:val="auto"/>
                <w:sz w:val="21"/>
                <w:szCs w:val="21"/>
                <w:highlight w:val="none"/>
                <w:vertAlign w:val="baseline"/>
                <w:lang w:val="en-US" w:eastAsia="zh-CN"/>
              </w:rPr>
              <w:t>m）</w:t>
            </w:r>
            <w:r>
              <w:rPr>
                <w:rFonts w:hint="eastAsia" w:cs="Times New Roman"/>
                <w:bCs/>
                <w:color w:val="auto"/>
                <w:sz w:val="21"/>
                <w:szCs w:val="21"/>
                <w:highlight w:val="none"/>
                <w:vertAlign w:val="baseline"/>
                <w:lang w:val="en-US" w:eastAsia="zh-CN"/>
              </w:rPr>
              <w:t>1</w:t>
            </w:r>
            <w:r>
              <w:rPr>
                <w:rFonts w:hint="default" w:ascii="Times New Roman" w:hAnsi="Times New Roman" w:eastAsia="宋体" w:cs="Times New Roman"/>
                <w:bCs/>
                <w:color w:val="auto"/>
                <w:sz w:val="21"/>
                <w:szCs w:val="21"/>
                <w:highlight w:val="none"/>
                <w:vertAlign w:val="baseline"/>
                <w:lang w:val="en-US" w:eastAsia="zh-CN"/>
              </w:rPr>
              <w:t>个，位于项目</w:t>
            </w:r>
            <w:r>
              <w:rPr>
                <w:rFonts w:hint="eastAsia" w:cs="Times New Roman"/>
                <w:bCs/>
                <w:color w:val="auto"/>
                <w:sz w:val="21"/>
                <w:szCs w:val="21"/>
                <w:highlight w:val="none"/>
                <w:vertAlign w:val="baseline"/>
                <w:lang w:val="en-US" w:eastAsia="zh-CN"/>
              </w:rPr>
              <w:t>西</w:t>
            </w:r>
            <w:r>
              <w:rPr>
                <w:rFonts w:hint="default" w:ascii="Times New Roman" w:hAnsi="Times New Roman" w:eastAsia="宋体" w:cs="Times New Roman"/>
                <w:bCs/>
                <w:color w:val="auto"/>
                <w:sz w:val="21"/>
                <w:szCs w:val="21"/>
                <w:highlight w:val="none"/>
                <w:vertAlign w:val="baseline"/>
                <w:lang w:val="en-US" w:eastAsia="zh-CN"/>
              </w:rPr>
              <w:t>南侧，对病死猪进行卫生填埋处理</w:t>
            </w:r>
          </w:p>
        </w:tc>
        <w:tc>
          <w:tcPr>
            <w:tcW w:w="1093"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1230"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环境风险</w:t>
            </w:r>
          </w:p>
        </w:tc>
        <w:tc>
          <w:tcPr>
            <w:tcW w:w="669" w:type="dxa"/>
            <w:tcBorders>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tcBorders>
              <w:lef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642"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755"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医疗废物</w:t>
            </w:r>
          </w:p>
        </w:tc>
        <w:tc>
          <w:tcPr>
            <w:tcW w:w="4125"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设置危险废物暂存间1间，建筑面积</w:t>
            </w:r>
            <w:r>
              <w:rPr>
                <w:rFonts w:hint="eastAsia" w:cs="Times New Roman"/>
                <w:bCs/>
                <w:color w:val="auto"/>
                <w:sz w:val="21"/>
                <w:szCs w:val="21"/>
                <w:highlight w:val="none"/>
                <w:vertAlign w:val="baseline"/>
                <w:lang w:val="en-US" w:eastAsia="zh-CN"/>
              </w:rPr>
              <w:t>40</w:t>
            </w:r>
            <w:r>
              <w:rPr>
                <w:rFonts w:hint="default" w:ascii="Times New Roman" w:hAnsi="Times New Roman" w:cs="Times New Roman"/>
                <w:bCs/>
                <w:color w:val="auto"/>
                <w:sz w:val="21"/>
                <w:szCs w:val="21"/>
                <w:highlight w:val="none"/>
                <w:vertAlign w:val="baseline"/>
                <w:lang w:val="en-US" w:eastAsia="zh-CN"/>
              </w:rPr>
              <w:t>m</w:t>
            </w:r>
            <w:r>
              <w:rPr>
                <w:rFonts w:hint="default" w:ascii="Times New Roman" w:hAnsi="Times New Roman" w:cs="Times New Roman"/>
                <w:bCs/>
                <w:color w:val="auto"/>
                <w:sz w:val="21"/>
                <w:szCs w:val="21"/>
                <w:highlight w:val="none"/>
                <w:vertAlign w:val="superscript"/>
                <w:lang w:val="en-US" w:eastAsia="zh-CN"/>
              </w:rPr>
              <w:t>2</w:t>
            </w:r>
            <w:r>
              <w:rPr>
                <w:rFonts w:hint="default" w:ascii="Times New Roman" w:hAnsi="Times New Roman" w:cs="Times New Roman"/>
                <w:bCs/>
                <w:color w:val="auto"/>
                <w:sz w:val="21"/>
                <w:szCs w:val="21"/>
                <w:highlight w:val="none"/>
                <w:vertAlign w:val="baseline"/>
                <w:lang w:val="en-US" w:eastAsia="zh-CN"/>
              </w:rPr>
              <w:t>，对产生的废弃药品、废弃兽药包装袋、过期兽药等防疫废物进行分类桶装收集暂存，定期交由有资质的单位进行处置，签订协议并设立台账</w:t>
            </w:r>
          </w:p>
        </w:tc>
        <w:tc>
          <w:tcPr>
            <w:tcW w:w="1093"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1230"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w:t>
            </w:r>
          </w:p>
        </w:tc>
        <w:tc>
          <w:tcPr>
            <w:tcW w:w="669" w:type="dxa"/>
            <w:tcBorders>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tcBorders>
              <w:lef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642"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755"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生活垃圾</w:t>
            </w:r>
          </w:p>
        </w:tc>
        <w:tc>
          <w:tcPr>
            <w:tcW w:w="4125"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场区内垃圾桶收集后，送至乡镇垃圾收集点，交由当地环卫部门清运处置</w:t>
            </w:r>
          </w:p>
        </w:tc>
        <w:tc>
          <w:tcPr>
            <w:tcW w:w="1093"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1230"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w:t>
            </w:r>
          </w:p>
        </w:tc>
        <w:tc>
          <w:tcPr>
            <w:tcW w:w="669" w:type="dxa"/>
            <w:tcBorders>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tcBorders>
              <w:lef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642"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755"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餐厨垃圾、废油脂</w:t>
            </w:r>
          </w:p>
        </w:tc>
        <w:tc>
          <w:tcPr>
            <w:tcW w:w="4125"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单独收集，</w:t>
            </w:r>
          </w:p>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交由餐厨垃圾收运单位收运处置</w:t>
            </w:r>
          </w:p>
        </w:tc>
        <w:tc>
          <w:tcPr>
            <w:tcW w:w="1093"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1230"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w:t>
            </w:r>
          </w:p>
        </w:tc>
        <w:tc>
          <w:tcPr>
            <w:tcW w:w="669" w:type="dxa"/>
            <w:tcBorders>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tcBorders>
              <w:left w:val="nil"/>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1272"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地下水防渗</w:t>
            </w:r>
          </w:p>
        </w:tc>
        <w:tc>
          <w:tcPr>
            <w:tcW w:w="4250" w:type="dxa"/>
            <w:gridSpan w:val="2"/>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eastAsia" w:ascii="Times New Roman" w:hAnsi="Times New Roman" w:eastAsia="宋体"/>
                <w:color w:val="auto"/>
                <w:lang w:val="en-US" w:eastAsia="zh-CN"/>
              </w:rPr>
              <w:t>猪舍、污水处理区、危废暂存间、发电机房、粪污收集管道、化尸池</w:t>
            </w:r>
            <w:r>
              <w:rPr>
                <w:rFonts w:hint="default" w:ascii="Times New Roman" w:hAnsi="Times New Roman" w:cs="Times New Roman"/>
                <w:bCs/>
                <w:color w:val="auto"/>
                <w:sz w:val="21"/>
                <w:szCs w:val="21"/>
                <w:highlight w:val="none"/>
                <w:vertAlign w:val="baseline"/>
                <w:lang w:val="en-US" w:eastAsia="zh-CN"/>
              </w:rPr>
              <w:t>为重点防渗区域需要做重点防渗处理；</w:t>
            </w:r>
            <w:r>
              <w:rPr>
                <w:rFonts w:hint="eastAsia" w:ascii="Times New Roman" w:hAnsi="Times New Roman" w:eastAsia="宋体"/>
                <w:color w:val="auto"/>
                <w:lang w:val="en-US" w:eastAsia="zh-CN"/>
              </w:rPr>
              <w:t>猪走道（污道）、固废暂存间</w:t>
            </w:r>
            <w:r>
              <w:rPr>
                <w:rFonts w:hint="default" w:ascii="Times New Roman" w:hAnsi="Times New Roman" w:cs="Times New Roman"/>
                <w:bCs/>
                <w:color w:val="auto"/>
                <w:sz w:val="21"/>
                <w:szCs w:val="21"/>
                <w:highlight w:val="none"/>
                <w:vertAlign w:val="baseline"/>
                <w:lang w:val="en-US" w:eastAsia="zh-CN"/>
              </w:rPr>
              <w:t>等为一般防渗区；项目办公宿舍楼、场内净道、绿地和空地等养殖区其余部分区域为简单防渗区</w:t>
            </w:r>
          </w:p>
        </w:tc>
        <w:tc>
          <w:tcPr>
            <w:tcW w:w="1093" w:type="dxa"/>
            <w:vMerge w:val="continue"/>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1230"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环境风险</w:t>
            </w:r>
          </w:p>
        </w:tc>
        <w:tc>
          <w:tcPr>
            <w:tcW w:w="669" w:type="dxa"/>
            <w:tcBorders>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tcBorders>
              <w:left w:val="nil"/>
              <w:bottom w:val="single" w:color="auto" w:sz="12" w:space="0"/>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p>
        </w:tc>
        <w:tc>
          <w:tcPr>
            <w:tcW w:w="1272" w:type="dxa"/>
            <w:gridSpan w:val="2"/>
            <w:tcBorders>
              <w:bottom w:val="single" w:color="auto" w:sz="12" w:space="0"/>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绿化</w:t>
            </w:r>
          </w:p>
        </w:tc>
        <w:tc>
          <w:tcPr>
            <w:tcW w:w="4250" w:type="dxa"/>
            <w:gridSpan w:val="2"/>
            <w:tcBorders>
              <w:bottom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厂区人工绿化总面积15000m</w:t>
            </w:r>
            <w:r>
              <w:rPr>
                <w:rFonts w:hint="default" w:ascii="Times New Roman" w:hAnsi="Times New Roman" w:eastAsia="宋体" w:cs="Times New Roman"/>
                <w:bCs/>
                <w:color w:val="auto"/>
                <w:kern w:val="2"/>
                <w:sz w:val="21"/>
                <w:szCs w:val="21"/>
                <w:highlight w:val="none"/>
                <w:vertAlign w:val="superscript"/>
                <w:lang w:val="en-US" w:eastAsia="zh-CN" w:bidi="ar-SA"/>
              </w:rPr>
              <w:t>2</w:t>
            </w:r>
          </w:p>
        </w:tc>
        <w:tc>
          <w:tcPr>
            <w:tcW w:w="1093" w:type="dxa"/>
            <w:vMerge w:val="continue"/>
            <w:tcBorders>
              <w:bottom w:val="single" w:color="auto" w:sz="12" w:space="0"/>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1230" w:type="dxa"/>
            <w:tcBorders>
              <w:bottom w:val="single" w:color="auto" w:sz="12" w:space="0"/>
            </w:tcBorders>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正效益</w:t>
            </w:r>
          </w:p>
        </w:tc>
        <w:tc>
          <w:tcPr>
            <w:tcW w:w="669" w:type="dxa"/>
            <w:tcBorders>
              <w:bottom w:val="single" w:color="auto" w:sz="12" w:space="0"/>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新建</w:t>
            </w:r>
          </w:p>
        </w:tc>
      </w:tr>
    </w:tbl>
    <w:p>
      <w:pPr>
        <w:pStyle w:val="14"/>
        <w:rPr>
          <w:color w:val="auto"/>
        </w:rPr>
      </w:pPr>
    </w:p>
    <w:p>
      <w:pPr>
        <w:pStyle w:val="5"/>
        <w:adjustRightInd w:val="0"/>
        <w:snapToGrid w:val="0"/>
        <w:spacing w:before="0" w:after="0" w:line="360" w:lineRule="auto"/>
        <w:rPr>
          <w:rFonts w:hint="eastAsia" w:ascii="Times New Roman" w:hAnsi="Times New Roman" w:eastAsia="宋体"/>
          <w:color w:val="auto"/>
          <w:lang w:eastAsia="zh-CN"/>
        </w:rPr>
      </w:pPr>
      <w:bookmarkStart w:id="72" w:name="_Toc459118415"/>
      <w:bookmarkStart w:id="73" w:name="_Toc10845"/>
      <w:bookmarkStart w:id="74" w:name="_Toc9805"/>
      <w:r>
        <w:rPr>
          <w:rFonts w:hint="eastAsia" w:ascii="Times New Roman" w:hAnsi="Times New Roman" w:eastAsia="宋体"/>
          <w:color w:val="auto"/>
        </w:rPr>
        <w:t>2.3</w:t>
      </w:r>
      <w:bookmarkEnd w:id="72"/>
      <w:bookmarkEnd w:id="73"/>
      <w:r>
        <w:rPr>
          <w:rFonts w:hint="eastAsia" w:ascii="Times New Roman" w:hAnsi="Times New Roman" w:eastAsia="宋体"/>
          <w:color w:val="auto"/>
        </w:rPr>
        <w:t>项目年存栏生猪量</w:t>
      </w:r>
      <w:bookmarkEnd w:id="74"/>
    </w:p>
    <w:p>
      <w:pPr>
        <w:spacing w:line="360" w:lineRule="auto"/>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根据建设单位提供的资料，本项目为生猪育肥项目，项目总体养殖规模为常年存栏生猪</w:t>
      </w:r>
      <w:r>
        <w:rPr>
          <w:rFonts w:hint="eastAsia" w:ascii="Times New Roman" w:hAnsi="Times New Roman" w:eastAsia="宋体" w:cs="Times New Roman"/>
          <w:color w:val="auto"/>
          <w:sz w:val="24"/>
          <w:szCs w:val="24"/>
          <w:lang w:val="en-US" w:eastAsia="zh-CN"/>
        </w:rPr>
        <w:t>1.5</w:t>
      </w:r>
      <w:r>
        <w:rPr>
          <w:rFonts w:hint="eastAsia" w:ascii="Times New Roman" w:hAnsi="Times New Roman" w:eastAsia="宋体" w:cs="Times New Roman"/>
          <w:color w:val="auto"/>
          <w:sz w:val="24"/>
          <w:szCs w:val="24"/>
          <w:lang w:eastAsia="zh-CN"/>
        </w:rPr>
        <w:t>万头。项目建成后，将形成年出栏</w:t>
      </w:r>
      <w:r>
        <w:rPr>
          <w:rFonts w:hint="eastAsia" w:ascii="Times New Roman" w:hAnsi="Times New Roman" w:eastAsia="宋体" w:cs="Times New Roman"/>
          <w:color w:val="auto"/>
          <w:sz w:val="24"/>
          <w:szCs w:val="24"/>
          <w:lang w:val="en-US" w:eastAsia="zh-CN"/>
        </w:rPr>
        <w:t>1</w:t>
      </w:r>
      <w:r>
        <w:rPr>
          <w:rFonts w:hint="eastAsia" w:ascii="Times New Roman" w:hAnsi="Times New Roman" w:eastAsia="宋体" w:cs="Times New Roman"/>
          <w:color w:val="auto"/>
          <w:sz w:val="24"/>
          <w:szCs w:val="24"/>
          <w:lang w:eastAsia="zh-CN"/>
        </w:rPr>
        <w:t>.5万头/批×2批=</w:t>
      </w:r>
      <w:r>
        <w:rPr>
          <w:rFonts w:hint="eastAsia" w:ascii="Times New Roman" w:hAnsi="Times New Roman" w:eastAsia="宋体" w:cs="Times New Roman"/>
          <w:color w:val="auto"/>
          <w:sz w:val="24"/>
          <w:szCs w:val="24"/>
          <w:lang w:val="en-US" w:eastAsia="zh-CN"/>
        </w:rPr>
        <w:t>3</w:t>
      </w:r>
      <w:r>
        <w:rPr>
          <w:rFonts w:hint="eastAsia" w:ascii="Times New Roman" w:hAnsi="Times New Roman" w:eastAsia="宋体" w:cs="Times New Roman"/>
          <w:color w:val="auto"/>
          <w:sz w:val="24"/>
          <w:szCs w:val="24"/>
          <w:lang w:eastAsia="zh-CN"/>
        </w:rPr>
        <w:t>万头/年商品猪的生产规模，项目每批次养殖周期为</w:t>
      </w:r>
      <w:r>
        <w:rPr>
          <w:rFonts w:hint="eastAsia" w:ascii="Times New Roman" w:hAnsi="Times New Roman" w:eastAsia="宋体" w:cs="Times New Roman"/>
          <w:color w:val="auto"/>
          <w:sz w:val="24"/>
          <w:szCs w:val="24"/>
          <w:lang w:val="en-US" w:eastAsia="zh-CN"/>
        </w:rPr>
        <w:t>180d</w:t>
      </w:r>
      <w:r>
        <w:rPr>
          <w:rFonts w:hint="eastAsia" w:ascii="Times New Roman" w:hAnsi="Times New Roman" w:eastAsia="宋体" w:cs="Times New Roman"/>
          <w:color w:val="auto"/>
          <w:sz w:val="24"/>
          <w:szCs w:val="24"/>
          <w:lang w:eastAsia="zh-CN"/>
        </w:rPr>
        <w:t>。本项目由公司为业主提供符合养殖条件的仔猪饲养育肥。项目无种猪饲养、配种及分娩等过程，不涉及生猪屠宰。本项目养殖规模及方案见下表。</w:t>
      </w:r>
    </w:p>
    <w:p>
      <w:pPr>
        <w:adjustRightInd w:val="0"/>
        <w:snapToGrid w:val="0"/>
        <w:jc w:val="center"/>
        <w:rPr>
          <w:rFonts w:hint="eastAsia" w:ascii="Times New Roman" w:hAnsi="Times New Roman" w:eastAsia="宋体" w:cs="Times New Roman"/>
          <w:b/>
          <w:color w:val="auto"/>
          <w:sz w:val="21"/>
          <w:szCs w:val="21"/>
          <w:lang w:val="en-US" w:eastAsia="zh-CN"/>
        </w:rPr>
      </w:pPr>
      <w:r>
        <w:rPr>
          <w:rFonts w:hint="eastAsia" w:ascii="Times New Roman" w:hAnsi="Times New Roman" w:eastAsia="宋体" w:cs="Times New Roman"/>
          <w:b/>
          <w:color w:val="auto"/>
          <w:sz w:val="21"/>
          <w:szCs w:val="21"/>
        </w:rPr>
        <w:t>表2.3-1</w:t>
      </w:r>
      <w:r>
        <w:rPr>
          <w:rFonts w:hint="eastAsia" w:ascii="Times New Roman" w:hAnsi="Times New Roman" w:eastAsia="宋体" w:cs="Times New Roman"/>
          <w:b/>
          <w:color w:val="auto"/>
          <w:sz w:val="21"/>
          <w:szCs w:val="21"/>
          <w:lang w:val="en-US" w:eastAsia="zh-CN"/>
        </w:rPr>
        <w:t xml:space="preserve">  猪群结构及存栏量</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080"/>
        <w:gridCol w:w="1920"/>
        <w:gridCol w:w="1800"/>
        <w:gridCol w:w="2173"/>
        <w:gridCol w:w="15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序号</w:t>
            </w:r>
          </w:p>
        </w:tc>
        <w:tc>
          <w:tcPr>
            <w:tcW w:w="1080"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类别</w:t>
            </w:r>
          </w:p>
        </w:tc>
        <w:tc>
          <w:tcPr>
            <w:tcW w:w="1920" w:type="dxa"/>
            <w:vAlign w:val="center"/>
          </w:tcPr>
          <w:p>
            <w:pPr>
              <w:pStyle w:val="98"/>
              <w:jc w:val="center"/>
              <w:rPr>
                <w:rFonts w:hint="eastAsia" w:ascii="Times New Roman" w:hAnsi="Times New Roman" w:cs="Times New Roman"/>
                <w:b/>
                <w:bCs/>
                <w:color w:val="auto"/>
                <w:szCs w:val="21"/>
                <w:shd w:val="clear" w:color="auto" w:fill="auto"/>
                <w:lang w:val="en-US" w:eastAsia="zh-CN"/>
              </w:rPr>
            </w:pPr>
            <w:r>
              <w:rPr>
                <w:rFonts w:hint="eastAsia" w:ascii="Times New Roman" w:hAnsi="Times New Roman" w:cs="Times New Roman"/>
                <w:b/>
                <w:bCs/>
                <w:color w:val="auto"/>
                <w:szCs w:val="21"/>
                <w:shd w:val="clear" w:color="auto" w:fill="auto"/>
                <w:lang w:val="en-US" w:eastAsia="zh-CN"/>
              </w:rPr>
              <w:t>年存栏数量（头）</w:t>
            </w:r>
          </w:p>
        </w:tc>
        <w:tc>
          <w:tcPr>
            <w:tcW w:w="1800"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存栏周期（天）</w:t>
            </w:r>
          </w:p>
        </w:tc>
        <w:tc>
          <w:tcPr>
            <w:tcW w:w="2173"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年出栏批次（批）</w:t>
            </w:r>
          </w:p>
        </w:tc>
        <w:tc>
          <w:tcPr>
            <w:tcW w:w="1537"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年出栏数量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w:t>
            </w:r>
          </w:p>
        </w:tc>
        <w:tc>
          <w:tcPr>
            <w:tcW w:w="1080"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育肥猪</w:t>
            </w:r>
          </w:p>
        </w:tc>
        <w:tc>
          <w:tcPr>
            <w:tcW w:w="1920" w:type="dxa"/>
            <w:vAlign w:val="center"/>
          </w:tcPr>
          <w:p>
            <w:pPr>
              <w:pStyle w:val="98"/>
              <w:jc w:val="center"/>
              <w:rPr>
                <w:rFonts w:hint="default"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15000</w:t>
            </w:r>
          </w:p>
        </w:tc>
        <w:tc>
          <w:tcPr>
            <w:tcW w:w="1800"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180</w:t>
            </w:r>
          </w:p>
        </w:tc>
        <w:tc>
          <w:tcPr>
            <w:tcW w:w="2173"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w:t>
            </w:r>
          </w:p>
        </w:tc>
        <w:tc>
          <w:tcPr>
            <w:tcW w:w="1537"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30000</w:t>
            </w:r>
          </w:p>
        </w:tc>
      </w:tr>
    </w:tbl>
    <w:p>
      <w:pPr>
        <w:pStyle w:val="5"/>
        <w:adjustRightInd w:val="0"/>
        <w:snapToGrid w:val="0"/>
        <w:spacing w:before="0" w:after="0" w:line="360" w:lineRule="auto"/>
        <w:rPr>
          <w:rFonts w:ascii="Times New Roman" w:hAnsi="Times New Roman" w:eastAsia="宋体"/>
          <w:color w:val="auto"/>
          <w:sz w:val="30"/>
          <w:szCs w:val="30"/>
        </w:rPr>
      </w:pPr>
      <w:bookmarkStart w:id="75" w:name="_Toc459118419"/>
      <w:bookmarkStart w:id="76" w:name="_Toc15115"/>
      <w:bookmarkStart w:id="77" w:name="_Toc25166"/>
      <w:r>
        <w:rPr>
          <w:rFonts w:hint="eastAsia" w:ascii="Times New Roman" w:hAnsi="Times New Roman" w:eastAsia="宋体"/>
          <w:color w:val="auto"/>
          <w:sz w:val="30"/>
          <w:szCs w:val="30"/>
        </w:rPr>
        <w:t>2</w:t>
      </w:r>
      <w:r>
        <w:rPr>
          <w:rFonts w:ascii="Times New Roman" w:hAnsi="Times New Roman" w:eastAsia="宋体"/>
          <w:color w:val="auto"/>
          <w:sz w:val="30"/>
          <w:szCs w:val="30"/>
        </w:rPr>
        <w:t>.</w:t>
      </w:r>
      <w:r>
        <w:rPr>
          <w:rFonts w:hint="eastAsia" w:ascii="Times New Roman" w:hAnsi="Times New Roman" w:eastAsia="宋体"/>
          <w:color w:val="auto"/>
          <w:sz w:val="30"/>
          <w:szCs w:val="30"/>
        </w:rPr>
        <w:t>4</w:t>
      </w:r>
      <w:r>
        <w:rPr>
          <w:rFonts w:ascii="Times New Roman" w:hAnsi="Times New Roman" w:eastAsia="宋体"/>
          <w:color w:val="auto"/>
          <w:sz w:val="30"/>
          <w:szCs w:val="30"/>
        </w:rPr>
        <w:t>劳动定员</w:t>
      </w:r>
      <w:bookmarkEnd w:id="75"/>
      <w:r>
        <w:rPr>
          <w:rFonts w:hint="eastAsia" w:ascii="Times New Roman" w:hAnsi="Times New Roman" w:eastAsia="宋体"/>
          <w:color w:val="auto"/>
          <w:sz w:val="30"/>
          <w:szCs w:val="30"/>
        </w:rPr>
        <w:t>及生产制度</w:t>
      </w:r>
      <w:bookmarkEnd w:id="76"/>
      <w:bookmarkEnd w:id="77"/>
    </w:p>
    <w:p>
      <w:pPr>
        <w:adjustRightInd w:val="0"/>
        <w:snapToGrid w:val="0"/>
        <w:spacing w:line="360" w:lineRule="auto"/>
        <w:ind w:firstLine="480" w:firstLineChars="200"/>
        <w:jc w:val="left"/>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本项目劳动定员50人，均在场内食宿，年工作天数365天，实行3班连续工作制，每班工作8小时</w:t>
      </w:r>
      <w:r>
        <w:rPr>
          <w:rFonts w:ascii="Times New Roman" w:hAnsi="Times New Roman" w:eastAsia="宋体" w:cs="Times New Roman"/>
          <w:color w:val="auto"/>
          <w:sz w:val="24"/>
          <w:szCs w:val="24"/>
        </w:rPr>
        <w:t>。</w:t>
      </w:r>
    </w:p>
    <w:p>
      <w:pPr>
        <w:pStyle w:val="5"/>
        <w:pageBreakBefore w:val="0"/>
        <w:widowControl w:val="0"/>
        <w:kinsoku/>
        <w:wordWrap/>
        <w:overflowPunct/>
        <w:topLinePunct w:val="0"/>
        <w:autoSpaceDE/>
        <w:autoSpaceDN/>
        <w:bidi w:val="0"/>
        <w:adjustRightInd w:val="0"/>
        <w:snapToGrid w:val="0"/>
        <w:spacing w:before="0" w:after="0" w:line="360" w:lineRule="auto"/>
        <w:textAlignment w:val="auto"/>
        <w:rPr>
          <w:rFonts w:ascii="Times New Roman" w:hAnsi="Times New Roman" w:eastAsia="宋体"/>
          <w:color w:val="auto"/>
          <w:sz w:val="30"/>
          <w:szCs w:val="30"/>
        </w:rPr>
      </w:pPr>
      <w:bookmarkStart w:id="78" w:name="_Toc459118417"/>
      <w:bookmarkStart w:id="79" w:name="_Toc24188"/>
      <w:bookmarkStart w:id="80" w:name="_Toc31919"/>
      <w:r>
        <w:rPr>
          <w:rFonts w:hint="eastAsia" w:ascii="Times New Roman" w:hAnsi="Times New Roman" w:eastAsia="宋体"/>
          <w:color w:val="auto"/>
          <w:sz w:val="30"/>
          <w:szCs w:val="30"/>
        </w:rPr>
        <w:t>2.5</w:t>
      </w:r>
      <w:r>
        <w:rPr>
          <w:rFonts w:ascii="Times New Roman" w:hAnsi="Times New Roman" w:eastAsia="宋体"/>
          <w:color w:val="auto"/>
          <w:sz w:val="30"/>
          <w:szCs w:val="30"/>
        </w:rPr>
        <w:t>主要生产设备</w:t>
      </w:r>
      <w:bookmarkEnd w:id="78"/>
      <w:bookmarkEnd w:id="79"/>
      <w:bookmarkEnd w:id="80"/>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项目生产用到的设备详见下</w:t>
      </w:r>
      <w:r>
        <w:rPr>
          <w:rFonts w:ascii="Times New Roman" w:hAnsi="Times New Roman" w:eastAsia="宋体" w:cs="Times New Roman"/>
          <w:color w:val="auto"/>
          <w:sz w:val="24"/>
          <w:szCs w:val="24"/>
        </w:rPr>
        <w:t>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表</w:t>
      </w:r>
      <w:r>
        <w:rPr>
          <w:rFonts w:hint="eastAsia" w:ascii="Times New Roman" w:hAnsi="Times New Roman" w:eastAsia="宋体" w:cs="Times New Roman"/>
          <w:b/>
          <w:color w:val="auto"/>
          <w:sz w:val="21"/>
          <w:szCs w:val="21"/>
        </w:rPr>
        <w:t>2.5-1</w:t>
      </w:r>
      <w:r>
        <w:rPr>
          <w:rFonts w:hint="eastAsia" w:ascii="Times New Roman" w:hAnsi="Times New Roman" w:eastAsia="宋体" w:cs="Times New Roman"/>
          <w:b/>
          <w:color w:val="auto"/>
          <w:sz w:val="21"/>
          <w:szCs w:val="21"/>
          <w:lang w:val="en-US" w:eastAsia="zh-CN"/>
        </w:rPr>
        <w:t xml:space="preserve">  </w:t>
      </w:r>
      <w:r>
        <w:rPr>
          <w:rFonts w:hint="eastAsia" w:ascii="Times New Roman" w:hAnsi="Times New Roman" w:eastAsia="宋体" w:cs="Times New Roman"/>
          <w:b/>
          <w:color w:val="auto"/>
          <w:sz w:val="21"/>
          <w:szCs w:val="21"/>
        </w:rPr>
        <w:t>全厂</w:t>
      </w:r>
      <w:r>
        <w:rPr>
          <w:rFonts w:ascii="Times New Roman" w:hAnsi="Times New Roman" w:eastAsia="宋体" w:cs="Times New Roman"/>
          <w:b/>
          <w:color w:val="auto"/>
          <w:sz w:val="21"/>
          <w:szCs w:val="21"/>
        </w:rPr>
        <w:t>生产设备一览表</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4"/>
        <w:gridCol w:w="2563"/>
        <w:gridCol w:w="2515"/>
        <w:gridCol w:w="1142"/>
        <w:gridCol w:w="1000"/>
        <w:gridCol w:w="1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b/>
                <w:bCs/>
                <w:color w:val="auto"/>
                <w:szCs w:val="21"/>
                <w:shd w:val="clear" w:color="auto" w:fill="auto"/>
                <w:lang w:val="en-US" w:eastAsia="zh-CN"/>
              </w:rPr>
            </w:pPr>
            <w:bookmarkStart w:id="81" w:name="_Toc32226"/>
            <w:bookmarkStart w:id="82" w:name="_Toc459118416"/>
            <w:r>
              <w:rPr>
                <w:rFonts w:hint="eastAsia" w:ascii="Times New Roman" w:hAnsi="Times New Roman" w:cs="Times New Roman"/>
                <w:b/>
                <w:bCs/>
                <w:color w:val="auto"/>
                <w:szCs w:val="21"/>
                <w:shd w:val="clear" w:color="auto" w:fill="auto"/>
                <w:lang w:val="en-US" w:eastAsia="zh-CN"/>
              </w:rPr>
              <w:t>序号</w:t>
            </w:r>
          </w:p>
        </w:tc>
        <w:tc>
          <w:tcPr>
            <w:tcW w:w="138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b/>
                <w:bCs/>
                <w:color w:val="auto"/>
                <w:szCs w:val="21"/>
                <w:shd w:val="clear" w:color="auto" w:fill="auto"/>
                <w:lang w:val="en-US" w:eastAsia="zh-CN"/>
              </w:rPr>
            </w:pPr>
            <w:r>
              <w:rPr>
                <w:rFonts w:hint="eastAsia" w:ascii="Times New Roman" w:hAnsi="Times New Roman" w:cs="Times New Roman"/>
                <w:b/>
                <w:bCs/>
                <w:color w:val="auto"/>
                <w:szCs w:val="21"/>
                <w:shd w:val="clear" w:color="auto" w:fill="auto"/>
                <w:lang w:val="en-US" w:eastAsia="zh-CN"/>
              </w:rPr>
              <w:t>设备名称</w:t>
            </w:r>
          </w:p>
        </w:tc>
        <w:tc>
          <w:tcPr>
            <w:tcW w:w="1363"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b/>
                <w:bCs/>
                <w:color w:val="auto"/>
                <w:szCs w:val="21"/>
                <w:shd w:val="clear" w:color="auto" w:fill="auto"/>
                <w:lang w:val="en-US" w:eastAsia="zh-CN"/>
              </w:rPr>
            </w:pPr>
            <w:r>
              <w:rPr>
                <w:rFonts w:hint="eastAsia" w:ascii="Times New Roman" w:hAnsi="Times New Roman" w:cs="Times New Roman"/>
                <w:b/>
                <w:bCs/>
                <w:color w:val="auto"/>
                <w:szCs w:val="21"/>
                <w:shd w:val="clear" w:color="auto" w:fill="auto"/>
                <w:lang w:val="en-US" w:eastAsia="zh-CN"/>
              </w:rPr>
              <w:t>规格型号（m）</w:t>
            </w:r>
          </w:p>
        </w:tc>
        <w:tc>
          <w:tcPr>
            <w:tcW w:w="61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b/>
                <w:bCs/>
                <w:color w:val="auto"/>
                <w:szCs w:val="21"/>
                <w:shd w:val="clear" w:color="auto" w:fill="auto"/>
                <w:lang w:val="en-US" w:eastAsia="zh-CN"/>
              </w:rPr>
            </w:pPr>
            <w:r>
              <w:rPr>
                <w:rFonts w:hint="eastAsia" w:ascii="Times New Roman" w:hAnsi="Times New Roman" w:cs="Times New Roman"/>
                <w:b/>
                <w:bCs/>
                <w:color w:val="auto"/>
                <w:szCs w:val="21"/>
                <w:shd w:val="clear" w:color="auto" w:fill="auto"/>
                <w:lang w:val="en-US" w:eastAsia="zh-CN"/>
              </w:rPr>
              <w:t>单位</w:t>
            </w:r>
          </w:p>
        </w:tc>
        <w:tc>
          <w:tcPr>
            <w:tcW w:w="542"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b/>
                <w:bCs/>
                <w:color w:val="auto"/>
                <w:szCs w:val="21"/>
                <w:shd w:val="clear" w:color="auto" w:fill="auto"/>
                <w:lang w:val="en-US" w:eastAsia="zh-CN"/>
              </w:rPr>
            </w:pPr>
            <w:r>
              <w:rPr>
                <w:rFonts w:hint="eastAsia" w:ascii="Times New Roman" w:hAnsi="Times New Roman" w:cs="Times New Roman"/>
                <w:b/>
                <w:bCs/>
                <w:color w:val="auto"/>
                <w:szCs w:val="21"/>
                <w:shd w:val="clear" w:color="auto" w:fill="auto"/>
                <w:lang w:val="en-US" w:eastAsia="zh-CN"/>
              </w:rPr>
              <w:t>数量</w:t>
            </w:r>
          </w:p>
        </w:tc>
        <w:tc>
          <w:tcPr>
            <w:tcW w:w="615"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b/>
                <w:bCs/>
                <w:color w:val="auto"/>
                <w:szCs w:val="21"/>
                <w:shd w:val="clear" w:color="auto" w:fill="auto"/>
                <w:lang w:val="en-US" w:eastAsia="zh-CN"/>
              </w:rPr>
            </w:pPr>
            <w:r>
              <w:rPr>
                <w:rFonts w:hint="eastAsia" w:ascii="Times New Roman" w:hAnsi="Times New Roman" w:cs="Times New Roman"/>
                <w:b/>
                <w:bCs/>
                <w:color w:val="auto"/>
                <w:szCs w:val="21"/>
                <w:shd w:val="clear" w:color="auto" w:fill="auto"/>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一</w:t>
            </w:r>
          </w:p>
        </w:tc>
        <w:tc>
          <w:tcPr>
            <w:tcW w:w="138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猪舍</w:t>
            </w:r>
          </w:p>
        </w:tc>
        <w:tc>
          <w:tcPr>
            <w:tcW w:w="1363"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p>
        </w:tc>
        <w:tc>
          <w:tcPr>
            <w:tcW w:w="61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p>
        </w:tc>
        <w:tc>
          <w:tcPr>
            <w:tcW w:w="542"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p>
        </w:tc>
        <w:tc>
          <w:tcPr>
            <w:tcW w:w="615"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1</w:t>
            </w:r>
          </w:p>
        </w:tc>
        <w:tc>
          <w:tcPr>
            <w:tcW w:w="138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猪栏</w:t>
            </w:r>
          </w:p>
        </w:tc>
        <w:tc>
          <w:tcPr>
            <w:tcW w:w="1363"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3.0*3.0</w:t>
            </w:r>
          </w:p>
        </w:tc>
        <w:tc>
          <w:tcPr>
            <w:tcW w:w="61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套</w:t>
            </w:r>
          </w:p>
        </w:tc>
        <w:tc>
          <w:tcPr>
            <w:tcW w:w="542"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40</w:t>
            </w:r>
          </w:p>
        </w:tc>
        <w:tc>
          <w:tcPr>
            <w:tcW w:w="615"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8头/栏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2</w:t>
            </w:r>
          </w:p>
        </w:tc>
        <w:tc>
          <w:tcPr>
            <w:tcW w:w="138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自动饮水器</w:t>
            </w:r>
          </w:p>
        </w:tc>
        <w:tc>
          <w:tcPr>
            <w:tcW w:w="1363"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68×1/2″</w:t>
            </w:r>
          </w:p>
        </w:tc>
        <w:tc>
          <w:tcPr>
            <w:tcW w:w="61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套</w:t>
            </w:r>
          </w:p>
        </w:tc>
        <w:tc>
          <w:tcPr>
            <w:tcW w:w="542"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40</w:t>
            </w:r>
          </w:p>
        </w:tc>
        <w:tc>
          <w:tcPr>
            <w:tcW w:w="615"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3</w:t>
            </w:r>
          </w:p>
        </w:tc>
        <w:tc>
          <w:tcPr>
            <w:tcW w:w="138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手推饲料车</w:t>
            </w:r>
          </w:p>
        </w:tc>
        <w:tc>
          <w:tcPr>
            <w:tcW w:w="1363"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1×0.58×0.85</w:t>
            </w:r>
          </w:p>
        </w:tc>
        <w:tc>
          <w:tcPr>
            <w:tcW w:w="61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台</w:t>
            </w:r>
          </w:p>
        </w:tc>
        <w:tc>
          <w:tcPr>
            <w:tcW w:w="542"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5</w:t>
            </w:r>
          </w:p>
        </w:tc>
        <w:tc>
          <w:tcPr>
            <w:tcW w:w="615"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4</w:t>
            </w:r>
          </w:p>
        </w:tc>
        <w:tc>
          <w:tcPr>
            <w:tcW w:w="138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清粪车</w:t>
            </w:r>
          </w:p>
        </w:tc>
        <w:tc>
          <w:tcPr>
            <w:tcW w:w="1363"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0.8×0.58×0.65</w:t>
            </w:r>
          </w:p>
        </w:tc>
        <w:tc>
          <w:tcPr>
            <w:tcW w:w="61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台</w:t>
            </w:r>
          </w:p>
        </w:tc>
        <w:tc>
          <w:tcPr>
            <w:tcW w:w="542"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5</w:t>
            </w:r>
          </w:p>
        </w:tc>
        <w:tc>
          <w:tcPr>
            <w:tcW w:w="615"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468"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5</w:t>
            </w:r>
          </w:p>
        </w:tc>
        <w:tc>
          <w:tcPr>
            <w:tcW w:w="138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单体栏</w:t>
            </w:r>
          </w:p>
        </w:tc>
        <w:tc>
          <w:tcPr>
            <w:tcW w:w="1363"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2.2×0.65×1</w:t>
            </w:r>
          </w:p>
        </w:tc>
        <w:tc>
          <w:tcPr>
            <w:tcW w:w="61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套</w:t>
            </w:r>
          </w:p>
        </w:tc>
        <w:tc>
          <w:tcPr>
            <w:tcW w:w="542"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1200</w:t>
            </w:r>
          </w:p>
        </w:tc>
        <w:tc>
          <w:tcPr>
            <w:tcW w:w="615"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6</w:t>
            </w:r>
          </w:p>
        </w:tc>
        <w:tc>
          <w:tcPr>
            <w:tcW w:w="138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自动饮水器</w:t>
            </w:r>
          </w:p>
        </w:tc>
        <w:tc>
          <w:tcPr>
            <w:tcW w:w="1363"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68×1/2″</w:t>
            </w:r>
          </w:p>
        </w:tc>
        <w:tc>
          <w:tcPr>
            <w:tcW w:w="61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套</w:t>
            </w:r>
          </w:p>
        </w:tc>
        <w:tc>
          <w:tcPr>
            <w:tcW w:w="542"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1200</w:t>
            </w:r>
          </w:p>
        </w:tc>
        <w:tc>
          <w:tcPr>
            <w:tcW w:w="615"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7</w:t>
            </w:r>
          </w:p>
        </w:tc>
        <w:tc>
          <w:tcPr>
            <w:tcW w:w="138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料塔</w:t>
            </w:r>
          </w:p>
        </w:tc>
        <w:tc>
          <w:tcPr>
            <w:tcW w:w="1363"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10T</w:t>
            </w:r>
          </w:p>
        </w:tc>
        <w:tc>
          <w:tcPr>
            <w:tcW w:w="61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套</w:t>
            </w:r>
          </w:p>
        </w:tc>
        <w:tc>
          <w:tcPr>
            <w:tcW w:w="542"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1</w:t>
            </w:r>
          </w:p>
        </w:tc>
        <w:tc>
          <w:tcPr>
            <w:tcW w:w="615"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8</w:t>
            </w:r>
          </w:p>
        </w:tc>
        <w:tc>
          <w:tcPr>
            <w:tcW w:w="138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干料喂饲系统</w:t>
            </w:r>
          </w:p>
        </w:tc>
        <w:tc>
          <w:tcPr>
            <w:tcW w:w="1363"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p>
        </w:tc>
        <w:tc>
          <w:tcPr>
            <w:tcW w:w="61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套</w:t>
            </w:r>
          </w:p>
        </w:tc>
        <w:tc>
          <w:tcPr>
            <w:tcW w:w="542"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1</w:t>
            </w:r>
          </w:p>
        </w:tc>
        <w:tc>
          <w:tcPr>
            <w:tcW w:w="615"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9</w:t>
            </w:r>
          </w:p>
        </w:tc>
        <w:tc>
          <w:tcPr>
            <w:tcW w:w="138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转猪车</w:t>
            </w:r>
          </w:p>
        </w:tc>
        <w:tc>
          <w:tcPr>
            <w:tcW w:w="1363"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1.0×0.58×0.65</w:t>
            </w:r>
          </w:p>
        </w:tc>
        <w:tc>
          <w:tcPr>
            <w:tcW w:w="61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台</w:t>
            </w:r>
          </w:p>
        </w:tc>
        <w:tc>
          <w:tcPr>
            <w:tcW w:w="542"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2</w:t>
            </w:r>
          </w:p>
        </w:tc>
        <w:tc>
          <w:tcPr>
            <w:tcW w:w="615"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4" w:space="0"/>
              <w:left w:val="single" w:color="auto" w:sz="4" w:space="0"/>
              <w:bottom w:val="single" w:color="auto" w:sz="4" w:space="0"/>
              <w:right w:val="single" w:color="auto" w:sz="4" w:space="0"/>
            </w:tcBorders>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二</w:t>
            </w:r>
          </w:p>
        </w:tc>
        <w:tc>
          <w:tcPr>
            <w:tcW w:w="138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育成育肥舍</w:t>
            </w:r>
          </w:p>
        </w:tc>
        <w:tc>
          <w:tcPr>
            <w:tcW w:w="1363"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p>
        </w:tc>
        <w:tc>
          <w:tcPr>
            <w:tcW w:w="61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p>
        </w:tc>
        <w:tc>
          <w:tcPr>
            <w:tcW w:w="542"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p>
        </w:tc>
        <w:tc>
          <w:tcPr>
            <w:tcW w:w="615"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vMerge w:val="restart"/>
            <w:tcBorders>
              <w:top w:val="single" w:color="auto" w:sz="4" w:space="0"/>
              <w:left w:val="single" w:color="auto" w:sz="4" w:space="0"/>
              <w:bottom w:val="single" w:color="auto" w:sz="4" w:space="0"/>
              <w:right w:val="single" w:color="auto" w:sz="4" w:space="0"/>
            </w:tcBorders>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1</w:t>
            </w:r>
          </w:p>
        </w:tc>
        <w:tc>
          <w:tcPr>
            <w:tcW w:w="138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育成栏</w:t>
            </w:r>
          </w:p>
        </w:tc>
        <w:tc>
          <w:tcPr>
            <w:tcW w:w="1363"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5×6×1</w:t>
            </w:r>
          </w:p>
        </w:tc>
        <w:tc>
          <w:tcPr>
            <w:tcW w:w="61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套</w:t>
            </w:r>
          </w:p>
        </w:tc>
        <w:tc>
          <w:tcPr>
            <w:tcW w:w="542"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240</w:t>
            </w:r>
          </w:p>
        </w:tc>
        <w:tc>
          <w:tcPr>
            <w:tcW w:w="615"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vMerge w:val="continue"/>
            <w:tcBorders>
              <w:top w:val="single" w:color="auto" w:sz="4" w:space="0"/>
              <w:left w:val="single" w:color="auto" w:sz="4" w:space="0"/>
              <w:bottom w:val="single" w:color="auto" w:sz="4" w:space="0"/>
              <w:right w:val="single" w:color="auto" w:sz="4" w:space="0"/>
            </w:tcBorders>
            <w:noWrap w:val="0"/>
            <w:vAlign w:val="center"/>
          </w:tcPr>
          <w:p>
            <w:pPr>
              <w:pStyle w:val="98"/>
              <w:jc w:val="center"/>
              <w:rPr>
                <w:rFonts w:hint="eastAsia" w:ascii="Times New Roman" w:hAnsi="Times New Roman" w:cs="Times New Roman"/>
                <w:color w:val="auto"/>
                <w:szCs w:val="21"/>
                <w:shd w:val="clear" w:color="auto" w:fill="auto"/>
                <w:lang w:val="en-US" w:eastAsia="zh-CN"/>
              </w:rPr>
            </w:pPr>
          </w:p>
        </w:tc>
        <w:tc>
          <w:tcPr>
            <w:tcW w:w="138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育肥舍</w:t>
            </w:r>
          </w:p>
        </w:tc>
        <w:tc>
          <w:tcPr>
            <w:tcW w:w="1363"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68.5×13×1</w:t>
            </w:r>
          </w:p>
        </w:tc>
        <w:tc>
          <w:tcPr>
            <w:tcW w:w="61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栋</w:t>
            </w:r>
          </w:p>
        </w:tc>
        <w:tc>
          <w:tcPr>
            <w:tcW w:w="542"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8</w:t>
            </w:r>
          </w:p>
        </w:tc>
        <w:tc>
          <w:tcPr>
            <w:tcW w:w="615"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2</w:t>
            </w:r>
          </w:p>
        </w:tc>
        <w:tc>
          <w:tcPr>
            <w:tcW w:w="138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自动饮水器</w:t>
            </w:r>
          </w:p>
        </w:tc>
        <w:tc>
          <w:tcPr>
            <w:tcW w:w="1363"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68×1/2″</w:t>
            </w:r>
          </w:p>
        </w:tc>
        <w:tc>
          <w:tcPr>
            <w:tcW w:w="61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个</w:t>
            </w:r>
          </w:p>
        </w:tc>
        <w:tc>
          <w:tcPr>
            <w:tcW w:w="542"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若干</w:t>
            </w:r>
          </w:p>
        </w:tc>
        <w:tc>
          <w:tcPr>
            <w:tcW w:w="615"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3</w:t>
            </w:r>
          </w:p>
        </w:tc>
        <w:tc>
          <w:tcPr>
            <w:tcW w:w="138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料塔</w:t>
            </w:r>
          </w:p>
        </w:tc>
        <w:tc>
          <w:tcPr>
            <w:tcW w:w="1363"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20T</w:t>
            </w:r>
          </w:p>
        </w:tc>
        <w:tc>
          <w:tcPr>
            <w:tcW w:w="61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套</w:t>
            </w:r>
          </w:p>
        </w:tc>
        <w:tc>
          <w:tcPr>
            <w:tcW w:w="542"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2</w:t>
            </w:r>
          </w:p>
        </w:tc>
        <w:tc>
          <w:tcPr>
            <w:tcW w:w="615"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4</w:t>
            </w:r>
          </w:p>
        </w:tc>
        <w:tc>
          <w:tcPr>
            <w:tcW w:w="138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干料喂饲系统</w:t>
            </w:r>
          </w:p>
        </w:tc>
        <w:tc>
          <w:tcPr>
            <w:tcW w:w="1363"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p>
        </w:tc>
        <w:tc>
          <w:tcPr>
            <w:tcW w:w="61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套</w:t>
            </w:r>
          </w:p>
        </w:tc>
        <w:tc>
          <w:tcPr>
            <w:tcW w:w="542"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2</w:t>
            </w:r>
          </w:p>
        </w:tc>
        <w:tc>
          <w:tcPr>
            <w:tcW w:w="615"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三</w:t>
            </w:r>
          </w:p>
        </w:tc>
        <w:tc>
          <w:tcPr>
            <w:tcW w:w="138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隔离猪舍</w:t>
            </w:r>
          </w:p>
        </w:tc>
        <w:tc>
          <w:tcPr>
            <w:tcW w:w="1363"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p>
        </w:tc>
        <w:tc>
          <w:tcPr>
            <w:tcW w:w="61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p>
        </w:tc>
        <w:tc>
          <w:tcPr>
            <w:tcW w:w="542"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p>
        </w:tc>
        <w:tc>
          <w:tcPr>
            <w:tcW w:w="615"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1</w:t>
            </w:r>
          </w:p>
        </w:tc>
        <w:tc>
          <w:tcPr>
            <w:tcW w:w="138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猪栏</w:t>
            </w:r>
          </w:p>
        </w:tc>
        <w:tc>
          <w:tcPr>
            <w:tcW w:w="1363"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3.0×2.8×1</w:t>
            </w:r>
          </w:p>
        </w:tc>
        <w:tc>
          <w:tcPr>
            <w:tcW w:w="61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套</w:t>
            </w:r>
          </w:p>
        </w:tc>
        <w:tc>
          <w:tcPr>
            <w:tcW w:w="542"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25</w:t>
            </w:r>
          </w:p>
        </w:tc>
        <w:tc>
          <w:tcPr>
            <w:tcW w:w="615"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2</w:t>
            </w:r>
          </w:p>
        </w:tc>
        <w:tc>
          <w:tcPr>
            <w:tcW w:w="138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自动饮水器</w:t>
            </w:r>
          </w:p>
        </w:tc>
        <w:tc>
          <w:tcPr>
            <w:tcW w:w="1363"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68×1/2″</w:t>
            </w:r>
          </w:p>
        </w:tc>
        <w:tc>
          <w:tcPr>
            <w:tcW w:w="61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套</w:t>
            </w:r>
          </w:p>
        </w:tc>
        <w:tc>
          <w:tcPr>
            <w:tcW w:w="542"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50</w:t>
            </w:r>
          </w:p>
        </w:tc>
        <w:tc>
          <w:tcPr>
            <w:tcW w:w="615"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3</w:t>
            </w:r>
          </w:p>
        </w:tc>
        <w:tc>
          <w:tcPr>
            <w:tcW w:w="138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料塔</w:t>
            </w:r>
          </w:p>
        </w:tc>
        <w:tc>
          <w:tcPr>
            <w:tcW w:w="1363"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3T</w:t>
            </w:r>
          </w:p>
        </w:tc>
        <w:tc>
          <w:tcPr>
            <w:tcW w:w="61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套</w:t>
            </w:r>
          </w:p>
        </w:tc>
        <w:tc>
          <w:tcPr>
            <w:tcW w:w="542"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1</w:t>
            </w:r>
          </w:p>
        </w:tc>
        <w:tc>
          <w:tcPr>
            <w:tcW w:w="615"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4</w:t>
            </w:r>
          </w:p>
        </w:tc>
        <w:tc>
          <w:tcPr>
            <w:tcW w:w="138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干料喂饲系统</w:t>
            </w:r>
          </w:p>
        </w:tc>
        <w:tc>
          <w:tcPr>
            <w:tcW w:w="1363"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p>
        </w:tc>
        <w:tc>
          <w:tcPr>
            <w:tcW w:w="61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套</w:t>
            </w:r>
          </w:p>
        </w:tc>
        <w:tc>
          <w:tcPr>
            <w:tcW w:w="542"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1</w:t>
            </w:r>
          </w:p>
        </w:tc>
        <w:tc>
          <w:tcPr>
            <w:tcW w:w="615"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四</w:t>
            </w:r>
          </w:p>
        </w:tc>
        <w:tc>
          <w:tcPr>
            <w:tcW w:w="138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高压清洗机</w:t>
            </w:r>
          </w:p>
        </w:tc>
        <w:tc>
          <w:tcPr>
            <w:tcW w:w="1363"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p>
        </w:tc>
        <w:tc>
          <w:tcPr>
            <w:tcW w:w="61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台</w:t>
            </w:r>
          </w:p>
        </w:tc>
        <w:tc>
          <w:tcPr>
            <w:tcW w:w="542"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10</w:t>
            </w:r>
          </w:p>
        </w:tc>
        <w:tc>
          <w:tcPr>
            <w:tcW w:w="615"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五</w:t>
            </w:r>
          </w:p>
        </w:tc>
        <w:tc>
          <w:tcPr>
            <w:tcW w:w="138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称猪称</w:t>
            </w:r>
          </w:p>
        </w:tc>
        <w:tc>
          <w:tcPr>
            <w:tcW w:w="1363"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p>
        </w:tc>
        <w:tc>
          <w:tcPr>
            <w:tcW w:w="619"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台</w:t>
            </w:r>
          </w:p>
        </w:tc>
        <w:tc>
          <w:tcPr>
            <w:tcW w:w="542"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2</w:t>
            </w:r>
          </w:p>
        </w:tc>
        <w:tc>
          <w:tcPr>
            <w:tcW w:w="615" w:type="pct"/>
            <w:tcBorders>
              <w:top w:val="single" w:color="auto" w:sz="4" w:space="0"/>
              <w:left w:val="single" w:color="auto" w:sz="4" w:space="0"/>
              <w:bottom w:val="single" w:color="auto" w:sz="4" w:space="0"/>
              <w:right w:val="single" w:color="auto" w:sz="4" w:space="0"/>
            </w:tcBorders>
            <w:noWrap w:val="0"/>
            <w:vAlign w:val="top"/>
          </w:tcPr>
          <w:p>
            <w:pPr>
              <w:pStyle w:val="98"/>
              <w:jc w:val="center"/>
              <w:rPr>
                <w:rFonts w:hint="eastAsia" w:ascii="Times New Roman" w:hAnsi="Times New Roman" w:cs="Times New Roman"/>
                <w:color w:val="auto"/>
                <w:szCs w:val="21"/>
                <w:shd w:val="clear" w:color="auto" w:fill="auto"/>
                <w:lang w:val="en-US" w:eastAsia="zh-CN"/>
              </w:rPr>
            </w:pPr>
          </w:p>
        </w:tc>
      </w:tr>
    </w:tbl>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表</w:t>
      </w:r>
      <w:r>
        <w:rPr>
          <w:rFonts w:hint="eastAsia" w:ascii="Times New Roman" w:hAnsi="Times New Roman" w:eastAsia="宋体" w:cs="Times New Roman"/>
          <w:b/>
          <w:color w:val="auto"/>
          <w:sz w:val="21"/>
          <w:szCs w:val="21"/>
        </w:rPr>
        <w:t>2.5-</w:t>
      </w:r>
      <w:r>
        <w:rPr>
          <w:rFonts w:hint="eastAsia" w:ascii="Times New Roman" w:hAnsi="Times New Roman" w:eastAsia="宋体" w:cs="Times New Roman"/>
          <w:b/>
          <w:color w:val="auto"/>
          <w:sz w:val="21"/>
          <w:szCs w:val="21"/>
          <w:lang w:val="en-US" w:eastAsia="zh-CN"/>
        </w:rPr>
        <w:t>2  主要环保设备清单详见一览表</w:t>
      </w:r>
    </w:p>
    <w:tbl>
      <w:tblPr>
        <w:tblStyle w:val="3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7"/>
        <w:gridCol w:w="2248"/>
        <w:gridCol w:w="4937"/>
        <w:gridCol w:w="677"/>
        <w:gridCol w:w="6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序号</w:t>
            </w:r>
          </w:p>
        </w:tc>
        <w:tc>
          <w:tcPr>
            <w:tcW w:w="1219"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处理单元</w:t>
            </w:r>
          </w:p>
        </w:tc>
        <w:tc>
          <w:tcPr>
            <w:tcW w:w="267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设备名称</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数量</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1</w:t>
            </w:r>
          </w:p>
        </w:tc>
        <w:tc>
          <w:tcPr>
            <w:tcW w:w="1219" w:type="pct"/>
            <w:vMerge w:val="restar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预处理系统</w:t>
            </w:r>
          </w:p>
        </w:tc>
        <w:tc>
          <w:tcPr>
            <w:tcW w:w="267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潜水搅拌机（带SS304支架及起吊装置）</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 xml:space="preserve">2 </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2</w:t>
            </w:r>
          </w:p>
        </w:tc>
        <w:tc>
          <w:tcPr>
            <w:tcW w:w="1219" w:type="pct"/>
            <w:vMerge w:val="continue"/>
            <w:noWrap w:val="0"/>
            <w:vAlign w:val="center"/>
          </w:tcPr>
          <w:p>
            <w:pPr>
              <w:pStyle w:val="98"/>
              <w:jc w:val="center"/>
              <w:rPr>
                <w:rFonts w:hint="eastAsia" w:ascii="Times New Roman" w:hAnsi="Times New Roman" w:cs="Times New Roman"/>
                <w:color w:val="auto"/>
                <w:szCs w:val="21"/>
                <w:shd w:val="clear" w:color="auto" w:fill="auto"/>
                <w:lang w:val="en-US" w:eastAsia="zh-CN"/>
              </w:rPr>
            </w:pPr>
          </w:p>
        </w:tc>
        <w:tc>
          <w:tcPr>
            <w:tcW w:w="267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机械格栅</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 xml:space="preserve">1 </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3</w:t>
            </w:r>
          </w:p>
        </w:tc>
        <w:tc>
          <w:tcPr>
            <w:tcW w:w="1219" w:type="pct"/>
            <w:vMerge w:val="continue"/>
            <w:noWrap w:val="0"/>
            <w:vAlign w:val="center"/>
          </w:tcPr>
          <w:p>
            <w:pPr>
              <w:pStyle w:val="98"/>
              <w:jc w:val="center"/>
              <w:rPr>
                <w:rFonts w:hint="eastAsia" w:ascii="Times New Roman" w:hAnsi="Times New Roman" w:cs="Times New Roman"/>
                <w:color w:val="auto"/>
                <w:szCs w:val="21"/>
                <w:shd w:val="clear" w:color="auto" w:fill="auto"/>
                <w:lang w:val="en-US" w:eastAsia="zh-CN"/>
              </w:rPr>
            </w:pPr>
          </w:p>
        </w:tc>
        <w:tc>
          <w:tcPr>
            <w:tcW w:w="267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集水池切割自耦潜水提升泵（带提升装置）</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 xml:space="preserve">2 </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4</w:t>
            </w:r>
          </w:p>
        </w:tc>
        <w:tc>
          <w:tcPr>
            <w:tcW w:w="1219" w:type="pct"/>
            <w:vMerge w:val="continue"/>
            <w:noWrap w:val="0"/>
            <w:vAlign w:val="center"/>
          </w:tcPr>
          <w:p>
            <w:pPr>
              <w:pStyle w:val="98"/>
              <w:jc w:val="center"/>
              <w:rPr>
                <w:rFonts w:hint="eastAsia" w:ascii="Times New Roman" w:hAnsi="Times New Roman" w:cs="Times New Roman"/>
                <w:color w:val="auto"/>
                <w:szCs w:val="21"/>
                <w:shd w:val="clear" w:color="auto" w:fill="auto"/>
                <w:lang w:val="en-US" w:eastAsia="zh-CN"/>
              </w:rPr>
            </w:pPr>
          </w:p>
        </w:tc>
        <w:tc>
          <w:tcPr>
            <w:tcW w:w="267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固液分离机</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1</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5</w:t>
            </w:r>
          </w:p>
        </w:tc>
        <w:tc>
          <w:tcPr>
            <w:tcW w:w="1219" w:type="pct"/>
            <w:vMerge w:val="continue"/>
            <w:noWrap w:val="0"/>
            <w:vAlign w:val="center"/>
          </w:tcPr>
          <w:p>
            <w:pPr>
              <w:pStyle w:val="98"/>
              <w:jc w:val="center"/>
              <w:rPr>
                <w:rFonts w:hint="eastAsia" w:ascii="Times New Roman" w:hAnsi="Times New Roman" w:cs="Times New Roman"/>
                <w:color w:val="auto"/>
                <w:szCs w:val="21"/>
                <w:shd w:val="clear" w:color="auto" w:fill="auto"/>
                <w:lang w:val="en-US" w:eastAsia="zh-CN"/>
              </w:rPr>
            </w:pPr>
          </w:p>
        </w:tc>
        <w:tc>
          <w:tcPr>
            <w:tcW w:w="267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调节池提升泵（陆上型离心泵，电机带雨罩）</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 xml:space="preserve">2 </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6</w:t>
            </w:r>
          </w:p>
        </w:tc>
        <w:tc>
          <w:tcPr>
            <w:tcW w:w="1219" w:type="pct"/>
            <w:vMerge w:val="continue"/>
            <w:noWrap w:val="0"/>
            <w:vAlign w:val="center"/>
          </w:tcPr>
          <w:p>
            <w:pPr>
              <w:pStyle w:val="98"/>
              <w:jc w:val="center"/>
              <w:rPr>
                <w:rFonts w:hint="eastAsia" w:ascii="Times New Roman" w:hAnsi="Times New Roman" w:cs="Times New Roman"/>
                <w:color w:val="auto"/>
                <w:szCs w:val="21"/>
                <w:shd w:val="clear" w:color="auto" w:fill="auto"/>
                <w:lang w:val="en-US" w:eastAsia="zh-CN"/>
              </w:rPr>
            </w:pPr>
          </w:p>
        </w:tc>
        <w:tc>
          <w:tcPr>
            <w:tcW w:w="267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污泥脱水机</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1</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7</w:t>
            </w:r>
          </w:p>
        </w:tc>
        <w:tc>
          <w:tcPr>
            <w:tcW w:w="1219" w:type="pct"/>
            <w:vMerge w:val="restar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生化系统(A/O)</w:t>
            </w:r>
          </w:p>
        </w:tc>
        <w:tc>
          <w:tcPr>
            <w:tcW w:w="267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硝化液回流泵（陆上型离心泵，电机带雨罩）</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 xml:space="preserve">4 </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8</w:t>
            </w:r>
          </w:p>
        </w:tc>
        <w:tc>
          <w:tcPr>
            <w:tcW w:w="1219" w:type="pct"/>
            <w:vMerge w:val="continue"/>
            <w:noWrap w:val="0"/>
            <w:vAlign w:val="center"/>
          </w:tcPr>
          <w:p>
            <w:pPr>
              <w:pStyle w:val="98"/>
              <w:jc w:val="center"/>
              <w:rPr>
                <w:rFonts w:hint="eastAsia" w:ascii="Times New Roman" w:hAnsi="Times New Roman" w:cs="Times New Roman"/>
                <w:color w:val="auto"/>
                <w:szCs w:val="21"/>
                <w:shd w:val="clear" w:color="auto" w:fill="auto"/>
                <w:lang w:val="en-US" w:eastAsia="zh-CN"/>
              </w:rPr>
            </w:pPr>
          </w:p>
        </w:tc>
        <w:tc>
          <w:tcPr>
            <w:tcW w:w="267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生化污泥回流泵（陆上型离心泵，电机带雨罩）</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 xml:space="preserve">4 </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9</w:t>
            </w:r>
          </w:p>
        </w:tc>
        <w:tc>
          <w:tcPr>
            <w:tcW w:w="1219" w:type="pct"/>
            <w:vMerge w:val="restar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沉淀系统</w:t>
            </w:r>
          </w:p>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消毒系统</w:t>
            </w:r>
          </w:p>
        </w:tc>
        <w:tc>
          <w:tcPr>
            <w:tcW w:w="2677" w:type="pct"/>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潜水搅拌器（带SS304支架及起吊装置）</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 xml:space="preserve">4 </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10</w:t>
            </w:r>
          </w:p>
        </w:tc>
        <w:tc>
          <w:tcPr>
            <w:tcW w:w="1219" w:type="pct"/>
            <w:vMerge w:val="continue"/>
            <w:noWrap w:val="0"/>
            <w:vAlign w:val="center"/>
          </w:tcPr>
          <w:p>
            <w:pPr>
              <w:pStyle w:val="98"/>
              <w:jc w:val="center"/>
              <w:rPr>
                <w:rFonts w:hint="eastAsia" w:ascii="Times New Roman" w:hAnsi="Times New Roman" w:cs="Times New Roman"/>
                <w:color w:val="auto"/>
                <w:szCs w:val="21"/>
                <w:shd w:val="clear" w:color="auto" w:fill="auto"/>
                <w:lang w:val="en-US" w:eastAsia="zh-CN"/>
              </w:rPr>
            </w:pPr>
          </w:p>
        </w:tc>
        <w:tc>
          <w:tcPr>
            <w:tcW w:w="2677" w:type="pct"/>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中心导流装置</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 xml:space="preserve">2 </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11</w:t>
            </w:r>
          </w:p>
        </w:tc>
        <w:tc>
          <w:tcPr>
            <w:tcW w:w="1219" w:type="pct"/>
            <w:vMerge w:val="continue"/>
            <w:noWrap w:val="0"/>
            <w:vAlign w:val="center"/>
          </w:tcPr>
          <w:p>
            <w:pPr>
              <w:pStyle w:val="98"/>
              <w:jc w:val="center"/>
              <w:rPr>
                <w:rFonts w:hint="eastAsia" w:ascii="Times New Roman" w:hAnsi="Times New Roman" w:cs="Times New Roman"/>
                <w:color w:val="auto"/>
                <w:szCs w:val="21"/>
                <w:shd w:val="clear" w:color="auto" w:fill="auto"/>
                <w:lang w:val="en-US" w:eastAsia="zh-CN"/>
              </w:rPr>
            </w:pPr>
          </w:p>
        </w:tc>
        <w:tc>
          <w:tcPr>
            <w:tcW w:w="2677" w:type="pct"/>
            <w:noWrap w:val="0"/>
            <w:vAlign w:val="top"/>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出水堰板</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 xml:space="preserve">2 </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12</w:t>
            </w:r>
          </w:p>
        </w:tc>
        <w:tc>
          <w:tcPr>
            <w:tcW w:w="1219"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鼓风系统</w:t>
            </w:r>
          </w:p>
        </w:tc>
        <w:tc>
          <w:tcPr>
            <w:tcW w:w="267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好氧风机</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 xml:space="preserve">2 </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13</w:t>
            </w:r>
          </w:p>
        </w:tc>
        <w:tc>
          <w:tcPr>
            <w:tcW w:w="1219" w:type="pct"/>
            <w:vMerge w:val="restar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应急系统</w:t>
            </w:r>
          </w:p>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喷淋系统</w:t>
            </w:r>
          </w:p>
        </w:tc>
        <w:tc>
          <w:tcPr>
            <w:tcW w:w="267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压泥泵 （陆上型离心泵，电机带雨罩）</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 xml:space="preserve">1 </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14</w:t>
            </w:r>
          </w:p>
        </w:tc>
        <w:tc>
          <w:tcPr>
            <w:tcW w:w="1219" w:type="pct"/>
            <w:vMerge w:val="continue"/>
            <w:noWrap w:val="0"/>
            <w:vAlign w:val="center"/>
          </w:tcPr>
          <w:p>
            <w:pPr>
              <w:pStyle w:val="98"/>
              <w:jc w:val="center"/>
              <w:rPr>
                <w:rFonts w:hint="eastAsia" w:ascii="Times New Roman" w:hAnsi="Times New Roman" w:cs="Times New Roman"/>
                <w:color w:val="auto"/>
                <w:szCs w:val="21"/>
                <w:shd w:val="clear" w:color="auto" w:fill="auto"/>
                <w:lang w:val="en-US" w:eastAsia="zh-CN"/>
              </w:rPr>
            </w:pPr>
          </w:p>
        </w:tc>
        <w:tc>
          <w:tcPr>
            <w:tcW w:w="267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应急提升泵（潜水泵，带提升装置）</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 xml:space="preserve">3 </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15</w:t>
            </w:r>
          </w:p>
        </w:tc>
        <w:tc>
          <w:tcPr>
            <w:tcW w:w="1219" w:type="pct"/>
            <w:vMerge w:val="continue"/>
            <w:noWrap w:val="0"/>
            <w:vAlign w:val="center"/>
          </w:tcPr>
          <w:p>
            <w:pPr>
              <w:pStyle w:val="98"/>
              <w:jc w:val="center"/>
              <w:rPr>
                <w:rFonts w:hint="eastAsia" w:ascii="Times New Roman" w:hAnsi="Times New Roman" w:cs="Times New Roman"/>
                <w:color w:val="auto"/>
                <w:szCs w:val="21"/>
                <w:shd w:val="clear" w:color="auto" w:fill="auto"/>
                <w:lang w:val="en-US" w:eastAsia="zh-CN"/>
              </w:rPr>
            </w:pPr>
          </w:p>
        </w:tc>
        <w:tc>
          <w:tcPr>
            <w:tcW w:w="267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提升泵（潜水泵，带提升装置）</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 xml:space="preserve">1 </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16</w:t>
            </w:r>
          </w:p>
        </w:tc>
        <w:tc>
          <w:tcPr>
            <w:tcW w:w="1219" w:type="pct"/>
            <w:vMerge w:val="restar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系统管道阀门及其他</w:t>
            </w:r>
          </w:p>
        </w:tc>
        <w:tc>
          <w:tcPr>
            <w:tcW w:w="267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管道阀门及管件（输送水）</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 xml:space="preserve">2 </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17</w:t>
            </w:r>
          </w:p>
        </w:tc>
        <w:tc>
          <w:tcPr>
            <w:tcW w:w="1219" w:type="pct"/>
            <w:vMerge w:val="continue"/>
            <w:noWrap w:val="0"/>
            <w:vAlign w:val="center"/>
          </w:tcPr>
          <w:p>
            <w:pPr>
              <w:pStyle w:val="98"/>
              <w:jc w:val="center"/>
              <w:rPr>
                <w:rFonts w:hint="eastAsia" w:ascii="Times New Roman" w:hAnsi="Times New Roman" w:cs="Times New Roman"/>
                <w:color w:val="auto"/>
                <w:szCs w:val="21"/>
                <w:shd w:val="clear" w:color="auto" w:fill="auto"/>
                <w:lang w:val="en-US" w:eastAsia="zh-CN"/>
              </w:rPr>
            </w:pPr>
          </w:p>
        </w:tc>
        <w:tc>
          <w:tcPr>
            <w:tcW w:w="267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管道阀门及管件（水上输送气）</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 xml:space="preserve">2 </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18</w:t>
            </w:r>
          </w:p>
        </w:tc>
        <w:tc>
          <w:tcPr>
            <w:tcW w:w="1219" w:type="pct"/>
            <w:vMerge w:val="continue"/>
            <w:noWrap w:val="0"/>
            <w:vAlign w:val="center"/>
          </w:tcPr>
          <w:p>
            <w:pPr>
              <w:pStyle w:val="98"/>
              <w:jc w:val="center"/>
              <w:rPr>
                <w:rFonts w:hint="eastAsia" w:ascii="Times New Roman" w:hAnsi="Times New Roman" w:cs="Times New Roman"/>
                <w:color w:val="auto"/>
                <w:szCs w:val="21"/>
                <w:shd w:val="clear" w:color="auto" w:fill="auto"/>
                <w:lang w:val="en-US" w:eastAsia="zh-CN"/>
              </w:rPr>
            </w:pPr>
          </w:p>
        </w:tc>
        <w:tc>
          <w:tcPr>
            <w:tcW w:w="267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槽钢、角钢及其它</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 xml:space="preserve">2 </w:t>
            </w:r>
          </w:p>
        </w:tc>
        <w:tc>
          <w:tcPr>
            <w:tcW w:w="367" w:type="pct"/>
            <w:noWrap w:val="0"/>
            <w:vAlign w:val="center"/>
          </w:tcPr>
          <w:p>
            <w:pPr>
              <w:pStyle w:val="98"/>
              <w:jc w:val="center"/>
              <w:rPr>
                <w:rFonts w:hint="eastAsia" w:ascii="Times New Roman" w:hAnsi="Times New Roman" w:cs="Times New Roman"/>
                <w:color w:val="auto"/>
                <w:szCs w:val="21"/>
                <w:shd w:val="clear" w:color="auto" w:fill="auto"/>
                <w:lang w:val="en-US" w:eastAsia="zh-CN"/>
              </w:rPr>
            </w:pPr>
            <w:r>
              <w:rPr>
                <w:rFonts w:hint="eastAsia" w:ascii="Times New Roman" w:hAnsi="Times New Roman" w:cs="Times New Roman"/>
                <w:color w:val="auto"/>
                <w:szCs w:val="21"/>
                <w:shd w:val="clear" w:color="auto" w:fill="auto"/>
                <w:lang w:val="en-US" w:eastAsia="zh-CN"/>
              </w:rPr>
              <w:t>套</w:t>
            </w:r>
          </w:p>
        </w:tc>
      </w:tr>
    </w:tbl>
    <w:p>
      <w:pPr>
        <w:pStyle w:val="5"/>
        <w:pageBreakBefore w:val="0"/>
        <w:widowControl w:val="0"/>
        <w:kinsoku/>
        <w:wordWrap/>
        <w:overflowPunct/>
        <w:topLinePunct w:val="0"/>
        <w:autoSpaceDE/>
        <w:autoSpaceDN/>
        <w:bidi w:val="0"/>
        <w:adjustRightInd w:val="0"/>
        <w:snapToGrid w:val="0"/>
        <w:spacing w:before="0" w:after="0" w:line="240" w:lineRule="auto"/>
        <w:ind w:left="0" w:right="0"/>
        <w:textAlignment w:val="auto"/>
        <w:rPr>
          <w:rFonts w:hint="eastAsia" w:ascii="Times New Roman" w:hAnsi="Times New Roman" w:eastAsia="宋体"/>
          <w:color w:val="auto"/>
          <w:sz w:val="30"/>
          <w:szCs w:val="30"/>
          <w:lang w:eastAsia="zh-CN"/>
        </w:rPr>
      </w:pPr>
      <w:bookmarkStart w:id="83" w:name="_Toc16345"/>
      <w:r>
        <w:rPr>
          <w:rFonts w:hint="eastAsia" w:ascii="Times New Roman" w:hAnsi="Times New Roman" w:eastAsia="宋体"/>
          <w:color w:val="auto"/>
          <w:sz w:val="30"/>
          <w:szCs w:val="30"/>
        </w:rPr>
        <w:t>2</w:t>
      </w:r>
      <w:r>
        <w:rPr>
          <w:rFonts w:ascii="Times New Roman" w:hAnsi="Times New Roman" w:eastAsia="宋体"/>
          <w:color w:val="auto"/>
          <w:sz w:val="30"/>
          <w:szCs w:val="30"/>
        </w:rPr>
        <w:t>.</w:t>
      </w:r>
      <w:r>
        <w:rPr>
          <w:rFonts w:hint="eastAsia" w:ascii="Times New Roman" w:hAnsi="Times New Roman" w:eastAsia="宋体"/>
          <w:color w:val="auto"/>
          <w:sz w:val="30"/>
          <w:szCs w:val="30"/>
        </w:rPr>
        <w:t>6</w:t>
      </w:r>
      <w:r>
        <w:rPr>
          <w:rFonts w:ascii="Times New Roman" w:hAnsi="Times New Roman" w:eastAsia="宋体"/>
          <w:color w:val="auto"/>
          <w:sz w:val="30"/>
          <w:szCs w:val="30"/>
        </w:rPr>
        <w:t>平面布置</w:t>
      </w:r>
      <w:bookmarkEnd w:id="81"/>
      <w:bookmarkEnd w:id="82"/>
      <w:bookmarkEnd w:id="83"/>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（1）平面布置</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本项目养殖占地面积约90亩，场址位于眉山市丹棱县仁美镇雄义村5组。根据占地情况及厂区规划，按照节约土地，布局经济，工艺流程合理，各种管线短捷顺畅，安全防护距离到位的方针，在满足生产工艺要求的前提下，根据地形、气象、运输条件、人流走向等因素，将生活办公区布置在场区西北侧，养殖区布置在场内中部，污水处理区布置在南侧，远离生活区，详见附图。</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（2）平面布置合理性分析</w:t>
      </w:r>
    </w:p>
    <w:p>
      <w:pPr>
        <w:adjustRightInd w:val="0"/>
        <w:snapToGrid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①本项目的养殖场为不规则形状，场区分为</w:t>
      </w:r>
      <w:r>
        <w:rPr>
          <w:rFonts w:hint="eastAsia" w:ascii="Times New Roman" w:hAnsi="Times New Roman" w:eastAsia="宋体" w:cs="Times New Roman"/>
          <w:color w:val="auto"/>
          <w:sz w:val="24"/>
          <w:szCs w:val="24"/>
          <w:lang w:val="en-US" w:eastAsia="zh-CN"/>
        </w:rPr>
        <w:t>办公生活</w:t>
      </w:r>
      <w:r>
        <w:rPr>
          <w:rFonts w:hint="default" w:ascii="Times New Roman" w:hAnsi="Times New Roman" w:eastAsia="宋体" w:cs="Times New Roman"/>
          <w:color w:val="auto"/>
          <w:sz w:val="24"/>
          <w:szCs w:val="24"/>
          <w:lang w:val="en-US" w:eastAsia="zh-CN"/>
        </w:rPr>
        <w:t>区、养殖区</w:t>
      </w:r>
      <w:r>
        <w:rPr>
          <w:rFonts w:hint="eastAsia" w:ascii="Times New Roman" w:hAnsi="Times New Roman" w:eastAsia="宋体" w:cs="Times New Roman"/>
          <w:color w:val="auto"/>
          <w:sz w:val="24"/>
          <w:szCs w:val="24"/>
          <w:lang w:val="en-US" w:eastAsia="zh-CN"/>
        </w:rPr>
        <w:t>、污水处理区</w:t>
      </w:r>
      <w:r>
        <w:rPr>
          <w:rFonts w:hint="default" w:ascii="Times New Roman" w:hAnsi="Times New Roman" w:eastAsia="宋体" w:cs="Times New Roman"/>
          <w:color w:val="auto"/>
          <w:sz w:val="24"/>
          <w:szCs w:val="24"/>
          <w:lang w:val="en-US" w:eastAsia="zh-CN"/>
        </w:rPr>
        <w:t>等。养殖区距离办公</w:t>
      </w:r>
      <w:r>
        <w:rPr>
          <w:rFonts w:hint="eastAsia" w:ascii="Times New Roman" w:hAnsi="Times New Roman" w:eastAsia="宋体" w:cs="Times New Roman"/>
          <w:color w:val="auto"/>
          <w:sz w:val="24"/>
          <w:szCs w:val="24"/>
          <w:lang w:val="en-US" w:eastAsia="zh-CN"/>
        </w:rPr>
        <w:t>生活</w:t>
      </w:r>
      <w:r>
        <w:rPr>
          <w:rFonts w:hint="default" w:ascii="Times New Roman" w:hAnsi="Times New Roman" w:eastAsia="宋体" w:cs="Times New Roman"/>
          <w:color w:val="auto"/>
          <w:sz w:val="24"/>
          <w:szCs w:val="24"/>
          <w:lang w:val="en-US" w:eastAsia="zh-CN"/>
        </w:rPr>
        <w:t>区的间隔约</w:t>
      </w:r>
      <w:r>
        <w:rPr>
          <w:rFonts w:hint="eastAsia" w:ascii="Times New Roman" w:hAnsi="Times New Roman" w:eastAsia="宋体" w:cs="Times New Roman"/>
          <w:color w:val="auto"/>
          <w:sz w:val="24"/>
          <w:szCs w:val="24"/>
          <w:lang w:val="en-US" w:eastAsia="zh-CN"/>
        </w:rPr>
        <w:t>40</w:t>
      </w:r>
      <w:r>
        <w:rPr>
          <w:rFonts w:hint="default" w:ascii="Times New Roman" w:hAnsi="Times New Roman" w:eastAsia="宋体" w:cs="Times New Roman"/>
          <w:color w:val="auto"/>
          <w:sz w:val="24"/>
          <w:szCs w:val="24"/>
          <w:lang w:val="en-US" w:eastAsia="zh-CN"/>
        </w:rPr>
        <w:t>m，实现了《畜禽养殖业污染防治技术规范》 （HJ/T81-2001）中关于生产区、</w:t>
      </w:r>
      <w:r>
        <w:rPr>
          <w:rFonts w:hint="eastAsia" w:ascii="Times New Roman" w:hAnsi="Times New Roman" w:eastAsia="宋体" w:cs="Times New Roman"/>
          <w:color w:val="auto"/>
          <w:sz w:val="24"/>
          <w:szCs w:val="24"/>
          <w:lang w:val="en-US" w:eastAsia="zh-CN"/>
        </w:rPr>
        <w:t>生活办公区</w:t>
      </w:r>
      <w:r>
        <w:rPr>
          <w:rFonts w:hint="default" w:ascii="Times New Roman" w:hAnsi="Times New Roman" w:eastAsia="宋体" w:cs="Times New Roman"/>
          <w:color w:val="auto"/>
          <w:sz w:val="24"/>
          <w:szCs w:val="24"/>
          <w:lang w:val="en-US" w:eastAsia="zh-CN"/>
        </w:rPr>
        <w:t>相隔离的要求。</w:t>
      </w:r>
    </w:p>
    <w:p>
      <w:pPr>
        <w:adjustRightInd w:val="0"/>
        <w:snapToGrid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②</w:t>
      </w:r>
      <w:r>
        <w:rPr>
          <w:rFonts w:hint="eastAsia" w:ascii="Times New Roman" w:hAnsi="Times New Roman" w:eastAsia="宋体" w:cs="Times New Roman"/>
          <w:color w:val="auto"/>
          <w:sz w:val="24"/>
          <w:szCs w:val="24"/>
          <w:lang w:val="en-US" w:eastAsia="zh-CN"/>
        </w:rPr>
        <w:t>污水处理区</w:t>
      </w:r>
      <w:r>
        <w:rPr>
          <w:rFonts w:hint="default" w:ascii="Times New Roman" w:hAnsi="Times New Roman" w:eastAsia="宋体" w:cs="Times New Roman"/>
          <w:color w:val="auto"/>
          <w:sz w:val="24"/>
          <w:szCs w:val="24"/>
          <w:lang w:val="en-US" w:eastAsia="zh-CN"/>
        </w:rPr>
        <w:t>及养殖区设在</w:t>
      </w:r>
      <w:r>
        <w:rPr>
          <w:rFonts w:hint="eastAsia" w:ascii="Times New Roman" w:hAnsi="Times New Roman" w:eastAsia="宋体" w:cs="Times New Roman"/>
          <w:color w:val="auto"/>
          <w:sz w:val="24"/>
          <w:szCs w:val="24"/>
          <w:lang w:val="en-US" w:eastAsia="zh-CN"/>
        </w:rPr>
        <w:t>生活办公区</w:t>
      </w:r>
      <w:r>
        <w:rPr>
          <w:rFonts w:hint="default" w:ascii="Times New Roman" w:hAnsi="Times New Roman" w:eastAsia="宋体" w:cs="Times New Roman"/>
          <w:color w:val="auto"/>
          <w:sz w:val="24"/>
          <w:szCs w:val="24"/>
          <w:lang w:val="en-US" w:eastAsia="zh-CN"/>
        </w:rPr>
        <w:t>的常年主导风向的侧风向处，符合《畜禽养殖业污染防治技术规范》（HJ/T81-2001）中有关规定。</w:t>
      </w:r>
    </w:p>
    <w:p>
      <w:pPr>
        <w:adjustRightInd w:val="0"/>
        <w:snapToGrid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③</w:t>
      </w:r>
      <w:r>
        <w:rPr>
          <w:rFonts w:hint="eastAsia" w:ascii="Times New Roman" w:hAnsi="Times New Roman" w:eastAsia="宋体" w:cs="Times New Roman"/>
          <w:color w:val="auto"/>
          <w:sz w:val="24"/>
          <w:szCs w:val="24"/>
          <w:lang w:val="en-US" w:eastAsia="zh-CN"/>
        </w:rPr>
        <w:t>本项目设置2个出入口，1个位于项目西北侧，1个位于项目东南侧</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2个出入口均</w:t>
      </w:r>
      <w:r>
        <w:rPr>
          <w:rFonts w:hint="default" w:ascii="Times New Roman" w:hAnsi="Times New Roman" w:eastAsia="宋体" w:cs="Times New Roman"/>
          <w:color w:val="auto"/>
          <w:sz w:val="24"/>
          <w:szCs w:val="24"/>
          <w:lang w:val="en-US" w:eastAsia="zh-CN"/>
        </w:rPr>
        <w:t>与通村公路相连，且设置进场消毒装置，场内道路污道、清道分类明确，运输及交通组织便利。</w:t>
      </w:r>
    </w:p>
    <w:p>
      <w:pPr>
        <w:adjustRightInd w:val="0"/>
        <w:snapToGrid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④主要高噪声源布置于</w:t>
      </w:r>
      <w:r>
        <w:rPr>
          <w:rFonts w:hint="eastAsia" w:ascii="Times New Roman" w:hAnsi="Times New Roman" w:eastAsia="宋体" w:cs="Times New Roman"/>
          <w:color w:val="auto"/>
          <w:sz w:val="24"/>
          <w:szCs w:val="24"/>
          <w:lang w:val="en-US" w:eastAsia="zh-CN"/>
        </w:rPr>
        <w:t>污水处理区</w:t>
      </w:r>
      <w:r>
        <w:rPr>
          <w:rFonts w:hint="default" w:ascii="Times New Roman" w:hAnsi="Times New Roman" w:eastAsia="宋体" w:cs="Times New Roman"/>
          <w:color w:val="auto"/>
          <w:sz w:val="24"/>
          <w:szCs w:val="24"/>
          <w:lang w:val="en-US" w:eastAsia="zh-CN"/>
        </w:rPr>
        <w:t>内部，减少高噪声源对厂界环境的影响。</w:t>
      </w:r>
    </w:p>
    <w:p>
      <w:pPr>
        <w:adjustRightInd w:val="0"/>
        <w:snapToGrid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⑤项目主要环保</w:t>
      </w:r>
      <w:r>
        <w:rPr>
          <w:rFonts w:hint="eastAsia" w:ascii="Times New Roman" w:hAnsi="Times New Roman" w:eastAsia="宋体" w:cs="Times New Roman"/>
          <w:color w:val="auto"/>
          <w:sz w:val="24"/>
          <w:szCs w:val="24"/>
          <w:lang w:val="en-US" w:eastAsia="zh-CN"/>
        </w:rPr>
        <w:t>设备</w:t>
      </w:r>
      <w:r>
        <w:rPr>
          <w:rFonts w:hint="default" w:ascii="Times New Roman" w:hAnsi="Times New Roman" w:eastAsia="宋体" w:cs="Times New Roman"/>
          <w:color w:val="auto"/>
          <w:sz w:val="24"/>
          <w:szCs w:val="24"/>
          <w:lang w:val="en-US" w:eastAsia="zh-CN"/>
        </w:rPr>
        <w:t>设置在侧风向并远离居民，主要产噪设备均向内部靠拢，设置在室内，避免噪声扰民。</w:t>
      </w:r>
    </w:p>
    <w:p>
      <w:pPr>
        <w:adjustRightInd w:val="0"/>
        <w:snapToGrid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⑥企业设计在猪场四周设置挡墙，减少恶臭对居民的影响。</w:t>
      </w:r>
    </w:p>
    <w:p>
      <w:pPr>
        <w:adjustRightInd w:val="0"/>
        <w:snapToGrid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因此，本评价认为项目厂区总平面布置基本合理。</w:t>
      </w:r>
    </w:p>
    <w:p>
      <w:pPr>
        <w:pStyle w:val="5"/>
        <w:adjustRightInd w:val="0"/>
        <w:snapToGrid w:val="0"/>
        <w:spacing w:before="0" w:after="0" w:line="360" w:lineRule="auto"/>
        <w:rPr>
          <w:rFonts w:ascii="Times New Roman" w:hAnsi="Times New Roman" w:eastAsia="宋体"/>
          <w:color w:val="auto"/>
          <w:sz w:val="30"/>
          <w:szCs w:val="30"/>
        </w:rPr>
      </w:pPr>
      <w:bookmarkStart w:id="84" w:name="_Toc459118424"/>
      <w:bookmarkStart w:id="85" w:name="_Toc9226"/>
      <w:bookmarkStart w:id="86" w:name="_Toc1802"/>
      <w:r>
        <w:rPr>
          <w:rFonts w:hint="eastAsia" w:ascii="Times New Roman" w:hAnsi="Times New Roman" w:eastAsia="宋体"/>
          <w:color w:val="auto"/>
          <w:sz w:val="30"/>
          <w:szCs w:val="30"/>
        </w:rPr>
        <w:t>2.7</w:t>
      </w:r>
      <w:r>
        <w:rPr>
          <w:rFonts w:ascii="Times New Roman" w:hAnsi="Times New Roman" w:eastAsia="宋体"/>
          <w:color w:val="auto"/>
          <w:sz w:val="30"/>
          <w:szCs w:val="30"/>
        </w:rPr>
        <w:t>主要原</w:t>
      </w:r>
      <w:bookmarkEnd w:id="84"/>
      <w:r>
        <w:rPr>
          <w:rFonts w:hint="eastAsia" w:ascii="Times New Roman" w:hAnsi="Times New Roman" w:eastAsia="宋体"/>
          <w:color w:val="auto"/>
          <w:sz w:val="30"/>
          <w:szCs w:val="30"/>
        </w:rPr>
        <w:t>辅材料</w:t>
      </w:r>
      <w:bookmarkEnd w:id="85"/>
      <w:bookmarkEnd w:id="86"/>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本项目年出栏3万头生猪，本项目饲料全部为外购成品饲料。项目饲料用量见表 2.7-1：</w:t>
      </w:r>
    </w:p>
    <w:p>
      <w:pPr>
        <w:adjustRightInd w:val="0"/>
        <w:snapToGrid w:val="0"/>
        <w:jc w:val="center"/>
        <w:rPr>
          <w:rFonts w:hint="eastAsia"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rPr>
        <w:t>表2.7-1</w:t>
      </w:r>
      <w:r>
        <w:rPr>
          <w:rFonts w:hint="eastAsia" w:ascii="Times New Roman" w:hAnsi="Times New Roman" w:eastAsia="宋体" w:cs="Times New Roman"/>
          <w:b/>
          <w:bCs/>
          <w:color w:val="auto"/>
          <w:sz w:val="21"/>
          <w:szCs w:val="21"/>
          <w:lang w:val="en-US" w:eastAsia="zh-CN"/>
        </w:rPr>
        <w:t xml:space="preserve">  主要原辅材料用量及来源</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1260"/>
        <w:gridCol w:w="1095"/>
        <w:gridCol w:w="1175"/>
        <w:gridCol w:w="49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widowControl/>
              <w:adjustRightInd w:val="0"/>
              <w:snapToGrid w:val="0"/>
              <w:jc w:val="center"/>
              <w:textAlignment w:val="center"/>
              <w:rPr>
                <w:rFonts w:hint="eastAsia" w:ascii="Times New Roman" w:hAnsi="Times New Roman" w:eastAsia="宋体" w:cs="Times New Roman"/>
                <w:b/>
                <w:bCs/>
                <w:color w:val="auto"/>
                <w:sz w:val="21"/>
                <w:szCs w:val="21"/>
                <w:lang w:eastAsia="zh-CN"/>
              </w:rPr>
            </w:pPr>
            <w:r>
              <w:rPr>
                <w:rFonts w:hint="eastAsia" w:ascii="Times New Roman" w:hAnsi="Times New Roman" w:eastAsia="宋体" w:cs="Times New Roman"/>
                <w:b/>
                <w:bCs/>
                <w:color w:val="auto"/>
                <w:sz w:val="21"/>
                <w:szCs w:val="21"/>
                <w:lang w:eastAsia="zh-CN"/>
              </w:rPr>
              <w:t>类别</w:t>
            </w:r>
          </w:p>
        </w:tc>
        <w:tc>
          <w:tcPr>
            <w:tcW w:w="1260" w:type="dxa"/>
            <w:vAlign w:val="center"/>
          </w:tcPr>
          <w:p>
            <w:pPr>
              <w:widowControl/>
              <w:adjustRightInd w:val="0"/>
              <w:snapToGrid w:val="0"/>
              <w:jc w:val="center"/>
              <w:textAlignment w:val="center"/>
              <w:rPr>
                <w:rFonts w:hint="eastAsia" w:ascii="Times New Roman" w:hAnsi="Times New Roman" w:eastAsia="宋体" w:cs="Times New Roman"/>
                <w:b/>
                <w:bCs/>
                <w:color w:val="auto"/>
                <w:sz w:val="21"/>
                <w:szCs w:val="21"/>
                <w:lang w:eastAsia="zh-CN"/>
              </w:rPr>
            </w:pPr>
            <w:r>
              <w:rPr>
                <w:rFonts w:hint="eastAsia" w:ascii="Times New Roman" w:hAnsi="Times New Roman" w:eastAsia="宋体" w:cs="Times New Roman"/>
                <w:b/>
                <w:bCs/>
                <w:color w:val="auto"/>
                <w:sz w:val="21"/>
                <w:szCs w:val="21"/>
                <w:lang w:eastAsia="zh-CN"/>
              </w:rPr>
              <w:t>名称</w:t>
            </w:r>
          </w:p>
        </w:tc>
        <w:tc>
          <w:tcPr>
            <w:tcW w:w="1095" w:type="dxa"/>
            <w:vAlign w:val="center"/>
          </w:tcPr>
          <w:p>
            <w:pPr>
              <w:widowControl/>
              <w:adjustRightInd w:val="0"/>
              <w:snapToGrid w:val="0"/>
              <w:jc w:val="center"/>
              <w:textAlignment w:val="center"/>
              <w:rPr>
                <w:rFonts w:hint="eastAsia" w:ascii="Times New Roman" w:hAnsi="Times New Roman" w:eastAsia="宋体" w:cs="Times New Roman"/>
                <w:b/>
                <w:bCs/>
                <w:color w:val="auto"/>
                <w:sz w:val="21"/>
                <w:szCs w:val="21"/>
                <w:lang w:eastAsia="zh-CN"/>
              </w:rPr>
            </w:pPr>
            <w:r>
              <w:rPr>
                <w:rFonts w:hint="eastAsia" w:ascii="Times New Roman" w:hAnsi="Times New Roman" w:eastAsia="宋体" w:cs="Times New Roman"/>
                <w:b/>
                <w:bCs/>
                <w:color w:val="auto"/>
                <w:sz w:val="21"/>
                <w:szCs w:val="21"/>
                <w:lang w:eastAsia="zh-CN"/>
              </w:rPr>
              <w:t>年耗量</w:t>
            </w:r>
          </w:p>
        </w:tc>
        <w:tc>
          <w:tcPr>
            <w:tcW w:w="1175" w:type="dxa"/>
            <w:vAlign w:val="center"/>
          </w:tcPr>
          <w:p>
            <w:pPr>
              <w:widowControl/>
              <w:adjustRightInd w:val="0"/>
              <w:snapToGrid w:val="0"/>
              <w:jc w:val="center"/>
              <w:textAlignment w:val="center"/>
              <w:rPr>
                <w:rFonts w:hint="eastAsia" w:ascii="Times New Roman" w:hAnsi="Times New Roman" w:eastAsia="宋体" w:cs="Times New Roman"/>
                <w:b/>
                <w:bCs/>
                <w:color w:val="auto"/>
                <w:sz w:val="21"/>
                <w:szCs w:val="21"/>
                <w:lang w:eastAsia="zh-CN"/>
              </w:rPr>
            </w:pPr>
            <w:r>
              <w:rPr>
                <w:rFonts w:hint="eastAsia" w:ascii="Times New Roman" w:hAnsi="Times New Roman" w:eastAsia="宋体" w:cs="Times New Roman"/>
                <w:b/>
                <w:bCs/>
                <w:color w:val="auto"/>
                <w:sz w:val="21"/>
                <w:szCs w:val="21"/>
                <w:lang w:eastAsia="zh-CN"/>
              </w:rPr>
              <w:t>单位</w:t>
            </w:r>
          </w:p>
        </w:tc>
        <w:tc>
          <w:tcPr>
            <w:tcW w:w="4991" w:type="dxa"/>
            <w:vAlign w:val="center"/>
          </w:tcPr>
          <w:p>
            <w:pPr>
              <w:widowControl/>
              <w:adjustRightInd w:val="0"/>
              <w:snapToGrid w:val="0"/>
              <w:jc w:val="center"/>
              <w:textAlignment w:val="center"/>
              <w:rPr>
                <w:rFonts w:hint="eastAsia" w:ascii="Times New Roman" w:hAnsi="Times New Roman" w:eastAsia="宋体" w:cs="Times New Roman"/>
                <w:b/>
                <w:bCs/>
                <w:color w:val="auto"/>
                <w:sz w:val="21"/>
                <w:szCs w:val="21"/>
                <w:lang w:eastAsia="zh-CN"/>
              </w:rPr>
            </w:pPr>
            <w:r>
              <w:rPr>
                <w:rFonts w:hint="eastAsia" w:ascii="Times New Roman" w:hAnsi="Times New Roman" w:eastAsia="宋体" w:cs="Times New Roman"/>
                <w:b/>
                <w:bCs/>
                <w:color w:val="auto"/>
                <w:sz w:val="21"/>
                <w:szCs w:val="21"/>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widowControl/>
              <w:adjustRightInd w:val="0"/>
              <w:snapToGrid w:val="0"/>
              <w:jc w:val="center"/>
              <w:textAlignment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主料</w:t>
            </w:r>
          </w:p>
        </w:tc>
        <w:tc>
          <w:tcPr>
            <w:tcW w:w="1260" w:type="dxa"/>
            <w:vAlign w:val="center"/>
          </w:tcPr>
          <w:p>
            <w:pPr>
              <w:widowControl/>
              <w:adjustRightInd w:val="0"/>
              <w:snapToGrid w:val="0"/>
              <w:jc w:val="center"/>
              <w:textAlignment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饲料原料</w:t>
            </w:r>
          </w:p>
        </w:tc>
        <w:tc>
          <w:tcPr>
            <w:tcW w:w="1095" w:type="dxa"/>
            <w:vAlign w:val="center"/>
          </w:tcPr>
          <w:p>
            <w:pPr>
              <w:widowControl/>
              <w:adjustRightInd w:val="0"/>
              <w:snapToGrid w:val="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13687.50</w:t>
            </w:r>
          </w:p>
        </w:tc>
        <w:tc>
          <w:tcPr>
            <w:tcW w:w="1175" w:type="dxa"/>
            <w:vAlign w:val="center"/>
          </w:tcPr>
          <w:p>
            <w:pPr>
              <w:widowControl/>
              <w:adjustRightInd w:val="0"/>
              <w:snapToGrid w:val="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t/a</w:t>
            </w:r>
          </w:p>
        </w:tc>
        <w:tc>
          <w:tcPr>
            <w:tcW w:w="4991" w:type="dxa"/>
            <w:vAlign w:val="center"/>
          </w:tcPr>
          <w:p>
            <w:pPr>
              <w:widowControl/>
              <w:adjustRightInd w:val="0"/>
              <w:snapToGrid w:val="0"/>
              <w:jc w:val="center"/>
              <w:textAlignment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外购成品饲料，本项目厂区内不进行加工，成分主要包括玉米、大豆、麸皮、石粉、磷酸钙、铜、锌等微量元素。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Merge w:val="restart"/>
            <w:vAlign w:val="center"/>
          </w:tcPr>
          <w:p>
            <w:pPr>
              <w:widowControl/>
              <w:adjustRightInd w:val="0"/>
              <w:snapToGrid w:val="0"/>
              <w:jc w:val="center"/>
              <w:textAlignment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辅料</w:t>
            </w:r>
          </w:p>
        </w:tc>
        <w:tc>
          <w:tcPr>
            <w:tcW w:w="1260" w:type="dxa"/>
            <w:vAlign w:val="center"/>
          </w:tcPr>
          <w:p>
            <w:pPr>
              <w:widowControl/>
              <w:adjustRightInd w:val="0"/>
              <w:snapToGrid w:val="0"/>
              <w:jc w:val="center"/>
              <w:textAlignment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防疫药品</w:t>
            </w:r>
          </w:p>
        </w:tc>
        <w:tc>
          <w:tcPr>
            <w:tcW w:w="1095" w:type="dxa"/>
            <w:vAlign w:val="center"/>
          </w:tcPr>
          <w:p>
            <w:pPr>
              <w:widowControl/>
              <w:adjustRightInd w:val="0"/>
              <w:snapToGrid w:val="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15000</w:t>
            </w:r>
          </w:p>
        </w:tc>
        <w:tc>
          <w:tcPr>
            <w:tcW w:w="1175" w:type="dxa"/>
            <w:vAlign w:val="center"/>
          </w:tcPr>
          <w:p>
            <w:pPr>
              <w:widowControl/>
              <w:adjustRightInd w:val="0"/>
              <w:snapToGrid w:val="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eastAsia="zh-CN"/>
              </w:rPr>
              <w:t>份</w:t>
            </w:r>
            <w:r>
              <w:rPr>
                <w:rFonts w:hint="eastAsia" w:ascii="Times New Roman" w:hAnsi="Times New Roman" w:eastAsia="宋体" w:cs="Times New Roman"/>
                <w:color w:val="auto"/>
                <w:sz w:val="21"/>
                <w:szCs w:val="21"/>
                <w:lang w:val="en-US" w:eastAsia="zh-CN"/>
              </w:rPr>
              <w:t>/a</w:t>
            </w:r>
          </w:p>
        </w:tc>
        <w:tc>
          <w:tcPr>
            <w:tcW w:w="4991" w:type="dxa"/>
            <w:vAlign w:val="center"/>
          </w:tcPr>
          <w:p>
            <w:pPr>
              <w:widowControl/>
              <w:adjustRightInd w:val="0"/>
              <w:snapToGrid w:val="0"/>
              <w:jc w:val="center"/>
              <w:textAlignment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主要包括猪瘟疫苗、猪口蹄疫疫苗、猪高致病性蓝耳病疫苗、猪细小病毒疫苗，来源外购。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Merge w:val="continue"/>
            <w:vAlign w:val="center"/>
          </w:tcPr>
          <w:p>
            <w:pPr>
              <w:widowControl/>
              <w:adjustRightInd w:val="0"/>
              <w:snapToGrid w:val="0"/>
              <w:jc w:val="center"/>
              <w:textAlignment w:val="center"/>
              <w:rPr>
                <w:rFonts w:hint="eastAsia" w:ascii="Times New Roman" w:hAnsi="Times New Roman" w:eastAsia="宋体" w:cs="Times New Roman"/>
                <w:color w:val="auto"/>
                <w:sz w:val="21"/>
                <w:szCs w:val="21"/>
                <w:lang w:eastAsia="zh-CN"/>
              </w:rPr>
            </w:pPr>
          </w:p>
        </w:tc>
        <w:tc>
          <w:tcPr>
            <w:tcW w:w="1260" w:type="dxa"/>
            <w:vAlign w:val="center"/>
          </w:tcPr>
          <w:p>
            <w:pPr>
              <w:widowControl/>
              <w:adjustRightInd w:val="0"/>
              <w:snapToGrid w:val="0"/>
              <w:jc w:val="center"/>
              <w:textAlignment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兽药</w:t>
            </w:r>
          </w:p>
        </w:tc>
        <w:tc>
          <w:tcPr>
            <w:tcW w:w="1095" w:type="dxa"/>
            <w:vAlign w:val="center"/>
          </w:tcPr>
          <w:p>
            <w:pPr>
              <w:widowControl/>
              <w:adjustRightInd w:val="0"/>
              <w:snapToGrid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15000</w:t>
            </w:r>
          </w:p>
        </w:tc>
        <w:tc>
          <w:tcPr>
            <w:tcW w:w="1175" w:type="dxa"/>
            <w:vAlign w:val="center"/>
          </w:tcPr>
          <w:p>
            <w:pPr>
              <w:widowControl/>
              <w:adjustRightInd w:val="0"/>
              <w:snapToGrid w:val="0"/>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eastAsia="zh-CN"/>
              </w:rPr>
              <w:t>份</w:t>
            </w:r>
            <w:r>
              <w:rPr>
                <w:rFonts w:hint="eastAsia" w:ascii="Times New Roman" w:hAnsi="Times New Roman" w:eastAsia="宋体" w:cs="Times New Roman"/>
                <w:color w:val="auto"/>
                <w:sz w:val="21"/>
                <w:szCs w:val="21"/>
                <w:lang w:val="en-US" w:eastAsia="zh-CN"/>
              </w:rPr>
              <w:t>/a</w:t>
            </w:r>
          </w:p>
        </w:tc>
        <w:tc>
          <w:tcPr>
            <w:tcW w:w="4991" w:type="dxa"/>
            <w:vAlign w:val="center"/>
          </w:tcPr>
          <w:p>
            <w:pPr>
              <w:widowControl/>
              <w:adjustRightInd w:val="0"/>
              <w:snapToGrid w:val="0"/>
              <w:jc w:val="center"/>
              <w:textAlignment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吉霉素类、链霉素等抗生素类药品，来源外购。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trPr>
        <w:tc>
          <w:tcPr>
            <w:tcW w:w="699" w:type="dxa"/>
            <w:vMerge w:val="continue"/>
            <w:vAlign w:val="center"/>
          </w:tcPr>
          <w:p>
            <w:pPr>
              <w:widowControl/>
              <w:adjustRightInd w:val="0"/>
              <w:snapToGrid w:val="0"/>
              <w:jc w:val="center"/>
              <w:textAlignment w:val="center"/>
              <w:rPr>
                <w:rFonts w:hint="eastAsia" w:ascii="Times New Roman" w:hAnsi="Times New Roman" w:eastAsia="宋体" w:cs="Times New Roman"/>
                <w:color w:val="auto"/>
                <w:sz w:val="21"/>
                <w:szCs w:val="21"/>
                <w:lang w:eastAsia="zh-CN"/>
              </w:rPr>
            </w:pPr>
          </w:p>
        </w:tc>
        <w:tc>
          <w:tcPr>
            <w:tcW w:w="1260" w:type="dxa"/>
            <w:vAlign w:val="center"/>
          </w:tcPr>
          <w:p>
            <w:pPr>
              <w:widowControl/>
              <w:adjustRightInd w:val="0"/>
              <w:snapToGrid w:val="0"/>
              <w:jc w:val="center"/>
              <w:textAlignment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杀虫剂</w:t>
            </w:r>
          </w:p>
        </w:tc>
        <w:tc>
          <w:tcPr>
            <w:tcW w:w="1095" w:type="dxa"/>
            <w:vAlign w:val="center"/>
          </w:tcPr>
          <w:p>
            <w:pPr>
              <w:widowControl/>
              <w:adjustRightInd w:val="0"/>
              <w:snapToGrid w:val="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100</w:t>
            </w:r>
          </w:p>
        </w:tc>
        <w:tc>
          <w:tcPr>
            <w:tcW w:w="1175" w:type="dxa"/>
            <w:vAlign w:val="center"/>
          </w:tcPr>
          <w:p>
            <w:pPr>
              <w:widowControl/>
              <w:adjustRightInd w:val="0"/>
              <w:snapToGrid w:val="0"/>
              <w:jc w:val="center"/>
              <w:textAlignment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L/a</w:t>
            </w:r>
          </w:p>
        </w:tc>
        <w:tc>
          <w:tcPr>
            <w:tcW w:w="4991" w:type="dxa"/>
            <w:vAlign w:val="center"/>
          </w:tcPr>
          <w:p>
            <w:pPr>
              <w:widowControl/>
              <w:adjustRightInd w:val="0"/>
              <w:snapToGrid w:val="0"/>
              <w:jc w:val="center"/>
              <w:textAlignment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主要为溴氰菊酯、双甲咪，针对蚊蝇，夏秋季节使用，外购。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trPr>
        <w:tc>
          <w:tcPr>
            <w:tcW w:w="699" w:type="dxa"/>
            <w:vMerge w:val="continue"/>
            <w:vAlign w:val="center"/>
          </w:tcPr>
          <w:p>
            <w:pPr>
              <w:widowControl/>
              <w:adjustRightInd w:val="0"/>
              <w:snapToGrid w:val="0"/>
              <w:jc w:val="center"/>
              <w:textAlignment w:val="center"/>
              <w:rPr>
                <w:rFonts w:hint="eastAsia" w:ascii="Times New Roman" w:hAnsi="Times New Roman" w:eastAsia="宋体" w:cs="Times New Roman"/>
                <w:color w:val="auto"/>
                <w:sz w:val="21"/>
                <w:szCs w:val="21"/>
                <w:lang w:eastAsia="zh-CN"/>
              </w:rPr>
            </w:pPr>
          </w:p>
        </w:tc>
        <w:tc>
          <w:tcPr>
            <w:tcW w:w="1260" w:type="dxa"/>
            <w:vAlign w:val="center"/>
          </w:tcPr>
          <w:p>
            <w:pPr>
              <w:widowControl/>
              <w:adjustRightInd w:val="0"/>
              <w:snapToGrid w:val="0"/>
              <w:jc w:val="center"/>
              <w:textAlignment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消毒剂</w:t>
            </w:r>
          </w:p>
        </w:tc>
        <w:tc>
          <w:tcPr>
            <w:tcW w:w="1095" w:type="dxa"/>
            <w:vAlign w:val="center"/>
          </w:tcPr>
          <w:p>
            <w:pPr>
              <w:widowControl/>
              <w:adjustRightInd w:val="0"/>
              <w:snapToGrid w:val="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1.50</w:t>
            </w:r>
          </w:p>
        </w:tc>
        <w:tc>
          <w:tcPr>
            <w:tcW w:w="1175" w:type="dxa"/>
            <w:vAlign w:val="center"/>
          </w:tcPr>
          <w:p>
            <w:pPr>
              <w:widowControl/>
              <w:adjustRightInd w:val="0"/>
              <w:snapToGrid w:val="0"/>
              <w:jc w:val="center"/>
              <w:textAlignment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t/a</w:t>
            </w:r>
          </w:p>
        </w:tc>
        <w:tc>
          <w:tcPr>
            <w:tcW w:w="4991" w:type="dxa"/>
            <w:vAlign w:val="center"/>
          </w:tcPr>
          <w:p>
            <w:pPr>
              <w:widowControl/>
              <w:adjustRightInd w:val="0"/>
              <w:snapToGrid w:val="0"/>
              <w:jc w:val="center"/>
              <w:textAlignment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氯甲酚溶液，利尔康 84 消毒液，癸甲溴铵溶液，聚维酮碘溶液、高锰酸钾等。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widowControl/>
              <w:adjustRightInd w:val="0"/>
              <w:snapToGrid w:val="0"/>
              <w:jc w:val="center"/>
              <w:textAlignment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能源</w:t>
            </w:r>
          </w:p>
        </w:tc>
        <w:tc>
          <w:tcPr>
            <w:tcW w:w="1260" w:type="dxa"/>
            <w:vAlign w:val="center"/>
          </w:tcPr>
          <w:p>
            <w:pPr>
              <w:widowControl/>
              <w:adjustRightInd w:val="0"/>
              <w:snapToGrid w:val="0"/>
              <w:jc w:val="center"/>
              <w:textAlignment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电</w:t>
            </w:r>
          </w:p>
        </w:tc>
        <w:tc>
          <w:tcPr>
            <w:tcW w:w="1095" w:type="dxa"/>
            <w:vAlign w:val="center"/>
          </w:tcPr>
          <w:p>
            <w:pPr>
              <w:widowControl/>
              <w:adjustRightInd w:val="0"/>
              <w:snapToGrid w:val="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200</w:t>
            </w:r>
          </w:p>
        </w:tc>
        <w:tc>
          <w:tcPr>
            <w:tcW w:w="1175" w:type="dxa"/>
            <w:vAlign w:val="center"/>
          </w:tcPr>
          <w:p>
            <w:pPr>
              <w:widowControl/>
              <w:adjustRightInd w:val="0"/>
              <w:snapToGrid w:val="0"/>
              <w:jc w:val="center"/>
              <w:textAlignment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万 Kwh/a</w:t>
            </w:r>
          </w:p>
        </w:tc>
        <w:tc>
          <w:tcPr>
            <w:tcW w:w="4991" w:type="dxa"/>
            <w:vAlign w:val="center"/>
          </w:tcPr>
          <w:p>
            <w:pPr>
              <w:widowControl/>
              <w:adjustRightInd w:val="0"/>
              <w:snapToGrid w:val="0"/>
              <w:jc w:val="center"/>
              <w:textAlignment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电网供给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widowControl/>
              <w:adjustRightInd w:val="0"/>
              <w:snapToGrid w:val="0"/>
              <w:jc w:val="center"/>
              <w:textAlignment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水量</w:t>
            </w:r>
          </w:p>
        </w:tc>
        <w:tc>
          <w:tcPr>
            <w:tcW w:w="1260" w:type="dxa"/>
            <w:vAlign w:val="center"/>
          </w:tcPr>
          <w:p>
            <w:pPr>
              <w:widowControl/>
              <w:adjustRightInd w:val="0"/>
              <w:snapToGrid w:val="0"/>
              <w:jc w:val="center"/>
              <w:textAlignment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水</w:t>
            </w:r>
          </w:p>
        </w:tc>
        <w:tc>
          <w:tcPr>
            <w:tcW w:w="1095" w:type="dxa"/>
            <w:vAlign w:val="center"/>
          </w:tcPr>
          <w:p>
            <w:pPr>
              <w:widowControl/>
              <w:adjustRightInd w:val="0"/>
              <w:snapToGrid w:val="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6.72</w:t>
            </w:r>
          </w:p>
        </w:tc>
        <w:tc>
          <w:tcPr>
            <w:tcW w:w="1175" w:type="dxa"/>
            <w:vAlign w:val="center"/>
          </w:tcPr>
          <w:p>
            <w:pPr>
              <w:widowControl/>
              <w:adjustRightInd w:val="0"/>
              <w:snapToGrid w:val="0"/>
              <w:jc w:val="center"/>
              <w:textAlignment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万 m</w:t>
            </w:r>
            <w:r>
              <w:rPr>
                <w:rFonts w:hint="eastAsia" w:ascii="Times New Roman" w:hAnsi="Times New Roman" w:eastAsia="宋体" w:cs="Times New Roman"/>
                <w:color w:val="auto"/>
                <w:sz w:val="21"/>
                <w:szCs w:val="21"/>
                <w:vertAlign w:val="superscript"/>
                <w:lang w:eastAsia="zh-CN"/>
              </w:rPr>
              <w:t>3</w:t>
            </w:r>
            <w:r>
              <w:rPr>
                <w:rFonts w:hint="eastAsia" w:ascii="Times New Roman" w:hAnsi="Times New Roman" w:eastAsia="宋体" w:cs="Times New Roman"/>
                <w:color w:val="auto"/>
                <w:sz w:val="21"/>
                <w:szCs w:val="21"/>
                <w:lang w:eastAsia="zh-CN"/>
              </w:rPr>
              <w:t>/a</w:t>
            </w:r>
          </w:p>
        </w:tc>
        <w:tc>
          <w:tcPr>
            <w:tcW w:w="4991" w:type="dxa"/>
            <w:vAlign w:val="center"/>
          </w:tcPr>
          <w:p>
            <w:pPr>
              <w:widowControl/>
              <w:adjustRightInd w:val="0"/>
              <w:snapToGrid w:val="0"/>
              <w:jc w:val="center"/>
              <w:textAlignment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自打井水供给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widowControl/>
              <w:adjustRightInd w:val="0"/>
              <w:snapToGrid w:val="0"/>
              <w:jc w:val="center"/>
              <w:textAlignment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柴油</w:t>
            </w:r>
          </w:p>
        </w:tc>
        <w:tc>
          <w:tcPr>
            <w:tcW w:w="1260" w:type="dxa"/>
            <w:vAlign w:val="center"/>
          </w:tcPr>
          <w:p>
            <w:pPr>
              <w:widowControl/>
              <w:adjustRightInd w:val="0"/>
              <w:snapToGrid w:val="0"/>
              <w:jc w:val="center"/>
              <w:textAlignment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柴油</w:t>
            </w:r>
          </w:p>
        </w:tc>
        <w:tc>
          <w:tcPr>
            <w:tcW w:w="1095" w:type="dxa"/>
            <w:vAlign w:val="center"/>
          </w:tcPr>
          <w:p>
            <w:pPr>
              <w:widowControl/>
              <w:adjustRightInd w:val="0"/>
              <w:snapToGrid w:val="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0.5</w:t>
            </w:r>
          </w:p>
        </w:tc>
        <w:tc>
          <w:tcPr>
            <w:tcW w:w="1175" w:type="dxa"/>
            <w:vAlign w:val="center"/>
          </w:tcPr>
          <w:p>
            <w:pPr>
              <w:widowControl/>
              <w:adjustRightInd w:val="0"/>
              <w:snapToGrid w:val="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t/a</w:t>
            </w:r>
          </w:p>
        </w:tc>
        <w:tc>
          <w:tcPr>
            <w:tcW w:w="4991" w:type="dxa"/>
            <w:vAlign w:val="center"/>
          </w:tcPr>
          <w:p>
            <w:pPr>
              <w:widowControl/>
              <w:adjustRightInd w:val="0"/>
              <w:snapToGrid w:val="0"/>
              <w:jc w:val="center"/>
              <w:textAlignment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外购于当地市场，主要成分为复杂烷烃类，暂存于储油间</w:t>
            </w:r>
          </w:p>
        </w:tc>
      </w:tr>
    </w:tbl>
    <w:p>
      <w:pPr>
        <w:adjustRightInd w:val="0"/>
        <w:snapToGrid w:val="0"/>
        <w:spacing w:line="360" w:lineRule="auto"/>
        <w:ind w:firstLine="482" w:firstLineChars="200"/>
        <w:rPr>
          <w:rFonts w:hint="eastAsia"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项目主要原辅材料理化性质：</w:t>
      </w:r>
    </w:p>
    <w:p>
      <w:pPr>
        <w:adjustRightInd w:val="0"/>
        <w:snapToGrid w:val="0"/>
        <w:spacing w:line="360" w:lineRule="auto"/>
        <w:ind w:firstLine="482"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氯钾酚（菌球杀）：</w:t>
      </w:r>
      <w:r>
        <w:rPr>
          <w:rFonts w:hint="default" w:ascii="Times New Roman" w:hAnsi="Times New Roman" w:eastAsia="宋体" w:cs="Times New Roman"/>
          <w:color w:val="auto"/>
          <w:sz w:val="24"/>
          <w:szCs w:val="24"/>
          <w:lang w:val="en-US" w:eastAsia="zh-CN"/>
        </w:rPr>
        <w:t>无色或近乎无色结晶或结晶性粉末。有特殊酚臭。易挥发。微溶于冷水，略溶于热水，易溶于乙醇，溶于氯仿、乙醚、固定油、甘油、肥皂和氢氧化碱溶液。杀菌作用较强，毒性较小，主要用于圈舍、污染物（粪便）的消毒。以水稀释30～100倍后用于环境、圈舍的喷雾消毒，禁止与碱性药物或其余毒药液混用。</w:t>
      </w:r>
    </w:p>
    <w:p>
      <w:pPr>
        <w:adjustRightInd w:val="0"/>
        <w:snapToGrid w:val="0"/>
        <w:spacing w:line="360" w:lineRule="auto"/>
        <w:ind w:firstLine="482"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84消毒液：</w:t>
      </w:r>
      <w:r>
        <w:rPr>
          <w:rFonts w:hint="default" w:ascii="Times New Roman" w:hAnsi="Times New Roman" w:eastAsia="宋体" w:cs="Times New Roman"/>
          <w:color w:val="auto"/>
          <w:sz w:val="24"/>
          <w:szCs w:val="24"/>
          <w:lang w:val="en-US" w:eastAsia="zh-CN"/>
        </w:rPr>
        <w:t>84消毒液是一种次氯酸钠为主的高效消毒剂，主要成分为次氯酸钠（NaClO）。无色或淡黄色液体，有效氯含量5.5～6.5%。被广泛用于宾馆、旅游、医院、食品加工行业、家庭的卫生消毒。</w:t>
      </w:r>
    </w:p>
    <w:p>
      <w:pPr>
        <w:adjustRightInd w:val="0"/>
        <w:snapToGrid w:val="0"/>
        <w:spacing w:line="360" w:lineRule="auto"/>
        <w:ind w:firstLine="482"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癸甲溴铵溶液：</w:t>
      </w:r>
      <w:r>
        <w:rPr>
          <w:rFonts w:hint="default" w:ascii="Times New Roman" w:hAnsi="Times New Roman" w:eastAsia="宋体" w:cs="Times New Roman"/>
          <w:color w:val="auto"/>
          <w:sz w:val="24"/>
          <w:szCs w:val="24"/>
          <w:lang w:val="en-US" w:eastAsia="zh-CN"/>
        </w:rPr>
        <w:t>俗称百毒杀，本品为癸甲溴胺的丙二醇溶液。癸甲溴铵化学名为二癸二甲基溴化铵属季铵盐类，对多数细菌、真菌、病毒和藻类有杀灭作用。在溶液状态时，可解离出季铵盐阳离子，与细菌胞浆膜磷脂中带负电荷的磷酸基结合，低浓度呈抑菌作用，高浓度起杀菌作用。溴离子使分子的亲水性和新脂性剧增，能迅速渗透到胞浆膜脂质层及蛋白质层，改变膜的通透性，达到的杀菌作用。用于动物圈舍、饲喂器具、饮水等消毒。</w:t>
      </w:r>
    </w:p>
    <w:p>
      <w:pPr>
        <w:adjustRightInd w:val="0"/>
        <w:snapToGrid w:val="0"/>
        <w:spacing w:line="360" w:lineRule="auto"/>
        <w:ind w:firstLine="482"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聚维酮碘：</w:t>
      </w:r>
      <w:r>
        <w:rPr>
          <w:rFonts w:hint="default" w:ascii="Times New Roman" w:hAnsi="Times New Roman" w:eastAsia="宋体" w:cs="Times New Roman"/>
          <w:color w:val="auto"/>
          <w:sz w:val="24"/>
          <w:szCs w:val="24"/>
          <w:lang w:val="en-US" w:eastAsia="zh-CN"/>
        </w:rPr>
        <w:t>本品为碘与聚乙烯毗咯烷酮的络合物，深棕色粉末，含碘量约为10％。常用制剂通常含聚维酮碘5％一10％（即相当含碘量为0.5％一1％) ，腐蚀性、刺激性较小，水溶液相对较稳定。对病毒、细菌、芽抱有较强的杀灭作用，可用于畜舍、场地、用具、车辆、污染物的消毒。以0.015％的水溶液（以有效碘计）用于环境、用具消毒。</w:t>
      </w:r>
    </w:p>
    <w:p>
      <w:pPr>
        <w:adjustRightInd w:val="0"/>
        <w:snapToGrid w:val="0"/>
        <w:spacing w:line="360" w:lineRule="auto"/>
        <w:ind w:firstLine="482"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高锰酸钾：</w:t>
      </w:r>
      <w:r>
        <w:rPr>
          <w:rFonts w:hint="default" w:ascii="Times New Roman" w:hAnsi="Times New Roman" w:eastAsia="宋体" w:cs="Times New Roman"/>
          <w:color w:val="auto"/>
          <w:sz w:val="24"/>
          <w:szCs w:val="24"/>
          <w:lang w:val="en-US" w:eastAsia="zh-CN"/>
        </w:rPr>
        <w:t>无机化合物，深紫色细长斜方柱状结晶，有金属光泽。正交晶系。1659 年被西方人发现。中文俗称：灰锰氧。在化学品生产中，广泛用作为氧化剂，例如用作制糖精，维生素C、异烟肼及安息香酸的氧化剂；在医药上用作防腐剂、消毒剂、除臭剂及解毒剂；在水质净化及废水处理中，作水处理剂，以氧化硫化氢、酚、铁、锰和有机、无机等多种污染物，控制臭味和脱色；在气体净化中，可除去痕量硫、砷、磷、硅烷、硼烷及硫化物；在采矿冶金方面，用于从铜中分离钼，从锌和镉中除杂，以及化合物浮选的氧化剂；还用于作特殊织物、蜡、油脂及树脂的漂白剂，防毒面具的吸附剂，木材及铜的着色剂等。</w:t>
      </w:r>
    </w:p>
    <w:p>
      <w:pPr>
        <w:pStyle w:val="86"/>
        <w:adjustRightInd w:val="0"/>
        <w:snapToGrid w:val="0"/>
        <w:spacing w:beforeLines="0" w:afterLines="0"/>
        <w:rPr>
          <w:rFonts w:ascii="Times New Roman" w:hAnsi="Times New Roman" w:eastAsia="宋体"/>
          <w:color w:val="auto"/>
        </w:rPr>
      </w:pPr>
      <w:bookmarkStart w:id="87" w:name="_Toc9207"/>
      <w:bookmarkStart w:id="88" w:name="_Toc17562"/>
      <w:bookmarkStart w:id="89" w:name="_Toc505029028"/>
      <w:r>
        <w:rPr>
          <w:rFonts w:hint="eastAsia" w:ascii="Times New Roman" w:hAnsi="Times New Roman" w:eastAsia="宋体"/>
          <w:color w:val="auto"/>
        </w:rPr>
        <w:t>2.8</w:t>
      </w:r>
      <w:r>
        <w:rPr>
          <w:rFonts w:ascii="Times New Roman" w:hAnsi="Times New Roman" w:eastAsia="宋体"/>
          <w:color w:val="auto"/>
        </w:rPr>
        <w:t>公辅工程</w:t>
      </w:r>
      <w:bookmarkEnd w:id="87"/>
      <w:bookmarkEnd w:id="88"/>
      <w:bookmarkEnd w:id="89"/>
    </w:p>
    <w:p>
      <w:pPr>
        <w:pStyle w:val="87"/>
        <w:adjustRightInd w:val="0"/>
        <w:snapToGrid w:val="0"/>
        <w:spacing w:beforeLines="0" w:afterLines="0"/>
        <w:rPr>
          <w:rFonts w:ascii="Times New Roman" w:hAnsi="Times New Roman" w:eastAsia="宋体"/>
          <w:b/>
          <w:color w:val="auto"/>
          <w:kern w:val="0"/>
        </w:rPr>
      </w:pPr>
      <w:bookmarkStart w:id="90" w:name="_Toc266215611"/>
      <w:bookmarkStart w:id="91" w:name="_Toc3763"/>
      <w:r>
        <w:rPr>
          <w:rFonts w:hint="eastAsia" w:ascii="Times New Roman" w:hAnsi="Times New Roman" w:eastAsia="宋体"/>
          <w:b/>
          <w:color w:val="auto"/>
          <w:kern w:val="0"/>
        </w:rPr>
        <w:t>2.8</w:t>
      </w:r>
      <w:r>
        <w:rPr>
          <w:rFonts w:ascii="Times New Roman" w:hAnsi="Times New Roman" w:eastAsia="宋体"/>
          <w:b/>
          <w:color w:val="auto"/>
          <w:kern w:val="0"/>
        </w:rPr>
        <w:t>.</w:t>
      </w:r>
      <w:r>
        <w:rPr>
          <w:rFonts w:hint="eastAsia" w:ascii="Times New Roman" w:hAnsi="Times New Roman" w:eastAsia="宋体"/>
          <w:b/>
          <w:color w:val="auto"/>
          <w:kern w:val="0"/>
        </w:rPr>
        <w:t>1</w:t>
      </w:r>
      <w:r>
        <w:rPr>
          <w:rFonts w:ascii="Times New Roman" w:hAnsi="Times New Roman" w:eastAsia="宋体"/>
          <w:b/>
          <w:color w:val="auto"/>
          <w:kern w:val="0"/>
        </w:rPr>
        <w:t>供排水</w:t>
      </w:r>
      <w:bookmarkEnd w:id="90"/>
      <w:bookmarkEnd w:id="91"/>
    </w:p>
    <w:p>
      <w:pPr>
        <w:spacing w:line="360" w:lineRule="auto"/>
        <w:rPr>
          <w:rFonts w:hint="eastAsia" w:ascii="Times New Roman" w:hAnsi="Times New Roman" w:eastAsia="宋体"/>
          <w:b/>
          <w:snapToGrid w:val="0"/>
          <w:color w:val="auto"/>
          <w:sz w:val="24"/>
        </w:rPr>
      </w:pPr>
      <w:r>
        <w:rPr>
          <w:rFonts w:hint="eastAsia" w:ascii="Times New Roman" w:hAnsi="Times New Roman" w:eastAsia="宋体"/>
          <w:b/>
          <w:snapToGrid w:val="0"/>
          <w:color w:val="auto"/>
          <w:sz w:val="24"/>
          <w:lang w:val="en-US" w:eastAsia="zh-CN"/>
        </w:rPr>
        <w:t>2.8.1.</w:t>
      </w:r>
      <w:r>
        <w:rPr>
          <w:rFonts w:hint="eastAsia" w:ascii="Times New Roman" w:hAnsi="Times New Roman" w:eastAsia="宋体"/>
          <w:b/>
          <w:snapToGrid w:val="0"/>
          <w:color w:val="auto"/>
          <w:sz w:val="24"/>
        </w:rPr>
        <w:t>1给水</w:t>
      </w:r>
    </w:p>
    <w:p>
      <w:pPr>
        <w:adjustRightInd w:val="0"/>
        <w:snapToGrid w:val="0"/>
        <w:spacing w:line="360" w:lineRule="auto"/>
        <w:ind w:firstLine="480" w:firstLineChars="200"/>
        <w:rPr>
          <w:rFonts w:hint="eastAsia" w:ascii="Times New Roman" w:hAnsi="Times New Roman" w:eastAsia="宋体" w:cstheme="minorBidi"/>
          <w:b w:val="0"/>
          <w:snapToGrid w:val="0"/>
          <w:color w:val="auto"/>
          <w:kern w:val="2"/>
          <w:sz w:val="24"/>
          <w:szCs w:val="22"/>
          <w:lang w:val="en-US" w:eastAsia="zh-CN" w:bidi="ar-SA"/>
        </w:rPr>
      </w:pPr>
      <w:r>
        <w:rPr>
          <w:rFonts w:hint="eastAsia" w:ascii="Times New Roman" w:hAnsi="Times New Roman" w:eastAsia="宋体"/>
          <w:snapToGrid w:val="0"/>
          <w:color w:val="auto"/>
          <w:sz w:val="24"/>
          <w:lang w:eastAsia="zh-CN"/>
        </w:rPr>
        <w:t>项目运营期用水主要包括生产用水（猪饮水和冲洗水）和职工生活用水、绿化及未预见用水等。项目养殖用水、生活用水通过</w:t>
      </w:r>
      <w:r>
        <w:rPr>
          <w:rFonts w:hint="eastAsia" w:ascii="Times New Roman" w:hAnsi="Times New Roman" w:eastAsia="宋体"/>
          <w:snapToGrid w:val="0"/>
          <w:color w:val="auto"/>
          <w:sz w:val="24"/>
          <w:lang w:val="en-US" w:eastAsia="zh-CN"/>
        </w:rPr>
        <w:t>自来水</w:t>
      </w:r>
      <w:r>
        <w:rPr>
          <w:rFonts w:hint="eastAsia" w:ascii="Times New Roman" w:hAnsi="Times New Roman" w:eastAsia="宋体"/>
          <w:snapToGrid w:val="0"/>
          <w:color w:val="auto"/>
          <w:sz w:val="24"/>
          <w:lang w:eastAsia="zh-CN"/>
        </w:rPr>
        <w:t>作为水源。</w:t>
      </w:r>
    </w:p>
    <w:p>
      <w:pPr>
        <w:spacing w:line="360" w:lineRule="auto"/>
        <w:rPr>
          <w:rFonts w:ascii="Times New Roman" w:hAnsi="Times New Roman" w:eastAsia="宋体"/>
          <w:b/>
          <w:snapToGrid w:val="0"/>
          <w:color w:val="auto"/>
          <w:sz w:val="24"/>
        </w:rPr>
      </w:pPr>
      <w:r>
        <w:rPr>
          <w:rFonts w:hint="eastAsia" w:ascii="Times New Roman" w:hAnsi="Times New Roman" w:eastAsia="宋体"/>
          <w:b/>
          <w:snapToGrid w:val="0"/>
          <w:color w:val="auto"/>
          <w:sz w:val="24"/>
        </w:rPr>
        <w:t>2.8</w:t>
      </w:r>
      <w:r>
        <w:rPr>
          <w:rFonts w:ascii="Times New Roman" w:hAnsi="Times New Roman" w:eastAsia="宋体"/>
          <w:b/>
          <w:snapToGrid w:val="0"/>
          <w:color w:val="auto"/>
          <w:sz w:val="24"/>
        </w:rPr>
        <w:t>.1.</w:t>
      </w:r>
      <w:r>
        <w:rPr>
          <w:rFonts w:hint="eastAsia" w:ascii="Times New Roman" w:hAnsi="Times New Roman" w:eastAsia="宋体"/>
          <w:b/>
          <w:snapToGrid w:val="0"/>
          <w:color w:val="auto"/>
          <w:sz w:val="24"/>
          <w:lang w:val="en-US" w:eastAsia="zh-CN"/>
        </w:rPr>
        <w:t>2</w:t>
      </w:r>
      <w:r>
        <w:rPr>
          <w:rFonts w:ascii="Times New Roman" w:hAnsi="Times New Roman" w:eastAsia="宋体"/>
          <w:b/>
          <w:snapToGrid w:val="0"/>
          <w:color w:val="auto"/>
          <w:sz w:val="24"/>
        </w:rPr>
        <w:t>排水系统</w:t>
      </w:r>
    </w:p>
    <w:p>
      <w:pPr>
        <w:spacing w:line="360" w:lineRule="auto"/>
        <w:ind w:firstLine="480" w:firstLineChars="200"/>
        <w:rPr>
          <w:rFonts w:hint="eastAsia" w:ascii="Times New Roman" w:hAnsi="Times New Roman" w:eastAsia="宋体" w:cstheme="minorBidi"/>
          <w:b w:val="0"/>
          <w:snapToGrid w:val="0"/>
          <w:color w:val="auto"/>
          <w:kern w:val="2"/>
          <w:sz w:val="24"/>
          <w:szCs w:val="22"/>
          <w:lang w:val="en-US" w:eastAsia="zh-CN" w:bidi="ar-SA"/>
        </w:rPr>
      </w:pPr>
      <w:r>
        <w:rPr>
          <w:rFonts w:hint="eastAsia" w:ascii="Times New Roman" w:hAnsi="Times New Roman" w:eastAsia="宋体" w:cstheme="minorBidi"/>
          <w:b w:val="0"/>
          <w:snapToGrid w:val="0"/>
          <w:color w:val="auto"/>
          <w:kern w:val="2"/>
          <w:sz w:val="24"/>
          <w:szCs w:val="22"/>
          <w:lang w:val="en-US" w:eastAsia="zh-CN" w:bidi="ar-SA"/>
        </w:rPr>
        <w:t>本项目污染治理从源头控制，严格执行雨污分流，项目拟在项目范围西南侧建设1座污水处理区，设计处理规模为150m</w:t>
      </w:r>
      <w:r>
        <w:rPr>
          <w:rFonts w:hint="eastAsia" w:ascii="Times New Roman" w:hAnsi="Times New Roman" w:eastAsia="宋体" w:cstheme="minorBidi"/>
          <w:b w:val="0"/>
          <w:snapToGrid w:val="0"/>
          <w:color w:val="auto"/>
          <w:kern w:val="2"/>
          <w:sz w:val="24"/>
          <w:szCs w:val="22"/>
          <w:vertAlign w:val="superscript"/>
          <w:lang w:val="en-US" w:eastAsia="zh-CN" w:bidi="ar-SA"/>
        </w:rPr>
        <w:t>3</w:t>
      </w:r>
      <w:r>
        <w:rPr>
          <w:rFonts w:hint="eastAsia" w:ascii="Times New Roman" w:hAnsi="Times New Roman" w:eastAsia="宋体" w:cstheme="minorBidi"/>
          <w:b w:val="0"/>
          <w:snapToGrid w:val="0"/>
          <w:color w:val="auto"/>
          <w:kern w:val="2"/>
          <w:sz w:val="24"/>
          <w:szCs w:val="22"/>
          <w:lang w:val="en-US" w:eastAsia="zh-CN" w:bidi="ar-SA"/>
        </w:rPr>
        <w:t>/d。采用格栅井+集粪池+固液分离机+污泥池（调节池）+叠螺脱水机+预反应及预沉池+一级光氧塘+A/O组合池+二沉池+深度反应池+终沉池+氧化塘处理工艺处理后，项目达标尾水用于周边消纳地灌溉，不排入周边地表水体。</w:t>
      </w:r>
    </w:p>
    <w:p>
      <w:pPr>
        <w:pStyle w:val="87"/>
        <w:keepNext w:val="0"/>
        <w:keepLines w:val="0"/>
        <w:pageBreakBefore w:val="0"/>
        <w:widowControl w:val="0"/>
        <w:kinsoku/>
        <w:wordWrap/>
        <w:overflowPunct/>
        <w:topLinePunct w:val="0"/>
        <w:autoSpaceDE/>
        <w:autoSpaceDN/>
        <w:bidi w:val="0"/>
        <w:adjustRightInd w:val="0"/>
        <w:snapToGrid w:val="0"/>
        <w:spacing w:beforeLines="0" w:afterLines="0"/>
        <w:textAlignment w:val="auto"/>
        <w:outlineLvl w:val="2"/>
        <w:rPr>
          <w:rFonts w:hint="default" w:ascii="Times New Roman" w:hAnsi="Times New Roman" w:eastAsia="宋体"/>
          <w:b/>
          <w:color w:val="auto"/>
          <w:kern w:val="0"/>
          <w:lang w:val="en-US" w:eastAsia="zh-CN"/>
        </w:rPr>
      </w:pPr>
      <w:r>
        <w:rPr>
          <w:rFonts w:hint="eastAsia" w:ascii="Times New Roman" w:hAnsi="Times New Roman" w:eastAsia="宋体"/>
          <w:b/>
          <w:color w:val="auto"/>
          <w:kern w:val="0"/>
        </w:rPr>
        <w:t>2.8.</w:t>
      </w:r>
      <w:r>
        <w:rPr>
          <w:rFonts w:hint="eastAsia" w:ascii="Times New Roman" w:hAnsi="Times New Roman" w:eastAsia="宋体"/>
          <w:b/>
          <w:color w:val="auto"/>
          <w:kern w:val="0"/>
          <w:lang w:val="en-US" w:eastAsia="zh-CN"/>
        </w:rPr>
        <w:t>2 供暖</w:t>
      </w:r>
    </w:p>
    <w:p>
      <w:pPr>
        <w:pStyle w:val="88"/>
        <w:ind w:firstLine="480"/>
        <w:rPr>
          <w:rFonts w:hint="eastAsia" w:ascii="Times New Roman" w:hAnsi="Times New Roman" w:eastAsia="宋体"/>
          <w:b w:val="0"/>
          <w:color w:val="auto"/>
          <w:lang w:eastAsia="zh-CN"/>
        </w:rPr>
      </w:pPr>
      <w:r>
        <w:rPr>
          <w:rFonts w:hint="eastAsia" w:ascii="Times New Roman" w:hAnsi="Times New Roman" w:eastAsia="宋体"/>
          <w:b w:val="0"/>
          <w:color w:val="auto"/>
          <w:lang w:eastAsia="zh-CN"/>
        </w:rPr>
        <w:t>根据建设单位提供资料，项目猪舍冬季取暖主要是通过猪舍墙体保温材料与外部断绝热交换；对于保育舍，采用红外灯、电热板供暖；生活办公区冬季取暖采用空调，场区不设锅炉。</w:t>
      </w:r>
    </w:p>
    <w:p>
      <w:pPr>
        <w:pStyle w:val="87"/>
        <w:keepNext w:val="0"/>
        <w:keepLines w:val="0"/>
        <w:pageBreakBefore w:val="0"/>
        <w:widowControl w:val="0"/>
        <w:kinsoku/>
        <w:wordWrap/>
        <w:overflowPunct/>
        <w:topLinePunct w:val="0"/>
        <w:autoSpaceDE/>
        <w:autoSpaceDN/>
        <w:bidi w:val="0"/>
        <w:adjustRightInd w:val="0"/>
        <w:snapToGrid w:val="0"/>
        <w:spacing w:beforeLines="0" w:afterLines="0" w:line="360" w:lineRule="auto"/>
        <w:textAlignment w:val="auto"/>
        <w:outlineLvl w:val="2"/>
        <w:rPr>
          <w:rFonts w:ascii="Times New Roman" w:hAnsi="Times New Roman" w:eastAsia="宋体"/>
          <w:b/>
          <w:color w:val="auto"/>
          <w:kern w:val="0"/>
        </w:rPr>
      </w:pPr>
      <w:bookmarkStart w:id="92" w:name="_Toc266215610"/>
      <w:bookmarkStart w:id="93" w:name="_Toc2535"/>
      <w:r>
        <w:rPr>
          <w:rFonts w:hint="eastAsia" w:ascii="Times New Roman" w:hAnsi="Times New Roman" w:eastAsia="宋体"/>
          <w:b/>
          <w:color w:val="auto"/>
          <w:kern w:val="0"/>
        </w:rPr>
        <w:t>2.8</w:t>
      </w:r>
      <w:r>
        <w:rPr>
          <w:rFonts w:ascii="Times New Roman" w:hAnsi="Times New Roman" w:eastAsia="宋体"/>
          <w:b/>
          <w:color w:val="auto"/>
          <w:kern w:val="0"/>
        </w:rPr>
        <w:t>.</w:t>
      </w:r>
      <w:r>
        <w:rPr>
          <w:rFonts w:hint="eastAsia" w:ascii="Times New Roman" w:hAnsi="Times New Roman" w:eastAsia="宋体"/>
          <w:b/>
          <w:color w:val="auto"/>
          <w:kern w:val="0"/>
          <w:lang w:val="en-US" w:eastAsia="zh-CN"/>
        </w:rPr>
        <w:t>3</w:t>
      </w:r>
      <w:r>
        <w:rPr>
          <w:rFonts w:ascii="Times New Roman" w:hAnsi="Times New Roman" w:eastAsia="宋体"/>
          <w:b/>
          <w:color w:val="auto"/>
          <w:kern w:val="0"/>
        </w:rPr>
        <w:t>供电</w:t>
      </w:r>
      <w:bookmarkEnd w:id="92"/>
      <w:bookmarkEnd w:id="93"/>
    </w:p>
    <w:p>
      <w:pPr>
        <w:spacing w:line="360" w:lineRule="auto"/>
        <w:ind w:firstLine="480" w:firstLineChars="200"/>
        <w:rPr>
          <w:rFonts w:hint="eastAsia" w:ascii="Times New Roman" w:hAnsi="Times New Roman" w:eastAsia="宋体"/>
          <w:snapToGrid w:val="0"/>
          <w:color w:val="auto"/>
          <w:sz w:val="24"/>
        </w:rPr>
      </w:pPr>
      <w:bookmarkStart w:id="94" w:name="_Toc13630"/>
      <w:r>
        <w:rPr>
          <w:rFonts w:hint="eastAsia" w:ascii="Times New Roman" w:hAnsi="Times New Roman" w:eastAsia="宋体"/>
          <w:snapToGrid w:val="0"/>
          <w:color w:val="auto"/>
          <w:sz w:val="24"/>
        </w:rPr>
        <w:t>本项目供电由</w:t>
      </w:r>
      <w:r>
        <w:rPr>
          <w:rFonts w:hint="eastAsia" w:ascii="Times New Roman" w:hAnsi="Times New Roman" w:eastAsia="宋体"/>
          <w:snapToGrid w:val="0"/>
          <w:color w:val="auto"/>
          <w:sz w:val="24"/>
          <w:lang w:val="en-US" w:eastAsia="zh-CN"/>
        </w:rPr>
        <w:t>当地</w:t>
      </w:r>
      <w:r>
        <w:rPr>
          <w:rFonts w:hint="eastAsia" w:ascii="Times New Roman" w:hAnsi="Times New Roman" w:eastAsia="宋体"/>
          <w:snapToGrid w:val="0"/>
          <w:color w:val="auto"/>
          <w:sz w:val="24"/>
          <w:lang w:eastAsia="zh-CN"/>
        </w:rPr>
        <w:t>乡镇</w:t>
      </w:r>
      <w:r>
        <w:rPr>
          <w:rFonts w:hint="eastAsia" w:ascii="Times New Roman" w:hAnsi="Times New Roman" w:eastAsia="宋体"/>
          <w:snapToGrid w:val="0"/>
          <w:color w:val="auto"/>
          <w:sz w:val="24"/>
        </w:rPr>
        <w:t>供电系统供给</w:t>
      </w:r>
      <w:r>
        <w:rPr>
          <w:rFonts w:hint="eastAsia" w:ascii="Times New Roman" w:hAnsi="Times New Roman" w:eastAsia="宋体"/>
          <w:snapToGrid w:val="0"/>
          <w:color w:val="auto"/>
          <w:sz w:val="24"/>
          <w:lang w:eastAsia="zh-CN"/>
        </w:rPr>
        <w:t>，本项目设置配电房建筑面积</w:t>
      </w:r>
      <w:r>
        <w:rPr>
          <w:rFonts w:hint="eastAsia" w:ascii="Times New Roman" w:hAnsi="Times New Roman" w:eastAsia="宋体"/>
          <w:snapToGrid w:val="0"/>
          <w:color w:val="auto"/>
          <w:sz w:val="24"/>
          <w:lang w:val="en-US" w:eastAsia="zh-CN"/>
        </w:rPr>
        <w:t>3m</w:t>
      </w:r>
      <w:r>
        <w:rPr>
          <w:rFonts w:hint="eastAsia" w:ascii="Times New Roman" w:hAnsi="Times New Roman" w:eastAsia="宋体"/>
          <w:snapToGrid w:val="0"/>
          <w:color w:val="auto"/>
          <w:sz w:val="24"/>
          <w:vertAlign w:val="superscript"/>
          <w:lang w:val="en-US" w:eastAsia="zh-CN"/>
        </w:rPr>
        <w:t>2</w:t>
      </w:r>
      <w:r>
        <w:rPr>
          <w:rFonts w:hint="eastAsia" w:ascii="Times New Roman" w:hAnsi="Times New Roman" w:eastAsia="宋体"/>
          <w:snapToGrid w:val="0"/>
          <w:color w:val="auto"/>
          <w:sz w:val="24"/>
          <w:lang w:eastAsia="zh-CN"/>
        </w:rPr>
        <w:t>，配置设</w:t>
      </w:r>
      <w:r>
        <w:rPr>
          <w:rFonts w:hint="eastAsia" w:ascii="Times New Roman" w:hAnsi="Times New Roman" w:eastAsia="宋体"/>
          <w:snapToGrid w:val="0"/>
          <w:color w:val="auto"/>
          <w:sz w:val="24"/>
          <w:lang w:val="en-US" w:eastAsia="zh-CN"/>
        </w:rPr>
        <w:t>1</w:t>
      </w:r>
      <w:r>
        <w:rPr>
          <w:rFonts w:hint="eastAsia" w:ascii="Times New Roman" w:hAnsi="Times New Roman" w:eastAsia="宋体"/>
          <w:snapToGrid w:val="0"/>
          <w:color w:val="auto"/>
          <w:sz w:val="24"/>
          <w:lang w:eastAsia="zh-CN"/>
        </w:rPr>
        <w:t>台800kVA变压器，并设有</w:t>
      </w:r>
      <w:r>
        <w:rPr>
          <w:rFonts w:hint="eastAsia" w:ascii="Times New Roman" w:hAnsi="Times New Roman" w:eastAsia="宋体"/>
          <w:snapToGrid w:val="0"/>
          <w:color w:val="auto"/>
          <w:sz w:val="24"/>
          <w:lang w:val="en-US" w:eastAsia="zh-CN"/>
        </w:rPr>
        <w:t>1台700KW</w:t>
      </w:r>
      <w:r>
        <w:rPr>
          <w:rFonts w:hint="eastAsia" w:ascii="Times New Roman" w:hAnsi="Times New Roman" w:eastAsia="宋体"/>
          <w:snapToGrid w:val="0"/>
          <w:color w:val="auto"/>
          <w:sz w:val="24"/>
        </w:rPr>
        <w:t>柴油发电机</w:t>
      </w:r>
      <w:r>
        <w:rPr>
          <w:rFonts w:hint="eastAsia" w:ascii="Times New Roman" w:hAnsi="Times New Roman" w:eastAsia="宋体"/>
          <w:snapToGrid w:val="0"/>
          <w:color w:val="auto"/>
          <w:sz w:val="24"/>
          <w:lang w:eastAsia="zh-CN"/>
        </w:rPr>
        <w:t>，用于停电时应急使用</w:t>
      </w:r>
      <w:r>
        <w:rPr>
          <w:rFonts w:hint="eastAsia" w:ascii="Times New Roman" w:hAnsi="Times New Roman" w:eastAsia="宋体"/>
          <w:snapToGrid w:val="0"/>
          <w:color w:val="auto"/>
          <w:sz w:val="24"/>
        </w:rPr>
        <w:t>。</w:t>
      </w:r>
    </w:p>
    <w:p>
      <w:pPr>
        <w:pStyle w:val="87"/>
        <w:spacing w:beforeLines="0" w:afterLines="0"/>
        <w:rPr>
          <w:rFonts w:ascii="Times New Roman" w:hAnsi="Times New Roman" w:eastAsia="宋体"/>
          <w:b/>
          <w:color w:val="auto"/>
          <w:kern w:val="0"/>
        </w:rPr>
      </w:pPr>
      <w:r>
        <w:rPr>
          <w:rFonts w:hint="eastAsia" w:ascii="Times New Roman" w:hAnsi="Times New Roman" w:eastAsia="宋体"/>
          <w:b/>
          <w:color w:val="auto"/>
          <w:kern w:val="0"/>
        </w:rPr>
        <w:t>2.8</w:t>
      </w:r>
      <w:r>
        <w:rPr>
          <w:rFonts w:ascii="Times New Roman" w:hAnsi="Times New Roman" w:eastAsia="宋体"/>
          <w:b/>
          <w:color w:val="auto"/>
          <w:kern w:val="0"/>
        </w:rPr>
        <w:t>.</w:t>
      </w:r>
      <w:r>
        <w:rPr>
          <w:rFonts w:hint="eastAsia" w:ascii="Times New Roman" w:hAnsi="Times New Roman" w:eastAsia="宋体"/>
          <w:b/>
          <w:color w:val="auto"/>
          <w:kern w:val="0"/>
          <w:lang w:val="en-US" w:eastAsia="zh-CN"/>
        </w:rPr>
        <w:t>4</w:t>
      </w:r>
      <w:bookmarkEnd w:id="94"/>
      <w:r>
        <w:rPr>
          <w:rFonts w:hint="eastAsia" w:ascii="Times New Roman" w:hAnsi="Times New Roman" w:eastAsia="宋体"/>
          <w:b/>
          <w:color w:val="auto"/>
          <w:kern w:val="0"/>
          <w:lang w:val="en-US" w:eastAsia="zh-CN"/>
        </w:rPr>
        <w:t>通风</w:t>
      </w:r>
    </w:p>
    <w:p>
      <w:pPr>
        <w:spacing w:line="360" w:lineRule="auto"/>
        <w:ind w:firstLine="480" w:firstLineChars="200"/>
        <w:rPr>
          <w:rFonts w:hint="eastAsia" w:ascii="Times New Roman" w:hAnsi="Times New Roman" w:eastAsia="宋体"/>
          <w:snapToGrid w:val="0"/>
          <w:color w:val="auto"/>
          <w:sz w:val="24"/>
          <w:lang w:val="en-US" w:eastAsia="zh-CN"/>
        </w:rPr>
      </w:pPr>
      <w:r>
        <w:rPr>
          <w:rFonts w:hint="eastAsia" w:ascii="Times New Roman" w:hAnsi="Times New Roman" w:eastAsia="宋体"/>
          <w:snapToGrid w:val="0"/>
          <w:color w:val="auto"/>
          <w:sz w:val="24"/>
        </w:rPr>
        <w:t>舍内通风以负压机械通风为主。各猪舍均设置有通风系统，保证猪舍的空气流通。进风由通风纱窗进入吊顶与屋面中间层，过滤后经风机送入猪舍内，排风由地沟风机和墙体风机排风，高温季节水帘+风机降温（可降低5-8℃）通风。</w:t>
      </w:r>
    </w:p>
    <w:p>
      <w:pPr>
        <w:pStyle w:val="87"/>
        <w:spacing w:beforeLines="0" w:afterLines="0"/>
        <w:rPr>
          <w:rFonts w:ascii="Times New Roman" w:hAnsi="Times New Roman" w:eastAsia="宋体"/>
          <w:b/>
          <w:color w:val="auto"/>
          <w:kern w:val="0"/>
        </w:rPr>
      </w:pPr>
      <w:bookmarkStart w:id="95" w:name="_Toc83904819"/>
      <w:bookmarkStart w:id="96" w:name="_Toc66882432"/>
      <w:bookmarkStart w:id="97" w:name="_Toc68665819"/>
      <w:bookmarkStart w:id="98" w:name="_Toc204681415"/>
      <w:bookmarkStart w:id="99" w:name="_Toc6135"/>
      <w:r>
        <w:rPr>
          <w:rFonts w:hint="eastAsia" w:ascii="Times New Roman" w:hAnsi="Times New Roman" w:eastAsia="宋体"/>
          <w:b/>
          <w:color w:val="auto"/>
          <w:kern w:val="0"/>
        </w:rPr>
        <w:t>2.8.</w:t>
      </w:r>
      <w:r>
        <w:rPr>
          <w:rFonts w:hint="eastAsia" w:ascii="Times New Roman" w:hAnsi="Times New Roman" w:eastAsia="宋体"/>
          <w:b/>
          <w:color w:val="auto"/>
          <w:kern w:val="0"/>
          <w:lang w:val="en-US" w:eastAsia="zh-CN"/>
        </w:rPr>
        <w:t>5</w:t>
      </w:r>
      <w:r>
        <w:rPr>
          <w:rFonts w:hint="eastAsia" w:ascii="Times New Roman" w:hAnsi="Times New Roman" w:eastAsia="宋体"/>
          <w:b/>
          <w:color w:val="auto"/>
          <w:kern w:val="0"/>
        </w:rPr>
        <w:t>消防设施</w:t>
      </w:r>
      <w:bookmarkEnd w:id="95"/>
      <w:bookmarkEnd w:id="96"/>
      <w:bookmarkEnd w:id="97"/>
      <w:bookmarkEnd w:id="98"/>
      <w:bookmarkEnd w:id="99"/>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eastAsia="宋体" w:cs="宋体"/>
          <w:bCs/>
          <w:color w:val="auto"/>
          <w:sz w:val="24"/>
          <w:szCs w:val="24"/>
        </w:rPr>
      </w:pPr>
      <w:r>
        <w:rPr>
          <w:rFonts w:hint="eastAsia" w:ascii="Times New Roman" w:hAnsi="Times New Roman" w:eastAsia="宋体" w:cs="宋体"/>
          <w:b w:val="0"/>
          <w:bCs/>
          <w:color w:val="auto"/>
          <w:sz w:val="24"/>
          <w:szCs w:val="24"/>
        </w:rPr>
        <w:t>各猪舍间的距离、消防设施等严格执行《建筑设计防火规范》，各建（构）筑物内灭火器的类型、数量符合《建筑灭火器配置设计规范》的要求，并挂在易取处。设置环形消防供水管网，消防管网设置消火栓和消防水泵接合器。室外消防栓的选择应符合使用方便、标记明显要求，尽量选用地上式消火栓；室内消火栓采用 DN65或DN50乙型，消防箱采用钢制或铝合金制，明装或暗装。在厂内设置总消防值班室，设置火灾自动报警系统并联成网络，火灾自动报警系统配备应急电源，并设置一定数量的应急灯，以保证在停电及火灾的情况下工作人员能够安全顺利疏散。</w:t>
      </w:r>
    </w:p>
    <w:p>
      <w:pPr>
        <w:pStyle w:val="87"/>
        <w:keepNext w:val="0"/>
        <w:keepLines w:val="0"/>
        <w:pageBreakBefore w:val="0"/>
        <w:widowControl w:val="0"/>
        <w:kinsoku/>
        <w:wordWrap/>
        <w:overflowPunct/>
        <w:topLinePunct w:val="0"/>
        <w:autoSpaceDE/>
        <w:autoSpaceDN/>
        <w:bidi w:val="0"/>
        <w:adjustRightInd w:val="0"/>
        <w:snapToGrid w:val="0"/>
        <w:spacing w:beforeLines="0" w:afterLines="0"/>
        <w:textAlignment w:val="auto"/>
        <w:rPr>
          <w:rFonts w:ascii="Times New Roman" w:hAnsi="Times New Roman" w:eastAsia="宋体"/>
          <w:b/>
          <w:color w:val="auto"/>
          <w:kern w:val="0"/>
        </w:rPr>
      </w:pPr>
      <w:bookmarkStart w:id="100" w:name="_Toc16600"/>
      <w:r>
        <w:rPr>
          <w:rFonts w:hint="eastAsia" w:ascii="Times New Roman" w:hAnsi="Times New Roman" w:eastAsia="宋体"/>
          <w:b/>
          <w:color w:val="auto"/>
          <w:kern w:val="0"/>
        </w:rPr>
        <w:t>2.8</w:t>
      </w:r>
      <w:r>
        <w:rPr>
          <w:rFonts w:ascii="Times New Roman" w:hAnsi="Times New Roman" w:eastAsia="宋体"/>
          <w:b/>
          <w:color w:val="auto"/>
          <w:kern w:val="0"/>
        </w:rPr>
        <w:t>.</w:t>
      </w:r>
      <w:r>
        <w:rPr>
          <w:rFonts w:hint="eastAsia" w:ascii="Times New Roman" w:hAnsi="Times New Roman" w:eastAsia="宋体"/>
          <w:b/>
          <w:color w:val="auto"/>
          <w:kern w:val="0"/>
          <w:lang w:val="en-US" w:eastAsia="zh-CN"/>
        </w:rPr>
        <w:t>6</w:t>
      </w:r>
      <w:r>
        <w:rPr>
          <w:rFonts w:ascii="Times New Roman" w:hAnsi="Times New Roman" w:eastAsia="宋体"/>
          <w:b/>
          <w:color w:val="auto"/>
          <w:kern w:val="0"/>
        </w:rPr>
        <w:t>储运系统</w:t>
      </w:r>
      <w:bookmarkEnd w:id="100"/>
    </w:p>
    <w:p>
      <w:pPr>
        <w:adjustRightInd w:val="0"/>
        <w:snapToGrid w:val="0"/>
        <w:spacing w:line="360" w:lineRule="auto"/>
        <w:ind w:firstLine="480" w:firstLineChars="200"/>
        <w:rPr>
          <w:rFonts w:ascii="Times New Roman" w:hAnsi="Times New Roman" w:eastAsia="宋体"/>
          <w:snapToGrid w:val="0"/>
          <w:color w:val="auto"/>
          <w:sz w:val="24"/>
        </w:rPr>
      </w:pPr>
      <w:bookmarkStart w:id="101" w:name="_Toc285628758"/>
      <w:r>
        <w:rPr>
          <w:rFonts w:hint="eastAsia" w:ascii="Times New Roman" w:hAnsi="Times New Roman" w:eastAsia="宋体"/>
          <w:snapToGrid w:val="0"/>
          <w:color w:val="auto"/>
          <w:sz w:val="24"/>
        </w:rPr>
        <w:t>本项目</w:t>
      </w:r>
      <w:r>
        <w:rPr>
          <w:rFonts w:hint="eastAsia" w:ascii="Times New Roman" w:hAnsi="Times New Roman" w:eastAsia="宋体"/>
          <w:snapToGrid w:val="0"/>
          <w:color w:val="auto"/>
          <w:sz w:val="24"/>
          <w:lang w:eastAsia="zh-CN"/>
        </w:rPr>
        <w:t>饲料外购到厂，</w:t>
      </w:r>
      <w:r>
        <w:rPr>
          <w:rFonts w:hint="eastAsia" w:ascii="Times New Roman" w:hAnsi="Times New Roman" w:eastAsia="宋体"/>
          <w:snapToGrid w:val="0"/>
          <w:color w:val="auto"/>
          <w:sz w:val="24"/>
        </w:rPr>
        <w:t>由</w:t>
      </w:r>
      <w:r>
        <w:rPr>
          <w:rFonts w:hint="eastAsia" w:ascii="Times New Roman" w:hAnsi="Times New Roman" w:eastAsia="宋体"/>
          <w:snapToGrid w:val="0"/>
          <w:color w:val="auto"/>
          <w:sz w:val="24"/>
          <w:lang w:eastAsia="zh-CN"/>
        </w:rPr>
        <w:t>料塔</w:t>
      </w:r>
      <w:r>
        <w:rPr>
          <w:rFonts w:hint="eastAsia" w:ascii="Times New Roman" w:hAnsi="Times New Roman" w:eastAsia="宋体"/>
          <w:snapToGrid w:val="0"/>
          <w:color w:val="auto"/>
          <w:sz w:val="24"/>
        </w:rPr>
        <w:t>运送至猪舍，由自动投料机投料喂养；本项目猪粪通过漏缝地板、管道收集粪便后</w:t>
      </w:r>
      <w:r>
        <w:rPr>
          <w:rFonts w:hint="eastAsia" w:ascii="Times New Roman" w:hAnsi="Times New Roman" w:eastAsia="宋体"/>
          <w:snapToGrid w:val="0"/>
          <w:color w:val="auto"/>
          <w:sz w:val="24"/>
          <w:lang w:eastAsia="zh-CN"/>
        </w:rPr>
        <w:t>经过干湿分离，干粪</w:t>
      </w:r>
      <w:r>
        <w:rPr>
          <w:rFonts w:hint="eastAsia" w:ascii="Times New Roman" w:hAnsi="Times New Roman" w:eastAsia="宋体"/>
          <w:snapToGrid w:val="0"/>
          <w:color w:val="auto"/>
          <w:sz w:val="24"/>
        </w:rPr>
        <w:t>存储于</w:t>
      </w:r>
      <w:r>
        <w:rPr>
          <w:rFonts w:hint="eastAsia" w:ascii="Times New Roman" w:hAnsi="Times New Roman" w:eastAsia="宋体"/>
          <w:snapToGrid w:val="0"/>
          <w:color w:val="auto"/>
          <w:sz w:val="24"/>
          <w:lang w:eastAsia="zh-CN"/>
        </w:rPr>
        <w:t>堆粪间进行好氧堆肥后还田利用</w:t>
      </w:r>
      <w:r>
        <w:rPr>
          <w:rFonts w:hint="eastAsia" w:ascii="Times New Roman" w:hAnsi="Times New Roman" w:eastAsia="宋体"/>
          <w:snapToGrid w:val="0"/>
          <w:color w:val="auto"/>
          <w:sz w:val="24"/>
        </w:rPr>
        <w:t>。</w:t>
      </w:r>
    </w:p>
    <w:bookmarkEnd w:id="101"/>
    <w:p>
      <w:pPr>
        <w:pStyle w:val="87"/>
        <w:keepNext w:val="0"/>
        <w:keepLines w:val="0"/>
        <w:pageBreakBefore w:val="0"/>
        <w:widowControl w:val="0"/>
        <w:kinsoku/>
        <w:wordWrap/>
        <w:overflowPunct/>
        <w:topLinePunct w:val="0"/>
        <w:autoSpaceDE/>
        <w:autoSpaceDN/>
        <w:bidi w:val="0"/>
        <w:adjustRightInd w:val="0"/>
        <w:snapToGrid w:val="0"/>
        <w:spacing w:beforeLines="0" w:afterLines="0"/>
        <w:textAlignment w:val="auto"/>
        <w:rPr>
          <w:rFonts w:ascii="Times New Roman" w:hAnsi="Times New Roman" w:eastAsia="宋体"/>
          <w:b/>
          <w:color w:val="auto"/>
          <w:kern w:val="0"/>
        </w:rPr>
      </w:pPr>
      <w:r>
        <w:rPr>
          <w:rFonts w:hint="eastAsia" w:ascii="Times New Roman" w:hAnsi="Times New Roman" w:eastAsia="宋体"/>
          <w:b/>
          <w:color w:val="auto"/>
          <w:kern w:val="0"/>
        </w:rPr>
        <w:t>2.8</w:t>
      </w:r>
      <w:r>
        <w:rPr>
          <w:rFonts w:ascii="Times New Roman" w:hAnsi="Times New Roman" w:eastAsia="宋体"/>
          <w:b/>
          <w:color w:val="auto"/>
          <w:kern w:val="0"/>
        </w:rPr>
        <w:t>.</w:t>
      </w:r>
      <w:r>
        <w:rPr>
          <w:rFonts w:hint="eastAsia" w:ascii="Times New Roman" w:hAnsi="Times New Roman" w:eastAsia="宋体"/>
          <w:b/>
          <w:color w:val="auto"/>
          <w:kern w:val="0"/>
          <w:lang w:val="en-US" w:eastAsia="zh-CN"/>
        </w:rPr>
        <w:t>7消毒</w:t>
      </w:r>
      <w:r>
        <w:rPr>
          <w:rFonts w:ascii="Times New Roman" w:hAnsi="Times New Roman" w:eastAsia="宋体"/>
          <w:b/>
          <w:color w:val="auto"/>
          <w:kern w:val="0"/>
        </w:rPr>
        <w:t>系统</w:t>
      </w:r>
    </w:p>
    <w:p>
      <w:pPr>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宋体"/>
          <w:b w:val="0"/>
          <w:bCs/>
          <w:color w:val="auto"/>
          <w:sz w:val="24"/>
          <w:szCs w:val="24"/>
          <w:lang w:val="en-US" w:eastAsia="zh-CN"/>
        </w:rPr>
      </w:pPr>
      <w:r>
        <w:rPr>
          <w:rFonts w:hint="default" w:ascii="Times New Roman" w:hAnsi="Times New Roman" w:eastAsia="宋体" w:cs="宋体"/>
          <w:b w:val="0"/>
          <w:bCs/>
          <w:color w:val="auto"/>
          <w:sz w:val="24"/>
          <w:szCs w:val="24"/>
          <w:lang w:val="en-US" w:eastAsia="zh-CN"/>
        </w:rPr>
        <w:t>猪舍消毒</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宋体"/>
          <w:b w:val="0"/>
          <w:bCs/>
          <w:color w:val="auto"/>
          <w:sz w:val="24"/>
          <w:szCs w:val="24"/>
          <w:lang w:val="en-US" w:eastAsia="zh-CN"/>
        </w:rPr>
      </w:pPr>
      <w:r>
        <w:rPr>
          <w:rFonts w:hint="default" w:ascii="Times New Roman" w:hAnsi="Times New Roman" w:eastAsia="宋体" w:cs="宋体"/>
          <w:b w:val="0"/>
          <w:bCs/>
          <w:color w:val="auto"/>
          <w:sz w:val="24"/>
          <w:szCs w:val="24"/>
          <w:lang w:val="en-US" w:eastAsia="zh-CN"/>
        </w:rPr>
        <w:t>猪舍定期清洗后使用高锰酸钾、烧碱对猪圈、地面、墙体等进行喷雾消毒。</w:t>
      </w:r>
    </w:p>
    <w:p>
      <w:pPr>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宋体"/>
          <w:b w:val="0"/>
          <w:bCs/>
          <w:color w:val="auto"/>
          <w:sz w:val="24"/>
          <w:szCs w:val="24"/>
          <w:lang w:val="en-US" w:eastAsia="zh-CN"/>
        </w:rPr>
      </w:pPr>
      <w:r>
        <w:rPr>
          <w:rFonts w:hint="default" w:ascii="Times New Roman" w:hAnsi="Times New Roman" w:eastAsia="宋体" w:cs="宋体"/>
          <w:b w:val="0"/>
          <w:bCs/>
          <w:color w:val="auto"/>
          <w:sz w:val="24"/>
          <w:szCs w:val="24"/>
          <w:lang w:val="en-US" w:eastAsia="zh-CN"/>
        </w:rPr>
        <w:t>车辆消毒</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宋体"/>
          <w:b w:val="0"/>
          <w:bCs/>
          <w:color w:val="auto"/>
          <w:sz w:val="24"/>
          <w:szCs w:val="24"/>
          <w:lang w:val="en-US" w:eastAsia="zh-CN"/>
        </w:rPr>
      </w:pPr>
      <w:r>
        <w:rPr>
          <w:rFonts w:hint="default" w:ascii="Times New Roman" w:hAnsi="Times New Roman" w:eastAsia="宋体" w:cs="宋体"/>
          <w:b w:val="0"/>
          <w:bCs/>
          <w:color w:val="auto"/>
          <w:sz w:val="24"/>
          <w:szCs w:val="24"/>
          <w:lang w:val="en-US" w:eastAsia="zh-CN"/>
        </w:rPr>
        <w:t>猪场采用严格的安全措施，所有入场的运输车辆都必须经过消毒，采用高锰酸钾、烧碱对入场车辆的车轮进行喷雾消毒，以防止场外病原微生物通过车辆带入猪场。</w:t>
      </w:r>
    </w:p>
    <w:p>
      <w:pPr>
        <w:pStyle w:val="87"/>
        <w:keepNext w:val="0"/>
        <w:keepLines w:val="0"/>
        <w:pageBreakBefore w:val="0"/>
        <w:widowControl w:val="0"/>
        <w:kinsoku/>
        <w:wordWrap/>
        <w:overflowPunct/>
        <w:topLinePunct w:val="0"/>
        <w:autoSpaceDE/>
        <w:autoSpaceDN/>
        <w:bidi w:val="0"/>
        <w:adjustRightInd w:val="0"/>
        <w:snapToGrid w:val="0"/>
        <w:spacing w:beforeLines="0" w:afterLines="0"/>
        <w:textAlignment w:val="auto"/>
        <w:rPr>
          <w:rFonts w:ascii="Times New Roman" w:hAnsi="Times New Roman" w:eastAsia="宋体"/>
          <w:b/>
          <w:color w:val="auto"/>
          <w:kern w:val="0"/>
        </w:rPr>
      </w:pPr>
      <w:r>
        <w:rPr>
          <w:rFonts w:hint="eastAsia" w:ascii="Times New Roman" w:hAnsi="Times New Roman" w:eastAsia="宋体"/>
          <w:b/>
          <w:color w:val="auto"/>
          <w:kern w:val="0"/>
        </w:rPr>
        <w:t>2.8</w:t>
      </w:r>
      <w:r>
        <w:rPr>
          <w:rFonts w:ascii="Times New Roman" w:hAnsi="Times New Roman" w:eastAsia="宋体"/>
          <w:b/>
          <w:color w:val="auto"/>
          <w:kern w:val="0"/>
        </w:rPr>
        <w:t>.</w:t>
      </w:r>
      <w:r>
        <w:rPr>
          <w:rFonts w:hint="eastAsia" w:ascii="Times New Roman" w:hAnsi="Times New Roman" w:eastAsia="宋体"/>
          <w:b/>
          <w:color w:val="auto"/>
          <w:kern w:val="0"/>
          <w:lang w:val="en-US" w:eastAsia="zh-CN"/>
        </w:rPr>
        <w:t>8防疫措施</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宋体"/>
          <w:b w:val="0"/>
          <w:bCs/>
          <w:color w:val="auto"/>
          <w:sz w:val="24"/>
          <w:szCs w:val="24"/>
          <w:lang w:val="en-US" w:eastAsia="zh-CN"/>
        </w:rPr>
      </w:pPr>
      <w:r>
        <w:rPr>
          <w:rFonts w:hint="eastAsia" w:ascii="Times New Roman" w:hAnsi="Times New Roman" w:eastAsia="宋体" w:cs="宋体"/>
          <w:b w:val="0"/>
          <w:bCs/>
          <w:color w:val="auto"/>
          <w:sz w:val="24"/>
          <w:szCs w:val="24"/>
          <w:lang w:val="en-US" w:eastAsia="zh-CN"/>
        </w:rPr>
        <w:t>（1）</w:t>
      </w:r>
      <w:r>
        <w:rPr>
          <w:rFonts w:hint="default" w:ascii="Times New Roman" w:hAnsi="Times New Roman" w:eastAsia="宋体" w:cs="宋体"/>
          <w:b w:val="0"/>
          <w:bCs/>
          <w:color w:val="auto"/>
          <w:sz w:val="24"/>
          <w:szCs w:val="24"/>
          <w:lang w:val="en-US" w:eastAsia="zh-CN"/>
        </w:rPr>
        <w:t>保健及疾病的预防工作</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宋体"/>
          <w:b w:val="0"/>
          <w:bCs/>
          <w:color w:val="auto"/>
          <w:sz w:val="24"/>
          <w:szCs w:val="24"/>
          <w:lang w:val="en-US" w:eastAsia="zh-CN"/>
        </w:rPr>
      </w:pPr>
      <w:r>
        <w:rPr>
          <w:rFonts w:hint="default" w:ascii="Times New Roman" w:hAnsi="Times New Roman" w:eastAsia="宋体" w:cs="宋体"/>
          <w:b w:val="0"/>
          <w:bCs/>
          <w:color w:val="auto"/>
          <w:sz w:val="24"/>
          <w:szCs w:val="24"/>
          <w:lang w:val="en-US" w:eastAsia="zh-CN"/>
        </w:rPr>
        <w:t>坚持每天对全场猪群进行全面检查，了解猪群的基本情况，发现问题及时处理上报。本项目保健及疾病的预防工作包外处理，由卫生防疫部门定期检验。</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宋体"/>
          <w:b w:val="0"/>
          <w:bCs/>
          <w:color w:val="auto"/>
          <w:sz w:val="24"/>
          <w:szCs w:val="24"/>
          <w:lang w:val="en-US" w:eastAsia="zh-CN"/>
        </w:rPr>
      </w:pPr>
      <w:r>
        <w:rPr>
          <w:rFonts w:hint="eastAsia" w:ascii="Times New Roman" w:hAnsi="Times New Roman" w:eastAsia="宋体" w:cs="宋体"/>
          <w:b w:val="0"/>
          <w:bCs/>
          <w:color w:val="auto"/>
          <w:sz w:val="24"/>
          <w:szCs w:val="24"/>
          <w:lang w:val="en-US" w:eastAsia="zh-CN"/>
        </w:rPr>
        <w:t>（2）</w:t>
      </w:r>
      <w:r>
        <w:rPr>
          <w:rFonts w:hint="default" w:ascii="Times New Roman" w:hAnsi="Times New Roman" w:eastAsia="宋体" w:cs="宋体"/>
          <w:b w:val="0"/>
          <w:bCs/>
          <w:color w:val="auto"/>
          <w:sz w:val="24"/>
          <w:szCs w:val="24"/>
          <w:lang w:val="en-US" w:eastAsia="zh-CN"/>
        </w:rPr>
        <w:t>发生疫情的应急措施及无害化处理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宋体"/>
          <w:b w:val="0"/>
          <w:bCs/>
          <w:color w:val="auto"/>
          <w:sz w:val="24"/>
          <w:szCs w:val="24"/>
          <w:lang w:val="en-US" w:eastAsia="zh-CN"/>
        </w:rPr>
      </w:pPr>
      <w:r>
        <w:rPr>
          <w:rFonts w:hint="eastAsia" w:ascii="Times New Roman" w:hAnsi="Times New Roman" w:eastAsia="宋体" w:cs="宋体"/>
          <w:b w:val="0"/>
          <w:bCs/>
          <w:color w:val="auto"/>
          <w:sz w:val="24"/>
          <w:szCs w:val="24"/>
          <w:lang w:val="en-US" w:eastAsia="zh-CN"/>
        </w:rPr>
        <w:t>a.</w:t>
      </w:r>
      <w:r>
        <w:rPr>
          <w:rFonts w:hint="default" w:ascii="Times New Roman" w:hAnsi="Times New Roman" w:eastAsia="宋体" w:cs="宋体"/>
          <w:b w:val="0"/>
          <w:bCs/>
          <w:color w:val="auto"/>
          <w:sz w:val="24"/>
          <w:szCs w:val="24"/>
          <w:lang w:val="en-US" w:eastAsia="zh-CN"/>
        </w:rPr>
        <w:t>猪群出现传染病或疑似传染病时，应立即隔离全面彻底消毒迅速向公司报告，制定应急措施并严格执行。</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宋体"/>
          <w:b w:val="0"/>
          <w:bCs/>
          <w:color w:val="auto"/>
          <w:sz w:val="24"/>
          <w:szCs w:val="24"/>
          <w:lang w:val="en-US" w:eastAsia="zh-CN"/>
        </w:rPr>
      </w:pPr>
      <w:r>
        <w:rPr>
          <w:rFonts w:hint="eastAsia" w:ascii="Times New Roman" w:hAnsi="Times New Roman" w:eastAsia="宋体" w:cs="宋体"/>
          <w:b w:val="0"/>
          <w:bCs/>
          <w:color w:val="auto"/>
          <w:sz w:val="24"/>
          <w:szCs w:val="24"/>
          <w:lang w:val="en-US" w:eastAsia="zh-CN"/>
        </w:rPr>
        <w:t>b.</w:t>
      </w:r>
      <w:r>
        <w:rPr>
          <w:rFonts w:hint="default" w:ascii="Times New Roman" w:hAnsi="Times New Roman" w:eastAsia="宋体" w:cs="宋体"/>
          <w:b w:val="0"/>
          <w:bCs/>
          <w:color w:val="auto"/>
          <w:sz w:val="24"/>
          <w:szCs w:val="24"/>
          <w:lang w:val="en-US" w:eastAsia="zh-CN"/>
        </w:rPr>
        <w:t>结合疫病的具体情况，消毒工作，对病猪进行隔离；同时加强猪群的护理工作，必要时可在饲料中添加适当的抗生素以提高猪群抵抗力和防治并发其他疾病。</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宋体"/>
          <w:b w:val="0"/>
          <w:bCs/>
          <w:color w:val="auto"/>
          <w:sz w:val="24"/>
          <w:szCs w:val="24"/>
          <w:lang w:val="en-US" w:eastAsia="zh-CN"/>
        </w:rPr>
      </w:pPr>
      <w:r>
        <w:rPr>
          <w:rFonts w:hint="eastAsia" w:ascii="Times New Roman" w:hAnsi="Times New Roman" w:eastAsia="宋体" w:cs="宋体"/>
          <w:b w:val="0"/>
          <w:bCs/>
          <w:color w:val="auto"/>
          <w:sz w:val="24"/>
          <w:szCs w:val="24"/>
          <w:lang w:val="en-US" w:eastAsia="zh-CN"/>
        </w:rPr>
        <w:t>c.</w:t>
      </w:r>
      <w:r>
        <w:rPr>
          <w:rFonts w:hint="default" w:ascii="Times New Roman" w:hAnsi="Times New Roman" w:eastAsia="宋体" w:cs="宋体"/>
          <w:b w:val="0"/>
          <w:bCs/>
          <w:color w:val="auto"/>
          <w:sz w:val="24"/>
          <w:szCs w:val="24"/>
          <w:lang w:val="en-US" w:eastAsia="zh-CN"/>
        </w:rPr>
        <w:t>做好紧急接种工作，紧急免疫接种应按先健康群、后可疑群，由外向里的顺序进行紧急接种，接种量应加倍，并严格做到每注射一头换一针头。并将使用多的针头和药瓶经过高温消毒后进一步处理。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宋体"/>
          <w:b w:val="0"/>
          <w:bCs/>
          <w:color w:val="auto"/>
          <w:sz w:val="24"/>
          <w:szCs w:val="24"/>
          <w:lang w:val="en-US" w:eastAsia="zh-CN"/>
        </w:rPr>
      </w:pPr>
      <w:r>
        <w:rPr>
          <w:rFonts w:hint="eastAsia" w:ascii="Times New Roman" w:hAnsi="Times New Roman" w:eastAsia="宋体" w:cs="宋体"/>
          <w:b w:val="0"/>
          <w:bCs/>
          <w:color w:val="auto"/>
          <w:sz w:val="24"/>
          <w:szCs w:val="24"/>
          <w:lang w:val="en-US" w:eastAsia="zh-CN"/>
        </w:rPr>
        <w:t>d.</w:t>
      </w:r>
      <w:r>
        <w:rPr>
          <w:rFonts w:hint="default" w:ascii="Times New Roman" w:hAnsi="Times New Roman" w:eastAsia="宋体" w:cs="宋体"/>
          <w:b w:val="0"/>
          <w:bCs/>
          <w:color w:val="auto"/>
          <w:sz w:val="24"/>
          <w:szCs w:val="24"/>
          <w:lang w:val="en-US" w:eastAsia="zh-CN"/>
        </w:rPr>
        <w:t>发生疫情时，被传染病感染的病猪应及时送至病猪隔离舍经兽医检查，若不能救治，要及时上报卫生检疫部门，由其委托的资质单位按《畜禽病害肉尸及其产品无害化处理规程》（GB16548-1996）进行无害化处理。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宋体"/>
          <w:b w:val="0"/>
          <w:bCs/>
          <w:color w:val="auto"/>
          <w:sz w:val="24"/>
          <w:szCs w:val="24"/>
          <w:lang w:val="en-US" w:eastAsia="zh-CN"/>
        </w:rPr>
      </w:pPr>
      <w:r>
        <w:rPr>
          <w:rFonts w:hint="eastAsia" w:ascii="Times New Roman" w:hAnsi="Times New Roman" w:eastAsia="宋体" w:cs="宋体"/>
          <w:b w:val="0"/>
          <w:bCs/>
          <w:color w:val="auto"/>
          <w:sz w:val="24"/>
          <w:szCs w:val="24"/>
          <w:lang w:val="en-US" w:eastAsia="zh-CN"/>
        </w:rPr>
        <w:t>e.</w:t>
      </w:r>
      <w:r>
        <w:rPr>
          <w:rFonts w:hint="default" w:ascii="Times New Roman" w:hAnsi="Times New Roman" w:eastAsia="宋体" w:cs="宋体"/>
          <w:b w:val="0"/>
          <w:bCs/>
          <w:color w:val="auto"/>
          <w:sz w:val="24"/>
          <w:szCs w:val="24"/>
          <w:lang w:val="en-US" w:eastAsia="zh-CN"/>
        </w:rPr>
        <w:t>做好灭鼠、灭蚊蝇等工作，避免病原向外扩散。</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宋体"/>
          <w:b w:val="0"/>
          <w:bCs/>
          <w:color w:val="auto"/>
          <w:sz w:val="24"/>
          <w:szCs w:val="24"/>
          <w:lang w:val="en-US" w:eastAsia="zh-CN"/>
        </w:rPr>
      </w:pPr>
      <w:r>
        <w:rPr>
          <w:rFonts w:hint="eastAsia" w:ascii="Times New Roman" w:hAnsi="Times New Roman" w:eastAsia="宋体" w:cs="宋体"/>
          <w:b w:val="0"/>
          <w:bCs/>
          <w:color w:val="auto"/>
          <w:sz w:val="24"/>
          <w:szCs w:val="24"/>
          <w:lang w:val="en-US" w:eastAsia="zh-CN"/>
        </w:rPr>
        <w:t>f.</w:t>
      </w:r>
      <w:r>
        <w:rPr>
          <w:rFonts w:hint="default" w:ascii="Times New Roman" w:hAnsi="Times New Roman" w:eastAsia="宋体" w:cs="宋体"/>
          <w:b w:val="0"/>
          <w:bCs/>
          <w:color w:val="auto"/>
          <w:sz w:val="24"/>
          <w:szCs w:val="24"/>
          <w:lang w:val="en-US" w:eastAsia="zh-CN"/>
        </w:rPr>
        <w:t>采集病料并妥善保存，及时送检，送检病料应按该种传染病性质、种类作特殊处理，防治病原污染。</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宋体"/>
          <w:b w:val="0"/>
          <w:bCs/>
          <w:color w:val="auto"/>
          <w:sz w:val="24"/>
          <w:szCs w:val="24"/>
          <w:lang w:val="en-US" w:eastAsia="zh-CN"/>
        </w:rPr>
      </w:pPr>
      <w:r>
        <w:rPr>
          <w:rFonts w:hint="default" w:ascii="Times New Roman" w:hAnsi="Times New Roman" w:eastAsia="宋体" w:cs="宋体"/>
          <w:b w:val="0"/>
          <w:bCs/>
          <w:color w:val="auto"/>
          <w:sz w:val="24"/>
          <w:szCs w:val="24"/>
          <w:lang w:val="en-US" w:eastAsia="zh-CN"/>
        </w:rPr>
        <w:t>g.最后一头病猪痊愈或处理完毕，经一段时间封锁后，不再出现新发病的，发病场所可用生石灰加碱水反复涮洗消毒（2-3次以上），经一定时间空舍后，才能恢复生产。</w:t>
      </w:r>
    </w:p>
    <w:p>
      <w:pPr>
        <w:adjustRightInd w:val="0"/>
        <w:snapToGrid w:val="0"/>
        <w:spacing w:line="360" w:lineRule="auto"/>
        <w:ind w:firstLine="480" w:firstLineChars="200"/>
        <w:rPr>
          <w:rFonts w:ascii="Times New Roman" w:hAnsi="Times New Roman" w:eastAsia="宋体" w:cs="Times New Roman"/>
          <w:color w:val="auto"/>
          <w:sz w:val="24"/>
          <w:szCs w:val="24"/>
        </w:rPr>
        <w:sectPr>
          <w:headerReference r:id="rId10" w:type="default"/>
          <w:footerReference r:id="rId11" w:type="default"/>
          <w:pgSz w:w="11906" w:h="16838"/>
          <w:pgMar w:top="1440" w:right="1451" w:bottom="1440" w:left="1451" w:header="851" w:footer="992" w:gutter="0"/>
          <w:pgBorders>
            <w:top w:val="none" w:sz="0" w:space="0"/>
            <w:left w:val="none" w:sz="0" w:space="0"/>
            <w:bottom w:val="none" w:sz="0" w:space="0"/>
            <w:right w:val="none" w:sz="0" w:space="0"/>
          </w:pgBorders>
          <w:pgNumType w:fmt="decimal"/>
          <w:cols w:space="0" w:num="1"/>
          <w:rtlGutter w:val="0"/>
          <w:docGrid w:type="lines" w:linePitch="321" w:charSpace="0"/>
        </w:sectPr>
      </w:pPr>
    </w:p>
    <w:p>
      <w:pPr>
        <w:pStyle w:val="4"/>
        <w:adjustRightInd w:val="0"/>
        <w:snapToGrid w:val="0"/>
        <w:spacing w:line="360" w:lineRule="auto"/>
        <w:jc w:val="center"/>
        <w:rPr>
          <w:rFonts w:ascii="Times New Roman" w:hAnsi="Times New Roman" w:eastAsia="宋体"/>
          <w:color w:val="auto"/>
          <w:sz w:val="32"/>
          <w:szCs w:val="32"/>
        </w:rPr>
      </w:pPr>
      <w:bookmarkStart w:id="102" w:name="_Toc459118421"/>
      <w:bookmarkStart w:id="103" w:name="_Toc17140"/>
      <w:bookmarkStart w:id="104" w:name="_Toc10107"/>
      <w:r>
        <w:rPr>
          <w:rFonts w:hint="eastAsia" w:ascii="Times New Roman" w:hAnsi="Times New Roman" w:eastAsia="宋体"/>
          <w:color w:val="auto"/>
          <w:sz w:val="32"/>
          <w:szCs w:val="32"/>
        </w:rPr>
        <w:t>3</w:t>
      </w:r>
      <w:r>
        <w:rPr>
          <w:rFonts w:ascii="Times New Roman" w:hAnsi="Times New Roman" w:eastAsia="宋体"/>
          <w:color w:val="auto"/>
          <w:sz w:val="32"/>
          <w:szCs w:val="32"/>
        </w:rPr>
        <w:t>工程分析</w:t>
      </w:r>
      <w:bookmarkEnd w:id="102"/>
      <w:bookmarkEnd w:id="103"/>
      <w:bookmarkEnd w:id="104"/>
    </w:p>
    <w:p>
      <w:pPr>
        <w:pStyle w:val="5"/>
        <w:adjustRightInd w:val="0"/>
        <w:snapToGrid w:val="0"/>
        <w:spacing w:before="0" w:after="0" w:line="360" w:lineRule="auto"/>
        <w:rPr>
          <w:rFonts w:ascii="Times New Roman" w:hAnsi="Times New Roman" w:eastAsia="宋体"/>
          <w:color w:val="auto"/>
          <w:sz w:val="30"/>
          <w:szCs w:val="30"/>
        </w:rPr>
      </w:pPr>
      <w:bookmarkStart w:id="105" w:name="_Toc4466"/>
      <w:bookmarkStart w:id="106" w:name="_Toc25901"/>
      <w:bookmarkStart w:id="107" w:name="_Toc459118422"/>
      <w:r>
        <w:rPr>
          <w:rFonts w:hint="eastAsia" w:ascii="Times New Roman" w:hAnsi="Times New Roman" w:eastAsia="宋体"/>
          <w:color w:val="auto"/>
          <w:sz w:val="30"/>
          <w:szCs w:val="30"/>
        </w:rPr>
        <w:t>3.1生产工艺</w:t>
      </w:r>
      <w:bookmarkEnd w:id="105"/>
      <w:bookmarkEnd w:id="106"/>
    </w:p>
    <w:p>
      <w:pPr>
        <w:adjustRightInd w:val="0"/>
        <w:snapToGrid w:val="0"/>
        <w:spacing w:line="360" w:lineRule="auto"/>
        <w:outlineLvl w:val="2"/>
        <w:rPr>
          <w:rFonts w:ascii="Times New Roman" w:hAnsi="Times New Roman" w:eastAsia="宋体"/>
          <w:b/>
          <w:bCs/>
          <w:color w:val="auto"/>
          <w:sz w:val="28"/>
          <w:szCs w:val="28"/>
        </w:rPr>
      </w:pPr>
      <w:bookmarkStart w:id="108" w:name="_Toc22259"/>
      <w:r>
        <w:rPr>
          <w:rFonts w:hint="eastAsia" w:ascii="Times New Roman" w:hAnsi="Times New Roman" w:eastAsia="宋体"/>
          <w:b/>
          <w:bCs/>
          <w:color w:val="auto"/>
          <w:sz w:val="28"/>
          <w:szCs w:val="28"/>
        </w:rPr>
        <w:t>3.1.1施工期</w:t>
      </w:r>
      <w:bookmarkEnd w:id="108"/>
    </w:p>
    <w:p>
      <w:pPr>
        <w:spacing w:line="360" w:lineRule="auto"/>
        <w:ind w:firstLine="480"/>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eastAsia="zh-CN"/>
        </w:rPr>
        <w:t>本项目预计施</w:t>
      </w:r>
      <w:r>
        <w:rPr>
          <w:rFonts w:hint="eastAsia" w:ascii="Times New Roman" w:hAnsi="Times New Roman" w:eastAsia="宋体" w:cs="Times New Roman"/>
          <w:color w:val="auto"/>
          <w:sz w:val="24"/>
          <w:szCs w:val="24"/>
          <w:highlight w:val="none"/>
          <w:lang w:val="en-US" w:eastAsia="zh-CN" w:bidi="ar-SA"/>
        </w:rPr>
        <w:t>工期约10个月，</w:t>
      </w:r>
      <w:r>
        <w:rPr>
          <w:rFonts w:hint="default" w:ascii="Times New Roman" w:hAnsi="Times New Roman" w:eastAsia="宋体" w:cs="Times New Roman"/>
          <w:color w:val="auto"/>
          <w:sz w:val="24"/>
          <w:szCs w:val="24"/>
          <w:highlight w:val="none"/>
          <w:lang w:val="en-US" w:eastAsia="zh-CN" w:bidi="ar-SA"/>
        </w:rPr>
        <w:t>预计202</w:t>
      </w:r>
      <w:r>
        <w:rPr>
          <w:rFonts w:hint="eastAsia" w:ascii="Times New Roman" w:hAnsi="Times New Roman" w:eastAsia="宋体" w:cs="Times New Roman"/>
          <w:color w:val="auto"/>
          <w:sz w:val="24"/>
          <w:szCs w:val="24"/>
          <w:highlight w:val="none"/>
          <w:lang w:val="en-US" w:eastAsia="zh-CN" w:bidi="ar-SA"/>
        </w:rPr>
        <w:t>2</w:t>
      </w:r>
      <w:r>
        <w:rPr>
          <w:rFonts w:hint="default" w:ascii="Times New Roman" w:hAnsi="Times New Roman" w:eastAsia="宋体" w:cs="Times New Roman"/>
          <w:color w:val="auto"/>
          <w:sz w:val="24"/>
          <w:szCs w:val="24"/>
          <w:highlight w:val="none"/>
          <w:lang w:val="en-US" w:eastAsia="zh-CN" w:bidi="ar-SA"/>
        </w:rPr>
        <w:t>年3月建设完成，</w:t>
      </w:r>
      <w:r>
        <w:rPr>
          <w:rFonts w:hint="eastAsia" w:ascii="Times New Roman" w:hAnsi="Times New Roman" w:eastAsia="宋体" w:cs="Times New Roman"/>
          <w:color w:val="auto"/>
          <w:sz w:val="24"/>
          <w:szCs w:val="24"/>
          <w:lang w:eastAsia="zh-CN"/>
        </w:rPr>
        <w:t>主要完成地块内场地平整及基础开挖、主体及基础配套工程建设、绿化、环保等工程建设。建设过程中主要污染物为废水、废气和建筑垃圾等；同时建筑施工机械和运输车辆会产生较大的噪声。本项目施工按照场地平整——基础开挖——配套建设——房屋建设的次序安排施工方案。施工流程及各阶段主要污染物产生情况见图</w:t>
      </w:r>
      <w:r>
        <w:rPr>
          <w:rFonts w:hint="eastAsia" w:ascii="Times New Roman" w:hAnsi="Times New Roman" w:eastAsia="宋体" w:cs="Times New Roman"/>
          <w:color w:val="auto"/>
          <w:sz w:val="24"/>
          <w:szCs w:val="24"/>
          <w:lang w:val="en-US" w:eastAsia="zh-CN"/>
        </w:rPr>
        <w:t>3.1-1。</w:t>
      </w:r>
    </w:p>
    <w:p>
      <w:pPr>
        <w:pStyle w:val="16"/>
        <w:keepNext w:val="0"/>
        <w:keepLines w:val="0"/>
        <w:pageBreakBefore w:val="0"/>
        <w:widowControl w:val="0"/>
        <w:tabs>
          <w:tab w:val="center" w:pos="4562"/>
          <w:tab w:val="left" w:pos="6982"/>
        </w:tabs>
        <w:kinsoku/>
        <w:wordWrap/>
        <w:overflowPunct/>
        <w:topLinePunct w:val="0"/>
        <w:autoSpaceDE/>
        <w:autoSpaceDN/>
        <w:bidi w:val="0"/>
        <w:adjustRightInd w:val="0"/>
        <w:snapToGrid w:val="0"/>
        <w:spacing w:line="240" w:lineRule="auto"/>
        <w:ind w:left="0" w:right="0"/>
        <w:jc w:val="center"/>
        <w:textAlignment w:val="auto"/>
        <w:rPr>
          <w:color w:val="auto"/>
          <w:sz w:val="21"/>
          <w:szCs w:val="21"/>
        </w:rPr>
      </w:pPr>
    </w:p>
    <w:p>
      <w:pPr>
        <w:pStyle w:val="16"/>
        <w:keepNext w:val="0"/>
        <w:keepLines w:val="0"/>
        <w:pageBreakBefore w:val="0"/>
        <w:widowControl w:val="0"/>
        <w:tabs>
          <w:tab w:val="center" w:pos="4562"/>
          <w:tab w:val="left" w:pos="6982"/>
        </w:tabs>
        <w:kinsoku/>
        <w:wordWrap/>
        <w:overflowPunct/>
        <w:topLinePunct w:val="0"/>
        <w:autoSpaceDE/>
        <w:autoSpaceDN/>
        <w:bidi w:val="0"/>
        <w:adjustRightInd w:val="0"/>
        <w:snapToGrid w:val="0"/>
        <w:spacing w:line="240" w:lineRule="auto"/>
        <w:ind w:left="0" w:right="0"/>
        <w:jc w:val="center"/>
        <w:textAlignment w:val="auto"/>
        <w:rPr>
          <w:rFonts w:hint="eastAsia" w:eastAsiaTheme="minorEastAsia"/>
          <w:color w:val="auto"/>
          <w:sz w:val="21"/>
          <w:szCs w:val="21"/>
          <w:lang w:eastAsia="zh-CN"/>
        </w:rPr>
      </w:pPr>
      <w:r>
        <w:rPr>
          <w:rFonts w:hint="eastAsia" w:eastAsiaTheme="minorEastAsia"/>
          <w:color w:val="auto"/>
          <w:sz w:val="21"/>
          <w:szCs w:val="21"/>
          <w:lang w:eastAsia="zh-CN"/>
        </w:rPr>
        <w:drawing>
          <wp:inline distT="0" distB="0" distL="114300" distR="114300">
            <wp:extent cx="5553075" cy="2352675"/>
            <wp:effectExtent l="0" t="0" r="9525" b="9525"/>
            <wp:docPr id="22" name="图片 22" descr="e187cca2b08c2e1ab004aee92621c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e187cca2b08c2e1ab004aee92621cd3"/>
                    <pic:cNvPicPr>
                      <a:picLocks noChangeAspect="1"/>
                    </pic:cNvPicPr>
                  </pic:nvPicPr>
                  <pic:blipFill>
                    <a:blip r:embed="rId23"/>
                    <a:stretch>
                      <a:fillRect/>
                    </a:stretch>
                  </pic:blipFill>
                  <pic:spPr>
                    <a:xfrm>
                      <a:off x="0" y="0"/>
                      <a:ext cx="5553075" cy="2352675"/>
                    </a:xfrm>
                    <a:prstGeom prst="rect">
                      <a:avLst/>
                    </a:prstGeom>
                  </pic:spPr>
                </pic:pic>
              </a:graphicData>
            </a:graphic>
          </wp:inline>
        </w:drawing>
      </w:r>
    </w:p>
    <w:p>
      <w:pPr>
        <w:pStyle w:val="16"/>
        <w:tabs>
          <w:tab w:val="center" w:pos="4562"/>
          <w:tab w:val="left" w:pos="6982"/>
        </w:tabs>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图</w:t>
      </w:r>
      <w:r>
        <w:rPr>
          <w:rFonts w:hint="eastAsia" w:ascii="Times New Roman" w:hAnsi="Times New Roman" w:eastAsia="宋体" w:cs="Times New Roman"/>
          <w:b/>
          <w:bCs/>
          <w:color w:val="auto"/>
          <w:sz w:val="21"/>
          <w:szCs w:val="21"/>
        </w:rPr>
        <w:t>3.1</w:t>
      </w:r>
      <w:r>
        <w:rPr>
          <w:rFonts w:ascii="Times New Roman" w:hAnsi="Times New Roman" w:eastAsia="宋体" w:cs="Times New Roman"/>
          <w:b/>
          <w:bCs/>
          <w:color w:val="auto"/>
          <w:sz w:val="21"/>
          <w:szCs w:val="21"/>
        </w:rPr>
        <w:t>-1  施工期工艺流程</w:t>
      </w:r>
      <w:r>
        <w:rPr>
          <w:rFonts w:hint="eastAsia" w:ascii="Times New Roman" w:hAnsi="Times New Roman" w:eastAsia="宋体" w:cs="Times New Roman"/>
          <w:b/>
          <w:bCs/>
          <w:color w:val="auto"/>
          <w:sz w:val="21"/>
          <w:szCs w:val="21"/>
          <w:lang w:eastAsia="zh-CN"/>
        </w:rPr>
        <w:t>及主要产污节点</w:t>
      </w:r>
      <w:r>
        <w:rPr>
          <w:rFonts w:ascii="Times New Roman" w:hAnsi="Times New Roman" w:eastAsia="宋体" w:cs="Times New Roman"/>
          <w:b/>
          <w:bCs/>
          <w:color w:val="auto"/>
          <w:sz w:val="21"/>
          <w:szCs w:val="21"/>
        </w:rPr>
        <w:t>图</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本项目施工期主要污染物有：</w:t>
      </w:r>
      <w:r>
        <w:rPr>
          <w:rFonts w:hint="eastAsia" w:ascii="Times New Roman" w:hAnsi="Times New Roman" w:cs="Times New Roman"/>
          <w:color w:val="auto"/>
          <w:kern w:val="2"/>
          <w:sz w:val="24"/>
          <w:lang w:eastAsia="zh-CN"/>
        </w:rPr>
        <w:t>施工扬尘、施工机械尾气、装修废气、</w:t>
      </w:r>
      <w:r>
        <w:rPr>
          <w:rFonts w:hint="eastAsia" w:ascii="Times New Roman" w:hAnsi="Times New Roman" w:cs="Times New Roman" w:eastAsiaTheme="minorEastAsia"/>
          <w:color w:val="auto"/>
          <w:kern w:val="2"/>
          <w:sz w:val="24"/>
          <w:lang w:eastAsia="zh-CN"/>
        </w:rPr>
        <w:t>设备安装噪声、施工人员生活污水</w:t>
      </w:r>
      <w:r>
        <w:rPr>
          <w:rFonts w:hint="eastAsia" w:ascii="Times New Roman" w:hAnsi="Times New Roman" w:cs="Times New Roman"/>
          <w:color w:val="auto"/>
          <w:kern w:val="2"/>
          <w:sz w:val="24"/>
          <w:lang w:eastAsia="zh-CN"/>
        </w:rPr>
        <w:t>和施工作业废水</w:t>
      </w:r>
      <w:r>
        <w:rPr>
          <w:rFonts w:hint="eastAsia" w:ascii="Times New Roman" w:hAnsi="Times New Roman" w:cs="Times New Roman" w:eastAsiaTheme="minorEastAsia"/>
          <w:color w:val="auto"/>
          <w:kern w:val="2"/>
          <w:sz w:val="24"/>
          <w:lang w:eastAsia="zh-CN"/>
        </w:rPr>
        <w:t>、生活垃圾和少量建筑垃圾。</w:t>
      </w:r>
    </w:p>
    <w:p>
      <w:pPr>
        <w:pStyle w:val="6"/>
        <w:adjustRightInd w:val="0"/>
        <w:snapToGrid w:val="0"/>
        <w:spacing w:before="0" w:after="0" w:line="360" w:lineRule="auto"/>
        <w:rPr>
          <w:rFonts w:hint="eastAsia" w:ascii="Times New Roman" w:hAnsi="Times New Roman" w:eastAsia="宋体"/>
          <w:color w:val="auto"/>
          <w:sz w:val="28"/>
          <w:szCs w:val="28"/>
        </w:rPr>
      </w:pPr>
      <w:bookmarkStart w:id="109" w:name="_Toc16894"/>
      <w:r>
        <w:rPr>
          <w:rFonts w:hint="eastAsia" w:ascii="Times New Roman" w:hAnsi="Times New Roman" w:eastAsia="宋体"/>
          <w:color w:val="auto"/>
          <w:sz w:val="28"/>
          <w:szCs w:val="28"/>
        </w:rPr>
        <w:t>3.1.2运营期</w:t>
      </w:r>
      <w:bookmarkEnd w:id="107"/>
      <w:bookmarkEnd w:id="109"/>
      <w:bookmarkStart w:id="110" w:name="_Toc25304"/>
    </w:p>
    <w:p>
      <w:pPr>
        <w:pStyle w:val="7"/>
        <w:adjustRightInd w:val="0"/>
        <w:snapToGrid w:val="0"/>
        <w:spacing w:before="0" w:after="0" w:line="360" w:lineRule="auto"/>
        <w:rPr>
          <w:rFonts w:hint="eastAsia" w:ascii="Times New Roman" w:hAnsi="Times New Roman" w:eastAsia="宋体" w:cs="宋体"/>
          <w:bCs/>
          <w:color w:val="auto"/>
          <w:sz w:val="24"/>
          <w:szCs w:val="24"/>
          <w:lang w:eastAsia="zh-CN"/>
        </w:rPr>
      </w:pPr>
      <w:r>
        <w:rPr>
          <w:rFonts w:hint="eastAsia" w:ascii="Times New Roman" w:hAnsi="Times New Roman" w:eastAsia="宋体"/>
          <w:color w:val="auto"/>
          <w:sz w:val="24"/>
          <w:szCs w:val="24"/>
        </w:rPr>
        <w:t>3.1.2.1</w:t>
      </w:r>
      <w:bookmarkEnd w:id="110"/>
      <w:r>
        <w:rPr>
          <w:rFonts w:hint="eastAsia" w:ascii="Times New Roman" w:hAnsi="Times New Roman" w:eastAsia="宋体"/>
          <w:color w:val="auto"/>
          <w:sz w:val="24"/>
          <w:szCs w:val="24"/>
          <w:lang w:eastAsia="zh-CN"/>
        </w:rPr>
        <w:t>饲料供应</w:t>
      </w:r>
    </w:p>
    <w:p>
      <w:pPr>
        <w:keepNext w:val="0"/>
        <w:keepLines w:val="0"/>
        <w:pageBreakBefore w:val="0"/>
        <w:widowControl w:val="0"/>
        <w:kinsoku/>
        <w:wordWrap/>
        <w:overflowPunct/>
        <w:topLinePunct w:val="0"/>
        <w:bidi w:val="0"/>
        <w:adjustRightInd w:val="0"/>
        <w:snapToGrid w:val="0"/>
        <w:spacing w:line="360" w:lineRule="auto"/>
        <w:ind w:firstLine="480" w:firstLineChars="2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lang w:eastAsia="zh-CN"/>
        </w:rPr>
        <w:t>本项目饲养用饲料全部外购成品饲料，不在本项目范围内进行备料。</w:t>
      </w:r>
    </w:p>
    <w:p>
      <w:pPr>
        <w:pStyle w:val="7"/>
        <w:adjustRightInd w:val="0"/>
        <w:snapToGrid w:val="0"/>
        <w:spacing w:before="0" w:after="0" w:line="360" w:lineRule="auto"/>
        <w:rPr>
          <w:rFonts w:hint="eastAsia" w:ascii="Times New Roman" w:hAnsi="Times New Roman" w:eastAsia="宋体" w:cs="宋体"/>
          <w:bCs/>
          <w:color w:val="auto"/>
          <w:sz w:val="24"/>
          <w:szCs w:val="24"/>
          <w:lang w:eastAsia="zh-CN"/>
        </w:rPr>
      </w:pPr>
      <w:r>
        <w:rPr>
          <w:rFonts w:hint="eastAsia" w:ascii="Times New Roman" w:hAnsi="Times New Roman" w:eastAsia="宋体"/>
          <w:color w:val="auto"/>
          <w:sz w:val="24"/>
          <w:szCs w:val="24"/>
        </w:rPr>
        <w:t>3.1.2.</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养殖工艺流程简述</w:t>
      </w:r>
    </w:p>
    <w:p>
      <w:pPr>
        <w:keepNext w:val="0"/>
        <w:keepLines w:val="0"/>
        <w:pageBreakBefore w:val="0"/>
        <w:widowControl w:val="0"/>
        <w:kinsoku/>
        <w:wordWrap/>
        <w:overflowPunct/>
        <w:topLinePunct w:val="0"/>
        <w:bidi w:val="0"/>
        <w:adjustRightInd w:val="0"/>
        <w:snapToGrid w:val="0"/>
        <w:spacing w:line="360" w:lineRule="auto"/>
        <w:ind w:firstLine="480" w:firstLineChars="2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lang w:eastAsia="zh-CN"/>
        </w:rPr>
        <w:t>（</w:t>
      </w:r>
      <w:r>
        <w:rPr>
          <w:rFonts w:hint="eastAsia" w:ascii="Times New Roman" w:hAnsi="Times New Roman" w:eastAsia="宋体" w:cs="Times New Roman"/>
          <w:bCs/>
          <w:color w:val="auto"/>
          <w:sz w:val="24"/>
          <w:szCs w:val="24"/>
          <w:lang w:val="en-US" w:eastAsia="zh-CN"/>
        </w:rPr>
        <w:t>1</w:t>
      </w:r>
      <w:r>
        <w:rPr>
          <w:rFonts w:hint="eastAsia" w:ascii="Times New Roman" w:hAnsi="Times New Roman" w:eastAsia="宋体" w:cs="Times New Roman"/>
          <w:bCs/>
          <w:color w:val="auto"/>
          <w:sz w:val="24"/>
          <w:szCs w:val="24"/>
          <w:lang w:eastAsia="zh-CN"/>
        </w:rPr>
        <w:t>）工艺流程及产污环节</w:t>
      </w:r>
    </w:p>
    <w:p>
      <w:pPr>
        <w:keepNext w:val="0"/>
        <w:keepLines w:val="0"/>
        <w:pageBreakBefore w:val="0"/>
        <w:widowControl w:val="0"/>
        <w:kinsoku/>
        <w:wordWrap/>
        <w:overflowPunct/>
        <w:topLinePunct w:val="0"/>
        <w:bidi w:val="0"/>
        <w:adjustRightInd w:val="0"/>
        <w:snapToGrid w:val="0"/>
        <w:spacing w:line="360" w:lineRule="auto"/>
        <w:ind w:firstLine="480" w:firstLineChars="2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lang w:eastAsia="zh-CN"/>
        </w:rPr>
        <w:t>本项目为养殖场项目，属于畜牧业。养猪生产环节包括猪购入、猪育肥、猪粪清理、消毒免疫。</w:t>
      </w:r>
      <w:r>
        <w:rPr>
          <w:rFonts w:hint="default" w:ascii="Times New Roman" w:hAnsi="Times New Roman" w:eastAsia="宋体" w:cs="Times New Roman"/>
          <w:color w:val="auto"/>
          <w:sz w:val="24"/>
          <w:szCs w:val="24"/>
          <w:highlight w:val="none"/>
          <w:lang w:val="en-US" w:eastAsia="zh-CN" w:bidi="ar-SA"/>
        </w:rPr>
        <w:t xml:space="preserve">本项目采取集约化养殖方式，在养殖场地内，采用新的工艺技术措施，通过集中管理饲养生猪。项目建成后通过外购 20kg 左右的仔猪进场后育肥外售，年出栏育肥猪 </w:t>
      </w:r>
      <w:r>
        <w:rPr>
          <w:rFonts w:hint="eastAsia" w:ascii="Times New Roman" w:hAnsi="Times New Roman" w:eastAsia="宋体" w:cs="Times New Roman"/>
          <w:color w:val="auto"/>
          <w:sz w:val="24"/>
          <w:szCs w:val="24"/>
          <w:highlight w:val="none"/>
          <w:lang w:val="en-US" w:eastAsia="zh-CN" w:bidi="ar-SA"/>
        </w:rPr>
        <w:t>3</w:t>
      </w:r>
      <w:r>
        <w:rPr>
          <w:rFonts w:hint="default" w:ascii="Times New Roman" w:hAnsi="Times New Roman" w:eastAsia="宋体" w:cs="Times New Roman"/>
          <w:color w:val="auto"/>
          <w:sz w:val="24"/>
          <w:szCs w:val="24"/>
          <w:highlight w:val="none"/>
          <w:lang w:val="en-US" w:eastAsia="zh-CN" w:bidi="ar-SA"/>
        </w:rPr>
        <w:t>0000头。本项目外购育肥过程所需的饲料、药品、疫苗，仔猪饲养育肥约180天，不超过 200天，出栏重量约在 125kg。 项目不进行仔猪保育、饲料加工、有机肥加工、生猪屠宰</w:t>
      </w:r>
      <w:r>
        <w:rPr>
          <w:rFonts w:hint="eastAsia" w:ascii="Times New Roman" w:hAnsi="Times New Roman" w:eastAsia="宋体" w:cs="Times New Roman"/>
          <w:color w:val="auto"/>
          <w:sz w:val="24"/>
          <w:szCs w:val="24"/>
          <w:highlight w:val="none"/>
          <w:lang w:val="en-US" w:eastAsia="zh-CN" w:bidi="ar-SA"/>
        </w:rPr>
        <w:t>。</w:t>
      </w:r>
      <w:r>
        <w:rPr>
          <w:rFonts w:hint="eastAsia" w:ascii="Times New Roman" w:hAnsi="Times New Roman" w:eastAsia="宋体" w:cs="Times New Roman"/>
          <w:bCs/>
          <w:color w:val="auto"/>
          <w:sz w:val="24"/>
          <w:szCs w:val="24"/>
          <w:lang w:eastAsia="zh-CN"/>
        </w:rPr>
        <w:t>主要养殖工艺流程见图 3</w:t>
      </w:r>
      <w:r>
        <w:rPr>
          <w:rFonts w:hint="eastAsia" w:ascii="Times New Roman" w:hAnsi="Times New Roman" w:eastAsia="宋体" w:cs="Times New Roman"/>
          <w:bCs/>
          <w:color w:val="auto"/>
          <w:sz w:val="24"/>
          <w:szCs w:val="24"/>
          <w:lang w:val="en-US" w:eastAsia="zh-CN"/>
        </w:rPr>
        <w:t>.1</w:t>
      </w:r>
      <w:r>
        <w:rPr>
          <w:rFonts w:hint="eastAsia" w:ascii="Times New Roman" w:hAnsi="Times New Roman" w:eastAsia="宋体" w:cs="Times New Roman"/>
          <w:bCs/>
          <w:color w:val="auto"/>
          <w:sz w:val="24"/>
          <w:szCs w:val="24"/>
          <w:lang w:eastAsia="zh-CN"/>
        </w:rPr>
        <w:t>-2：</w:t>
      </w:r>
    </w:p>
    <w:p>
      <w:pPr>
        <w:keepNext w:val="0"/>
        <w:keepLines w:val="0"/>
        <w:pageBreakBefore w:val="0"/>
        <w:widowControl w:val="0"/>
        <w:kinsoku/>
        <w:wordWrap/>
        <w:overflowPunct/>
        <w:topLinePunct w:val="0"/>
        <w:bidi w:val="0"/>
        <w:adjustRightInd w:val="0"/>
        <w:snapToGrid w:val="0"/>
        <w:spacing w:line="360" w:lineRule="auto"/>
        <w:jc w:val="center"/>
        <w:textAlignment w:val="auto"/>
        <w:outlineLvl w:val="9"/>
        <w:rPr>
          <w:rFonts w:hint="eastAsia" w:ascii="Times New Roman" w:hAnsi="Times New Roman" w:eastAsia="宋体" w:cs="Times New Roman"/>
          <w:bCs/>
          <w:color w:val="auto"/>
          <w:sz w:val="24"/>
          <w:szCs w:val="24"/>
          <w:lang w:eastAsia="zh-CN"/>
        </w:rPr>
      </w:pPr>
      <w:r>
        <w:rPr>
          <w:color w:val="auto"/>
          <w:highlight w:val="none"/>
        </w:rPr>
        <w:drawing>
          <wp:inline distT="0" distB="0" distL="114300" distR="114300">
            <wp:extent cx="4305300" cy="2438400"/>
            <wp:effectExtent l="0" t="0" r="0" b="0"/>
            <wp:docPr id="3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6"/>
                    <pic:cNvPicPr>
                      <a:picLocks noChangeAspect="1"/>
                    </pic:cNvPicPr>
                  </pic:nvPicPr>
                  <pic:blipFill>
                    <a:blip r:embed="rId24"/>
                    <a:stretch>
                      <a:fillRect/>
                    </a:stretch>
                  </pic:blipFill>
                  <pic:spPr>
                    <a:xfrm>
                      <a:off x="0" y="0"/>
                      <a:ext cx="4305300" cy="2438400"/>
                    </a:xfrm>
                    <a:prstGeom prst="rect">
                      <a:avLst/>
                    </a:prstGeom>
                    <a:noFill/>
                    <a:ln>
                      <a:noFill/>
                    </a:ln>
                  </pic:spPr>
                </pic:pic>
              </a:graphicData>
            </a:graphic>
          </wp:inline>
        </w:drawing>
      </w:r>
    </w:p>
    <w:p>
      <w:pPr>
        <w:pStyle w:val="16"/>
        <w:tabs>
          <w:tab w:val="center" w:pos="4562"/>
          <w:tab w:val="left" w:pos="6982"/>
        </w:tabs>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图</w:t>
      </w:r>
      <w:r>
        <w:rPr>
          <w:rFonts w:hint="eastAsia" w:ascii="Times New Roman" w:hAnsi="Times New Roman" w:eastAsia="宋体" w:cs="Times New Roman"/>
          <w:b/>
          <w:bCs/>
          <w:color w:val="auto"/>
          <w:sz w:val="21"/>
          <w:szCs w:val="21"/>
        </w:rPr>
        <w:t>3.1</w:t>
      </w:r>
      <w:r>
        <w:rPr>
          <w:rFonts w:ascii="Times New Roman" w:hAnsi="Times New Roman" w:eastAsia="宋体" w:cs="Times New Roman"/>
          <w:b/>
          <w:bCs/>
          <w:color w:val="auto"/>
          <w:sz w:val="21"/>
          <w:szCs w:val="21"/>
        </w:rPr>
        <w:t>-</w:t>
      </w:r>
      <w:r>
        <w:rPr>
          <w:rFonts w:hint="eastAsia" w:ascii="Times New Roman" w:hAnsi="Times New Roman" w:eastAsia="宋体" w:cs="Times New Roman"/>
          <w:b/>
          <w:bCs/>
          <w:color w:val="auto"/>
          <w:sz w:val="21"/>
          <w:szCs w:val="21"/>
          <w:lang w:val="en-US" w:eastAsia="zh-CN"/>
        </w:rPr>
        <w:t>2</w:t>
      </w:r>
      <w:r>
        <w:rPr>
          <w:rFonts w:ascii="Times New Roman" w:hAnsi="Times New Roman" w:eastAsia="宋体" w:cs="Times New Roman"/>
          <w:b/>
          <w:bCs/>
          <w:color w:val="auto"/>
          <w:sz w:val="21"/>
          <w:szCs w:val="21"/>
        </w:rPr>
        <w:t xml:space="preserve">  </w:t>
      </w:r>
      <w:r>
        <w:rPr>
          <w:rFonts w:hint="eastAsia" w:ascii="Times New Roman" w:hAnsi="Times New Roman" w:eastAsia="宋体" w:cs="Times New Roman"/>
          <w:b/>
          <w:bCs/>
          <w:color w:val="auto"/>
          <w:sz w:val="21"/>
          <w:szCs w:val="21"/>
        </w:rPr>
        <w:t>养殖工艺流程图</w:t>
      </w:r>
    </w:p>
    <w:p>
      <w:pPr>
        <w:keepNext w:val="0"/>
        <w:keepLines w:val="0"/>
        <w:pageBreakBefore w:val="0"/>
        <w:widowControl w:val="0"/>
        <w:kinsoku/>
        <w:wordWrap/>
        <w:overflowPunct/>
        <w:topLinePunct w:val="0"/>
        <w:bidi w:val="0"/>
        <w:adjustRightInd w:val="0"/>
        <w:snapToGrid w:val="0"/>
        <w:spacing w:line="360" w:lineRule="auto"/>
        <w:ind w:firstLine="480" w:firstLineChars="200"/>
        <w:textAlignment w:val="auto"/>
        <w:outlineLvl w:val="9"/>
        <w:rPr>
          <w:rFonts w:hint="default"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sz w:val="24"/>
          <w:szCs w:val="24"/>
          <w:lang w:eastAsia="zh-CN"/>
        </w:rPr>
        <w:t>（</w:t>
      </w:r>
      <w:r>
        <w:rPr>
          <w:rFonts w:hint="eastAsia" w:ascii="Times New Roman" w:hAnsi="Times New Roman" w:eastAsia="宋体" w:cs="Times New Roman"/>
          <w:bCs/>
          <w:color w:val="auto"/>
          <w:sz w:val="24"/>
          <w:szCs w:val="24"/>
          <w:lang w:val="en-US" w:eastAsia="zh-CN"/>
        </w:rPr>
        <w:t>2</w:t>
      </w:r>
      <w:r>
        <w:rPr>
          <w:rFonts w:hint="eastAsia" w:ascii="Times New Roman" w:hAnsi="Times New Roman" w:eastAsia="宋体" w:cs="Times New Roman"/>
          <w:bCs/>
          <w:color w:val="auto"/>
          <w:sz w:val="24"/>
          <w:szCs w:val="24"/>
          <w:lang w:eastAsia="zh-CN"/>
        </w:rPr>
        <w:t>）养殖及相关工艺说明</w:t>
      </w:r>
    </w:p>
    <w:p>
      <w:pPr>
        <w:keepNext w:val="0"/>
        <w:keepLines w:val="0"/>
        <w:pageBreakBefore w:val="0"/>
        <w:widowControl w:val="0"/>
        <w:kinsoku/>
        <w:wordWrap/>
        <w:overflowPunct/>
        <w:topLinePunct w:val="0"/>
        <w:bidi w:val="0"/>
        <w:adjustRightInd w:val="0"/>
        <w:snapToGrid w:val="0"/>
        <w:spacing w:line="360" w:lineRule="auto"/>
        <w:ind w:firstLine="480" w:firstLineChars="200"/>
        <w:textAlignment w:val="auto"/>
        <w:outlineLvl w:val="9"/>
        <w:rPr>
          <w:rFonts w:hint="default"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sz w:val="24"/>
          <w:szCs w:val="24"/>
          <w:lang w:val="en-US" w:eastAsia="zh-CN"/>
        </w:rPr>
        <w:t>1、养殖工艺说明</w:t>
      </w:r>
    </w:p>
    <w:p>
      <w:pPr>
        <w:keepNext w:val="0"/>
        <w:keepLines w:val="0"/>
        <w:pageBreakBefore w:val="0"/>
        <w:widowControl w:val="0"/>
        <w:kinsoku/>
        <w:wordWrap/>
        <w:overflowPunct/>
        <w:topLinePunct w:val="0"/>
        <w:bidi w:val="0"/>
        <w:adjustRightInd w:val="0"/>
        <w:snapToGrid w:val="0"/>
        <w:spacing w:line="360" w:lineRule="auto"/>
        <w:ind w:firstLine="480" w:firstLineChars="2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lang w:eastAsia="zh-CN"/>
        </w:rPr>
        <w:t>①仔猪保育阶段</w:t>
      </w:r>
    </w:p>
    <w:p>
      <w:pPr>
        <w:keepNext w:val="0"/>
        <w:keepLines w:val="0"/>
        <w:pageBreakBefore w:val="0"/>
        <w:widowControl w:val="0"/>
        <w:kinsoku/>
        <w:wordWrap/>
        <w:overflowPunct/>
        <w:topLinePunct w:val="0"/>
        <w:bidi w:val="0"/>
        <w:adjustRightInd w:val="0"/>
        <w:snapToGrid w:val="0"/>
        <w:spacing w:line="360" w:lineRule="auto"/>
        <w:ind w:firstLine="480" w:firstLineChars="2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lang w:eastAsia="zh-CN"/>
        </w:rPr>
        <w:t>此阶段是断奶仔猪从产房转入到仔猪保育舍开始饲养至离开为止，为期3周。由于本阶段仔猪从产房转移到保育舍，生活环境发生较大变化，应积极采取有效措施，预防仔猪的应激反应，保持仔猪良好的生长态势，为下一阶段打基础。本项目不涉及保育，不设置产房。</w:t>
      </w:r>
    </w:p>
    <w:p>
      <w:pPr>
        <w:keepNext w:val="0"/>
        <w:keepLines w:val="0"/>
        <w:pageBreakBefore w:val="0"/>
        <w:widowControl w:val="0"/>
        <w:kinsoku/>
        <w:wordWrap/>
        <w:overflowPunct/>
        <w:topLinePunct w:val="0"/>
        <w:bidi w:val="0"/>
        <w:adjustRightInd w:val="0"/>
        <w:snapToGrid w:val="0"/>
        <w:spacing w:line="360" w:lineRule="auto"/>
        <w:ind w:firstLine="480" w:firstLineChars="2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lang w:eastAsia="zh-CN"/>
        </w:rPr>
        <w:t>②商品猪育肥饲养</w:t>
      </w:r>
    </w:p>
    <w:p>
      <w:pPr>
        <w:keepNext w:val="0"/>
        <w:keepLines w:val="0"/>
        <w:pageBreakBefore w:val="0"/>
        <w:widowControl w:val="0"/>
        <w:kinsoku/>
        <w:wordWrap/>
        <w:overflowPunct/>
        <w:topLinePunct w:val="0"/>
        <w:bidi w:val="0"/>
        <w:adjustRightInd w:val="0"/>
        <w:snapToGrid w:val="0"/>
        <w:spacing w:line="360" w:lineRule="auto"/>
        <w:ind w:firstLine="480" w:firstLineChars="2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lang w:eastAsia="zh-CN"/>
        </w:rPr>
        <w:t>猪舍要求夏天能通风降温，冬天能防寒保温。做到清洁卫生，每15天消毒1次。供给充足清洁的饮水。群体大小一致，强弱均衡，密度适当。正常情况</w:t>
      </w:r>
      <w:r>
        <w:rPr>
          <w:rFonts w:hint="eastAsia" w:ascii="Times New Roman" w:hAnsi="Times New Roman" w:eastAsia="宋体" w:cs="Times New Roman"/>
          <w:bCs/>
          <w:color w:val="auto"/>
          <w:sz w:val="24"/>
          <w:szCs w:val="24"/>
          <w:lang w:val="en-US" w:eastAsia="zh-CN"/>
        </w:rPr>
        <w:t>6</w:t>
      </w:r>
      <w:r>
        <w:rPr>
          <w:rFonts w:hint="eastAsia" w:ascii="Times New Roman" w:hAnsi="Times New Roman" w:eastAsia="宋体" w:cs="Times New Roman"/>
          <w:bCs/>
          <w:color w:val="auto"/>
          <w:sz w:val="24"/>
          <w:szCs w:val="24"/>
          <w:lang w:eastAsia="zh-CN"/>
        </w:rPr>
        <w:t>个月左右即可出栏。</w:t>
      </w:r>
    </w:p>
    <w:p>
      <w:pPr>
        <w:pStyle w:val="7"/>
        <w:adjustRightInd w:val="0"/>
        <w:snapToGrid w:val="0"/>
        <w:spacing w:before="0" w:after="0" w:line="360" w:lineRule="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3.1.2.</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lang w:eastAsia="zh-CN"/>
        </w:rPr>
        <w:t>清粪方式</w:t>
      </w:r>
    </w:p>
    <w:p>
      <w:pPr>
        <w:pStyle w:val="14"/>
        <w:keepNext w:val="0"/>
        <w:keepLines w:val="0"/>
        <w:pageBreakBefore w:val="0"/>
        <w:widowControl w:val="0"/>
        <w:kinsoku/>
        <w:wordWrap/>
        <w:overflowPunct/>
        <w:topLinePunct w:val="0"/>
        <w:autoSpaceDE w:val="0"/>
        <w:autoSpaceDN w:val="0"/>
        <w:bidi w:val="0"/>
        <w:adjustRightInd w:val="0"/>
        <w:snapToGrid w:val="0"/>
        <w:spacing w:after="0" w:line="360" w:lineRule="auto"/>
        <w:ind w:firstLine="464" w:firstLineChars="200"/>
        <w:textAlignment w:val="auto"/>
        <w:outlineLvl w:val="9"/>
        <w:rPr>
          <w:rFonts w:hint="eastAsia"/>
          <w:color w:val="auto"/>
          <w:spacing w:val="-4"/>
          <w:sz w:val="24"/>
          <w:lang w:eastAsia="zh-CN"/>
        </w:rPr>
      </w:pPr>
      <w:r>
        <w:rPr>
          <w:rFonts w:hint="eastAsia"/>
          <w:color w:val="auto"/>
          <w:spacing w:val="-4"/>
          <w:sz w:val="24"/>
          <w:lang w:eastAsia="zh-CN"/>
        </w:rPr>
        <w:t>本项目采用“重力式清粪工艺”工艺，猪舍地板为全漏粪地板，即地板由镂空的混凝土板组成，混凝土板下部为粪沟，猪产生的粪污由于重力作用从镂空地板下漏至粪沟储存。粪沟中设有排粪塞，利用虹吸原理，使粪污均匀分布在池底的排污口，从而有序排出。粪污管道将猪舍漏缝地板下的粪池分成几个区段，每个区段粪池下安装一个接头，粪池接头处配备一个排粪塞，以保证液体粪污能存留在猪舍粪池中。当液态粪污未排放时，管道内充满了空气，当要排空粪池时，可人工将排粪塞子用钩子提起来，随着排污塞子的打开，粪污开始陆续从一个个小单元粪池向排污管道里排放并流入管道，管道内空气逐渐排出，排气阀自动打开，当管道内完全充满粪污时，管道内不再向外排气，排气阀关闭，从而利于真空原理在压力差的作用下使粪污流入管道并顺利排出。</w:t>
      </w:r>
    </w:p>
    <w:p>
      <w:pPr>
        <w:pStyle w:val="14"/>
        <w:keepNext w:val="0"/>
        <w:keepLines w:val="0"/>
        <w:pageBreakBefore w:val="0"/>
        <w:widowControl w:val="0"/>
        <w:kinsoku/>
        <w:wordWrap/>
        <w:overflowPunct/>
        <w:topLinePunct w:val="0"/>
        <w:autoSpaceDE w:val="0"/>
        <w:autoSpaceDN w:val="0"/>
        <w:bidi w:val="0"/>
        <w:adjustRightInd w:val="0"/>
        <w:snapToGrid w:val="0"/>
        <w:spacing w:after="0" w:line="360" w:lineRule="auto"/>
        <w:ind w:firstLine="464" w:firstLineChars="200"/>
        <w:textAlignment w:val="auto"/>
        <w:outlineLvl w:val="9"/>
        <w:rPr>
          <w:rFonts w:hint="eastAsia"/>
          <w:color w:val="auto"/>
          <w:spacing w:val="-4"/>
          <w:sz w:val="24"/>
          <w:lang w:eastAsia="zh-CN"/>
        </w:rPr>
      </w:pPr>
      <w:r>
        <w:rPr>
          <w:rFonts w:hint="eastAsia"/>
          <w:color w:val="auto"/>
          <w:spacing w:val="-4"/>
          <w:sz w:val="24"/>
          <w:lang w:eastAsia="zh-CN"/>
        </w:rPr>
        <w:t>从粪污管道排出的粪污经格栅进入污水处理区的集粪池，再经固液分离机立即进行干湿分离，分离出的固体粪便在堆粪间进行好氧堆肥后还田利用，分离出的污水通过管道排入配套的污水处理区进行处理。本项目粪污可以实现粪污离开粪池立即进行干湿分离和无害化并全部实现综合利用，不混合排出。</w:t>
      </w:r>
    </w:p>
    <w:p>
      <w:pPr>
        <w:pStyle w:val="14"/>
        <w:keepNext w:val="0"/>
        <w:keepLines w:val="0"/>
        <w:pageBreakBefore w:val="0"/>
        <w:widowControl w:val="0"/>
        <w:kinsoku/>
        <w:wordWrap/>
        <w:overflowPunct/>
        <w:topLinePunct w:val="0"/>
        <w:autoSpaceDE w:val="0"/>
        <w:autoSpaceDN w:val="0"/>
        <w:bidi w:val="0"/>
        <w:adjustRightInd w:val="0"/>
        <w:snapToGrid w:val="0"/>
        <w:spacing w:after="0" w:line="360" w:lineRule="auto"/>
        <w:ind w:firstLine="464" w:firstLineChars="200"/>
        <w:textAlignment w:val="auto"/>
        <w:outlineLvl w:val="9"/>
        <w:rPr>
          <w:rFonts w:hint="eastAsia"/>
          <w:color w:val="auto"/>
          <w:spacing w:val="-4"/>
          <w:sz w:val="24"/>
          <w:lang w:eastAsia="zh-CN"/>
        </w:rPr>
      </w:pPr>
      <w:r>
        <w:rPr>
          <w:rFonts w:hint="eastAsia"/>
          <w:color w:val="auto"/>
          <w:spacing w:val="-4"/>
          <w:sz w:val="24"/>
          <w:lang w:eastAsia="zh-CN"/>
        </w:rPr>
        <w:t>根据国家环保部、农业部多次组织专家对牧原公司所采用模式的考察、论证，环保部办公厅“关于牧原食品股份有限公司部分养殖场清粪工艺问题的复函”（环办函【2015】425号）明确指出：“牧原食品股份有限公司部分养殖场所采用的清粪工艺不将清水用于圈舍粪尿日常清理；粪污产生即依靠重力离开猪舍进入储蓄池，大大减少了粪污产生量，并实现粪尿及时清理；粪污离开储蓄池即进行干湿分离和无害化并全部实现综合利用，没有混合排出。我部认为该清粪工艺具备干清粪工艺基本特征，符合相关技术规范的要求。”</w:t>
      </w:r>
    </w:p>
    <w:p>
      <w:pPr>
        <w:pStyle w:val="14"/>
        <w:keepNext w:val="0"/>
        <w:keepLines w:val="0"/>
        <w:pageBreakBefore w:val="0"/>
        <w:widowControl w:val="0"/>
        <w:kinsoku/>
        <w:wordWrap/>
        <w:overflowPunct/>
        <w:topLinePunct w:val="0"/>
        <w:autoSpaceDE w:val="0"/>
        <w:autoSpaceDN w:val="0"/>
        <w:bidi w:val="0"/>
        <w:adjustRightInd w:val="0"/>
        <w:snapToGrid w:val="0"/>
        <w:spacing w:after="0" w:line="360" w:lineRule="auto"/>
        <w:textAlignment w:val="auto"/>
        <w:outlineLvl w:val="9"/>
        <w:rPr>
          <w:rFonts w:hint="eastAsia"/>
          <w:color w:val="0000FF"/>
          <w:spacing w:val="-4"/>
          <w:sz w:val="24"/>
          <w:lang w:eastAsia="zh-CN"/>
        </w:rPr>
      </w:pPr>
      <w:r>
        <w:drawing>
          <wp:inline distT="0" distB="0" distL="114300" distR="114300">
            <wp:extent cx="5709920" cy="3378200"/>
            <wp:effectExtent l="0" t="0" r="5080" b="12700"/>
            <wp:docPr id="7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16"/>
                    <pic:cNvPicPr>
                      <a:picLocks noChangeAspect="1"/>
                    </pic:cNvPicPr>
                  </pic:nvPicPr>
                  <pic:blipFill>
                    <a:blip r:embed="rId25"/>
                    <a:stretch>
                      <a:fillRect/>
                    </a:stretch>
                  </pic:blipFill>
                  <pic:spPr>
                    <a:xfrm>
                      <a:off x="0" y="0"/>
                      <a:ext cx="5709920" cy="3378200"/>
                    </a:xfrm>
                    <a:prstGeom prst="rect">
                      <a:avLst/>
                    </a:prstGeom>
                    <a:noFill/>
                    <a:ln>
                      <a:noFill/>
                    </a:ln>
                  </pic:spPr>
                </pic:pic>
              </a:graphicData>
            </a:graphic>
          </wp:inline>
        </w:drawing>
      </w:r>
    </w:p>
    <w:p>
      <w:pPr>
        <w:pStyle w:val="14"/>
        <w:keepNext w:val="0"/>
        <w:keepLines w:val="0"/>
        <w:pageBreakBefore w:val="0"/>
        <w:widowControl w:val="0"/>
        <w:kinsoku/>
        <w:wordWrap/>
        <w:overflowPunct/>
        <w:topLinePunct w:val="0"/>
        <w:autoSpaceDE w:val="0"/>
        <w:autoSpaceDN w:val="0"/>
        <w:bidi w:val="0"/>
        <w:adjustRightInd w:val="0"/>
        <w:snapToGrid w:val="0"/>
        <w:spacing w:after="0" w:line="360" w:lineRule="auto"/>
        <w:ind w:firstLine="464" w:firstLineChars="200"/>
        <w:textAlignment w:val="auto"/>
        <w:outlineLvl w:val="9"/>
        <w:rPr>
          <w:rFonts w:hint="eastAsia"/>
          <w:color w:val="auto"/>
          <w:spacing w:val="-4"/>
          <w:sz w:val="24"/>
          <w:lang w:eastAsia="zh-CN"/>
        </w:rPr>
      </w:pPr>
      <w:r>
        <w:rPr>
          <w:rFonts w:hint="eastAsia"/>
          <w:color w:val="auto"/>
          <w:spacing w:val="-4"/>
          <w:sz w:val="24"/>
          <w:lang w:eastAsia="zh-CN"/>
        </w:rPr>
        <w:t>本项目“漏缝地板+固液分离”的工艺，采用的清粪工艺与牧原公司采用模式类似，属于干清粪工艺。本项目清粪工艺与环保部复函的对比详见下表：</w:t>
      </w:r>
    </w:p>
    <w:p>
      <w:pPr>
        <w:pStyle w:val="14"/>
        <w:keepNext w:val="0"/>
        <w:keepLines w:val="0"/>
        <w:pageBreakBefore w:val="0"/>
        <w:widowControl w:val="0"/>
        <w:kinsoku/>
        <w:wordWrap/>
        <w:overflowPunct/>
        <w:topLinePunct w:val="0"/>
        <w:autoSpaceDE w:val="0"/>
        <w:autoSpaceDN w:val="0"/>
        <w:bidi w:val="0"/>
        <w:adjustRightInd w:val="0"/>
        <w:snapToGrid w:val="0"/>
        <w:spacing w:after="0" w:line="360" w:lineRule="auto"/>
        <w:ind w:firstLine="422" w:firstLineChars="200"/>
        <w:jc w:val="center"/>
        <w:textAlignment w:val="auto"/>
        <w:outlineLvl w:val="9"/>
        <w:rPr>
          <w:rFonts w:hint="eastAsia"/>
          <w:color w:val="auto"/>
          <w:spacing w:val="-4"/>
          <w:sz w:val="24"/>
          <w:lang w:eastAsia="zh-CN"/>
        </w:rPr>
      </w:pPr>
      <w:r>
        <w:rPr>
          <w:rFonts w:hint="eastAsia" w:cs="宋体"/>
          <w:b/>
          <w:color w:val="auto"/>
          <w:sz w:val="21"/>
          <w:szCs w:val="21"/>
          <w:lang w:eastAsia="zh-CN"/>
        </w:rPr>
        <w:t>表</w:t>
      </w:r>
      <w:r>
        <w:rPr>
          <w:rFonts w:hint="eastAsia" w:ascii="Times New Roman" w:hAnsi="Times New Roman" w:eastAsia="宋体" w:cs="宋体"/>
          <w:b/>
          <w:color w:val="auto"/>
          <w:sz w:val="21"/>
          <w:szCs w:val="21"/>
        </w:rPr>
        <w:t>3.1-</w:t>
      </w:r>
      <w:r>
        <w:rPr>
          <w:rFonts w:hint="eastAsia" w:cs="宋体"/>
          <w:b/>
          <w:color w:val="auto"/>
          <w:sz w:val="21"/>
          <w:szCs w:val="21"/>
          <w:lang w:val="en-US" w:eastAsia="zh-CN"/>
        </w:rPr>
        <w:t>1</w:t>
      </w:r>
      <w:r>
        <w:rPr>
          <w:rFonts w:hint="eastAsia" w:ascii="Times New Roman" w:hAnsi="Times New Roman" w:eastAsia="宋体" w:cs="宋体"/>
          <w:b/>
          <w:color w:val="auto"/>
          <w:sz w:val="21"/>
          <w:szCs w:val="21"/>
          <w:lang w:val="en-US" w:eastAsia="zh-CN"/>
        </w:rPr>
        <w:t xml:space="preserve">  </w:t>
      </w:r>
      <w:r>
        <w:rPr>
          <w:rFonts w:hint="eastAsia" w:cs="宋体"/>
          <w:b/>
          <w:color w:val="auto"/>
          <w:sz w:val="21"/>
          <w:szCs w:val="21"/>
          <w:lang w:val="en-US" w:eastAsia="zh-CN"/>
        </w:rPr>
        <w:t>本项目清粪工艺与环保部复函对比表</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8"/>
        <w:gridCol w:w="3461"/>
        <w:gridCol w:w="4281"/>
        <w:gridCol w:w="8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pPr>
              <w:pStyle w:val="14"/>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outlineLvl w:val="9"/>
              <w:rPr>
                <w:rFonts w:hint="eastAsia"/>
                <w:color w:val="auto"/>
                <w:spacing w:val="-4"/>
                <w:sz w:val="21"/>
                <w:szCs w:val="21"/>
                <w:vertAlign w:val="baseline"/>
                <w:lang w:eastAsia="zh-CN"/>
              </w:rPr>
            </w:pPr>
            <w:r>
              <w:rPr>
                <w:rFonts w:hint="eastAsia"/>
                <w:color w:val="auto"/>
                <w:spacing w:val="-4"/>
                <w:sz w:val="21"/>
                <w:szCs w:val="21"/>
                <w:vertAlign w:val="baseline"/>
                <w:lang w:eastAsia="zh-CN"/>
              </w:rPr>
              <w:t>序号</w:t>
            </w:r>
          </w:p>
        </w:tc>
        <w:tc>
          <w:tcPr>
            <w:tcW w:w="3461" w:type="dxa"/>
            <w:vAlign w:val="center"/>
          </w:tcPr>
          <w:p>
            <w:pPr>
              <w:pStyle w:val="14"/>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outlineLvl w:val="9"/>
              <w:rPr>
                <w:rFonts w:hint="eastAsia"/>
                <w:color w:val="auto"/>
                <w:spacing w:val="-4"/>
                <w:sz w:val="21"/>
                <w:szCs w:val="21"/>
                <w:vertAlign w:val="baseline"/>
                <w:lang w:eastAsia="zh-CN"/>
              </w:rPr>
            </w:pPr>
            <w:r>
              <w:rPr>
                <w:rFonts w:hint="eastAsia"/>
                <w:color w:val="auto"/>
                <w:spacing w:val="-4"/>
                <w:sz w:val="21"/>
                <w:szCs w:val="21"/>
                <w:vertAlign w:val="baseline"/>
                <w:lang w:eastAsia="zh-CN"/>
              </w:rPr>
              <w:t>环保部复函</w:t>
            </w:r>
          </w:p>
        </w:tc>
        <w:tc>
          <w:tcPr>
            <w:tcW w:w="4281" w:type="dxa"/>
            <w:vAlign w:val="center"/>
          </w:tcPr>
          <w:p>
            <w:pPr>
              <w:pStyle w:val="14"/>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outlineLvl w:val="9"/>
              <w:rPr>
                <w:rFonts w:hint="eastAsia"/>
                <w:color w:val="auto"/>
                <w:spacing w:val="-4"/>
                <w:sz w:val="21"/>
                <w:szCs w:val="21"/>
                <w:vertAlign w:val="baseline"/>
                <w:lang w:eastAsia="zh-CN"/>
              </w:rPr>
            </w:pPr>
            <w:r>
              <w:rPr>
                <w:rFonts w:hint="eastAsia"/>
                <w:color w:val="auto"/>
                <w:spacing w:val="-4"/>
                <w:sz w:val="21"/>
                <w:szCs w:val="21"/>
                <w:vertAlign w:val="baseline"/>
                <w:lang w:eastAsia="zh-CN"/>
              </w:rPr>
              <w:t>本项目情况</w:t>
            </w:r>
          </w:p>
        </w:tc>
        <w:tc>
          <w:tcPr>
            <w:tcW w:w="828" w:type="dxa"/>
            <w:vAlign w:val="center"/>
          </w:tcPr>
          <w:p>
            <w:pPr>
              <w:pStyle w:val="14"/>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outlineLvl w:val="9"/>
              <w:rPr>
                <w:rFonts w:hint="eastAsia"/>
                <w:color w:val="auto"/>
                <w:spacing w:val="-4"/>
                <w:sz w:val="21"/>
                <w:szCs w:val="21"/>
                <w:vertAlign w:val="baseline"/>
                <w:lang w:eastAsia="zh-CN"/>
              </w:rPr>
            </w:pPr>
            <w:r>
              <w:rPr>
                <w:rFonts w:hint="eastAsia"/>
                <w:color w:val="auto"/>
                <w:spacing w:val="-4"/>
                <w:sz w:val="21"/>
                <w:szCs w:val="21"/>
                <w:vertAlign w:val="baseline"/>
                <w:lang w:eastAsia="zh-CN"/>
              </w:rPr>
              <w:t>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8" w:type="dxa"/>
            <w:vAlign w:val="center"/>
          </w:tcPr>
          <w:p>
            <w:pPr>
              <w:pStyle w:val="14"/>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outlineLvl w:val="9"/>
              <w:rPr>
                <w:rFonts w:hint="default"/>
                <w:color w:val="auto"/>
                <w:spacing w:val="-4"/>
                <w:sz w:val="21"/>
                <w:szCs w:val="21"/>
                <w:vertAlign w:val="baseline"/>
                <w:lang w:val="en-US" w:eastAsia="zh-CN"/>
              </w:rPr>
            </w:pPr>
            <w:r>
              <w:rPr>
                <w:rFonts w:hint="eastAsia"/>
                <w:color w:val="auto"/>
                <w:spacing w:val="-4"/>
                <w:sz w:val="21"/>
                <w:szCs w:val="21"/>
                <w:vertAlign w:val="baseline"/>
                <w:lang w:val="en-US" w:eastAsia="zh-CN"/>
              </w:rPr>
              <w:t>1</w:t>
            </w:r>
          </w:p>
        </w:tc>
        <w:tc>
          <w:tcPr>
            <w:tcW w:w="3461" w:type="dxa"/>
            <w:vAlign w:val="center"/>
          </w:tcPr>
          <w:p>
            <w:pPr>
              <w:pStyle w:val="14"/>
              <w:keepNext w:val="0"/>
              <w:keepLines w:val="0"/>
              <w:pageBreakBefore w:val="0"/>
              <w:widowControl w:val="0"/>
              <w:kinsoku/>
              <w:wordWrap/>
              <w:overflowPunct/>
              <w:topLinePunct w:val="0"/>
              <w:autoSpaceDE w:val="0"/>
              <w:autoSpaceDN w:val="0"/>
              <w:bidi w:val="0"/>
              <w:adjustRightInd w:val="0"/>
              <w:snapToGrid w:val="0"/>
              <w:spacing w:after="0" w:line="240" w:lineRule="auto"/>
              <w:jc w:val="left"/>
              <w:textAlignment w:val="auto"/>
              <w:outlineLvl w:val="9"/>
              <w:rPr>
                <w:rFonts w:hint="eastAsia"/>
                <w:color w:val="auto"/>
                <w:spacing w:val="-4"/>
                <w:sz w:val="21"/>
                <w:szCs w:val="21"/>
                <w:vertAlign w:val="baseline"/>
                <w:lang w:eastAsia="zh-CN"/>
              </w:rPr>
            </w:pPr>
            <w:r>
              <w:rPr>
                <w:rFonts w:hint="eastAsia"/>
                <w:color w:val="auto"/>
                <w:spacing w:val="-4"/>
                <w:sz w:val="21"/>
                <w:szCs w:val="21"/>
                <w:vertAlign w:val="baseline"/>
                <w:lang w:eastAsia="zh-CN"/>
              </w:rPr>
              <w:t>不将清水用于圈舍粪尿日常清理</w:t>
            </w:r>
          </w:p>
        </w:tc>
        <w:tc>
          <w:tcPr>
            <w:tcW w:w="4281" w:type="dxa"/>
            <w:vAlign w:val="center"/>
          </w:tcPr>
          <w:p>
            <w:pPr>
              <w:pStyle w:val="14"/>
              <w:keepNext w:val="0"/>
              <w:keepLines w:val="0"/>
              <w:pageBreakBefore w:val="0"/>
              <w:widowControl w:val="0"/>
              <w:kinsoku/>
              <w:wordWrap/>
              <w:overflowPunct/>
              <w:topLinePunct w:val="0"/>
              <w:autoSpaceDE w:val="0"/>
              <w:autoSpaceDN w:val="0"/>
              <w:bidi w:val="0"/>
              <w:adjustRightInd w:val="0"/>
              <w:snapToGrid w:val="0"/>
              <w:spacing w:after="0" w:line="240" w:lineRule="auto"/>
              <w:jc w:val="left"/>
              <w:textAlignment w:val="auto"/>
              <w:outlineLvl w:val="9"/>
              <w:rPr>
                <w:rFonts w:hint="eastAsia"/>
                <w:color w:val="auto"/>
                <w:spacing w:val="-4"/>
                <w:sz w:val="21"/>
                <w:szCs w:val="21"/>
                <w:vertAlign w:val="baseline"/>
                <w:lang w:eastAsia="zh-CN"/>
              </w:rPr>
            </w:pPr>
            <w:r>
              <w:rPr>
                <w:rFonts w:hint="eastAsia"/>
                <w:color w:val="auto"/>
                <w:spacing w:val="-4"/>
                <w:sz w:val="21"/>
                <w:szCs w:val="21"/>
                <w:vertAlign w:val="baseline"/>
                <w:lang w:eastAsia="zh-CN"/>
              </w:rPr>
              <w:t>本项目日常清理不用水，仅依靠重力作用使粪尿离开猪舍</w:t>
            </w:r>
          </w:p>
        </w:tc>
        <w:tc>
          <w:tcPr>
            <w:tcW w:w="828" w:type="dxa"/>
            <w:vAlign w:val="center"/>
          </w:tcPr>
          <w:p>
            <w:pPr>
              <w:pStyle w:val="14"/>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outlineLvl w:val="9"/>
              <w:rPr>
                <w:rFonts w:hint="eastAsia"/>
                <w:color w:val="auto"/>
                <w:spacing w:val="-4"/>
                <w:sz w:val="21"/>
                <w:szCs w:val="21"/>
                <w:vertAlign w:val="baseline"/>
                <w:lang w:eastAsia="zh-CN"/>
              </w:rPr>
            </w:pPr>
            <w:r>
              <w:rPr>
                <w:rFonts w:hint="eastAsia"/>
                <w:color w:val="auto"/>
                <w:spacing w:val="-4"/>
                <w:sz w:val="21"/>
                <w:szCs w:val="21"/>
                <w:vertAlign w:val="baseline"/>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pPr>
              <w:pStyle w:val="14"/>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outlineLvl w:val="9"/>
              <w:rPr>
                <w:rFonts w:hint="default"/>
                <w:color w:val="auto"/>
                <w:spacing w:val="-4"/>
                <w:sz w:val="21"/>
                <w:szCs w:val="21"/>
                <w:vertAlign w:val="baseline"/>
                <w:lang w:val="en-US" w:eastAsia="zh-CN"/>
              </w:rPr>
            </w:pPr>
            <w:r>
              <w:rPr>
                <w:rFonts w:hint="eastAsia"/>
                <w:color w:val="auto"/>
                <w:spacing w:val="-4"/>
                <w:sz w:val="21"/>
                <w:szCs w:val="21"/>
                <w:vertAlign w:val="baseline"/>
                <w:lang w:val="en-US" w:eastAsia="zh-CN"/>
              </w:rPr>
              <w:t>2</w:t>
            </w:r>
          </w:p>
        </w:tc>
        <w:tc>
          <w:tcPr>
            <w:tcW w:w="3461" w:type="dxa"/>
            <w:vAlign w:val="center"/>
          </w:tcPr>
          <w:p>
            <w:pPr>
              <w:pStyle w:val="14"/>
              <w:keepNext w:val="0"/>
              <w:keepLines w:val="0"/>
              <w:pageBreakBefore w:val="0"/>
              <w:widowControl w:val="0"/>
              <w:kinsoku/>
              <w:wordWrap/>
              <w:overflowPunct/>
              <w:topLinePunct w:val="0"/>
              <w:autoSpaceDE w:val="0"/>
              <w:autoSpaceDN w:val="0"/>
              <w:bidi w:val="0"/>
              <w:adjustRightInd w:val="0"/>
              <w:snapToGrid w:val="0"/>
              <w:spacing w:after="0" w:line="240" w:lineRule="auto"/>
              <w:jc w:val="left"/>
              <w:textAlignment w:val="auto"/>
              <w:outlineLvl w:val="9"/>
              <w:rPr>
                <w:rFonts w:hint="eastAsia"/>
                <w:color w:val="auto"/>
                <w:spacing w:val="-4"/>
                <w:sz w:val="21"/>
                <w:szCs w:val="21"/>
                <w:vertAlign w:val="baseline"/>
                <w:lang w:eastAsia="zh-CN"/>
              </w:rPr>
            </w:pPr>
            <w:r>
              <w:rPr>
                <w:rFonts w:hint="eastAsia"/>
                <w:color w:val="auto"/>
                <w:spacing w:val="-4"/>
                <w:sz w:val="21"/>
                <w:szCs w:val="21"/>
                <w:vertAlign w:val="baseline"/>
                <w:lang w:eastAsia="zh-CN"/>
              </w:rPr>
              <w:t>粪尿产生即依靠重力离开猪舍进入储存池</w:t>
            </w:r>
          </w:p>
        </w:tc>
        <w:tc>
          <w:tcPr>
            <w:tcW w:w="4281" w:type="dxa"/>
            <w:vAlign w:val="center"/>
          </w:tcPr>
          <w:p>
            <w:pPr>
              <w:pStyle w:val="14"/>
              <w:keepNext w:val="0"/>
              <w:keepLines w:val="0"/>
              <w:pageBreakBefore w:val="0"/>
              <w:widowControl w:val="0"/>
              <w:kinsoku/>
              <w:wordWrap/>
              <w:overflowPunct/>
              <w:topLinePunct w:val="0"/>
              <w:autoSpaceDE w:val="0"/>
              <w:autoSpaceDN w:val="0"/>
              <w:bidi w:val="0"/>
              <w:adjustRightInd w:val="0"/>
              <w:snapToGrid w:val="0"/>
              <w:spacing w:after="0" w:line="240" w:lineRule="auto"/>
              <w:jc w:val="left"/>
              <w:textAlignment w:val="auto"/>
              <w:outlineLvl w:val="9"/>
              <w:rPr>
                <w:rFonts w:hint="eastAsia"/>
                <w:color w:val="auto"/>
                <w:spacing w:val="-4"/>
                <w:sz w:val="21"/>
                <w:szCs w:val="21"/>
                <w:vertAlign w:val="baseline"/>
                <w:lang w:eastAsia="zh-CN"/>
              </w:rPr>
            </w:pPr>
            <w:r>
              <w:rPr>
                <w:rFonts w:hint="eastAsia"/>
                <w:color w:val="auto"/>
                <w:spacing w:val="-4"/>
                <w:sz w:val="21"/>
                <w:szCs w:val="21"/>
                <w:vertAlign w:val="baseline"/>
                <w:lang w:eastAsia="zh-CN"/>
              </w:rPr>
              <w:t>本项目粪尿产生即依靠重力作用从漏缝地板进入猪舍下面的粪沟，并依靠重力自流至集粪池</w:t>
            </w:r>
          </w:p>
        </w:tc>
        <w:tc>
          <w:tcPr>
            <w:tcW w:w="828" w:type="dxa"/>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outlineLvl w:val="9"/>
              <w:rPr>
                <w:rFonts w:hint="eastAsia"/>
                <w:color w:val="auto"/>
                <w:spacing w:val="-4"/>
                <w:sz w:val="21"/>
                <w:szCs w:val="21"/>
                <w:vertAlign w:val="baseline"/>
                <w:lang w:eastAsia="zh-CN"/>
              </w:rPr>
            </w:pPr>
            <w:r>
              <w:rPr>
                <w:rFonts w:hint="eastAsia"/>
                <w:color w:val="auto"/>
                <w:spacing w:val="-4"/>
                <w:sz w:val="21"/>
                <w:szCs w:val="21"/>
                <w:vertAlign w:val="baseline"/>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pPr>
              <w:pStyle w:val="14"/>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outlineLvl w:val="9"/>
              <w:rPr>
                <w:rFonts w:hint="default"/>
                <w:color w:val="auto"/>
                <w:spacing w:val="-4"/>
                <w:sz w:val="21"/>
                <w:szCs w:val="21"/>
                <w:vertAlign w:val="baseline"/>
                <w:lang w:val="en-US" w:eastAsia="zh-CN"/>
              </w:rPr>
            </w:pPr>
            <w:r>
              <w:rPr>
                <w:rFonts w:hint="eastAsia"/>
                <w:color w:val="auto"/>
                <w:spacing w:val="-4"/>
                <w:sz w:val="21"/>
                <w:szCs w:val="21"/>
                <w:vertAlign w:val="baseline"/>
                <w:lang w:val="en-US" w:eastAsia="zh-CN"/>
              </w:rPr>
              <w:t>3</w:t>
            </w:r>
          </w:p>
        </w:tc>
        <w:tc>
          <w:tcPr>
            <w:tcW w:w="3461" w:type="dxa"/>
            <w:vAlign w:val="center"/>
          </w:tcPr>
          <w:p>
            <w:pPr>
              <w:pStyle w:val="14"/>
              <w:keepNext w:val="0"/>
              <w:keepLines w:val="0"/>
              <w:pageBreakBefore w:val="0"/>
              <w:widowControl w:val="0"/>
              <w:kinsoku/>
              <w:wordWrap/>
              <w:overflowPunct/>
              <w:topLinePunct w:val="0"/>
              <w:autoSpaceDE w:val="0"/>
              <w:autoSpaceDN w:val="0"/>
              <w:bidi w:val="0"/>
              <w:adjustRightInd w:val="0"/>
              <w:snapToGrid w:val="0"/>
              <w:spacing w:after="0" w:line="240" w:lineRule="auto"/>
              <w:jc w:val="left"/>
              <w:textAlignment w:val="auto"/>
              <w:outlineLvl w:val="9"/>
              <w:rPr>
                <w:rFonts w:hint="eastAsia"/>
                <w:color w:val="auto"/>
                <w:spacing w:val="-4"/>
                <w:sz w:val="21"/>
                <w:szCs w:val="21"/>
                <w:vertAlign w:val="baseline"/>
                <w:lang w:eastAsia="zh-CN"/>
              </w:rPr>
            </w:pPr>
            <w:r>
              <w:rPr>
                <w:rFonts w:hint="eastAsia"/>
                <w:color w:val="auto"/>
                <w:spacing w:val="-4"/>
                <w:sz w:val="21"/>
                <w:szCs w:val="21"/>
                <w:vertAlign w:val="baseline"/>
                <w:lang w:eastAsia="zh-CN"/>
              </w:rPr>
              <w:t>大大减少了粪污产生量</w:t>
            </w:r>
          </w:p>
        </w:tc>
        <w:tc>
          <w:tcPr>
            <w:tcW w:w="4281" w:type="dxa"/>
            <w:vAlign w:val="center"/>
          </w:tcPr>
          <w:p>
            <w:pPr>
              <w:pStyle w:val="14"/>
              <w:keepNext w:val="0"/>
              <w:keepLines w:val="0"/>
              <w:pageBreakBefore w:val="0"/>
              <w:widowControl w:val="0"/>
              <w:kinsoku/>
              <w:wordWrap/>
              <w:overflowPunct/>
              <w:topLinePunct w:val="0"/>
              <w:autoSpaceDE w:val="0"/>
              <w:autoSpaceDN w:val="0"/>
              <w:bidi w:val="0"/>
              <w:adjustRightInd w:val="0"/>
              <w:snapToGrid w:val="0"/>
              <w:spacing w:after="0" w:line="240" w:lineRule="auto"/>
              <w:jc w:val="left"/>
              <w:textAlignment w:val="auto"/>
              <w:outlineLvl w:val="9"/>
              <w:rPr>
                <w:rFonts w:hint="eastAsia"/>
                <w:color w:val="auto"/>
                <w:spacing w:val="-4"/>
                <w:sz w:val="21"/>
                <w:szCs w:val="21"/>
                <w:vertAlign w:val="baseline"/>
                <w:lang w:eastAsia="zh-CN"/>
              </w:rPr>
            </w:pPr>
            <w:r>
              <w:rPr>
                <w:rFonts w:hint="eastAsia"/>
                <w:color w:val="auto"/>
                <w:spacing w:val="-4"/>
                <w:sz w:val="21"/>
                <w:szCs w:val="21"/>
                <w:vertAlign w:val="baseline"/>
                <w:lang w:eastAsia="zh-CN"/>
              </w:rPr>
              <w:t>本项目粪尿产生即离开漏缝地板，不用水冲等措施，减少了粪尿产生量</w:t>
            </w:r>
          </w:p>
        </w:tc>
        <w:tc>
          <w:tcPr>
            <w:tcW w:w="828" w:type="dxa"/>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outlineLvl w:val="9"/>
              <w:rPr>
                <w:rFonts w:hint="eastAsia"/>
                <w:color w:val="auto"/>
                <w:spacing w:val="-4"/>
                <w:sz w:val="21"/>
                <w:szCs w:val="21"/>
                <w:vertAlign w:val="baseline"/>
                <w:lang w:eastAsia="zh-CN"/>
              </w:rPr>
            </w:pPr>
            <w:r>
              <w:rPr>
                <w:rFonts w:hint="eastAsia"/>
                <w:color w:val="auto"/>
                <w:spacing w:val="-4"/>
                <w:sz w:val="21"/>
                <w:szCs w:val="21"/>
                <w:vertAlign w:val="baseline"/>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pPr>
              <w:pStyle w:val="14"/>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outlineLvl w:val="9"/>
              <w:rPr>
                <w:rFonts w:hint="default"/>
                <w:color w:val="auto"/>
                <w:spacing w:val="-4"/>
                <w:sz w:val="21"/>
                <w:szCs w:val="21"/>
                <w:vertAlign w:val="baseline"/>
                <w:lang w:val="en-US" w:eastAsia="zh-CN"/>
              </w:rPr>
            </w:pPr>
            <w:r>
              <w:rPr>
                <w:rFonts w:hint="eastAsia"/>
                <w:color w:val="auto"/>
                <w:spacing w:val="-4"/>
                <w:sz w:val="21"/>
                <w:szCs w:val="21"/>
                <w:vertAlign w:val="baseline"/>
                <w:lang w:val="en-US" w:eastAsia="zh-CN"/>
              </w:rPr>
              <w:t>4</w:t>
            </w:r>
          </w:p>
        </w:tc>
        <w:tc>
          <w:tcPr>
            <w:tcW w:w="3461" w:type="dxa"/>
            <w:vAlign w:val="center"/>
          </w:tcPr>
          <w:p>
            <w:pPr>
              <w:pStyle w:val="14"/>
              <w:keepNext w:val="0"/>
              <w:keepLines w:val="0"/>
              <w:pageBreakBefore w:val="0"/>
              <w:widowControl w:val="0"/>
              <w:kinsoku/>
              <w:wordWrap/>
              <w:overflowPunct/>
              <w:topLinePunct w:val="0"/>
              <w:autoSpaceDE w:val="0"/>
              <w:autoSpaceDN w:val="0"/>
              <w:bidi w:val="0"/>
              <w:adjustRightInd w:val="0"/>
              <w:snapToGrid w:val="0"/>
              <w:spacing w:after="0" w:line="240" w:lineRule="auto"/>
              <w:jc w:val="left"/>
              <w:textAlignment w:val="auto"/>
              <w:outlineLvl w:val="9"/>
              <w:rPr>
                <w:rFonts w:hint="eastAsia"/>
                <w:color w:val="auto"/>
                <w:spacing w:val="-4"/>
                <w:sz w:val="21"/>
                <w:szCs w:val="21"/>
                <w:vertAlign w:val="baseline"/>
                <w:lang w:eastAsia="zh-CN"/>
              </w:rPr>
            </w:pPr>
            <w:r>
              <w:rPr>
                <w:rFonts w:hint="eastAsia"/>
                <w:color w:val="auto"/>
                <w:spacing w:val="-4"/>
                <w:sz w:val="21"/>
                <w:szCs w:val="21"/>
                <w:vertAlign w:val="baseline"/>
                <w:lang w:eastAsia="zh-CN"/>
              </w:rPr>
              <w:t>并实现粪尿及时清理</w:t>
            </w:r>
          </w:p>
        </w:tc>
        <w:tc>
          <w:tcPr>
            <w:tcW w:w="4281" w:type="dxa"/>
            <w:vAlign w:val="center"/>
          </w:tcPr>
          <w:p>
            <w:pPr>
              <w:pStyle w:val="14"/>
              <w:keepNext w:val="0"/>
              <w:keepLines w:val="0"/>
              <w:pageBreakBefore w:val="0"/>
              <w:widowControl w:val="0"/>
              <w:kinsoku/>
              <w:wordWrap/>
              <w:overflowPunct/>
              <w:topLinePunct w:val="0"/>
              <w:autoSpaceDE w:val="0"/>
              <w:autoSpaceDN w:val="0"/>
              <w:bidi w:val="0"/>
              <w:adjustRightInd w:val="0"/>
              <w:snapToGrid w:val="0"/>
              <w:spacing w:after="0" w:line="240" w:lineRule="auto"/>
              <w:jc w:val="left"/>
              <w:textAlignment w:val="auto"/>
              <w:outlineLvl w:val="9"/>
              <w:rPr>
                <w:rFonts w:hint="eastAsia"/>
                <w:color w:val="auto"/>
                <w:spacing w:val="-4"/>
                <w:sz w:val="21"/>
                <w:szCs w:val="21"/>
                <w:vertAlign w:val="baseline"/>
                <w:lang w:eastAsia="zh-CN"/>
              </w:rPr>
            </w:pPr>
            <w:r>
              <w:rPr>
                <w:rFonts w:hint="eastAsia"/>
                <w:color w:val="auto"/>
                <w:spacing w:val="-4"/>
                <w:sz w:val="21"/>
                <w:szCs w:val="21"/>
                <w:vertAlign w:val="baseline"/>
                <w:lang w:eastAsia="zh-CN"/>
              </w:rPr>
              <w:t>本项目粪尿使产生即离开漏缝地板，实现粪尿及时清理</w:t>
            </w:r>
          </w:p>
        </w:tc>
        <w:tc>
          <w:tcPr>
            <w:tcW w:w="828" w:type="dxa"/>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outlineLvl w:val="9"/>
              <w:rPr>
                <w:rFonts w:hint="eastAsia"/>
                <w:color w:val="auto"/>
                <w:spacing w:val="-4"/>
                <w:sz w:val="21"/>
                <w:szCs w:val="21"/>
                <w:vertAlign w:val="baseline"/>
                <w:lang w:eastAsia="zh-CN"/>
              </w:rPr>
            </w:pPr>
            <w:r>
              <w:rPr>
                <w:rFonts w:hint="eastAsia"/>
                <w:color w:val="auto"/>
                <w:spacing w:val="-4"/>
                <w:sz w:val="21"/>
                <w:szCs w:val="21"/>
                <w:vertAlign w:val="baseline"/>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pPr>
              <w:pStyle w:val="14"/>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outlineLvl w:val="9"/>
              <w:rPr>
                <w:rFonts w:hint="default"/>
                <w:color w:val="auto"/>
                <w:spacing w:val="-4"/>
                <w:sz w:val="21"/>
                <w:szCs w:val="21"/>
                <w:vertAlign w:val="baseline"/>
                <w:lang w:val="en-US" w:eastAsia="zh-CN"/>
              </w:rPr>
            </w:pPr>
            <w:r>
              <w:rPr>
                <w:rFonts w:hint="eastAsia"/>
                <w:color w:val="auto"/>
                <w:spacing w:val="-4"/>
                <w:sz w:val="21"/>
                <w:szCs w:val="21"/>
                <w:vertAlign w:val="baseline"/>
                <w:lang w:val="en-US" w:eastAsia="zh-CN"/>
              </w:rPr>
              <w:t>5</w:t>
            </w:r>
          </w:p>
        </w:tc>
        <w:tc>
          <w:tcPr>
            <w:tcW w:w="3461" w:type="dxa"/>
            <w:vAlign w:val="center"/>
          </w:tcPr>
          <w:p>
            <w:pPr>
              <w:pStyle w:val="14"/>
              <w:keepNext w:val="0"/>
              <w:keepLines w:val="0"/>
              <w:pageBreakBefore w:val="0"/>
              <w:widowControl w:val="0"/>
              <w:kinsoku/>
              <w:wordWrap/>
              <w:overflowPunct/>
              <w:topLinePunct w:val="0"/>
              <w:autoSpaceDE w:val="0"/>
              <w:autoSpaceDN w:val="0"/>
              <w:bidi w:val="0"/>
              <w:adjustRightInd w:val="0"/>
              <w:snapToGrid w:val="0"/>
              <w:spacing w:after="0" w:line="240" w:lineRule="auto"/>
              <w:jc w:val="left"/>
              <w:textAlignment w:val="auto"/>
              <w:outlineLvl w:val="9"/>
              <w:rPr>
                <w:rFonts w:hint="eastAsia" w:ascii="Times New Roman" w:hAnsi="Times New Roman" w:eastAsia="宋体" w:cs="Times New Roman"/>
                <w:color w:val="auto"/>
                <w:spacing w:val="-4"/>
                <w:kern w:val="2"/>
                <w:sz w:val="21"/>
                <w:szCs w:val="21"/>
                <w:vertAlign w:val="baseline"/>
                <w:lang w:val="en-US" w:eastAsia="zh-CN" w:bidi="ar-SA"/>
              </w:rPr>
            </w:pPr>
            <w:r>
              <w:rPr>
                <w:rFonts w:hint="eastAsia"/>
                <w:color w:val="auto"/>
                <w:spacing w:val="-4"/>
                <w:sz w:val="21"/>
                <w:szCs w:val="21"/>
                <w:vertAlign w:val="baseline"/>
                <w:lang w:eastAsia="zh-CN"/>
              </w:rPr>
              <w:t>粪污离开储存池即进行干湿分离和无害化</w:t>
            </w:r>
          </w:p>
        </w:tc>
        <w:tc>
          <w:tcPr>
            <w:tcW w:w="4281" w:type="dxa"/>
            <w:vAlign w:val="center"/>
          </w:tcPr>
          <w:p>
            <w:pPr>
              <w:pStyle w:val="14"/>
              <w:keepNext w:val="0"/>
              <w:keepLines w:val="0"/>
              <w:pageBreakBefore w:val="0"/>
              <w:widowControl w:val="0"/>
              <w:kinsoku/>
              <w:wordWrap/>
              <w:overflowPunct/>
              <w:topLinePunct w:val="0"/>
              <w:autoSpaceDE w:val="0"/>
              <w:autoSpaceDN w:val="0"/>
              <w:bidi w:val="0"/>
              <w:adjustRightInd w:val="0"/>
              <w:snapToGrid w:val="0"/>
              <w:spacing w:after="0" w:line="240" w:lineRule="auto"/>
              <w:jc w:val="left"/>
              <w:textAlignment w:val="auto"/>
              <w:outlineLvl w:val="9"/>
              <w:rPr>
                <w:rFonts w:hint="eastAsia"/>
                <w:color w:val="auto"/>
                <w:spacing w:val="-4"/>
                <w:sz w:val="21"/>
                <w:szCs w:val="21"/>
                <w:vertAlign w:val="baseline"/>
                <w:lang w:val="en-US" w:eastAsia="zh-CN"/>
              </w:rPr>
            </w:pPr>
            <w:r>
              <w:rPr>
                <w:rFonts w:hint="eastAsia"/>
                <w:color w:val="auto"/>
                <w:spacing w:val="-4"/>
                <w:sz w:val="21"/>
                <w:szCs w:val="21"/>
                <w:vertAlign w:val="baseline"/>
                <w:lang w:eastAsia="zh-CN"/>
              </w:rPr>
              <w:t>本项目依靠重力作用进入集粪池的粪尿，离开集粪池即进入固液分离工序进行干湿分离。猪粪进行好氧堆肥后还田利用，液体经污水处理站处理后用于周边农田灌溉</w:t>
            </w:r>
          </w:p>
        </w:tc>
        <w:tc>
          <w:tcPr>
            <w:tcW w:w="828" w:type="dxa"/>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outlineLvl w:val="9"/>
              <w:rPr>
                <w:rFonts w:hint="eastAsia"/>
                <w:color w:val="auto"/>
                <w:spacing w:val="-4"/>
                <w:sz w:val="21"/>
                <w:szCs w:val="21"/>
                <w:vertAlign w:val="baseline"/>
                <w:lang w:eastAsia="zh-CN"/>
              </w:rPr>
            </w:pPr>
            <w:r>
              <w:rPr>
                <w:rFonts w:hint="eastAsia"/>
                <w:color w:val="auto"/>
                <w:spacing w:val="-4"/>
                <w:sz w:val="21"/>
                <w:szCs w:val="21"/>
                <w:vertAlign w:val="baseline"/>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pPr>
              <w:pStyle w:val="14"/>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outlineLvl w:val="9"/>
              <w:rPr>
                <w:rFonts w:hint="default"/>
                <w:color w:val="auto"/>
                <w:spacing w:val="-4"/>
                <w:sz w:val="21"/>
                <w:szCs w:val="21"/>
                <w:vertAlign w:val="baseline"/>
                <w:lang w:val="en-US" w:eastAsia="zh-CN"/>
              </w:rPr>
            </w:pPr>
            <w:r>
              <w:rPr>
                <w:rFonts w:hint="eastAsia"/>
                <w:color w:val="auto"/>
                <w:spacing w:val="-4"/>
                <w:sz w:val="21"/>
                <w:szCs w:val="21"/>
                <w:vertAlign w:val="baseline"/>
                <w:lang w:val="en-US" w:eastAsia="zh-CN"/>
              </w:rPr>
              <w:t>6</w:t>
            </w:r>
          </w:p>
        </w:tc>
        <w:tc>
          <w:tcPr>
            <w:tcW w:w="3461" w:type="dxa"/>
            <w:vAlign w:val="center"/>
          </w:tcPr>
          <w:p>
            <w:pPr>
              <w:pStyle w:val="14"/>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outlineLvl w:val="9"/>
              <w:rPr>
                <w:rFonts w:hint="eastAsia" w:ascii="Times New Roman" w:hAnsi="Times New Roman" w:eastAsia="宋体" w:cs="Times New Roman"/>
                <w:color w:val="auto"/>
                <w:spacing w:val="-4"/>
                <w:kern w:val="2"/>
                <w:sz w:val="21"/>
                <w:szCs w:val="21"/>
                <w:vertAlign w:val="baseline"/>
                <w:lang w:val="en-US" w:eastAsia="zh-CN" w:bidi="ar-SA"/>
              </w:rPr>
            </w:pPr>
            <w:r>
              <w:rPr>
                <w:rFonts w:hint="eastAsia"/>
                <w:color w:val="auto"/>
                <w:spacing w:val="-4"/>
                <w:sz w:val="21"/>
                <w:szCs w:val="21"/>
                <w:vertAlign w:val="baseline"/>
                <w:lang w:eastAsia="zh-CN"/>
              </w:rPr>
              <w:t>并全部实现综合利用</w:t>
            </w:r>
          </w:p>
        </w:tc>
        <w:tc>
          <w:tcPr>
            <w:tcW w:w="4281" w:type="dxa"/>
            <w:vAlign w:val="center"/>
          </w:tcPr>
          <w:p>
            <w:pPr>
              <w:pStyle w:val="14"/>
              <w:keepNext w:val="0"/>
              <w:keepLines w:val="0"/>
              <w:pageBreakBefore w:val="0"/>
              <w:widowControl w:val="0"/>
              <w:kinsoku/>
              <w:wordWrap/>
              <w:overflowPunct/>
              <w:topLinePunct w:val="0"/>
              <w:autoSpaceDE w:val="0"/>
              <w:autoSpaceDN w:val="0"/>
              <w:bidi w:val="0"/>
              <w:adjustRightInd w:val="0"/>
              <w:snapToGrid w:val="0"/>
              <w:spacing w:after="0" w:line="240" w:lineRule="auto"/>
              <w:jc w:val="left"/>
              <w:textAlignment w:val="auto"/>
              <w:outlineLvl w:val="9"/>
              <w:rPr>
                <w:rFonts w:hint="eastAsia"/>
                <w:color w:val="auto"/>
                <w:spacing w:val="-4"/>
                <w:sz w:val="21"/>
                <w:szCs w:val="21"/>
                <w:vertAlign w:val="baseline"/>
                <w:lang w:val="en-US" w:eastAsia="zh-CN"/>
              </w:rPr>
            </w:pPr>
            <w:r>
              <w:rPr>
                <w:rFonts w:hint="eastAsia"/>
                <w:color w:val="auto"/>
                <w:spacing w:val="-4"/>
                <w:sz w:val="21"/>
                <w:szCs w:val="21"/>
                <w:vertAlign w:val="baseline"/>
                <w:lang w:eastAsia="zh-CN"/>
              </w:rPr>
              <w:t>猪粪好氧堆肥后还田利用，液体污水处理站进一步处理后，尾水用于周边农田灌溉，全部实现综合利用</w:t>
            </w:r>
          </w:p>
        </w:tc>
        <w:tc>
          <w:tcPr>
            <w:tcW w:w="828" w:type="dxa"/>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outlineLvl w:val="9"/>
              <w:rPr>
                <w:rFonts w:hint="eastAsia"/>
                <w:color w:val="auto"/>
                <w:spacing w:val="-4"/>
                <w:sz w:val="21"/>
                <w:szCs w:val="21"/>
                <w:vertAlign w:val="baseline"/>
                <w:lang w:eastAsia="zh-CN"/>
              </w:rPr>
            </w:pPr>
            <w:r>
              <w:rPr>
                <w:rFonts w:hint="eastAsia"/>
                <w:color w:val="auto"/>
                <w:spacing w:val="-4"/>
                <w:sz w:val="21"/>
                <w:szCs w:val="21"/>
                <w:vertAlign w:val="baseline"/>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pPr>
              <w:pStyle w:val="14"/>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outlineLvl w:val="9"/>
              <w:rPr>
                <w:rFonts w:hint="default"/>
                <w:color w:val="auto"/>
                <w:spacing w:val="-4"/>
                <w:sz w:val="21"/>
                <w:szCs w:val="21"/>
                <w:vertAlign w:val="baseline"/>
                <w:lang w:val="en-US" w:eastAsia="zh-CN"/>
              </w:rPr>
            </w:pPr>
            <w:r>
              <w:rPr>
                <w:rFonts w:hint="eastAsia"/>
                <w:color w:val="auto"/>
                <w:spacing w:val="-4"/>
                <w:sz w:val="21"/>
                <w:szCs w:val="21"/>
                <w:vertAlign w:val="baseline"/>
                <w:lang w:val="en-US" w:eastAsia="zh-CN"/>
              </w:rPr>
              <w:t>7</w:t>
            </w:r>
          </w:p>
        </w:tc>
        <w:tc>
          <w:tcPr>
            <w:tcW w:w="3461" w:type="dxa"/>
            <w:vAlign w:val="center"/>
          </w:tcPr>
          <w:p>
            <w:pPr>
              <w:pStyle w:val="14"/>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outlineLvl w:val="9"/>
              <w:rPr>
                <w:rFonts w:hint="eastAsia" w:ascii="Times New Roman" w:hAnsi="Times New Roman" w:eastAsia="宋体" w:cs="Times New Roman"/>
                <w:color w:val="auto"/>
                <w:spacing w:val="-4"/>
                <w:kern w:val="2"/>
                <w:sz w:val="21"/>
                <w:szCs w:val="21"/>
                <w:vertAlign w:val="baseline"/>
                <w:lang w:val="en-US" w:eastAsia="zh-CN" w:bidi="ar-SA"/>
              </w:rPr>
            </w:pPr>
            <w:r>
              <w:rPr>
                <w:rFonts w:hint="eastAsia"/>
                <w:color w:val="auto"/>
                <w:spacing w:val="-4"/>
                <w:sz w:val="21"/>
                <w:szCs w:val="21"/>
                <w:vertAlign w:val="baseline"/>
                <w:lang w:eastAsia="zh-CN"/>
              </w:rPr>
              <w:t>没有混合排出</w:t>
            </w:r>
          </w:p>
        </w:tc>
        <w:tc>
          <w:tcPr>
            <w:tcW w:w="4281" w:type="dxa"/>
            <w:vAlign w:val="center"/>
          </w:tcPr>
          <w:p>
            <w:pPr>
              <w:pStyle w:val="14"/>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outlineLvl w:val="9"/>
              <w:rPr>
                <w:rFonts w:hint="eastAsia" w:ascii="Times New Roman" w:hAnsi="Times New Roman" w:eastAsia="宋体" w:cs="Times New Roman"/>
                <w:color w:val="auto"/>
                <w:spacing w:val="-4"/>
                <w:kern w:val="2"/>
                <w:sz w:val="21"/>
                <w:szCs w:val="21"/>
                <w:vertAlign w:val="baseline"/>
                <w:lang w:val="en-US" w:eastAsia="zh-CN" w:bidi="ar-SA"/>
              </w:rPr>
            </w:pPr>
            <w:r>
              <w:rPr>
                <w:rFonts w:hint="eastAsia"/>
                <w:color w:val="auto"/>
                <w:spacing w:val="-4"/>
                <w:sz w:val="21"/>
                <w:szCs w:val="21"/>
                <w:vertAlign w:val="baseline"/>
                <w:lang w:eastAsia="zh-CN"/>
              </w:rPr>
              <w:t>本项目粪尿没有混合排出场外，进入环境</w:t>
            </w:r>
          </w:p>
        </w:tc>
        <w:tc>
          <w:tcPr>
            <w:tcW w:w="828" w:type="dxa"/>
            <w:vAlign w:val="center"/>
          </w:tcPr>
          <w:p>
            <w:pPr>
              <w:keepNext w:val="0"/>
              <w:keepLines w:val="0"/>
              <w:pageBreakBefore w:val="0"/>
              <w:widowControl w:val="0"/>
              <w:kinsoku/>
              <w:wordWrap/>
              <w:overflowPunct/>
              <w:topLinePunct w:val="0"/>
              <w:autoSpaceDE w:val="0"/>
              <w:autoSpaceDN w:val="0"/>
              <w:bidi w:val="0"/>
              <w:adjustRightInd w:val="0"/>
              <w:snapToGrid w:val="0"/>
              <w:spacing w:after="0" w:line="240" w:lineRule="auto"/>
              <w:jc w:val="center"/>
              <w:textAlignment w:val="auto"/>
              <w:outlineLvl w:val="9"/>
              <w:rPr>
                <w:rFonts w:hint="eastAsia"/>
                <w:color w:val="auto"/>
                <w:spacing w:val="-4"/>
                <w:sz w:val="21"/>
                <w:szCs w:val="21"/>
                <w:vertAlign w:val="baseline"/>
                <w:lang w:eastAsia="zh-CN"/>
              </w:rPr>
            </w:pPr>
            <w:r>
              <w:rPr>
                <w:rFonts w:hint="eastAsia"/>
                <w:color w:val="auto"/>
                <w:spacing w:val="-4"/>
                <w:sz w:val="21"/>
                <w:szCs w:val="21"/>
                <w:vertAlign w:val="baseline"/>
                <w:lang w:eastAsia="zh-CN"/>
              </w:rPr>
              <w:t>符合</w:t>
            </w:r>
          </w:p>
        </w:tc>
      </w:tr>
    </w:tbl>
    <w:p>
      <w:pPr>
        <w:pStyle w:val="14"/>
        <w:keepNext w:val="0"/>
        <w:keepLines w:val="0"/>
        <w:pageBreakBefore w:val="0"/>
        <w:widowControl w:val="0"/>
        <w:kinsoku/>
        <w:wordWrap/>
        <w:overflowPunct/>
        <w:topLinePunct w:val="0"/>
        <w:autoSpaceDE w:val="0"/>
        <w:autoSpaceDN w:val="0"/>
        <w:bidi w:val="0"/>
        <w:adjustRightInd w:val="0"/>
        <w:snapToGrid w:val="0"/>
        <w:spacing w:after="0" w:line="360" w:lineRule="auto"/>
        <w:ind w:firstLine="464" w:firstLineChars="200"/>
        <w:textAlignment w:val="auto"/>
        <w:outlineLvl w:val="9"/>
        <w:rPr>
          <w:rFonts w:hint="eastAsia"/>
          <w:color w:val="auto"/>
          <w:spacing w:val="-4"/>
          <w:sz w:val="24"/>
          <w:lang w:eastAsia="zh-CN"/>
        </w:rPr>
      </w:pPr>
      <w:r>
        <w:rPr>
          <w:rFonts w:hint="eastAsia"/>
          <w:color w:val="auto"/>
          <w:spacing w:val="-4"/>
          <w:sz w:val="24"/>
          <w:lang w:eastAsia="zh-CN"/>
        </w:rPr>
        <w:t>综上所述，本项目清粪工艺符合干清粪工艺的特征。</w:t>
      </w:r>
    </w:p>
    <w:p>
      <w:pPr>
        <w:pStyle w:val="14"/>
        <w:keepNext w:val="0"/>
        <w:keepLines w:val="0"/>
        <w:pageBreakBefore w:val="0"/>
        <w:widowControl w:val="0"/>
        <w:kinsoku/>
        <w:wordWrap/>
        <w:overflowPunct/>
        <w:topLinePunct w:val="0"/>
        <w:autoSpaceDE w:val="0"/>
        <w:autoSpaceDN w:val="0"/>
        <w:bidi w:val="0"/>
        <w:adjustRightInd w:val="0"/>
        <w:snapToGrid w:val="0"/>
        <w:spacing w:after="0" w:line="360" w:lineRule="auto"/>
        <w:ind w:firstLine="464" w:firstLineChars="200"/>
        <w:textAlignment w:val="auto"/>
        <w:outlineLvl w:val="9"/>
        <w:rPr>
          <w:rFonts w:hint="eastAsia"/>
          <w:color w:val="auto"/>
          <w:spacing w:val="-4"/>
          <w:sz w:val="24"/>
          <w:lang w:eastAsia="zh-CN"/>
        </w:rPr>
      </w:pPr>
      <w:r>
        <w:rPr>
          <w:rFonts w:hint="eastAsia"/>
          <w:color w:val="auto"/>
          <w:spacing w:val="-4"/>
          <w:sz w:val="24"/>
          <w:lang w:eastAsia="zh-CN"/>
        </w:rPr>
        <w:t>清粪工艺示意图见图 3</w:t>
      </w:r>
      <w:r>
        <w:rPr>
          <w:rFonts w:hint="eastAsia"/>
          <w:color w:val="auto"/>
          <w:spacing w:val="-4"/>
          <w:sz w:val="24"/>
          <w:lang w:val="en-US" w:eastAsia="zh-CN"/>
        </w:rPr>
        <w:t>.1</w:t>
      </w:r>
      <w:r>
        <w:rPr>
          <w:rFonts w:hint="eastAsia"/>
          <w:color w:val="auto"/>
          <w:spacing w:val="-4"/>
          <w:sz w:val="24"/>
          <w:lang w:eastAsia="zh-CN"/>
        </w:rPr>
        <w:t>-3。</w:t>
      </w:r>
    </w:p>
    <w:p>
      <w:pPr>
        <w:pStyle w:val="14"/>
        <w:keepNext w:val="0"/>
        <w:keepLines w:val="0"/>
        <w:pageBreakBefore w:val="0"/>
        <w:widowControl w:val="0"/>
        <w:kinsoku/>
        <w:wordWrap/>
        <w:overflowPunct/>
        <w:topLinePunct w:val="0"/>
        <w:autoSpaceDE w:val="0"/>
        <w:autoSpaceDN w:val="0"/>
        <w:bidi w:val="0"/>
        <w:adjustRightInd w:val="0"/>
        <w:snapToGrid w:val="0"/>
        <w:spacing w:after="0" w:line="360" w:lineRule="auto"/>
        <w:jc w:val="center"/>
        <w:textAlignment w:val="auto"/>
        <w:outlineLvl w:val="9"/>
        <w:rPr>
          <w:color w:val="0000FF"/>
        </w:rPr>
      </w:pPr>
      <w:r>
        <w:rPr>
          <w:color w:val="0000FF"/>
          <w:sz w:val="21"/>
        </w:rPr>
        <mc:AlternateContent>
          <mc:Choice Requires="wps">
            <w:drawing>
              <wp:anchor distT="0" distB="0" distL="114300" distR="114300" simplePos="0" relativeHeight="251663360" behindDoc="0" locked="0" layoutInCell="1" allowOverlap="1">
                <wp:simplePos x="0" y="0"/>
                <wp:positionH relativeFrom="column">
                  <wp:posOffset>4504055</wp:posOffset>
                </wp:positionH>
                <wp:positionV relativeFrom="paragraph">
                  <wp:posOffset>2281555</wp:posOffset>
                </wp:positionV>
                <wp:extent cx="916305" cy="307975"/>
                <wp:effectExtent l="4445" t="4445" r="12700" b="11430"/>
                <wp:wrapNone/>
                <wp:docPr id="23" name="文本框 23"/>
                <wp:cNvGraphicFramePr/>
                <a:graphic xmlns:a="http://schemas.openxmlformats.org/drawingml/2006/main">
                  <a:graphicData uri="http://schemas.microsoft.com/office/word/2010/wordprocessingShape">
                    <wps:wsp>
                      <wps:cNvSpPr txBox="1"/>
                      <wps:spPr>
                        <a:xfrm>
                          <a:off x="5425440" y="7642860"/>
                          <a:ext cx="916305" cy="30797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lang w:eastAsia="zh-CN"/>
                              </w:rPr>
                            </w:pPr>
                            <w:r>
                              <w:rPr>
                                <w:rFonts w:hint="eastAsia"/>
                                <w:lang w:eastAsia="zh-CN"/>
                              </w:rPr>
                              <w:t>好氧堆肥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4.65pt;margin-top:179.65pt;height:24.25pt;width:72.15pt;z-index:251663360;mso-width-relative:page;mso-height-relative:page;" fillcolor="#FFFFFF [3201]" filled="t" stroked="t" coordsize="21600,21600" o:gfxdata="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NknfNdgAAAALAQAADwAAAAAAAAABACAAAAAiAAAAZHJzL2Rvd25yZXYueG1sUEsBAhQA&#10;FAAAAAgAh07iQK/SO8FkAgAAxAQAAA4AAAAAAAAAAQAgAAAAJwEAAGRycy9lMm9Eb2MueG1sUEsF&#10;BgAAAAAGAAYAWQEAAP0FAAAAAA==&#10;">
                <v:fill on="t" focussize="0,0"/>
                <v:stroke weight="0.5pt" color="#000000 [3204]" joinstyle="round"/>
                <v:imagedata o:title=""/>
                <o:lock v:ext="edit" aspectratio="f"/>
                <v:textbox>
                  <w:txbxContent>
                    <w:p>
                      <w:pPr>
                        <w:rPr>
                          <w:rFonts w:hint="eastAsia" w:eastAsiaTheme="minorEastAsia"/>
                          <w:lang w:eastAsia="zh-CN"/>
                        </w:rPr>
                      </w:pPr>
                      <w:r>
                        <w:rPr>
                          <w:rFonts w:hint="eastAsia"/>
                          <w:lang w:eastAsia="zh-CN"/>
                        </w:rPr>
                        <w:t>好氧堆肥</w:t>
                      </w:r>
                    </w:p>
                  </w:txbxContent>
                </v:textbox>
              </v:shape>
            </w:pict>
          </mc:Fallback>
        </mc:AlternateContent>
      </w:r>
      <w:r>
        <w:rPr>
          <w:color w:val="0000FF"/>
          <w:sz w:val="21"/>
        </w:rPr>
        <mc:AlternateContent>
          <mc:Choice Requires="wps">
            <w:drawing>
              <wp:anchor distT="0" distB="0" distL="114300" distR="114300" simplePos="0" relativeHeight="251660288" behindDoc="0" locked="0" layoutInCell="1" allowOverlap="1">
                <wp:simplePos x="0" y="0"/>
                <wp:positionH relativeFrom="column">
                  <wp:posOffset>2862580</wp:posOffset>
                </wp:positionH>
                <wp:positionV relativeFrom="paragraph">
                  <wp:posOffset>2468245</wp:posOffset>
                </wp:positionV>
                <wp:extent cx="352425" cy="0"/>
                <wp:effectExtent l="0" t="38100" r="9525" b="38100"/>
                <wp:wrapNone/>
                <wp:docPr id="27" name="直接箭头连接符 27"/>
                <wp:cNvGraphicFramePr/>
                <a:graphic xmlns:a="http://schemas.openxmlformats.org/drawingml/2006/main">
                  <a:graphicData uri="http://schemas.microsoft.com/office/word/2010/wordprocessingShape">
                    <wps:wsp>
                      <wps:cNvCnPr/>
                      <wps:spPr>
                        <a:xfrm>
                          <a:off x="4157345" y="7089775"/>
                          <a:ext cx="352425" cy="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25.4pt;margin-top:194.35pt;height:0pt;width:27.75pt;z-index:251660288;mso-width-relative:page;mso-height-relative:page;" filled="f" stroked="t" coordsize="21600,21600" o:gfxdata="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GF2sYdoA&#10;AAALAQAADwAAAAAAAAABACAAAAAiAAAAZHJzL2Rvd25yZXYueG1sUEsBAhQAFAAAAAgAh07iQL0t&#10;XdwdAgAAAQQAAA4AAAAAAAAAAQAgAAAAKQEAAGRycy9lMm9Eb2MueG1sUEsFBgAAAAAGAAYAWQEA&#10;ALgFAAAAAA==&#10;">
                <v:fill on="f" focussize="0,0"/>
                <v:stroke color="#000000 [3213]" joinstyle="round" endarrow="block"/>
                <v:imagedata o:title=""/>
                <o:lock v:ext="edit" aspectratio="f"/>
              </v:shape>
            </w:pict>
          </mc:Fallback>
        </mc:AlternateContent>
      </w:r>
      <w:r>
        <w:rPr>
          <w:color w:val="0000FF"/>
        </w:rPr>
        <w:drawing>
          <wp:inline distT="0" distB="0" distL="114300" distR="114300">
            <wp:extent cx="5276850" cy="3219450"/>
            <wp:effectExtent l="0" t="0" r="0" b="0"/>
            <wp:docPr id="5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3"/>
                    <pic:cNvPicPr>
                      <a:picLocks noChangeAspect="1"/>
                    </pic:cNvPicPr>
                  </pic:nvPicPr>
                  <pic:blipFill>
                    <a:blip r:embed="rId26"/>
                    <a:stretch>
                      <a:fillRect/>
                    </a:stretch>
                  </pic:blipFill>
                  <pic:spPr>
                    <a:xfrm>
                      <a:off x="0" y="0"/>
                      <a:ext cx="5276850" cy="3219450"/>
                    </a:xfrm>
                    <a:prstGeom prst="rect">
                      <a:avLst/>
                    </a:prstGeom>
                    <a:noFill/>
                    <a:ln>
                      <a:noFill/>
                    </a:ln>
                  </pic:spPr>
                </pic:pic>
              </a:graphicData>
            </a:graphic>
          </wp:inline>
        </w:drawing>
      </w:r>
    </w:p>
    <w:p>
      <w:pPr>
        <w:adjustRightInd w:val="0"/>
        <w:snapToGrid w:val="0"/>
        <w:spacing w:line="360" w:lineRule="auto"/>
        <w:jc w:val="center"/>
        <w:rPr>
          <w:rFonts w:ascii="Times New Roman" w:hAnsi="Times New Roman" w:eastAsia="宋体" w:cs="宋体"/>
          <w:b/>
          <w:color w:val="auto"/>
          <w:sz w:val="21"/>
          <w:szCs w:val="21"/>
        </w:rPr>
      </w:pPr>
      <w:r>
        <w:rPr>
          <w:rFonts w:hint="eastAsia" w:ascii="Times New Roman" w:hAnsi="Times New Roman" w:eastAsia="宋体" w:cs="宋体"/>
          <w:b/>
          <w:color w:val="auto"/>
          <w:sz w:val="21"/>
          <w:szCs w:val="21"/>
        </w:rPr>
        <w:t>图3.1-</w:t>
      </w:r>
      <w:r>
        <w:rPr>
          <w:rFonts w:hint="eastAsia" w:ascii="Times New Roman" w:hAnsi="Times New Roman" w:eastAsia="宋体" w:cs="宋体"/>
          <w:b/>
          <w:color w:val="auto"/>
          <w:sz w:val="21"/>
          <w:szCs w:val="21"/>
          <w:lang w:val="en-US" w:eastAsia="zh-CN"/>
        </w:rPr>
        <w:t>3  项目清粪工艺示意图</w:t>
      </w:r>
    </w:p>
    <w:p>
      <w:pPr>
        <w:pStyle w:val="14"/>
        <w:keepNext w:val="0"/>
        <w:keepLines w:val="0"/>
        <w:pageBreakBefore w:val="0"/>
        <w:widowControl w:val="0"/>
        <w:kinsoku/>
        <w:wordWrap/>
        <w:overflowPunct/>
        <w:topLinePunct w:val="0"/>
        <w:autoSpaceDE w:val="0"/>
        <w:autoSpaceDN w:val="0"/>
        <w:bidi w:val="0"/>
        <w:adjustRightInd w:val="0"/>
        <w:snapToGrid w:val="0"/>
        <w:spacing w:after="0" w:line="360" w:lineRule="auto"/>
        <w:ind w:firstLine="464" w:firstLineChars="200"/>
        <w:textAlignment w:val="auto"/>
        <w:outlineLvl w:val="9"/>
        <w:rPr>
          <w:rFonts w:hint="eastAsia"/>
          <w:color w:val="auto"/>
          <w:spacing w:val="-4"/>
          <w:sz w:val="24"/>
          <w:lang w:eastAsia="zh-CN"/>
        </w:rPr>
      </w:pPr>
      <w:r>
        <w:rPr>
          <w:rFonts w:hint="eastAsia"/>
          <w:color w:val="auto"/>
          <w:spacing w:val="-4"/>
          <w:sz w:val="24"/>
          <w:lang w:eastAsia="zh-CN"/>
        </w:rPr>
        <w:t>本项目干清粪工艺具有以下特点：</w:t>
      </w:r>
    </w:p>
    <w:p>
      <w:pPr>
        <w:widowControl/>
        <w:tabs>
          <w:tab w:val="left" w:pos="1057"/>
          <w:tab w:val="left" w:pos="2809"/>
          <w:tab w:val="center" w:pos="4153"/>
          <w:tab w:val="left" w:pos="6937"/>
        </w:tabs>
        <w:spacing w:line="360" w:lineRule="auto"/>
        <w:ind w:firstLine="480" w:firstLineChars="200"/>
        <w:jc w:val="left"/>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val="en-US" w:eastAsia="zh-CN"/>
        </w:rPr>
        <w:t>a.</w:t>
      </w:r>
      <w:r>
        <w:rPr>
          <w:rFonts w:hint="eastAsia" w:ascii="Times New Roman" w:hAnsi="Times New Roman" w:eastAsia="宋体" w:cs="Times New Roman"/>
          <w:color w:val="auto"/>
          <w:sz w:val="24"/>
          <w:szCs w:val="24"/>
          <w:lang w:eastAsia="zh-CN"/>
        </w:rPr>
        <w:t>养殖圈舍不注入清水，也不将清水用于圈舍粪尿日常清理，仅在转栏时用高压水枪进行冲洗，大大减少了粪污产生量。</w:t>
      </w:r>
    </w:p>
    <w:p>
      <w:pPr>
        <w:widowControl/>
        <w:tabs>
          <w:tab w:val="left" w:pos="1057"/>
          <w:tab w:val="left" w:pos="2809"/>
          <w:tab w:val="center" w:pos="4153"/>
          <w:tab w:val="left" w:pos="6937"/>
        </w:tabs>
        <w:spacing w:line="360" w:lineRule="auto"/>
        <w:ind w:firstLine="480" w:firstLineChars="200"/>
        <w:jc w:val="left"/>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val="en-US" w:eastAsia="zh-CN"/>
        </w:rPr>
        <w:t>b.</w:t>
      </w:r>
      <w:r>
        <w:rPr>
          <w:rFonts w:hint="eastAsia" w:ascii="Times New Roman" w:hAnsi="Times New Roman" w:eastAsia="宋体" w:cs="Times New Roman"/>
          <w:color w:val="auto"/>
          <w:sz w:val="24"/>
          <w:szCs w:val="24"/>
          <w:lang w:eastAsia="zh-CN"/>
        </w:rPr>
        <w:t>养殖舍内粪尿产生即依靠重力经漏缝地板离开猪舍进入猪舍下部粪污储蓄池，粪污在储蓄池内可做到充分的厌氧杀菌、适度降低有机物浓度，避免在施用农田过程中出现二次发酵的现象。</w:t>
      </w:r>
    </w:p>
    <w:p>
      <w:pPr>
        <w:widowControl/>
        <w:tabs>
          <w:tab w:val="left" w:pos="1057"/>
          <w:tab w:val="left" w:pos="2809"/>
          <w:tab w:val="center" w:pos="4153"/>
          <w:tab w:val="left" w:pos="6937"/>
        </w:tabs>
        <w:spacing w:line="360" w:lineRule="auto"/>
        <w:ind w:firstLine="480" w:firstLineChars="200"/>
        <w:jc w:val="left"/>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c.粪污水离开粪污收集池后即进行无害化处理并全部实现综合利用，没有混合排出。</w:t>
      </w:r>
    </w:p>
    <w:p>
      <w:pPr>
        <w:pStyle w:val="7"/>
        <w:adjustRightInd w:val="0"/>
        <w:snapToGrid w:val="0"/>
        <w:spacing w:before="0" w:after="0" w:line="360" w:lineRule="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3.1.2.</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lang w:eastAsia="zh-CN"/>
        </w:rPr>
        <w:t>病死猪处置</w:t>
      </w:r>
    </w:p>
    <w:p>
      <w:pPr>
        <w:pStyle w:val="14"/>
        <w:keepNext w:val="0"/>
        <w:keepLines w:val="0"/>
        <w:pageBreakBefore w:val="0"/>
        <w:widowControl w:val="0"/>
        <w:kinsoku/>
        <w:wordWrap/>
        <w:overflowPunct/>
        <w:topLinePunct w:val="0"/>
        <w:autoSpaceDE w:val="0"/>
        <w:autoSpaceDN w:val="0"/>
        <w:bidi w:val="0"/>
        <w:adjustRightInd w:val="0"/>
        <w:snapToGrid w:val="0"/>
        <w:spacing w:after="0" w:line="360" w:lineRule="auto"/>
        <w:ind w:firstLine="464" w:firstLineChars="200"/>
        <w:textAlignment w:val="auto"/>
        <w:outlineLvl w:val="9"/>
        <w:rPr>
          <w:color w:val="auto"/>
          <w:spacing w:val="-4"/>
          <w:sz w:val="24"/>
        </w:rPr>
      </w:pPr>
      <w:r>
        <w:rPr>
          <w:rFonts w:hint="eastAsia"/>
          <w:color w:val="auto"/>
          <w:spacing w:val="-4"/>
          <w:sz w:val="24"/>
        </w:rPr>
        <w:t>根据《畜禽规模养殖污染防治条例》（中华人民共和国国务院令第 643 号）的有关内容，染疫畜禽以及染疫畜禽排泄物、染疫畜禽产品、病死或者死因不明的畜禽尸体等病害畜禽养殖废弃物，应当按照有关法律、法规和国务院农牧主管部门的规定，进行深埋、化制、焚烧等无害化处理，不得随意处置；国家鼓励和支持对染疫畜禽、病死或者死因不明畜禽尸体进行集中无害化处理，并按照国家有关规定对处理费用、养殖损失给予适当补助。</w:t>
      </w:r>
      <w:r>
        <w:rPr>
          <w:rFonts w:hint="eastAsia"/>
          <w:color w:val="auto"/>
          <w:spacing w:val="-4"/>
          <w:sz w:val="24"/>
          <w:lang w:eastAsia="zh-CN"/>
        </w:rPr>
        <w:t>本项目</w:t>
      </w:r>
      <w:r>
        <w:rPr>
          <w:rFonts w:hint="eastAsia"/>
          <w:color w:val="auto"/>
          <w:spacing w:val="-4"/>
          <w:sz w:val="24"/>
        </w:rPr>
        <w:t>的病死猪</w:t>
      </w:r>
      <w:r>
        <w:rPr>
          <w:rFonts w:hint="eastAsia"/>
          <w:color w:val="auto"/>
          <w:spacing w:val="-4"/>
          <w:sz w:val="24"/>
          <w:lang w:eastAsia="zh-CN"/>
        </w:rPr>
        <w:t>通过</w:t>
      </w:r>
      <w:r>
        <w:rPr>
          <w:rFonts w:hint="eastAsia"/>
          <w:color w:val="auto"/>
          <w:spacing w:val="-4"/>
          <w:sz w:val="24"/>
          <w:lang w:val="en-US" w:eastAsia="zh-CN"/>
        </w:rPr>
        <w:t>化尸池</w:t>
      </w:r>
      <w:r>
        <w:rPr>
          <w:rFonts w:hint="eastAsia"/>
          <w:color w:val="auto"/>
          <w:spacing w:val="-4"/>
          <w:sz w:val="24"/>
          <w:lang w:eastAsia="zh-CN"/>
        </w:rPr>
        <w:t>进行无害化填埋处理</w:t>
      </w:r>
      <w:r>
        <w:rPr>
          <w:rFonts w:hint="eastAsia"/>
          <w:color w:val="auto"/>
          <w:spacing w:val="-4"/>
          <w:sz w:val="24"/>
        </w:rPr>
        <w:t>，不外排。</w:t>
      </w:r>
    </w:p>
    <w:p>
      <w:pPr>
        <w:pStyle w:val="7"/>
        <w:adjustRightInd w:val="0"/>
        <w:snapToGrid w:val="0"/>
        <w:spacing w:before="0" w:after="0" w:line="360" w:lineRule="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3.1.2.</w:t>
      </w:r>
      <w:r>
        <w:rPr>
          <w:rFonts w:hint="eastAsia" w:ascii="Times New Roman" w:hAnsi="Times New Roman" w:eastAsia="宋体"/>
          <w:color w:val="auto"/>
          <w:sz w:val="24"/>
          <w:szCs w:val="24"/>
          <w:lang w:val="en-US" w:eastAsia="zh-CN"/>
        </w:rPr>
        <w:t>5</w:t>
      </w:r>
      <w:r>
        <w:rPr>
          <w:rFonts w:hint="eastAsia" w:ascii="Times New Roman" w:hAnsi="Times New Roman" w:eastAsia="宋体"/>
          <w:color w:val="auto"/>
          <w:sz w:val="24"/>
          <w:szCs w:val="24"/>
          <w:lang w:eastAsia="zh-CN"/>
        </w:rPr>
        <w:t>消毒防疫</w:t>
      </w:r>
    </w:p>
    <w:p>
      <w:pPr>
        <w:widowControl/>
        <w:tabs>
          <w:tab w:val="left" w:pos="1057"/>
          <w:tab w:val="left" w:pos="2809"/>
          <w:tab w:val="center" w:pos="4153"/>
          <w:tab w:val="left" w:pos="6937"/>
        </w:tabs>
        <w:spacing w:line="360" w:lineRule="auto"/>
        <w:ind w:firstLine="480" w:firstLineChars="200"/>
        <w:jc w:val="left"/>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全场外围设围墙，防止外人或外畜进入。场内外保持清洁，道路、环境每月消毒两次，特殊情况下每周消毒一次。猪舍每周使用 84 消毒液喷雾带猪消毒 1次；出栏后猪舍彻底清扫并冲洗后，使用过氧乙酸、戊二醛苯扎溴铵溶液等消毒液喷洒消毒，间隔 1 天后重复进行一次。养殖区入口处设置参观者须知，凡进入者必须严格遵守。所有人员进入养殖区必须更换场内工作服、工作鞋，严格消毒。严禁饲养其他动物，做好灭蝇、灭蚊、灭鼠工作。运载工具进出要严格消毒。应用选择两种以上经国家 GMP 认证企业生产的消毒药，并按照规定交替使用。</w:t>
      </w:r>
    </w:p>
    <w:p>
      <w:pPr>
        <w:pStyle w:val="7"/>
        <w:adjustRightInd w:val="0"/>
        <w:snapToGrid w:val="0"/>
        <w:spacing w:before="0" w:after="0" w:line="360" w:lineRule="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3.1.2.</w:t>
      </w:r>
      <w:r>
        <w:rPr>
          <w:rFonts w:hint="eastAsia" w:ascii="Times New Roman" w:hAnsi="Times New Roman" w:eastAsia="宋体"/>
          <w:color w:val="auto"/>
          <w:sz w:val="24"/>
          <w:szCs w:val="24"/>
          <w:lang w:val="en-US" w:eastAsia="zh-CN"/>
        </w:rPr>
        <w:t>6废水治理工程</w:t>
      </w:r>
    </w:p>
    <w:p>
      <w:pPr>
        <w:widowControl/>
        <w:tabs>
          <w:tab w:val="left" w:pos="1057"/>
          <w:tab w:val="left" w:pos="2809"/>
          <w:tab w:val="center" w:pos="4153"/>
          <w:tab w:val="left" w:pos="6937"/>
        </w:tabs>
        <w:spacing w:line="360" w:lineRule="auto"/>
        <w:ind w:firstLine="480" w:firstLineChars="200"/>
        <w:jc w:val="left"/>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本项目</w:t>
      </w:r>
      <w:r>
        <w:rPr>
          <w:rFonts w:hint="eastAsia" w:ascii="Times New Roman" w:hAnsi="Times New Roman" w:eastAsia="宋体" w:cs="Times New Roman"/>
          <w:color w:val="auto"/>
          <w:sz w:val="24"/>
          <w:szCs w:val="24"/>
          <w:lang w:eastAsia="zh-CN"/>
        </w:rPr>
        <w:t>污水处理区</w:t>
      </w:r>
      <w:r>
        <w:rPr>
          <w:rFonts w:hint="eastAsia" w:ascii="Times New Roman" w:hAnsi="Times New Roman" w:eastAsia="宋体" w:cs="Times New Roman"/>
          <w:color w:val="auto"/>
          <w:sz w:val="24"/>
          <w:szCs w:val="24"/>
        </w:rPr>
        <w:t>采用“</w:t>
      </w:r>
      <w:r>
        <w:rPr>
          <w:rFonts w:hint="eastAsia" w:ascii="Times New Roman" w:hAnsi="Times New Roman" w:eastAsia="宋体" w:cstheme="minorBidi"/>
          <w:b w:val="0"/>
          <w:snapToGrid w:val="0"/>
          <w:color w:val="auto"/>
          <w:kern w:val="2"/>
          <w:sz w:val="24"/>
          <w:szCs w:val="22"/>
          <w:lang w:val="en-US" w:eastAsia="zh-CN" w:bidi="ar-SA"/>
        </w:rPr>
        <w:t>格栅井+集粪池+固液分离机+污泥池（调节池）+叠螺脱水机+预反应及预沉池+一级光氧塘+A/O组合池+二沉池+深度反应池+终沉池+氧化塘</w:t>
      </w:r>
      <w:r>
        <w:rPr>
          <w:rFonts w:hint="eastAsia" w:ascii="Times New Roman" w:hAnsi="Times New Roman" w:eastAsia="宋体" w:cs="Times New Roman"/>
          <w:color w:val="auto"/>
          <w:sz w:val="24"/>
          <w:szCs w:val="24"/>
        </w:rPr>
        <w:t>”处理工艺处理后，项目达标尾水用于</w:t>
      </w:r>
      <w:r>
        <w:rPr>
          <w:rFonts w:hint="eastAsia" w:ascii="Times New Roman" w:hAnsi="Times New Roman" w:eastAsia="宋体" w:cs="Times New Roman"/>
          <w:color w:val="auto"/>
          <w:sz w:val="24"/>
          <w:szCs w:val="24"/>
          <w:lang w:eastAsia="zh-CN"/>
        </w:rPr>
        <w:t>周边消纳地灌溉</w:t>
      </w:r>
      <w:r>
        <w:rPr>
          <w:rFonts w:hint="eastAsia" w:ascii="Times New Roman" w:hAnsi="Times New Roman" w:eastAsia="宋体" w:cs="Times New Roman"/>
          <w:color w:val="auto"/>
          <w:sz w:val="24"/>
          <w:szCs w:val="24"/>
        </w:rPr>
        <w:t>，不排入周边地表水体。</w:t>
      </w:r>
    </w:p>
    <w:p>
      <w:pPr>
        <w:widowControl/>
        <w:tabs>
          <w:tab w:val="left" w:pos="1057"/>
          <w:tab w:val="left" w:pos="2809"/>
          <w:tab w:val="center" w:pos="4153"/>
          <w:tab w:val="left" w:pos="6937"/>
        </w:tabs>
        <w:spacing w:line="360" w:lineRule="auto"/>
        <w:ind w:firstLine="480" w:firstLineChars="200"/>
        <w:jc w:val="left"/>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项目拟在</w:t>
      </w:r>
      <w:r>
        <w:rPr>
          <w:rFonts w:hint="eastAsia" w:ascii="Times New Roman" w:hAnsi="Times New Roman" w:eastAsia="宋体" w:cs="Times New Roman"/>
          <w:color w:val="auto"/>
          <w:sz w:val="24"/>
          <w:szCs w:val="24"/>
          <w:lang w:eastAsia="zh-CN"/>
        </w:rPr>
        <w:t>项目范围北侧</w:t>
      </w:r>
      <w:r>
        <w:rPr>
          <w:rFonts w:hint="eastAsia" w:ascii="Times New Roman" w:hAnsi="Times New Roman" w:eastAsia="宋体" w:cs="Times New Roman"/>
          <w:color w:val="auto"/>
          <w:sz w:val="24"/>
          <w:szCs w:val="24"/>
        </w:rPr>
        <w:t>建设1座</w:t>
      </w:r>
      <w:r>
        <w:rPr>
          <w:rFonts w:hint="eastAsia" w:ascii="Times New Roman" w:hAnsi="Times New Roman" w:eastAsia="宋体" w:cs="Times New Roman"/>
          <w:color w:val="auto"/>
          <w:sz w:val="24"/>
          <w:szCs w:val="24"/>
          <w:lang w:eastAsia="zh-CN"/>
        </w:rPr>
        <w:t>污水处理区</w:t>
      </w:r>
      <w:r>
        <w:rPr>
          <w:rFonts w:hint="eastAsia" w:ascii="Times New Roman" w:hAnsi="Times New Roman" w:eastAsia="宋体" w:cs="Times New Roman"/>
          <w:color w:val="auto"/>
          <w:sz w:val="24"/>
          <w:szCs w:val="24"/>
        </w:rPr>
        <w:t>，设计</w:t>
      </w:r>
      <w:r>
        <w:rPr>
          <w:rFonts w:hint="eastAsia" w:ascii="Times New Roman" w:hAnsi="Times New Roman" w:eastAsia="宋体" w:cs="Times New Roman"/>
          <w:color w:val="auto"/>
          <w:sz w:val="24"/>
          <w:szCs w:val="24"/>
          <w:lang w:eastAsia="zh-CN"/>
        </w:rPr>
        <w:t>处理规模为150m</w:t>
      </w:r>
      <w:r>
        <w:rPr>
          <w:rFonts w:hint="eastAsia" w:ascii="Times New Roman" w:hAnsi="Times New Roman" w:eastAsia="宋体" w:cs="Times New Roman"/>
          <w:color w:val="auto"/>
          <w:sz w:val="24"/>
          <w:szCs w:val="24"/>
          <w:vertAlign w:val="superscript"/>
        </w:rPr>
        <w:t>3</w:t>
      </w:r>
      <w:r>
        <w:rPr>
          <w:rFonts w:hint="eastAsia" w:ascii="Times New Roman" w:hAnsi="Times New Roman" w:eastAsia="宋体" w:cs="Times New Roman"/>
          <w:color w:val="auto"/>
          <w:sz w:val="24"/>
          <w:szCs w:val="24"/>
        </w:rPr>
        <w:t>/d，详细工艺流程见图3.</w:t>
      </w:r>
      <w:r>
        <w:rPr>
          <w:rFonts w:hint="eastAsia" w:ascii="Times New Roman" w:hAnsi="Times New Roman" w:eastAsia="宋体" w:cs="Times New Roman"/>
          <w:color w:val="auto"/>
          <w:sz w:val="24"/>
          <w:szCs w:val="24"/>
          <w:lang w:val="en-US" w:eastAsia="zh-CN"/>
        </w:rPr>
        <w:t>1</w:t>
      </w:r>
      <w:r>
        <w:rPr>
          <w:rFonts w:hint="eastAsia"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eastAsia="zh-CN"/>
        </w:rPr>
        <w:t>4</w:t>
      </w:r>
      <w:r>
        <w:rPr>
          <w:rFonts w:hint="eastAsia" w:ascii="Times New Roman" w:hAnsi="Times New Roman" w:eastAsia="宋体" w:cs="Times New Roman"/>
          <w:color w:val="auto"/>
          <w:sz w:val="24"/>
          <w:szCs w:val="24"/>
        </w:rPr>
        <w:t>。</w:t>
      </w:r>
    </w:p>
    <w:p>
      <w:pPr>
        <w:pStyle w:val="2"/>
        <w:rPr>
          <w:rFonts w:hint="eastAsia"/>
        </w:rPr>
      </w:pPr>
    </w:p>
    <w:p>
      <w:pPr>
        <w:widowControl/>
        <w:tabs>
          <w:tab w:val="left" w:pos="1057"/>
          <w:tab w:val="left" w:pos="2809"/>
          <w:tab w:val="center" w:pos="4153"/>
          <w:tab w:val="left" w:pos="6937"/>
        </w:tabs>
        <w:spacing w:line="360" w:lineRule="auto"/>
        <w:jc w:val="center"/>
        <w:rPr>
          <w:rFonts w:hint="eastAsia" w:ascii="Times New Roman" w:hAnsi="Times New Roman" w:eastAsia="宋体" w:cs="Times New Roman"/>
          <w:color w:val="auto"/>
          <w:sz w:val="24"/>
          <w:szCs w:val="24"/>
          <w:lang w:eastAsia="zh-CN"/>
        </w:rPr>
      </w:pPr>
      <w:r>
        <w:drawing>
          <wp:inline distT="0" distB="0" distL="114300" distR="114300">
            <wp:extent cx="5709920" cy="2244090"/>
            <wp:effectExtent l="0" t="0" r="5080" b="3810"/>
            <wp:docPr id="41"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8"/>
                    <pic:cNvPicPr>
                      <a:picLocks noChangeAspect="1"/>
                    </pic:cNvPicPr>
                  </pic:nvPicPr>
                  <pic:blipFill>
                    <a:blip r:embed="rId27"/>
                    <a:stretch>
                      <a:fillRect/>
                    </a:stretch>
                  </pic:blipFill>
                  <pic:spPr>
                    <a:xfrm>
                      <a:off x="0" y="0"/>
                      <a:ext cx="5709920" cy="2244090"/>
                    </a:xfrm>
                    <a:prstGeom prst="rect">
                      <a:avLst/>
                    </a:prstGeom>
                    <a:noFill/>
                    <a:ln>
                      <a:noFill/>
                    </a:ln>
                  </pic:spPr>
                </pic:pic>
              </a:graphicData>
            </a:graphic>
          </wp:inline>
        </w:drawing>
      </w:r>
    </w:p>
    <w:p>
      <w:pPr>
        <w:pStyle w:val="16"/>
        <w:rPr>
          <w:rFonts w:hint="eastAsia" w:ascii="Times New Roman" w:hAnsi="Times New Roman" w:eastAsia="宋体" w:cs="宋体"/>
          <w:b/>
          <w:bCs w:val="0"/>
          <w:color w:val="auto"/>
          <w:sz w:val="24"/>
          <w:szCs w:val="24"/>
          <w:lang w:val="en-US" w:eastAsia="zh-CN"/>
        </w:rPr>
      </w:pPr>
      <w:r>
        <w:rPr>
          <w:rFonts w:hint="eastAsia" w:ascii="Times New Roman" w:hAnsi="Times New Roman" w:eastAsia="宋体" w:cs="宋体"/>
          <w:b/>
          <w:bCs w:val="0"/>
          <w:color w:val="auto"/>
          <w:sz w:val="21"/>
          <w:szCs w:val="21"/>
          <w:lang w:val="en-US" w:eastAsia="zh-CN"/>
        </w:rPr>
        <w:t>图3.1-4 污水处理工艺流程图</w:t>
      </w:r>
    </w:p>
    <w:p>
      <w:pPr>
        <w:widowControl/>
        <w:tabs>
          <w:tab w:val="left" w:pos="1057"/>
          <w:tab w:val="left" w:pos="2809"/>
          <w:tab w:val="center" w:pos="4153"/>
          <w:tab w:val="left" w:pos="6937"/>
        </w:tabs>
        <w:spacing w:line="360" w:lineRule="auto"/>
        <w:ind w:firstLine="480" w:firstLineChars="200"/>
        <w:jc w:val="left"/>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废水通过管道收集进入格栅井，通过集粪池和固液分离机去除大颗粒悬浮物后进入调节池，调节水质水量后；污泥通过叠螺脱水机处理后进行堆肥或外运处置，可用作其他用途；废水接入一级光氧塘后，利用微生物和藻类对有机物进行需氧生物处理，通过水塘中细菌分解废水的有机物产生的</w:t>
      </w:r>
      <w:r>
        <w:rPr>
          <w:rFonts w:hint="eastAsia" w:ascii="Times New Roman" w:hAnsi="Times New Roman" w:eastAsia="宋体" w:cs="Times New Roman"/>
          <w:color w:val="auto"/>
          <w:sz w:val="24"/>
          <w:szCs w:val="24"/>
          <w:lang w:val="en-US" w:eastAsia="zh-CN"/>
        </w:rPr>
        <w:fldChar w:fldCharType="begin"/>
      </w:r>
      <w:r>
        <w:rPr>
          <w:rFonts w:hint="eastAsia" w:ascii="Times New Roman" w:hAnsi="Times New Roman" w:eastAsia="宋体" w:cs="Times New Roman"/>
          <w:color w:val="auto"/>
          <w:sz w:val="24"/>
          <w:szCs w:val="24"/>
          <w:lang w:val="en-US" w:eastAsia="zh-CN"/>
        </w:rPr>
        <w:instrText xml:space="preserve"> HYPERLINK "https://baike.baidu.com/item/%E4%BA%8C%E6%B0%A7%E5%8C%96%E7%A2%B3/349143" \t "https://baike.baidu.com/item/%E6%B0%A7%E5%8C%96%E5%A1%98%E6%B3%95/_blank" </w:instrText>
      </w:r>
      <w:r>
        <w:rPr>
          <w:rFonts w:hint="eastAsia" w:ascii="Times New Roman" w:hAnsi="Times New Roman" w:eastAsia="宋体" w:cs="Times New Roman"/>
          <w:color w:val="auto"/>
          <w:sz w:val="24"/>
          <w:szCs w:val="24"/>
          <w:lang w:val="en-US" w:eastAsia="zh-CN"/>
        </w:rPr>
        <w:fldChar w:fldCharType="separate"/>
      </w:r>
      <w:r>
        <w:rPr>
          <w:rFonts w:hint="eastAsia" w:ascii="Times New Roman" w:hAnsi="Times New Roman" w:eastAsia="宋体" w:cs="Times New Roman"/>
          <w:color w:val="auto"/>
          <w:sz w:val="24"/>
          <w:szCs w:val="24"/>
          <w:lang w:val="en-US" w:eastAsia="zh-CN"/>
        </w:rPr>
        <w:t>二氧化碳</w:t>
      </w:r>
      <w:r>
        <w:rPr>
          <w:rFonts w:hint="eastAsia" w:ascii="Times New Roman" w:hAnsi="Times New Roman" w:eastAsia="宋体" w:cs="Times New Roman"/>
          <w:color w:val="auto"/>
          <w:sz w:val="24"/>
          <w:szCs w:val="24"/>
          <w:lang w:val="en-US" w:eastAsia="zh-CN"/>
        </w:rPr>
        <w:fldChar w:fldCharType="end"/>
      </w:r>
      <w:r>
        <w:rPr>
          <w:rFonts w:hint="eastAsia"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fldChar w:fldCharType="begin"/>
      </w:r>
      <w:r>
        <w:rPr>
          <w:rFonts w:hint="eastAsia" w:ascii="Times New Roman" w:hAnsi="Times New Roman" w:eastAsia="宋体" w:cs="Times New Roman"/>
          <w:color w:val="auto"/>
          <w:sz w:val="24"/>
          <w:szCs w:val="24"/>
          <w:lang w:val="en-US" w:eastAsia="zh-CN"/>
        </w:rPr>
        <w:instrText xml:space="preserve"> HYPERLINK "https://baike.baidu.com/item/%E7%A3%B7%E9%85%B8%E7%9B%90" \t "https://baike.baidu.com/item/%E6%B0%A7%E5%8C%96%E5%A1%98%E6%B3%95/_blank" </w:instrText>
      </w:r>
      <w:r>
        <w:rPr>
          <w:rFonts w:hint="eastAsia" w:ascii="Times New Roman" w:hAnsi="Times New Roman" w:eastAsia="宋体" w:cs="Times New Roman"/>
          <w:color w:val="auto"/>
          <w:sz w:val="24"/>
          <w:szCs w:val="24"/>
          <w:lang w:val="en-US" w:eastAsia="zh-CN"/>
        </w:rPr>
        <w:fldChar w:fldCharType="separate"/>
      </w:r>
      <w:r>
        <w:rPr>
          <w:rFonts w:hint="eastAsia" w:ascii="Times New Roman" w:hAnsi="Times New Roman" w:eastAsia="宋体" w:cs="Times New Roman"/>
          <w:color w:val="auto"/>
          <w:sz w:val="24"/>
          <w:szCs w:val="24"/>
          <w:lang w:val="en-US" w:eastAsia="zh-CN"/>
        </w:rPr>
        <w:t>磷酸盐</w:t>
      </w:r>
      <w:r>
        <w:rPr>
          <w:rFonts w:hint="eastAsia" w:ascii="Times New Roman" w:hAnsi="Times New Roman" w:eastAsia="宋体" w:cs="Times New Roman"/>
          <w:color w:val="auto"/>
          <w:sz w:val="24"/>
          <w:szCs w:val="24"/>
          <w:lang w:val="en-US" w:eastAsia="zh-CN"/>
        </w:rPr>
        <w:fldChar w:fldCharType="end"/>
      </w:r>
      <w:r>
        <w:rPr>
          <w:rFonts w:hint="eastAsia" w:ascii="Times New Roman" w:hAnsi="Times New Roman" w:eastAsia="宋体" w:cs="Times New Roman"/>
          <w:color w:val="auto"/>
          <w:sz w:val="24"/>
          <w:szCs w:val="24"/>
          <w:lang w:val="en-US" w:eastAsia="zh-CN"/>
        </w:rPr>
        <w:t>、铵盐等营养物供藻类生长，藻类光合作用产生的氧气又供细菌生长，从而构成“</w:t>
      </w:r>
      <w:r>
        <w:rPr>
          <w:rFonts w:hint="eastAsia" w:ascii="Times New Roman" w:hAnsi="Times New Roman" w:eastAsia="宋体" w:cs="Times New Roman"/>
          <w:color w:val="auto"/>
          <w:sz w:val="24"/>
          <w:szCs w:val="24"/>
          <w:lang w:val="en-US" w:eastAsia="zh-CN"/>
        </w:rPr>
        <w:fldChar w:fldCharType="begin"/>
      </w:r>
      <w:r>
        <w:rPr>
          <w:rFonts w:hint="eastAsia" w:ascii="Times New Roman" w:hAnsi="Times New Roman" w:eastAsia="宋体" w:cs="Times New Roman"/>
          <w:color w:val="auto"/>
          <w:sz w:val="24"/>
          <w:szCs w:val="24"/>
          <w:lang w:val="en-US" w:eastAsia="zh-CN"/>
        </w:rPr>
        <w:instrText xml:space="preserve"> HYPERLINK "https://baike.baidu.com/item/%E8%97%BB%E8%8F%8C%E5%85%B1%E7%94%9F%E7%B3%BB%E7%BB%9F" \t "https://baike.baidu.com/item/%E6%B0%A7%E5%8C%96%E5%A1%98%E6%B3%95/_blank" </w:instrText>
      </w:r>
      <w:r>
        <w:rPr>
          <w:rFonts w:hint="eastAsia" w:ascii="Times New Roman" w:hAnsi="Times New Roman" w:eastAsia="宋体" w:cs="Times New Roman"/>
          <w:color w:val="auto"/>
          <w:sz w:val="24"/>
          <w:szCs w:val="24"/>
          <w:lang w:val="en-US" w:eastAsia="zh-CN"/>
        </w:rPr>
        <w:fldChar w:fldCharType="separate"/>
      </w:r>
      <w:r>
        <w:rPr>
          <w:rFonts w:hint="eastAsia" w:ascii="Times New Roman" w:hAnsi="Times New Roman" w:eastAsia="宋体" w:cs="Times New Roman"/>
          <w:color w:val="auto"/>
          <w:sz w:val="24"/>
          <w:szCs w:val="24"/>
          <w:lang w:val="en-US" w:eastAsia="zh-CN"/>
        </w:rPr>
        <w:t>藻菌共生系统</w:t>
      </w:r>
      <w:r>
        <w:rPr>
          <w:rFonts w:hint="eastAsia" w:ascii="Times New Roman" w:hAnsi="Times New Roman" w:eastAsia="宋体" w:cs="Times New Roman"/>
          <w:color w:val="auto"/>
          <w:sz w:val="24"/>
          <w:szCs w:val="24"/>
          <w:lang w:val="en-US" w:eastAsia="zh-CN"/>
        </w:rPr>
        <w:fldChar w:fldCharType="end"/>
      </w:r>
      <w:r>
        <w:rPr>
          <w:rFonts w:hint="eastAsia" w:ascii="Times New Roman" w:hAnsi="Times New Roman" w:eastAsia="宋体" w:cs="Times New Roman"/>
          <w:color w:val="auto"/>
          <w:sz w:val="24"/>
          <w:szCs w:val="24"/>
          <w:lang w:val="en-US" w:eastAsia="zh-CN"/>
        </w:rPr>
        <w:t>”进行废水净化。采用光氧塘处理的工艺，充分利用自然资源处理，具有能耗低、经济效益高等优点。出水进入A/O池，池内设置填料和曝气系统，为池内好氧微生物提供场所和氧气，微生物细菌在池内进行生长繁殖，分解去除废水中可降解有机物，达到净化废水的目的，A/O池出水进入二沉池，将部分脱落和带出的污泥分离，部分污泥回流至前端污泥；出水进入深度反应池，反应池加药反应后进入终沉池和氧化塘后；最终出水达标排放，可回用于农田灌溉，具有节能、环境友好优势，实现可持续发展。</w:t>
      </w:r>
    </w:p>
    <w:p>
      <w:pPr>
        <w:pStyle w:val="7"/>
        <w:adjustRightInd w:val="0"/>
        <w:snapToGrid w:val="0"/>
        <w:spacing w:before="0" w:after="0" w:line="360" w:lineRule="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3.1.2.</w:t>
      </w:r>
      <w:r>
        <w:rPr>
          <w:rFonts w:hint="eastAsia" w:ascii="Times New Roman" w:hAnsi="Times New Roman" w:eastAsia="宋体"/>
          <w:color w:val="auto"/>
          <w:sz w:val="24"/>
          <w:szCs w:val="24"/>
          <w:lang w:val="en-US" w:eastAsia="zh-CN"/>
        </w:rPr>
        <w:t>7恶臭气体治理工程</w:t>
      </w:r>
    </w:p>
    <w:p>
      <w:pPr>
        <w:widowControl/>
        <w:tabs>
          <w:tab w:val="left" w:pos="1057"/>
          <w:tab w:val="left" w:pos="2809"/>
          <w:tab w:val="center" w:pos="4153"/>
          <w:tab w:val="left" w:pos="6937"/>
        </w:tabs>
        <w:spacing w:line="360" w:lineRule="auto"/>
        <w:ind w:firstLine="480" w:firstLineChars="200"/>
        <w:jc w:val="left"/>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①控制养殖密度：根据项目工程组成可知，项目最大存栏时期，猪只最小生存空间约为</w:t>
      </w:r>
      <w:r>
        <w:rPr>
          <w:rFonts w:hint="eastAsia" w:ascii="Times New Roman" w:hAnsi="Times New Roman" w:eastAsia="宋体" w:cs="Times New Roman"/>
          <w:color w:val="auto"/>
          <w:sz w:val="24"/>
          <w:szCs w:val="24"/>
          <w:lang w:val="en-US" w:eastAsia="zh-CN"/>
        </w:rPr>
        <w:t>0.80</w:t>
      </w:r>
      <w:r>
        <w:rPr>
          <w:rFonts w:hint="eastAsia" w:ascii="Times New Roman" w:hAnsi="Times New Roman" w:eastAsia="宋体" w:cs="Times New Roman"/>
          <w:color w:val="auto"/>
          <w:sz w:val="24"/>
          <w:szCs w:val="24"/>
        </w:rPr>
        <w:t>m</w:t>
      </w:r>
      <w:r>
        <w:rPr>
          <w:rFonts w:hint="eastAsia" w:ascii="Times New Roman" w:hAnsi="Times New Roman" w:eastAsia="宋体" w:cs="Times New Roman"/>
          <w:color w:val="auto"/>
          <w:sz w:val="24"/>
          <w:szCs w:val="24"/>
          <w:vertAlign w:val="superscript"/>
        </w:rPr>
        <w:t>2</w:t>
      </w:r>
      <w:r>
        <w:rPr>
          <w:rFonts w:hint="eastAsia" w:ascii="Times New Roman" w:hAnsi="Times New Roman" w:eastAsia="宋体" w:cs="Times New Roman"/>
          <w:color w:val="auto"/>
          <w:sz w:val="24"/>
          <w:szCs w:val="24"/>
        </w:rPr>
        <w:t>，饲养密度较小，满足猪只生活条件，减轻猪舍排放的恶臭浓度。</w:t>
      </w:r>
    </w:p>
    <w:p>
      <w:pPr>
        <w:widowControl/>
        <w:tabs>
          <w:tab w:val="left" w:pos="1057"/>
          <w:tab w:val="left" w:pos="2809"/>
          <w:tab w:val="center" w:pos="4153"/>
          <w:tab w:val="left" w:pos="6937"/>
        </w:tabs>
        <w:spacing w:line="360" w:lineRule="auto"/>
        <w:ind w:firstLine="480" w:firstLineChars="200"/>
        <w:jc w:val="left"/>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②通风设施：项目猪舍设置</w:t>
      </w:r>
      <w:r>
        <w:rPr>
          <w:rFonts w:hint="eastAsia" w:ascii="Times New Roman" w:hAnsi="Times New Roman" w:eastAsia="宋体" w:cs="Times New Roman"/>
          <w:color w:val="auto"/>
          <w:sz w:val="24"/>
          <w:szCs w:val="24"/>
          <w:lang w:eastAsia="zh-CN"/>
        </w:rPr>
        <w:t>侧方</w:t>
      </w:r>
      <w:r>
        <w:rPr>
          <w:rFonts w:hint="eastAsia" w:ascii="Times New Roman" w:hAnsi="Times New Roman" w:eastAsia="宋体" w:cs="Times New Roman"/>
          <w:color w:val="auto"/>
          <w:sz w:val="24"/>
          <w:szCs w:val="24"/>
        </w:rPr>
        <w:t>通风系统，满足猪舍内新风循环。</w:t>
      </w:r>
    </w:p>
    <w:p>
      <w:pPr>
        <w:widowControl/>
        <w:tabs>
          <w:tab w:val="left" w:pos="1057"/>
          <w:tab w:val="left" w:pos="2809"/>
          <w:tab w:val="center" w:pos="4153"/>
          <w:tab w:val="left" w:pos="6937"/>
        </w:tabs>
        <w:spacing w:line="360" w:lineRule="auto"/>
        <w:ind w:firstLine="480" w:firstLineChars="200"/>
        <w:jc w:val="left"/>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③节水饮水器：项目采用先进的节水饮水器，饮水器底部槽体液面始终保持在 2cm 的液面高度，在此液面高度时，饮水器与外界空气形成负压，当生猪喝水时，饮水器与空气接触，内部压力大于外部压力，水自动地从管内流出直至液面高度在 2cm 时饮水器自动停止供水。能保证生猪随时饮用新鲜水，同时避免不必要的浪费，节约水资源，减少因猪只随意采水增大养殖废水量及污染猪舍干燥环境，同时一定程度削减恶臭的产生。</w:t>
      </w:r>
    </w:p>
    <w:p>
      <w:pPr>
        <w:widowControl/>
        <w:tabs>
          <w:tab w:val="left" w:pos="1057"/>
          <w:tab w:val="left" w:pos="2809"/>
          <w:tab w:val="center" w:pos="4153"/>
          <w:tab w:val="left" w:pos="6937"/>
        </w:tabs>
        <w:spacing w:line="360" w:lineRule="auto"/>
        <w:ind w:firstLine="480" w:firstLineChars="200"/>
        <w:jc w:val="left"/>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 xml:space="preserve">④干清粪工艺：对比水泡粪、水冲粪工艺，项目采用干清粪工艺大大降低项目养殖废水产生量，与其他模式相比具有明显优势和先进性。 </w:t>
      </w:r>
    </w:p>
    <w:p>
      <w:pPr>
        <w:widowControl/>
        <w:tabs>
          <w:tab w:val="left" w:pos="1057"/>
          <w:tab w:val="left" w:pos="2809"/>
          <w:tab w:val="center" w:pos="4153"/>
          <w:tab w:val="left" w:pos="6937"/>
        </w:tabs>
        <w:spacing w:line="360" w:lineRule="auto"/>
        <w:ind w:firstLine="480" w:firstLineChars="200"/>
        <w:jc w:val="left"/>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⑤绿化措施：场区绿化带沿场区线形道路布置，边界种植高大的乔木以分隔养殖区和周边环境，场内空闲区域种植花草以美化环境，形成一个良好的工作环境。</w:t>
      </w:r>
    </w:p>
    <w:p>
      <w:pPr>
        <w:widowControl/>
        <w:tabs>
          <w:tab w:val="left" w:pos="1057"/>
          <w:tab w:val="left" w:pos="2809"/>
          <w:tab w:val="center" w:pos="4153"/>
          <w:tab w:val="left" w:pos="6937"/>
        </w:tabs>
        <w:spacing w:line="360" w:lineRule="auto"/>
        <w:ind w:firstLine="480" w:firstLineChars="200"/>
        <w:jc w:val="left"/>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rPr>
        <w:t>⑥其他防治措施：项目对厂区、粪污处理环保站等恶臭源喷洒除臭剂，减轻恶臭污染。饲料中添加 EM 菌剂：该菌剂能有效调节猪只倡导微生态平衡，改善肠道机能，减少药物及抗生素用量，有助于消化、吸收促进生长的物质；同时该菌剂能消除腐败和恶臭，预防和抑制病原菌</w:t>
      </w:r>
      <w:r>
        <w:rPr>
          <w:rFonts w:hint="eastAsia" w:ascii="Times New Roman" w:hAnsi="Times New Roman" w:eastAsia="宋体" w:cs="Times New Roman"/>
          <w:color w:val="auto"/>
          <w:sz w:val="24"/>
          <w:szCs w:val="24"/>
          <w:lang w:eastAsia="zh-CN"/>
        </w:rPr>
        <w:t>。</w:t>
      </w:r>
    </w:p>
    <w:p>
      <w:pPr>
        <w:pStyle w:val="16"/>
        <w:adjustRightInd w:val="0"/>
        <w:snapToGrid w:val="0"/>
        <w:spacing w:line="360" w:lineRule="auto"/>
        <w:ind w:left="0" w:right="0" w:firstLine="480" w:firstLineChars="200"/>
        <w:jc w:val="both"/>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b w:val="0"/>
          <w:color w:val="auto"/>
          <w:kern w:val="2"/>
          <w:sz w:val="24"/>
          <w:szCs w:val="24"/>
          <w:lang w:val="en-US" w:eastAsia="zh-CN" w:bidi="ar-SA"/>
        </w:rPr>
        <w:fldChar w:fldCharType="begin"/>
      </w:r>
      <w:r>
        <w:rPr>
          <w:rFonts w:hint="eastAsia" w:ascii="Times New Roman" w:hAnsi="Times New Roman" w:eastAsia="宋体" w:cs="Times New Roman"/>
          <w:b w:val="0"/>
          <w:color w:val="auto"/>
          <w:kern w:val="2"/>
          <w:sz w:val="24"/>
          <w:szCs w:val="24"/>
          <w:lang w:val="en-US" w:eastAsia="zh-CN" w:bidi="ar-SA"/>
        </w:rPr>
        <w:instrText xml:space="preserve"> = 7 \* GB3 \* MERGEFORMAT </w:instrText>
      </w:r>
      <w:r>
        <w:rPr>
          <w:rFonts w:hint="eastAsia" w:ascii="Times New Roman" w:hAnsi="Times New Roman" w:eastAsia="宋体" w:cs="Times New Roman"/>
          <w:b w:val="0"/>
          <w:color w:val="auto"/>
          <w:kern w:val="2"/>
          <w:sz w:val="24"/>
          <w:szCs w:val="24"/>
          <w:lang w:val="en-US" w:eastAsia="zh-CN" w:bidi="ar-SA"/>
        </w:rPr>
        <w:fldChar w:fldCharType="separate"/>
      </w:r>
      <w:r>
        <w:rPr>
          <w:rFonts w:hint="eastAsia" w:ascii="Times New Roman" w:hAnsi="Times New Roman" w:eastAsia="宋体" w:cs="Times New Roman"/>
          <w:b w:val="0"/>
          <w:color w:val="auto"/>
          <w:kern w:val="2"/>
          <w:sz w:val="24"/>
          <w:szCs w:val="24"/>
          <w:lang w:val="en-US" w:eastAsia="zh-CN" w:bidi="ar-SA"/>
        </w:rPr>
        <w:t>⑦</w:t>
      </w:r>
      <w:r>
        <w:rPr>
          <w:rFonts w:hint="eastAsia" w:ascii="Times New Roman" w:hAnsi="Times New Roman" w:eastAsia="宋体" w:cs="Times New Roman"/>
          <w:b w:val="0"/>
          <w:color w:val="auto"/>
          <w:kern w:val="2"/>
          <w:sz w:val="24"/>
          <w:szCs w:val="24"/>
          <w:lang w:val="en-US" w:eastAsia="zh-CN" w:bidi="ar-SA"/>
        </w:rPr>
        <w:fldChar w:fldCharType="end"/>
      </w:r>
      <w:r>
        <w:rPr>
          <w:rFonts w:hint="eastAsia" w:ascii="Times New Roman" w:hAnsi="Times New Roman" w:eastAsia="宋体" w:cs="Times New Roman"/>
          <w:b w:val="0"/>
          <w:color w:val="auto"/>
          <w:kern w:val="2"/>
          <w:sz w:val="24"/>
          <w:szCs w:val="24"/>
          <w:lang w:val="en-US" w:eastAsia="zh-CN" w:bidi="ar-SA"/>
        </w:rPr>
        <w:t>喷淋洗涤吸收塔：在各臭气产生区域设置集气管，集气管连接风管支管将个点位产生的臭气收集，在引风机作用下排出，废气通过风管支管汇入风管主管进入喷淋洗涤吸收塔，喷淋塔配套加药设备为塔内吸收液补充药剂，废气进入吸收塔后，塔体上部喷淋吸收液，下部进入塔体的恶臭气体、有害气体与喷淋液呈逆流流动，充分接触吸收废气后的吸收液流入塔底循环储液槽中，用耐腐蚀的循环泵抽出重新送进吸收塔，这样循环往复，不断地对废气中的有害气体进行吸收，到达净化废气的效果。处理达标的废气通过15m排气筒排放</w:t>
      </w:r>
      <w:r>
        <w:rPr>
          <w:rFonts w:hint="eastAsia" w:ascii="Times New Roman" w:hAnsi="Times New Roman" w:eastAsia="宋体" w:cs="Times New Roman"/>
          <w:b w:val="0"/>
          <w:bCs/>
          <w:color w:val="auto"/>
          <w:sz w:val="24"/>
          <w:szCs w:val="24"/>
        </w:rPr>
        <w:t>。</w:t>
      </w:r>
    </w:p>
    <w:p>
      <w:pPr>
        <w:pStyle w:val="6"/>
        <w:adjustRightInd w:val="0"/>
        <w:snapToGrid w:val="0"/>
        <w:spacing w:before="0" w:after="0" w:line="360" w:lineRule="auto"/>
        <w:rPr>
          <w:rFonts w:hint="eastAsia" w:ascii="Times New Roman" w:hAnsi="Times New Roman" w:eastAsia="宋体"/>
          <w:color w:val="auto"/>
          <w:sz w:val="28"/>
          <w:szCs w:val="28"/>
          <w:lang w:eastAsia="zh-CN"/>
        </w:rPr>
      </w:pPr>
      <w:r>
        <w:rPr>
          <w:rFonts w:hint="eastAsia" w:ascii="Times New Roman" w:hAnsi="Times New Roman" w:eastAsia="宋体"/>
          <w:color w:val="auto"/>
          <w:sz w:val="28"/>
          <w:szCs w:val="28"/>
        </w:rPr>
        <w:t>3.1.</w:t>
      </w:r>
      <w:r>
        <w:rPr>
          <w:rFonts w:hint="eastAsia" w:ascii="Times New Roman" w:hAnsi="Times New Roman" w:eastAsia="宋体"/>
          <w:color w:val="auto"/>
          <w:sz w:val="28"/>
          <w:szCs w:val="28"/>
          <w:lang w:val="en-US" w:eastAsia="zh-CN"/>
        </w:rPr>
        <w:t>3</w:t>
      </w:r>
      <w:r>
        <w:rPr>
          <w:rFonts w:hint="eastAsia" w:ascii="Times New Roman" w:hAnsi="Times New Roman" w:eastAsia="宋体"/>
          <w:color w:val="auto"/>
          <w:sz w:val="28"/>
          <w:szCs w:val="28"/>
        </w:rPr>
        <w:t>运营期</w:t>
      </w:r>
      <w:r>
        <w:rPr>
          <w:rFonts w:hint="eastAsia" w:ascii="Times New Roman" w:hAnsi="Times New Roman" w:eastAsia="宋体"/>
          <w:color w:val="auto"/>
          <w:sz w:val="28"/>
          <w:szCs w:val="28"/>
          <w:lang w:eastAsia="zh-CN"/>
        </w:rPr>
        <w:t>主要产污工序</w:t>
      </w:r>
    </w:p>
    <w:p>
      <w:pPr>
        <w:spacing w:line="360" w:lineRule="auto"/>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rPr>
        <w:t>根据项目工程概况和工艺特点，其主要污染源及污染因子识别见表3</w:t>
      </w:r>
      <w:r>
        <w:rPr>
          <w:rFonts w:hint="eastAsia" w:ascii="Times New Roman" w:hAnsi="Times New Roman" w:eastAsia="宋体"/>
          <w:color w:val="auto"/>
          <w:sz w:val="24"/>
          <w:szCs w:val="24"/>
          <w:highlight w:val="none"/>
          <w:lang w:val="en-US" w:eastAsia="zh-CN"/>
        </w:rPr>
        <w:t>.1</w:t>
      </w:r>
      <w:r>
        <w:rPr>
          <w:rFonts w:hint="eastAsia" w:ascii="Times New Roman" w:hAnsi="Times New Roman" w:eastAsia="宋体"/>
          <w:color w:val="auto"/>
          <w:sz w:val="24"/>
          <w:szCs w:val="24"/>
          <w:highlight w:val="none"/>
        </w:rPr>
        <w:t>-</w:t>
      </w:r>
      <w:r>
        <w:rPr>
          <w:rFonts w:hint="eastAsia" w:ascii="Times New Roman" w:hAnsi="Times New Roman" w:eastAsia="宋体"/>
          <w:color w:val="auto"/>
          <w:sz w:val="24"/>
          <w:szCs w:val="24"/>
          <w:highlight w:val="none"/>
          <w:lang w:val="en-US" w:eastAsia="zh-CN"/>
        </w:rPr>
        <w:t>2</w:t>
      </w:r>
      <w:r>
        <w:rPr>
          <w:rFonts w:hint="eastAsia" w:ascii="Times New Roman" w:hAnsi="Times New Roman" w:eastAsia="宋体"/>
          <w:color w:val="auto"/>
          <w:sz w:val="24"/>
          <w:szCs w:val="24"/>
          <w:highlight w:val="none"/>
        </w:rPr>
        <w:t>。</w:t>
      </w:r>
    </w:p>
    <w:p>
      <w:pPr>
        <w:jc w:val="center"/>
        <w:rPr>
          <w:rFonts w:hint="eastAsia" w:eastAsiaTheme="minorEastAsia"/>
          <w:color w:val="auto"/>
          <w:highlight w:val="green"/>
          <w:lang w:eastAsia="zh-CN"/>
        </w:rPr>
      </w:pPr>
      <w:r>
        <w:rPr>
          <w:rFonts w:hint="default" w:ascii="Times New Roman" w:hAnsi="Times New Roman" w:cs="Times New Roman"/>
          <w:b/>
          <w:bCs/>
          <w:color w:val="auto"/>
          <w:highlight w:val="none"/>
          <w:lang w:eastAsia="zh-CN"/>
        </w:rPr>
        <w:t>表</w:t>
      </w:r>
      <w:r>
        <w:rPr>
          <w:rFonts w:hint="default" w:ascii="Times New Roman" w:hAnsi="Times New Roman" w:cs="Times New Roman"/>
          <w:b/>
          <w:bCs/>
          <w:color w:val="auto"/>
          <w:highlight w:val="none"/>
          <w:lang w:val="en-US" w:eastAsia="zh-CN"/>
        </w:rPr>
        <w:t>3.</w:t>
      </w:r>
      <w:r>
        <w:rPr>
          <w:rFonts w:hint="eastAsia" w:ascii="Times New Roman" w:hAnsi="Times New Roman" w:cs="Times New Roman"/>
          <w:b/>
          <w:bCs/>
          <w:color w:val="auto"/>
          <w:highlight w:val="none"/>
          <w:lang w:val="en-US" w:eastAsia="zh-CN"/>
        </w:rPr>
        <w:t>1</w:t>
      </w:r>
      <w:r>
        <w:rPr>
          <w:rFonts w:hint="default" w:ascii="Times New Roman" w:hAnsi="Times New Roman" w:cs="Times New Roman"/>
          <w:b/>
          <w:bCs/>
          <w:color w:val="auto"/>
          <w:highlight w:val="none"/>
          <w:lang w:val="en-US" w:eastAsia="zh-CN"/>
        </w:rPr>
        <w:t>-</w:t>
      </w:r>
      <w:r>
        <w:rPr>
          <w:rFonts w:hint="eastAsia" w:ascii="Times New Roman" w:hAnsi="Times New Roman" w:cs="Times New Roman"/>
          <w:b/>
          <w:bCs/>
          <w:color w:val="auto"/>
          <w:highlight w:val="none"/>
          <w:lang w:val="en-US" w:eastAsia="zh-CN"/>
        </w:rPr>
        <w:t>2</w:t>
      </w:r>
      <w:r>
        <w:rPr>
          <w:rFonts w:hint="default" w:ascii="Times New Roman" w:hAnsi="Times New Roman" w:cs="Times New Roman"/>
          <w:b/>
          <w:bCs/>
          <w:color w:val="auto"/>
          <w:highlight w:val="none"/>
          <w:lang w:val="en-US" w:eastAsia="zh-CN"/>
        </w:rPr>
        <w:t xml:space="preserve"> </w:t>
      </w:r>
      <w:r>
        <w:rPr>
          <w:rFonts w:hint="eastAsia"/>
          <w:b/>
          <w:bCs/>
          <w:color w:val="auto"/>
          <w:highlight w:val="none"/>
          <w:lang w:val="en-US" w:eastAsia="zh-CN"/>
        </w:rPr>
        <w:t xml:space="preserve"> </w:t>
      </w:r>
      <w:r>
        <w:rPr>
          <w:rFonts w:hint="eastAsia"/>
          <w:b/>
          <w:bCs/>
          <w:color w:val="auto"/>
          <w:highlight w:val="none"/>
          <w:lang w:eastAsia="zh-CN"/>
        </w:rPr>
        <w:t>运行期污染源与污染因子识别表</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9"/>
        <w:gridCol w:w="1260"/>
        <w:gridCol w:w="4230"/>
        <w:gridCol w:w="31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9" w:type="dxa"/>
            <w:gridSpan w:val="2"/>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污染物</w:t>
            </w:r>
          </w:p>
        </w:tc>
        <w:tc>
          <w:tcPr>
            <w:tcW w:w="4230"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污染物来源</w:t>
            </w:r>
          </w:p>
        </w:tc>
        <w:tc>
          <w:tcPr>
            <w:tcW w:w="3121"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污染因子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9" w:type="dxa"/>
            <w:gridSpan w:val="2"/>
            <w:vMerge w:val="restart"/>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废气</w:t>
            </w:r>
          </w:p>
        </w:tc>
        <w:tc>
          <w:tcPr>
            <w:tcW w:w="4230"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猪舍、堆粪间、污水处理区</w:t>
            </w:r>
          </w:p>
        </w:tc>
        <w:tc>
          <w:tcPr>
            <w:tcW w:w="3121" w:type="dxa"/>
            <w:vAlign w:val="center"/>
          </w:tcPr>
          <w:p>
            <w:pPr>
              <w:pStyle w:val="98"/>
              <w:jc w:val="center"/>
              <w:rPr>
                <w:rFonts w:hint="eastAsia"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NH</w:t>
            </w:r>
            <w:r>
              <w:rPr>
                <w:rFonts w:hint="eastAsia" w:ascii="Times New Roman" w:hAnsi="Times New Roman" w:cs="Times New Roman"/>
                <w:color w:val="auto"/>
                <w:szCs w:val="21"/>
                <w:vertAlign w:val="subscript"/>
                <w:lang w:val="en-US" w:eastAsia="zh-CN"/>
              </w:rPr>
              <w:t>3</w:t>
            </w:r>
            <w:r>
              <w:rPr>
                <w:rFonts w:hint="eastAsia" w:ascii="Times New Roman" w:hAnsi="Times New Roman" w:cs="Times New Roman"/>
                <w:color w:val="auto"/>
                <w:szCs w:val="21"/>
                <w:lang w:val="en-US" w:eastAsia="zh-CN"/>
              </w:rPr>
              <w:t>、H</w:t>
            </w:r>
            <w:r>
              <w:rPr>
                <w:rFonts w:hint="eastAsia" w:ascii="Times New Roman" w:hAnsi="Times New Roman" w:cs="Times New Roman"/>
                <w:color w:val="auto"/>
                <w:szCs w:val="21"/>
                <w:vertAlign w:val="subscript"/>
                <w:lang w:val="en-US" w:eastAsia="zh-CN"/>
              </w:rPr>
              <w:t>2</w:t>
            </w:r>
            <w:r>
              <w:rPr>
                <w:rFonts w:hint="eastAsia" w:ascii="Times New Roman" w:hAnsi="Times New Roman" w:cs="Times New Roman"/>
                <w:color w:val="auto"/>
                <w:szCs w:val="21"/>
                <w:lang w:val="en-US" w:eastAsia="zh-CN"/>
              </w:rPr>
              <w:t>S、臭气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9" w:type="dxa"/>
            <w:gridSpan w:val="2"/>
            <w:vMerge w:val="continue"/>
            <w:vAlign w:val="center"/>
          </w:tcPr>
          <w:p>
            <w:pPr>
              <w:pStyle w:val="98"/>
              <w:jc w:val="center"/>
              <w:rPr>
                <w:rFonts w:hint="eastAsia" w:ascii="Times New Roman" w:hAnsi="Times New Roman" w:cs="Times New Roman"/>
                <w:color w:val="auto"/>
                <w:szCs w:val="21"/>
                <w:lang w:val="en-US" w:eastAsia="zh-CN"/>
              </w:rPr>
            </w:pPr>
          </w:p>
        </w:tc>
        <w:tc>
          <w:tcPr>
            <w:tcW w:w="4230"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食堂</w:t>
            </w:r>
          </w:p>
        </w:tc>
        <w:tc>
          <w:tcPr>
            <w:tcW w:w="3121"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食堂油烟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09" w:type="dxa"/>
            <w:vMerge w:val="restart"/>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废水</w:t>
            </w:r>
          </w:p>
        </w:tc>
        <w:tc>
          <w:tcPr>
            <w:tcW w:w="1260"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生产废水</w:t>
            </w:r>
          </w:p>
        </w:tc>
        <w:tc>
          <w:tcPr>
            <w:tcW w:w="4230"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猪舍产生的猪尿、猪舍冲洗水</w:t>
            </w:r>
          </w:p>
        </w:tc>
        <w:tc>
          <w:tcPr>
            <w:tcW w:w="3121"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COD、SS、NH</w:t>
            </w:r>
            <w:r>
              <w:rPr>
                <w:rFonts w:hint="eastAsia" w:ascii="Times New Roman" w:hAnsi="Times New Roman" w:cs="Times New Roman"/>
                <w:color w:val="auto"/>
                <w:szCs w:val="21"/>
                <w:vertAlign w:val="subscript"/>
                <w:lang w:val="en-US" w:eastAsia="zh-CN"/>
              </w:rPr>
              <w:t>3</w:t>
            </w:r>
            <w:r>
              <w:rPr>
                <w:rFonts w:hint="eastAsia" w:ascii="Times New Roman" w:hAnsi="Times New Roman" w:cs="Times New Roman"/>
                <w:color w:val="auto"/>
                <w:szCs w:val="21"/>
                <w:lang w:val="en-US" w:eastAsia="zh-CN"/>
              </w:rPr>
              <w:t>-N、总磷、总氮、粪大肠菌群等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9" w:type="dxa"/>
            <w:vMerge w:val="continue"/>
            <w:vAlign w:val="center"/>
          </w:tcPr>
          <w:p>
            <w:pPr>
              <w:pStyle w:val="98"/>
              <w:jc w:val="center"/>
              <w:rPr>
                <w:rFonts w:hint="eastAsia" w:ascii="Times New Roman" w:hAnsi="Times New Roman" w:cs="Times New Roman"/>
                <w:color w:val="auto"/>
                <w:szCs w:val="21"/>
                <w:lang w:val="en-US" w:eastAsia="zh-CN"/>
              </w:rPr>
            </w:pPr>
          </w:p>
        </w:tc>
        <w:tc>
          <w:tcPr>
            <w:tcW w:w="1260"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生活污水</w:t>
            </w:r>
          </w:p>
        </w:tc>
        <w:tc>
          <w:tcPr>
            <w:tcW w:w="4230"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办公生活区、食堂等生活污水</w:t>
            </w:r>
          </w:p>
        </w:tc>
        <w:tc>
          <w:tcPr>
            <w:tcW w:w="3121"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动植物油、BOD</w:t>
            </w:r>
            <w:r>
              <w:rPr>
                <w:rFonts w:hint="eastAsia" w:ascii="Times New Roman" w:hAnsi="Times New Roman" w:cs="Times New Roman"/>
                <w:color w:val="auto"/>
                <w:szCs w:val="21"/>
                <w:vertAlign w:val="subscript"/>
                <w:lang w:val="en-US" w:eastAsia="zh-CN"/>
              </w:rPr>
              <w:t>5</w:t>
            </w:r>
            <w:r>
              <w:rPr>
                <w:rFonts w:hint="eastAsia" w:ascii="Times New Roman" w:hAnsi="Times New Roman" w:cs="Times New Roman"/>
                <w:color w:val="auto"/>
                <w:szCs w:val="21"/>
                <w:lang w:val="en-US" w:eastAsia="zh-CN"/>
              </w:rPr>
              <w:t>、COD、SS 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9" w:type="dxa"/>
            <w:gridSpan w:val="2"/>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噪声</w:t>
            </w:r>
          </w:p>
        </w:tc>
        <w:tc>
          <w:tcPr>
            <w:tcW w:w="4230"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猪叫声、风机、机械设备等</w:t>
            </w:r>
          </w:p>
        </w:tc>
        <w:tc>
          <w:tcPr>
            <w:tcW w:w="3121"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69" w:type="dxa"/>
            <w:gridSpan w:val="2"/>
            <w:vMerge w:val="restart"/>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固体废物</w:t>
            </w:r>
          </w:p>
        </w:tc>
        <w:tc>
          <w:tcPr>
            <w:tcW w:w="4230" w:type="dxa"/>
            <w:vAlign w:val="center"/>
          </w:tcPr>
          <w:p>
            <w:pPr>
              <w:pStyle w:val="98"/>
              <w:jc w:val="center"/>
              <w:rPr>
                <w:rFonts w:hint="eastAsia"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生产人员</w:t>
            </w:r>
          </w:p>
        </w:tc>
        <w:tc>
          <w:tcPr>
            <w:tcW w:w="3121"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生活垃圾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9" w:type="dxa"/>
            <w:gridSpan w:val="2"/>
            <w:vMerge w:val="continue"/>
            <w:vAlign w:val="center"/>
          </w:tcPr>
          <w:p>
            <w:pPr>
              <w:pStyle w:val="98"/>
              <w:jc w:val="center"/>
              <w:rPr>
                <w:rFonts w:hint="eastAsia" w:ascii="Times New Roman" w:hAnsi="Times New Roman" w:cs="Times New Roman"/>
                <w:color w:val="auto"/>
                <w:szCs w:val="21"/>
                <w:lang w:val="en-US" w:eastAsia="zh-CN"/>
              </w:rPr>
            </w:pPr>
          </w:p>
        </w:tc>
        <w:tc>
          <w:tcPr>
            <w:tcW w:w="4230" w:type="dxa"/>
            <w:vAlign w:val="center"/>
          </w:tcPr>
          <w:p>
            <w:pPr>
              <w:pStyle w:val="98"/>
              <w:jc w:val="center"/>
              <w:rPr>
                <w:rFonts w:hint="eastAsia"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猪舍产生的猪粪、废包装材料、病死猪、废脱硫剂、沼渣</w:t>
            </w:r>
          </w:p>
        </w:tc>
        <w:tc>
          <w:tcPr>
            <w:tcW w:w="3121"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一般固体废物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9" w:type="dxa"/>
            <w:gridSpan w:val="2"/>
            <w:vMerge w:val="continue"/>
            <w:vAlign w:val="center"/>
          </w:tcPr>
          <w:p>
            <w:pPr>
              <w:pStyle w:val="98"/>
              <w:jc w:val="center"/>
              <w:rPr>
                <w:rFonts w:hint="eastAsia" w:ascii="Times New Roman" w:hAnsi="Times New Roman" w:cs="Times New Roman"/>
                <w:color w:val="auto"/>
                <w:szCs w:val="21"/>
                <w:lang w:val="en-US" w:eastAsia="zh-CN"/>
              </w:rPr>
            </w:pPr>
          </w:p>
        </w:tc>
        <w:tc>
          <w:tcPr>
            <w:tcW w:w="4230" w:type="dxa"/>
            <w:vAlign w:val="center"/>
          </w:tcPr>
          <w:p>
            <w:pPr>
              <w:pStyle w:val="98"/>
              <w:jc w:val="center"/>
              <w:rPr>
                <w:rFonts w:hint="eastAsia"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医疗废物</w:t>
            </w:r>
          </w:p>
        </w:tc>
        <w:tc>
          <w:tcPr>
            <w:tcW w:w="3121"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危险废物（废物类别为HW01和HW03，废物代码为：</w:t>
            </w:r>
            <w:r>
              <w:rPr>
                <w:rFonts w:hint="eastAsia" w:ascii="Times New Roman" w:hAnsi="Times New Roman" w:eastAsia="宋体"/>
                <w:color w:val="auto"/>
                <w:lang w:val="en-US" w:eastAsia="zh-CN"/>
              </w:rPr>
              <w:t>841</w:t>
            </w:r>
            <w:r>
              <w:rPr>
                <w:rFonts w:hint="default" w:ascii="Times New Roman" w:hAnsi="Times New Roman" w:eastAsia="宋体"/>
                <w:color w:val="auto"/>
                <w:lang w:val="en-US" w:eastAsia="zh-CN"/>
              </w:rPr>
              <w:t>-001-01</w:t>
            </w:r>
            <w:r>
              <w:rPr>
                <w:rFonts w:hint="eastAsia" w:ascii="Times New Roman" w:hAnsi="Times New Roman" w:eastAsia="宋体"/>
                <w:color w:val="auto"/>
                <w:lang w:val="en-US" w:eastAsia="zh-CN"/>
              </w:rPr>
              <w:t>；841-002-01；841-005-01；900-002-03</w:t>
            </w:r>
            <w:r>
              <w:rPr>
                <w:rFonts w:hint="eastAsia" w:ascii="Times New Roman" w:hAnsi="Times New Roman" w:cs="Times New Roman"/>
                <w:color w:val="auto"/>
                <w:szCs w:val="21"/>
                <w:lang w:val="en-US" w:eastAsia="zh-CN"/>
              </w:rPr>
              <w:t>）</w:t>
            </w:r>
          </w:p>
        </w:tc>
      </w:tr>
    </w:tbl>
    <w:p>
      <w:pPr>
        <w:pStyle w:val="5"/>
        <w:pageBreakBefore w:val="0"/>
        <w:widowControl w:val="0"/>
        <w:kinsoku/>
        <w:wordWrap/>
        <w:overflowPunct/>
        <w:topLinePunct w:val="0"/>
        <w:autoSpaceDE/>
        <w:autoSpaceDN/>
        <w:bidi w:val="0"/>
        <w:adjustRightInd w:val="0"/>
        <w:snapToGrid w:val="0"/>
        <w:spacing w:before="0" w:after="0" w:line="360" w:lineRule="auto"/>
        <w:textAlignment w:val="auto"/>
        <w:rPr>
          <w:rFonts w:hint="eastAsia" w:ascii="Times New Roman" w:hAnsi="Times New Roman" w:eastAsia="宋体"/>
          <w:color w:val="auto"/>
          <w:sz w:val="30"/>
          <w:szCs w:val="30"/>
        </w:rPr>
      </w:pPr>
      <w:bookmarkStart w:id="111" w:name="_Toc15607"/>
      <w:bookmarkStart w:id="112" w:name="_Toc459118425"/>
      <w:bookmarkStart w:id="113" w:name="_Toc15684"/>
      <w:r>
        <w:rPr>
          <w:rFonts w:hint="eastAsia" w:ascii="Times New Roman" w:hAnsi="Times New Roman" w:eastAsia="宋体"/>
          <w:color w:val="auto"/>
          <w:sz w:val="30"/>
          <w:szCs w:val="30"/>
        </w:rPr>
        <w:t>3.2物料平衡</w:t>
      </w:r>
      <w:bookmarkEnd w:id="111"/>
      <w:bookmarkEnd w:id="112"/>
      <w:bookmarkEnd w:id="113"/>
    </w:p>
    <w:p>
      <w:pPr>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根据建设单位提供数据，项目生猪饮水量、主要饲料消耗参数见表</w:t>
      </w:r>
      <w:r>
        <w:rPr>
          <w:rFonts w:hint="eastAsia" w:ascii="Times New Roman" w:hAnsi="Times New Roman" w:eastAsia="宋体"/>
          <w:color w:val="auto"/>
          <w:sz w:val="24"/>
          <w:szCs w:val="24"/>
          <w:lang w:val="en-US" w:eastAsia="zh-CN"/>
        </w:rPr>
        <w:t>3.2-1</w:t>
      </w:r>
      <w:r>
        <w:rPr>
          <w:rFonts w:hint="eastAsia" w:ascii="Times New Roman" w:hAnsi="Times New Roman" w:eastAsia="宋体"/>
          <w:color w:val="auto"/>
          <w:sz w:val="24"/>
          <w:szCs w:val="24"/>
          <w:lang w:eastAsia="zh-CN"/>
        </w:rPr>
        <w:t>、3</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w:t>
      </w:r>
    </w:p>
    <w:p>
      <w:pPr>
        <w:jc w:val="center"/>
        <w:rPr>
          <w:rFonts w:hint="eastAsia"/>
          <w:b/>
          <w:bCs/>
          <w:color w:val="auto"/>
          <w:lang w:eastAsia="zh-CN"/>
        </w:rPr>
      </w:pPr>
      <w:r>
        <w:rPr>
          <w:rFonts w:hint="default" w:ascii="Times New Roman" w:hAnsi="Times New Roman" w:cs="Times New Roman"/>
          <w:b/>
          <w:bCs/>
          <w:color w:val="auto"/>
          <w:lang w:eastAsia="zh-CN"/>
        </w:rPr>
        <w:t>表</w:t>
      </w:r>
      <w:r>
        <w:rPr>
          <w:rFonts w:hint="default" w:ascii="Times New Roman" w:hAnsi="Times New Roman" w:cs="Times New Roman"/>
          <w:b/>
          <w:bCs/>
          <w:color w:val="auto"/>
          <w:lang w:val="en-US" w:eastAsia="zh-CN"/>
        </w:rPr>
        <w:t xml:space="preserve">3.2-1 </w:t>
      </w:r>
      <w:r>
        <w:rPr>
          <w:rFonts w:hint="eastAsia"/>
          <w:b/>
          <w:bCs/>
          <w:color w:val="auto"/>
          <w:lang w:val="en-US" w:eastAsia="zh-CN"/>
        </w:rPr>
        <w:t xml:space="preserve"> </w:t>
      </w:r>
      <w:r>
        <w:rPr>
          <w:rFonts w:hint="eastAsia"/>
          <w:b/>
          <w:bCs/>
          <w:color w:val="auto"/>
          <w:lang w:eastAsia="zh-CN"/>
        </w:rPr>
        <w:t>生猪饮水参数表</w:t>
      </w:r>
    </w:p>
    <w:tbl>
      <w:tblPr>
        <w:tblStyle w:val="34"/>
        <w:tblW w:w="8948"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7"/>
        <w:gridCol w:w="1698"/>
        <w:gridCol w:w="50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35" w:type="dxa"/>
            <w:gridSpan w:val="2"/>
            <w:tcBorders>
              <w:tl2br w:val="single" w:color="auto" w:sz="4" w:space="0"/>
            </w:tcBorders>
            <w:noWrap w:val="0"/>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 xml:space="preserve">                  生猪种类</w:t>
            </w:r>
          </w:p>
          <w:p>
            <w:pPr>
              <w:pStyle w:val="98"/>
              <w:jc w:val="both"/>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项目</w:t>
            </w:r>
          </w:p>
        </w:tc>
        <w:tc>
          <w:tcPr>
            <w:tcW w:w="5013" w:type="dxa"/>
            <w:noWrap w:val="0"/>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生猪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35" w:type="dxa"/>
            <w:gridSpan w:val="2"/>
            <w:noWrap w:val="0"/>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夏季饮水量（升/头﹒天）</w:t>
            </w:r>
          </w:p>
        </w:tc>
        <w:tc>
          <w:tcPr>
            <w:tcW w:w="5013" w:type="dxa"/>
            <w:noWrap w:val="0"/>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35" w:type="dxa"/>
            <w:gridSpan w:val="2"/>
            <w:noWrap w:val="0"/>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其它季节饮水量（升/头﹒天）</w:t>
            </w:r>
          </w:p>
        </w:tc>
        <w:tc>
          <w:tcPr>
            <w:tcW w:w="5013" w:type="dxa"/>
            <w:noWrap w:val="0"/>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35" w:type="dxa"/>
            <w:gridSpan w:val="2"/>
            <w:noWrap w:val="0"/>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存栏量（头）</w:t>
            </w:r>
          </w:p>
        </w:tc>
        <w:tc>
          <w:tcPr>
            <w:tcW w:w="5013" w:type="dxa"/>
            <w:noWrap w:val="0"/>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2237" w:type="dxa"/>
            <w:vMerge w:val="restart"/>
            <w:noWrap w:val="0"/>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饮水量</w:t>
            </w:r>
          </w:p>
        </w:tc>
        <w:tc>
          <w:tcPr>
            <w:tcW w:w="1698" w:type="dxa"/>
            <w:noWrap w:val="0"/>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m</w:t>
            </w:r>
            <w:r>
              <w:rPr>
                <w:rFonts w:hint="eastAsia" w:ascii="Times New Roman" w:hAnsi="Times New Roman" w:cs="Times New Roman"/>
                <w:color w:val="auto"/>
                <w:szCs w:val="21"/>
                <w:vertAlign w:val="superscript"/>
                <w:lang w:val="en-US" w:eastAsia="zh-CN"/>
              </w:rPr>
              <w:t>3</w:t>
            </w:r>
            <w:r>
              <w:rPr>
                <w:rFonts w:hint="eastAsia" w:ascii="Times New Roman" w:hAnsi="Times New Roman" w:cs="Times New Roman"/>
                <w:color w:val="auto"/>
                <w:szCs w:val="21"/>
                <w:lang w:val="en-US" w:eastAsia="zh-CN"/>
              </w:rPr>
              <w:t>/a</w:t>
            </w:r>
          </w:p>
        </w:tc>
        <w:tc>
          <w:tcPr>
            <w:tcW w:w="5013" w:type="dxa"/>
            <w:noWrap w:val="0"/>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38380m</w:t>
            </w:r>
            <w:r>
              <w:rPr>
                <w:rFonts w:hint="eastAsia" w:ascii="Times New Roman" w:hAnsi="Times New Roman" w:cs="Times New Roman"/>
                <w:color w:val="auto"/>
                <w:szCs w:val="21"/>
                <w:vertAlign w:val="superscript"/>
                <w:lang w:val="en-US" w:eastAsia="zh-CN"/>
              </w:rPr>
              <w:t>3</w:t>
            </w:r>
            <w:r>
              <w:rPr>
                <w:rFonts w:hint="eastAsia" w:ascii="Times New Roman" w:hAnsi="Times New Roman" w:cs="Times New Roman"/>
                <w:color w:val="auto"/>
                <w:szCs w:val="21"/>
                <w:lang w:val="en-US" w:eastAsia="zh-CN"/>
              </w:rPr>
              <w:t>/a（其中夏季16920m</w:t>
            </w:r>
            <w:r>
              <w:rPr>
                <w:rFonts w:hint="eastAsia" w:ascii="Times New Roman" w:hAnsi="Times New Roman" w:cs="Times New Roman"/>
                <w:color w:val="auto"/>
                <w:szCs w:val="21"/>
                <w:vertAlign w:val="superscript"/>
                <w:lang w:val="en-US" w:eastAsia="zh-CN"/>
              </w:rPr>
              <w:t>3</w:t>
            </w:r>
            <w:r>
              <w:rPr>
                <w:rFonts w:hint="eastAsia" w:ascii="Times New Roman" w:hAnsi="Times New Roman" w:cs="Times New Roman"/>
                <w:color w:val="auto"/>
                <w:szCs w:val="21"/>
                <w:lang w:val="en-US" w:eastAsia="zh-CN"/>
              </w:rPr>
              <w:t>，其它季节40650m</w:t>
            </w:r>
            <w:r>
              <w:rPr>
                <w:rFonts w:hint="eastAsia" w:ascii="Times New Roman" w:hAnsi="Times New Roman" w:cs="Times New Roman"/>
                <w:color w:val="auto"/>
                <w:szCs w:val="21"/>
                <w:vertAlign w:val="superscript"/>
                <w:lang w:val="en-US" w:eastAsia="zh-CN"/>
              </w:rPr>
              <w:t>3</w:t>
            </w:r>
            <w:r>
              <w:rPr>
                <w:rFonts w:hint="eastAsia" w:ascii="Times New Roman" w:hAnsi="Times New Roman" w:cs="Times New Roman"/>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8" w:hRule="atLeast"/>
        </w:trPr>
        <w:tc>
          <w:tcPr>
            <w:tcW w:w="2237" w:type="dxa"/>
            <w:vMerge w:val="continue"/>
            <w:noWrap w:val="0"/>
            <w:vAlign w:val="center"/>
          </w:tcPr>
          <w:p>
            <w:pPr>
              <w:pStyle w:val="98"/>
              <w:jc w:val="center"/>
              <w:rPr>
                <w:rFonts w:hint="eastAsia" w:ascii="Times New Roman" w:hAnsi="Times New Roman" w:cs="Times New Roman"/>
                <w:color w:val="auto"/>
                <w:szCs w:val="21"/>
                <w:lang w:val="en-US" w:eastAsia="zh-CN"/>
              </w:rPr>
            </w:pPr>
          </w:p>
        </w:tc>
        <w:tc>
          <w:tcPr>
            <w:tcW w:w="1698" w:type="dxa"/>
            <w:noWrap w:val="0"/>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m</w:t>
            </w:r>
            <w:r>
              <w:rPr>
                <w:rFonts w:hint="eastAsia" w:ascii="Times New Roman" w:hAnsi="Times New Roman" w:cs="Times New Roman"/>
                <w:color w:val="auto"/>
                <w:szCs w:val="21"/>
                <w:vertAlign w:val="superscript"/>
                <w:lang w:val="en-US" w:eastAsia="zh-CN"/>
              </w:rPr>
              <w:t>3</w:t>
            </w:r>
            <w:r>
              <w:rPr>
                <w:rFonts w:hint="eastAsia" w:ascii="Times New Roman" w:hAnsi="Times New Roman" w:cs="Times New Roman"/>
                <w:color w:val="auto"/>
                <w:szCs w:val="21"/>
                <w:lang w:val="en-US" w:eastAsia="zh-CN"/>
              </w:rPr>
              <w:t>/d</w:t>
            </w:r>
          </w:p>
        </w:tc>
        <w:tc>
          <w:tcPr>
            <w:tcW w:w="5013" w:type="dxa"/>
            <w:noWrap w:val="0"/>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夏季120m</w:t>
            </w:r>
            <w:r>
              <w:rPr>
                <w:rFonts w:hint="eastAsia" w:ascii="Times New Roman" w:hAnsi="Times New Roman" w:cs="Times New Roman"/>
                <w:color w:val="auto"/>
                <w:szCs w:val="21"/>
                <w:vertAlign w:val="superscript"/>
                <w:lang w:val="en-US" w:eastAsia="zh-CN"/>
              </w:rPr>
              <w:t>3</w:t>
            </w:r>
            <w:r>
              <w:rPr>
                <w:rFonts w:hint="eastAsia" w:ascii="Times New Roman" w:hAnsi="Times New Roman" w:cs="Times New Roman"/>
                <w:color w:val="auto"/>
                <w:szCs w:val="21"/>
                <w:lang w:val="en-US" w:eastAsia="zh-CN"/>
              </w:rPr>
              <w:t>/d，其它季节100 m</w:t>
            </w:r>
            <w:r>
              <w:rPr>
                <w:rFonts w:hint="eastAsia" w:ascii="Times New Roman" w:hAnsi="Times New Roman" w:cs="Times New Roman"/>
                <w:color w:val="auto"/>
                <w:szCs w:val="21"/>
                <w:vertAlign w:val="superscript"/>
                <w:lang w:val="en-US" w:eastAsia="zh-CN"/>
              </w:rPr>
              <w:t>3</w:t>
            </w:r>
            <w:r>
              <w:rPr>
                <w:rFonts w:hint="eastAsia" w:ascii="Times New Roman" w:hAnsi="Times New Roman" w:cs="Times New Roman"/>
                <w:color w:val="auto"/>
                <w:szCs w:val="21"/>
                <w:lang w:val="en-US" w:eastAsia="zh-CN"/>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7" w:type="dxa"/>
            <w:noWrap w:val="0"/>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备注</w:t>
            </w:r>
          </w:p>
        </w:tc>
        <w:tc>
          <w:tcPr>
            <w:tcW w:w="6711" w:type="dxa"/>
            <w:gridSpan w:val="2"/>
            <w:noWrap w:val="0"/>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夏季94天，其它季节合计271天；</w:t>
            </w:r>
          </w:p>
        </w:tc>
      </w:tr>
    </w:tbl>
    <w:p>
      <w:pPr>
        <w:jc w:val="center"/>
        <w:rPr>
          <w:rFonts w:hint="default" w:ascii="Times New Roman" w:hAnsi="Times New Roman" w:cs="Times New Roman"/>
          <w:b/>
          <w:bCs/>
          <w:color w:val="auto"/>
          <w:lang w:eastAsia="zh-CN"/>
        </w:rPr>
      </w:pPr>
    </w:p>
    <w:p>
      <w:pPr>
        <w:jc w:val="center"/>
        <w:rPr>
          <w:rFonts w:hint="eastAsia" w:eastAsiaTheme="minorEastAsia"/>
          <w:color w:val="auto"/>
          <w:lang w:eastAsia="zh-CN"/>
        </w:rPr>
      </w:pPr>
      <w:r>
        <w:rPr>
          <w:rFonts w:hint="default" w:ascii="Times New Roman" w:hAnsi="Times New Roman" w:cs="Times New Roman"/>
          <w:b/>
          <w:bCs/>
          <w:color w:val="auto"/>
          <w:lang w:eastAsia="zh-CN"/>
        </w:rPr>
        <w:t>表</w:t>
      </w:r>
      <w:r>
        <w:rPr>
          <w:rFonts w:hint="default" w:ascii="Times New Roman" w:hAnsi="Times New Roman" w:cs="Times New Roman"/>
          <w:b/>
          <w:bCs/>
          <w:color w:val="auto"/>
          <w:lang w:val="en-US" w:eastAsia="zh-CN"/>
        </w:rPr>
        <w:t>3.2-</w:t>
      </w:r>
      <w:r>
        <w:rPr>
          <w:rFonts w:hint="eastAsia" w:ascii="Times New Roman" w:hAnsi="Times New Roman" w:cs="Times New Roman"/>
          <w:b/>
          <w:bCs/>
          <w:color w:val="auto"/>
          <w:lang w:val="en-US" w:eastAsia="zh-CN"/>
        </w:rPr>
        <w:t>2</w:t>
      </w:r>
      <w:r>
        <w:rPr>
          <w:rFonts w:hint="default" w:ascii="Times New Roman" w:hAnsi="Times New Roman" w:cs="Times New Roman"/>
          <w:b/>
          <w:bCs/>
          <w:color w:val="auto"/>
          <w:lang w:val="en-US" w:eastAsia="zh-CN"/>
        </w:rPr>
        <w:t xml:space="preserve"> </w:t>
      </w:r>
      <w:r>
        <w:rPr>
          <w:rFonts w:hint="eastAsia"/>
          <w:b/>
          <w:bCs/>
          <w:color w:val="auto"/>
          <w:lang w:val="en-US" w:eastAsia="zh-CN"/>
        </w:rPr>
        <w:t xml:space="preserve"> </w:t>
      </w:r>
      <w:r>
        <w:rPr>
          <w:rFonts w:hint="eastAsia"/>
          <w:b/>
          <w:bCs/>
          <w:color w:val="auto"/>
          <w:lang w:eastAsia="zh-CN"/>
        </w:rPr>
        <w:t>养猪场主要饲料消耗定额指标表</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1"/>
        <w:gridCol w:w="1839"/>
        <w:gridCol w:w="2693"/>
        <w:gridCol w:w="1808"/>
        <w:gridCol w:w="1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891"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序号</w:t>
            </w:r>
          </w:p>
        </w:tc>
        <w:tc>
          <w:tcPr>
            <w:tcW w:w="1839"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名称</w:t>
            </w:r>
          </w:p>
        </w:tc>
        <w:tc>
          <w:tcPr>
            <w:tcW w:w="2693"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每头猪饲料定额（kg/d）</w:t>
            </w:r>
          </w:p>
        </w:tc>
        <w:tc>
          <w:tcPr>
            <w:tcW w:w="1808"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饲料日消耗量（kg/d）</w:t>
            </w:r>
          </w:p>
        </w:tc>
        <w:tc>
          <w:tcPr>
            <w:tcW w:w="1808"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饲料年消耗量（t/a）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891"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w:t>
            </w:r>
          </w:p>
        </w:tc>
        <w:tc>
          <w:tcPr>
            <w:tcW w:w="1839"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育肥猪（15000头）</w:t>
            </w:r>
          </w:p>
        </w:tc>
        <w:tc>
          <w:tcPr>
            <w:tcW w:w="2693"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2.5</w:t>
            </w:r>
          </w:p>
        </w:tc>
        <w:tc>
          <w:tcPr>
            <w:tcW w:w="1808"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37500</w:t>
            </w:r>
          </w:p>
        </w:tc>
        <w:tc>
          <w:tcPr>
            <w:tcW w:w="1808"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13687.50</w:t>
            </w:r>
          </w:p>
        </w:tc>
      </w:tr>
    </w:tbl>
    <w:p>
      <w:pPr>
        <w:pStyle w:val="5"/>
        <w:pageBreakBefore w:val="0"/>
        <w:widowControl w:val="0"/>
        <w:kinsoku/>
        <w:wordWrap/>
        <w:overflowPunct/>
        <w:topLinePunct w:val="0"/>
        <w:autoSpaceDE/>
        <w:autoSpaceDN/>
        <w:bidi w:val="0"/>
        <w:adjustRightInd w:val="0"/>
        <w:snapToGrid w:val="0"/>
        <w:spacing w:before="0" w:after="0" w:line="360" w:lineRule="auto"/>
        <w:textAlignment w:val="auto"/>
        <w:rPr>
          <w:rFonts w:ascii="Times New Roman" w:hAnsi="Times New Roman" w:eastAsia="宋体"/>
          <w:color w:val="auto"/>
          <w:sz w:val="30"/>
          <w:szCs w:val="30"/>
        </w:rPr>
      </w:pPr>
      <w:bookmarkStart w:id="114" w:name="_Toc459118429"/>
      <w:bookmarkStart w:id="115" w:name="_Toc24629"/>
      <w:bookmarkStart w:id="116" w:name="_Toc22557"/>
      <w:r>
        <w:rPr>
          <w:rFonts w:hint="eastAsia" w:ascii="Times New Roman" w:hAnsi="Times New Roman" w:eastAsia="宋体"/>
          <w:color w:val="auto"/>
          <w:sz w:val="30"/>
          <w:szCs w:val="30"/>
        </w:rPr>
        <w:t>3</w:t>
      </w:r>
      <w:r>
        <w:rPr>
          <w:rFonts w:ascii="Times New Roman" w:hAnsi="Times New Roman" w:eastAsia="宋体"/>
          <w:color w:val="auto"/>
          <w:sz w:val="30"/>
          <w:szCs w:val="30"/>
        </w:rPr>
        <w:t>.</w:t>
      </w:r>
      <w:r>
        <w:rPr>
          <w:rFonts w:hint="eastAsia" w:ascii="Times New Roman" w:hAnsi="Times New Roman" w:eastAsia="宋体"/>
          <w:color w:val="auto"/>
          <w:sz w:val="30"/>
          <w:szCs w:val="30"/>
        </w:rPr>
        <w:t>3</w:t>
      </w:r>
      <w:bookmarkEnd w:id="114"/>
      <w:r>
        <w:rPr>
          <w:rFonts w:hint="eastAsia" w:ascii="Times New Roman" w:hAnsi="Times New Roman" w:eastAsia="宋体"/>
          <w:color w:val="auto"/>
          <w:sz w:val="30"/>
          <w:szCs w:val="30"/>
        </w:rPr>
        <w:t>水平衡</w:t>
      </w:r>
      <w:bookmarkEnd w:id="115"/>
      <w:bookmarkEnd w:id="116"/>
    </w:p>
    <w:p>
      <w:pPr>
        <w:adjustRightInd w:val="0"/>
        <w:snapToGrid w:val="0"/>
        <w:spacing w:line="360" w:lineRule="auto"/>
        <w:ind w:firstLine="480" w:firstLineChars="200"/>
        <w:rPr>
          <w:rFonts w:hint="eastAsia" w:ascii="Times New Roman" w:hAnsi="Times New Roman" w:eastAsia="宋体"/>
          <w:snapToGrid w:val="0"/>
          <w:color w:val="auto"/>
          <w:sz w:val="24"/>
          <w:lang w:eastAsia="zh-CN"/>
        </w:rPr>
      </w:pPr>
      <w:r>
        <w:rPr>
          <w:rFonts w:hint="eastAsia" w:ascii="Times New Roman" w:hAnsi="Times New Roman" w:eastAsia="宋体"/>
          <w:snapToGrid w:val="0"/>
          <w:color w:val="auto"/>
          <w:sz w:val="24"/>
          <w:lang w:eastAsia="zh-CN"/>
        </w:rPr>
        <w:t>本项目位于眉山市丹棱县仁美镇雄义村5组，项目生产用水、生活用水均取自地下水</w:t>
      </w:r>
      <w:r>
        <w:rPr>
          <w:rFonts w:hint="eastAsia" w:ascii="Times New Roman" w:hAnsi="Times New Roman" w:eastAsia="宋体"/>
          <w:snapToGrid w:val="0"/>
          <w:color w:val="auto"/>
          <w:sz w:val="24"/>
        </w:rPr>
        <w:t>。</w:t>
      </w:r>
      <w:r>
        <w:rPr>
          <w:rFonts w:hint="eastAsia" w:ascii="Times New Roman" w:hAnsi="Times New Roman" w:eastAsia="宋体"/>
          <w:snapToGrid w:val="0"/>
          <w:color w:val="auto"/>
          <w:sz w:val="24"/>
          <w:lang w:eastAsia="zh-CN"/>
        </w:rPr>
        <w:t>项目用水情况如下：</w:t>
      </w:r>
    </w:p>
    <w:p>
      <w:pPr>
        <w:adjustRightInd w:val="0"/>
        <w:snapToGrid w:val="0"/>
        <w:spacing w:line="360" w:lineRule="auto"/>
        <w:ind w:firstLine="480" w:firstLineChars="200"/>
        <w:rPr>
          <w:rFonts w:hint="eastAsia" w:ascii="Times New Roman" w:hAnsi="Times New Roman" w:eastAsia="宋体"/>
          <w:snapToGrid w:val="0"/>
          <w:color w:val="auto"/>
          <w:sz w:val="24"/>
          <w:lang w:eastAsia="zh-CN"/>
        </w:rPr>
      </w:pPr>
      <w:r>
        <w:rPr>
          <w:rFonts w:hint="eastAsia" w:ascii="Times New Roman" w:hAnsi="Times New Roman" w:eastAsia="宋体"/>
          <w:snapToGrid w:val="0"/>
          <w:color w:val="auto"/>
          <w:sz w:val="24"/>
        </w:rPr>
        <w:t>（1）</w:t>
      </w:r>
      <w:r>
        <w:rPr>
          <w:rFonts w:hint="eastAsia" w:ascii="Times New Roman" w:hAnsi="Times New Roman" w:eastAsia="宋体"/>
          <w:snapToGrid w:val="0"/>
          <w:color w:val="auto"/>
          <w:sz w:val="24"/>
          <w:lang w:eastAsia="zh-CN"/>
        </w:rPr>
        <w:t>猪舍冲洗废水</w:t>
      </w:r>
    </w:p>
    <w:p>
      <w:pPr>
        <w:adjustRightInd w:val="0"/>
        <w:snapToGrid w:val="0"/>
        <w:spacing w:line="360" w:lineRule="auto"/>
        <w:ind w:firstLine="480" w:firstLineChars="200"/>
        <w:rPr>
          <w:rFonts w:hint="eastAsia" w:ascii="Times New Roman" w:hAnsi="Times New Roman" w:eastAsia="宋体"/>
          <w:snapToGrid w:val="0"/>
          <w:color w:val="auto"/>
          <w:sz w:val="24"/>
        </w:rPr>
      </w:pPr>
      <w:r>
        <w:rPr>
          <w:rFonts w:hint="eastAsia" w:ascii="Times New Roman" w:hAnsi="Times New Roman" w:eastAsia="宋体"/>
          <w:snapToGrid w:val="0"/>
          <w:color w:val="auto"/>
          <w:sz w:val="24"/>
        </w:rPr>
        <w:t>为避免猪传染病的发生及传染，圈舍及各类用具需定期冲洗和消毒。由于本项目拟采用的改良型全漏缝板清粪工艺，实现了猪舍粪尿及时清运，可避免每日冲洗猪舍，节约用水，并保持猪舍清洁和干燥。为满足猪舍清洁和消毒要求，防止疫病发生，营运期圈舍每次换栏时进行彻底冲洗、消毒后进入下一个生产周期，项目猪舍平均每年冲洗</w:t>
      </w:r>
      <w:r>
        <w:rPr>
          <w:rFonts w:hint="eastAsia" w:ascii="Times New Roman" w:hAnsi="Times New Roman" w:eastAsia="宋体"/>
          <w:snapToGrid w:val="0"/>
          <w:color w:val="auto"/>
          <w:sz w:val="24"/>
          <w:lang w:val="en-US" w:eastAsia="zh-CN"/>
        </w:rPr>
        <w:t>2</w:t>
      </w:r>
      <w:r>
        <w:rPr>
          <w:rFonts w:hint="eastAsia" w:ascii="Times New Roman" w:hAnsi="Times New Roman" w:eastAsia="宋体"/>
          <w:snapToGrid w:val="0"/>
          <w:color w:val="auto"/>
          <w:sz w:val="24"/>
        </w:rPr>
        <w:t>次，猪舍面积</w:t>
      </w:r>
      <w:r>
        <w:rPr>
          <w:rFonts w:hint="eastAsia" w:ascii="Times New Roman" w:hAnsi="Times New Roman" w:eastAsia="宋体"/>
          <w:snapToGrid w:val="0"/>
          <w:color w:val="auto"/>
          <w:sz w:val="24"/>
          <w:lang w:val="en-US" w:eastAsia="zh-CN"/>
        </w:rPr>
        <w:t>12480</w:t>
      </w:r>
      <w:r>
        <w:rPr>
          <w:rFonts w:hint="eastAsia" w:ascii="Times New Roman" w:hAnsi="Times New Roman" w:eastAsia="宋体"/>
          <w:snapToGrid w:val="0"/>
          <w:color w:val="auto"/>
          <w:sz w:val="24"/>
        </w:rPr>
        <w:t>m</w:t>
      </w:r>
      <w:r>
        <w:rPr>
          <w:rFonts w:hint="eastAsia" w:ascii="Times New Roman" w:hAnsi="Times New Roman" w:eastAsia="宋体"/>
          <w:snapToGrid w:val="0"/>
          <w:color w:val="auto"/>
          <w:sz w:val="24"/>
          <w:vertAlign w:val="superscript"/>
        </w:rPr>
        <w:t>2</w:t>
      </w:r>
      <w:r>
        <w:rPr>
          <w:rFonts w:hint="eastAsia" w:ascii="Times New Roman" w:hAnsi="Times New Roman" w:eastAsia="宋体"/>
          <w:snapToGrid w:val="0"/>
          <w:color w:val="auto"/>
          <w:sz w:val="24"/>
        </w:rPr>
        <w:t>。参考《全国规模化畜禽养殖业污染情况调查及防治对策》（国家环保总局自然生态保护司）和建设单位运营经验，营运期猪舍冲洗用水量按6L/m</w:t>
      </w:r>
      <w:r>
        <w:rPr>
          <w:rFonts w:hint="eastAsia" w:ascii="Times New Roman" w:hAnsi="Times New Roman" w:eastAsia="宋体"/>
          <w:snapToGrid w:val="0"/>
          <w:color w:val="auto"/>
          <w:sz w:val="24"/>
          <w:vertAlign w:val="superscript"/>
        </w:rPr>
        <w:t>2</w:t>
      </w:r>
      <w:r>
        <w:rPr>
          <w:rFonts w:hint="eastAsia" w:ascii="Times New Roman" w:hAnsi="Times New Roman" w:eastAsia="宋体"/>
          <w:snapToGrid w:val="0"/>
          <w:color w:val="auto"/>
          <w:sz w:val="24"/>
        </w:rPr>
        <w:t>·次计，则营运期全年冲洗用水量约</w:t>
      </w:r>
      <w:r>
        <w:rPr>
          <w:rFonts w:hint="eastAsia" w:ascii="Times New Roman" w:hAnsi="Times New Roman" w:eastAsia="宋体"/>
          <w:snapToGrid w:val="0"/>
          <w:color w:val="auto"/>
          <w:sz w:val="24"/>
          <w:lang w:val="en-US" w:eastAsia="zh-CN"/>
        </w:rPr>
        <w:t>149.76</w:t>
      </w:r>
      <w:r>
        <w:rPr>
          <w:rFonts w:hint="eastAsia" w:ascii="Times New Roman" w:hAnsi="Times New Roman" w:eastAsia="宋体"/>
          <w:snapToGrid w:val="0"/>
          <w:color w:val="auto"/>
          <w:sz w:val="24"/>
        </w:rPr>
        <w:t>m</w:t>
      </w:r>
      <w:r>
        <w:rPr>
          <w:rFonts w:hint="eastAsia" w:ascii="Times New Roman" w:hAnsi="Times New Roman" w:eastAsia="宋体"/>
          <w:snapToGrid w:val="0"/>
          <w:color w:val="auto"/>
          <w:sz w:val="24"/>
          <w:vertAlign w:val="superscript"/>
        </w:rPr>
        <w:t>3</w:t>
      </w:r>
      <w:r>
        <w:rPr>
          <w:rFonts w:hint="eastAsia" w:ascii="Times New Roman" w:hAnsi="Times New Roman" w:eastAsia="宋体"/>
          <w:snapToGrid w:val="0"/>
          <w:color w:val="auto"/>
          <w:sz w:val="24"/>
        </w:rPr>
        <w:t>/a（日最大用水量：</w:t>
      </w:r>
      <w:r>
        <w:rPr>
          <w:rFonts w:hint="eastAsia" w:ascii="Times New Roman" w:hAnsi="Times New Roman" w:eastAsia="宋体"/>
          <w:snapToGrid w:val="0"/>
          <w:color w:val="auto"/>
          <w:sz w:val="24"/>
          <w:lang w:val="en-US" w:eastAsia="zh-CN"/>
        </w:rPr>
        <w:t>74.88</w:t>
      </w:r>
      <w:r>
        <w:rPr>
          <w:rFonts w:hint="eastAsia" w:ascii="Times New Roman" w:hAnsi="Times New Roman" w:eastAsia="宋体"/>
          <w:snapToGrid w:val="0"/>
          <w:color w:val="auto"/>
          <w:sz w:val="24"/>
        </w:rPr>
        <w:t>m</w:t>
      </w:r>
      <w:r>
        <w:rPr>
          <w:rFonts w:hint="eastAsia" w:ascii="Times New Roman" w:hAnsi="Times New Roman" w:eastAsia="宋体"/>
          <w:snapToGrid w:val="0"/>
          <w:color w:val="auto"/>
          <w:sz w:val="24"/>
          <w:vertAlign w:val="superscript"/>
        </w:rPr>
        <w:t>3</w:t>
      </w:r>
      <w:r>
        <w:rPr>
          <w:rFonts w:hint="eastAsia" w:ascii="Times New Roman" w:hAnsi="Times New Roman" w:eastAsia="宋体"/>
          <w:snapToGrid w:val="0"/>
          <w:color w:val="auto"/>
          <w:sz w:val="24"/>
        </w:rPr>
        <w:t>），平均每天用水量约</w:t>
      </w:r>
      <w:r>
        <w:rPr>
          <w:rFonts w:hint="eastAsia" w:ascii="Times New Roman" w:hAnsi="Times New Roman" w:eastAsia="宋体"/>
          <w:snapToGrid w:val="0"/>
          <w:color w:val="auto"/>
          <w:sz w:val="24"/>
          <w:lang w:val="en-US" w:eastAsia="zh-CN"/>
        </w:rPr>
        <w:t>0.41</w:t>
      </w:r>
      <w:r>
        <w:rPr>
          <w:rFonts w:hint="eastAsia" w:ascii="Times New Roman" w:hAnsi="Times New Roman" w:eastAsia="宋体"/>
          <w:snapToGrid w:val="0"/>
          <w:color w:val="auto"/>
          <w:sz w:val="24"/>
        </w:rPr>
        <w:t>m</w:t>
      </w:r>
      <w:r>
        <w:rPr>
          <w:rFonts w:hint="eastAsia" w:ascii="Times New Roman" w:hAnsi="Times New Roman" w:eastAsia="宋体"/>
          <w:snapToGrid w:val="0"/>
          <w:color w:val="auto"/>
          <w:sz w:val="24"/>
          <w:vertAlign w:val="superscript"/>
        </w:rPr>
        <w:t>3</w:t>
      </w:r>
      <w:r>
        <w:rPr>
          <w:rFonts w:hint="eastAsia" w:ascii="Times New Roman" w:hAnsi="Times New Roman" w:eastAsia="宋体"/>
          <w:snapToGrid w:val="0"/>
          <w:color w:val="auto"/>
          <w:sz w:val="24"/>
        </w:rPr>
        <w:t>/d。猪舍冲洗水产生量按用水量的8</w:t>
      </w:r>
      <w:r>
        <w:rPr>
          <w:rFonts w:hint="eastAsia" w:ascii="Times New Roman" w:hAnsi="Times New Roman" w:eastAsia="宋体"/>
          <w:snapToGrid w:val="0"/>
          <w:color w:val="auto"/>
          <w:sz w:val="24"/>
          <w:lang w:val="en-US" w:eastAsia="zh-CN"/>
        </w:rPr>
        <w:t>0</w:t>
      </w:r>
      <w:r>
        <w:rPr>
          <w:rFonts w:hint="eastAsia" w:ascii="Times New Roman" w:hAnsi="Times New Roman" w:eastAsia="宋体"/>
          <w:snapToGrid w:val="0"/>
          <w:color w:val="auto"/>
          <w:sz w:val="24"/>
        </w:rPr>
        <w:t>%计，则冲洗水的产生量共为</w:t>
      </w:r>
      <w:r>
        <w:rPr>
          <w:rFonts w:hint="eastAsia" w:ascii="Times New Roman" w:hAnsi="Times New Roman" w:eastAsia="宋体"/>
          <w:snapToGrid w:val="0"/>
          <w:color w:val="auto"/>
          <w:sz w:val="24"/>
          <w:lang w:val="en-US" w:eastAsia="zh-CN"/>
        </w:rPr>
        <w:t>119.81</w:t>
      </w:r>
      <w:r>
        <w:rPr>
          <w:rFonts w:hint="eastAsia" w:ascii="Times New Roman" w:hAnsi="Times New Roman" w:eastAsia="宋体"/>
          <w:snapToGrid w:val="0"/>
          <w:color w:val="auto"/>
          <w:sz w:val="24"/>
        </w:rPr>
        <w:t>m</w:t>
      </w:r>
      <w:r>
        <w:rPr>
          <w:rFonts w:hint="eastAsia" w:ascii="Times New Roman" w:hAnsi="Times New Roman" w:eastAsia="宋体"/>
          <w:snapToGrid w:val="0"/>
          <w:color w:val="auto"/>
          <w:sz w:val="24"/>
          <w:vertAlign w:val="superscript"/>
        </w:rPr>
        <w:t>3</w:t>
      </w:r>
      <w:r>
        <w:rPr>
          <w:rFonts w:hint="eastAsia" w:ascii="Times New Roman" w:hAnsi="Times New Roman" w:eastAsia="宋体"/>
          <w:snapToGrid w:val="0"/>
          <w:color w:val="auto"/>
          <w:sz w:val="24"/>
        </w:rPr>
        <w:t>/a，</w:t>
      </w:r>
      <w:r>
        <w:rPr>
          <w:rFonts w:hint="eastAsia" w:ascii="Times New Roman" w:hAnsi="Times New Roman" w:eastAsia="宋体"/>
          <w:snapToGrid w:val="0"/>
          <w:color w:val="auto"/>
          <w:sz w:val="24"/>
          <w:lang w:val="en-US" w:eastAsia="zh-CN"/>
        </w:rPr>
        <w:t>0.33</w:t>
      </w:r>
      <w:r>
        <w:rPr>
          <w:rFonts w:hint="eastAsia" w:ascii="Times New Roman" w:hAnsi="Times New Roman" w:eastAsia="宋体"/>
          <w:snapToGrid w:val="0"/>
          <w:color w:val="auto"/>
          <w:sz w:val="24"/>
        </w:rPr>
        <w:t>m</w:t>
      </w:r>
      <w:r>
        <w:rPr>
          <w:rFonts w:hint="eastAsia" w:ascii="Times New Roman" w:hAnsi="Times New Roman" w:eastAsia="宋体"/>
          <w:snapToGrid w:val="0"/>
          <w:color w:val="auto"/>
          <w:sz w:val="24"/>
          <w:vertAlign w:val="superscript"/>
        </w:rPr>
        <w:t>3</w:t>
      </w:r>
      <w:r>
        <w:rPr>
          <w:rFonts w:hint="eastAsia" w:ascii="Times New Roman" w:hAnsi="Times New Roman" w:eastAsia="宋体"/>
          <w:snapToGrid w:val="0"/>
          <w:color w:val="auto"/>
          <w:sz w:val="24"/>
        </w:rPr>
        <w:t>/d。</w:t>
      </w:r>
    </w:p>
    <w:p>
      <w:pPr>
        <w:numPr>
          <w:ilvl w:val="0"/>
          <w:numId w:val="0"/>
        </w:numPr>
        <w:adjustRightInd w:val="0"/>
        <w:snapToGrid w:val="0"/>
        <w:spacing w:line="360" w:lineRule="auto"/>
        <w:ind w:leftChars="200"/>
        <w:rPr>
          <w:rFonts w:hint="eastAsia" w:ascii="Times New Roman" w:hAnsi="Times New Roman" w:eastAsia="宋体"/>
          <w:snapToGrid w:val="0"/>
          <w:color w:val="auto"/>
          <w:sz w:val="24"/>
          <w:lang w:eastAsia="zh-CN"/>
        </w:rPr>
      </w:pPr>
      <w:r>
        <w:rPr>
          <w:rFonts w:hint="eastAsia" w:ascii="Times New Roman" w:hAnsi="Times New Roman" w:eastAsia="宋体"/>
          <w:snapToGrid w:val="0"/>
          <w:color w:val="auto"/>
          <w:sz w:val="24"/>
          <w:lang w:eastAsia="zh-CN"/>
        </w:rPr>
        <w:t>（</w:t>
      </w:r>
      <w:r>
        <w:rPr>
          <w:rFonts w:hint="eastAsia" w:ascii="Times New Roman" w:hAnsi="Times New Roman" w:eastAsia="宋体"/>
          <w:snapToGrid w:val="0"/>
          <w:color w:val="auto"/>
          <w:sz w:val="24"/>
          <w:lang w:val="en-US" w:eastAsia="zh-CN"/>
        </w:rPr>
        <w:t>2</w:t>
      </w:r>
      <w:r>
        <w:rPr>
          <w:rFonts w:hint="eastAsia" w:ascii="Times New Roman" w:hAnsi="Times New Roman" w:eastAsia="宋体"/>
          <w:snapToGrid w:val="0"/>
          <w:color w:val="auto"/>
          <w:sz w:val="24"/>
          <w:lang w:eastAsia="zh-CN"/>
        </w:rPr>
        <w:t>）猪饮用水</w:t>
      </w:r>
    </w:p>
    <w:p>
      <w:pPr>
        <w:adjustRightInd w:val="0"/>
        <w:snapToGrid w:val="0"/>
        <w:spacing w:line="360" w:lineRule="auto"/>
        <w:ind w:firstLine="480" w:firstLineChars="200"/>
        <w:rPr>
          <w:rFonts w:hint="eastAsia" w:ascii="Times New Roman" w:hAnsi="Times New Roman" w:eastAsia="宋体"/>
          <w:snapToGrid w:val="0"/>
          <w:color w:val="auto"/>
          <w:sz w:val="24"/>
          <w:lang w:eastAsia="zh-CN"/>
        </w:rPr>
      </w:pPr>
      <w:r>
        <w:rPr>
          <w:rFonts w:hint="eastAsia" w:ascii="Times New Roman" w:hAnsi="Times New Roman" w:eastAsia="宋体"/>
          <w:snapToGrid w:val="0"/>
          <w:color w:val="auto"/>
          <w:sz w:val="24"/>
          <w:lang w:eastAsia="zh-CN"/>
        </w:rPr>
        <w:t>猪的饮水量与猪的日龄、生产水品、外界温度、水温、供水方式、饲料种类、饲喂方法及猪的活动量有关根据业主提供的资料，结合当地实际情况，生猪饮水量（夏季除外）参照《生猪健康养殖技术规程（DB34T1133-2010）》，生猪饮用水按平均10L/ 头·d 计，夏季按参照值增加20%计。</w:t>
      </w:r>
    </w:p>
    <w:p>
      <w:pPr>
        <w:adjustRightInd w:val="0"/>
        <w:snapToGrid w:val="0"/>
        <w:spacing w:line="360" w:lineRule="auto"/>
        <w:ind w:firstLine="480" w:firstLineChars="200"/>
        <w:rPr>
          <w:rFonts w:hint="eastAsia" w:ascii="Times New Roman" w:hAnsi="Times New Roman" w:eastAsia="宋体" w:cs="宋体"/>
          <w:bCs/>
          <w:color w:val="auto"/>
          <w:sz w:val="24"/>
          <w:szCs w:val="24"/>
          <w:lang w:eastAsia="zh-CN"/>
        </w:rPr>
      </w:pPr>
      <w:r>
        <w:rPr>
          <w:rFonts w:hint="eastAsia" w:ascii="Times New Roman" w:hAnsi="Times New Roman" w:eastAsia="宋体" w:cs="宋体"/>
          <w:bCs/>
          <w:color w:val="auto"/>
          <w:sz w:val="24"/>
          <w:szCs w:val="24"/>
          <w:lang w:eastAsia="zh-CN"/>
        </w:rPr>
        <w:t>（</w:t>
      </w:r>
      <w:r>
        <w:rPr>
          <w:rFonts w:hint="eastAsia" w:ascii="Times New Roman" w:hAnsi="Times New Roman" w:eastAsia="宋体" w:cs="宋体"/>
          <w:bCs/>
          <w:color w:val="auto"/>
          <w:sz w:val="24"/>
          <w:szCs w:val="24"/>
          <w:lang w:val="en-US" w:eastAsia="zh-CN"/>
        </w:rPr>
        <w:t>3</w:t>
      </w:r>
      <w:r>
        <w:rPr>
          <w:rFonts w:hint="eastAsia" w:ascii="Times New Roman" w:hAnsi="Times New Roman" w:eastAsia="宋体" w:cs="宋体"/>
          <w:bCs/>
          <w:color w:val="auto"/>
          <w:sz w:val="24"/>
          <w:szCs w:val="24"/>
          <w:lang w:eastAsia="zh-CN"/>
        </w:rPr>
        <w:t>）猪尿猪粪</w:t>
      </w:r>
    </w:p>
    <w:p>
      <w:pPr>
        <w:adjustRightInd w:val="0"/>
        <w:snapToGrid w:val="0"/>
        <w:spacing w:line="360" w:lineRule="auto"/>
        <w:ind w:firstLine="480" w:firstLineChars="200"/>
        <w:rPr>
          <w:rFonts w:hint="eastAsia" w:ascii="Times New Roman" w:hAnsi="Times New Roman" w:eastAsia="宋体" w:cs="宋体"/>
          <w:bCs/>
          <w:color w:val="auto"/>
          <w:sz w:val="24"/>
          <w:szCs w:val="24"/>
        </w:rPr>
      </w:pPr>
      <w:r>
        <w:rPr>
          <w:rFonts w:hint="eastAsia" w:ascii="Times New Roman" w:hAnsi="Times New Roman" w:eastAsia="宋体" w:cs="宋体"/>
          <w:bCs/>
          <w:color w:val="auto"/>
          <w:sz w:val="24"/>
          <w:szCs w:val="24"/>
        </w:rPr>
        <w:t>猪饮水和猪饲料含水一部分为体能生长消耗，一部分形成尿，一部分进入猪粪。</w:t>
      </w:r>
    </w:p>
    <w:p>
      <w:pPr>
        <w:adjustRightInd w:val="0"/>
        <w:snapToGrid w:val="0"/>
        <w:spacing w:line="360" w:lineRule="auto"/>
        <w:ind w:firstLine="480" w:firstLineChars="200"/>
        <w:rPr>
          <w:rFonts w:hint="eastAsia" w:ascii="Times New Roman" w:hAnsi="Times New Roman" w:eastAsia="宋体" w:cs="宋体"/>
          <w:bCs/>
          <w:color w:val="auto"/>
          <w:sz w:val="24"/>
          <w:szCs w:val="24"/>
        </w:rPr>
      </w:pPr>
      <w:r>
        <w:rPr>
          <w:rFonts w:hint="eastAsia" w:ascii="Times New Roman" w:hAnsi="Times New Roman" w:eastAsia="宋体" w:cs="宋体"/>
          <w:bCs/>
          <w:color w:val="auto"/>
          <w:sz w:val="24"/>
          <w:szCs w:val="24"/>
        </w:rPr>
        <w:t>由于养猪方式、季节、猪群构成的不同，各猪场粪尿产生量会有一定差异。根据《畜禽养殖业污染治理工程技术规范》（HJ497-2009），猪的每日尿液排放量为3.3kg，（夏季按参照值增加20%计），猪粪每日排放量为2kg/d。</w:t>
      </w:r>
    </w:p>
    <w:p>
      <w:pPr>
        <w:adjustRightInd w:val="0"/>
        <w:snapToGrid w:val="0"/>
        <w:spacing w:line="360" w:lineRule="auto"/>
        <w:ind w:firstLine="480" w:firstLineChars="200"/>
        <w:rPr>
          <w:rFonts w:hint="eastAsia" w:ascii="Times New Roman" w:hAnsi="Times New Roman" w:eastAsia="宋体" w:cs="宋体"/>
          <w:bCs/>
          <w:color w:val="auto"/>
          <w:sz w:val="24"/>
          <w:szCs w:val="24"/>
        </w:rPr>
      </w:pPr>
      <w:r>
        <w:rPr>
          <w:rFonts w:hint="eastAsia" w:ascii="Times New Roman" w:hAnsi="Times New Roman" w:eastAsia="宋体" w:cs="宋体"/>
          <w:bCs/>
          <w:color w:val="auto"/>
          <w:sz w:val="24"/>
          <w:szCs w:val="24"/>
        </w:rPr>
        <w:t>本项目总</w:t>
      </w:r>
      <w:r>
        <w:rPr>
          <w:rFonts w:hint="eastAsia" w:ascii="Times New Roman" w:hAnsi="Times New Roman" w:eastAsia="宋体" w:cs="宋体"/>
          <w:bCs/>
          <w:color w:val="auto"/>
          <w:sz w:val="24"/>
          <w:szCs w:val="24"/>
          <w:lang w:eastAsia="zh-CN"/>
        </w:rPr>
        <w:t>存栏猪15000头</w:t>
      </w:r>
      <w:r>
        <w:rPr>
          <w:rFonts w:hint="eastAsia" w:ascii="Times New Roman" w:hAnsi="Times New Roman" w:eastAsia="宋体" w:cs="宋体"/>
          <w:bCs/>
          <w:color w:val="auto"/>
          <w:sz w:val="24"/>
          <w:szCs w:val="24"/>
        </w:rPr>
        <w:t>，其他季节猪尿的产生量为：</w:t>
      </w:r>
      <w:r>
        <w:rPr>
          <w:rFonts w:hint="eastAsia" w:ascii="Times New Roman" w:hAnsi="Times New Roman" w:eastAsia="宋体" w:cs="宋体"/>
          <w:bCs/>
          <w:color w:val="auto"/>
          <w:sz w:val="24"/>
          <w:szCs w:val="24"/>
          <w:lang w:val="en-US" w:eastAsia="zh-CN"/>
        </w:rPr>
        <w:t>15000</w:t>
      </w:r>
      <w:r>
        <w:rPr>
          <w:rFonts w:hint="eastAsia" w:ascii="Times New Roman" w:hAnsi="Times New Roman" w:eastAsia="宋体" w:cs="宋体"/>
          <w:bCs/>
          <w:color w:val="auto"/>
          <w:sz w:val="24"/>
          <w:szCs w:val="24"/>
        </w:rPr>
        <w:t>头×3.3kg/只</w:t>
      </w:r>
      <w:r>
        <w:rPr>
          <w:rFonts w:hint="eastAsia" w:ascii="Times New Roman" w:hAnsi="Times New Roman" w:eastAsia="宋体" w:cs="宋体"/>
          <w:bCs/>
          <w:color w:val="auto"/>
          <w:sz w:val="24"/>
          <w:szCs w:val="24"/>
          <w:lang w:val="en-US" w:eastAsia="zh-CN"/>
        </w:rPr>
        <w:t>/</w:t>
      </w:r>
      <w:r>
        <w:rPr>
          <w:rFonts w:hint="eastAsia" w:ascii="Times New Roman" w:hAnsi="Times New Roman" w:eastAsia="宋体" w:cs="宋体"/>
          <w:bCs/>
          <w:color w:val="auto"/>
          <w:sz w:val="24"/>
          <w:szCs w:val="24"/>
        </w:rPr>
        <w:t>d＝</w:t>
      </w:r>
      <w:r>
        <w:rPr>
          <w:rFonts w:hint="eastAsia" w:ascii="Times New Roman" w:hAnsi="Times New Roman" w:eastAsia="宋体" w:cs="宋体"/>
          <w:bCs/>
          <w:color w:val="auto"/>
          <w:sz w:val="24"/>
          <w:szCs w:val="24"/>
          <w:lang w:val="en-US" w:eastAsia="zh-CN"/>
        </w:rPr>
        <w:t>49.50</w:t>
      </w:r>
      <w:r>
        <w:rPr>
          <w:rFonts w:hint="eastAsia" w:ascii="Times New Roman" w:hAnsi="Times New Roman" w:eastAsia="宋体" w:cs="宋体"/>
          <w:bCs/>
          <w:color w:val="auto"/>
          <w:sz w:val="24"/>
          <w:szCs w:val="24"/>
        </w:rPr>
        <w:t>t/d，夏季猪尿的产生量为：</w:t>
      </w:r>
      <w:r>
        <w:rPr>
          <w:rFonts w:hint="eastAsia" w:ascii="Times New Roman" w:hAnsi="Times New Roman" w:eastAsia="宋体" w:cs="宋体"/>
          <w:bCs/>
          <w:color w:val="auto"/>
          <w:sz w:val="24"/>
          <w:szCs w:val="24"/>
          <w:lang w:val="en-US" w:eastAsia="zh-CN"/>
        </w:rPr>
        <w:t>15000</w:t>
      </w:r>
      <w:r>
        <w:rPr>
          <w:rFonts w:hint="eastAsia" w:ascii="Times New Roman" w:hAnsi="Times New Roman" w:eastAsia="宋体" w:cs="宋体"/>
          <w:bCs/>
          <w:color w:val="auto"/>
          <w:sz w:val="24"/>
          <w:szCs w:val="24"/>
        </w:rPr>
        <w:t>头×</w:t>
      </w:r>
      <w:r>
        <w:rPr>
          <w:rFonts w:hint="eastAsia" w:ascii="Times New Roman" w:hAnsi="Times New Roman" w:eastAsia="宋体" w:cs="宋体"/>
          <w:bCs/>
          <w:color w:val="auto"/>
          <w:sz w:val="24"/>
          <w:szCs w:val="24"/>
          <w:lang w:val="en-US" w:eastAsia="zh-CN"/>
        </w:rPr>
        <w:t>3.96</w:t>
      </w:r>
      <w:r>
        <w:rPr>
          <w:rFonts w:hint="eastAsia" w:ascii="Times New Roman" w:hAnsi="Times New Roman" w:eastAsia="宋体" w:cs="宋体"/>
          <w:bCs/>
          <w:color w:val="auto"/>
          <w:sz w:val="24"/>
          <w:szCs w:val="24"/>
        </w:rPr>
        <w:t>kg/只</w:t>
      </w:r>
      <w:r>
        <w:rPr>
          <w:rFonts w:hint="eastAsia" w:ascii="Times New Roman" w:hAnsi="Times New Roman" w:eastAsia="宋体" w:cs="宋体"/>
          <w:bCs/>
          <w:color w:val="auto"/>
          <w:sz w:val="24"/>
          <w:szCs w:val="24"/>
          <w:lang w:val="en-US" w:eastAsia="zh-CN"/>
        </w:rPr>
        <w:t>/</w:t>
      </w:r>
      <w:r>
        <w:rPr>
          <w:rFonts w:hint="eastAsia" w:ascii="Times New Roman" w:hAnsi="Times New Roman" w:eastAsia="宋体" w:cs="宋体"/>
          <w:bCs/>
          <w:color w:val="auto"/>
          <w:sz w:val="24"/>
          <w:szCs w:val="24"/>
        </w:rPr>
        <w:t>d＝</w:t>
      </w:r>
      <w:r>
        <w:rPr>
          <w:rFonts w:hint="eastAsia" w:ascii="Times New Roman" w:hAnsi="Times New Roman" w:eastAsia="宋体" w:cs="宋体"/>
          <w:bCs/>
          <w:color w:val="auto"/>
          <w:sz w:val="24"/>
          <w:szCs w:val="24"/>
          <w:lang w:val="en-US" w:eastAsia="zh-CN"/>
        </w:rPr>
        <w:t>59.40</w:t>
      </w:r>
      <w:r>
        <w:rPr>
          <w:rFonts w:hint="eastAsia" w:ascii="Times New Roman" w:hAnsi="Times New Roman" w:eastAsia="宋体" w:cs="宋体"/>
          <w:bCs/>
          <w:color w:val="auto"/>
          <w:sz w:val="24"/>
          <w:szCs w:val="24"/>
        </w:rPr>
        <w:t>t/d。</w:t>
      </w:r>
    </w:p>
    <w:p>
      <w:pPr>
        <w:adjustRightInd w:val="0"/>
        <w:snapToGrid w:val="0"/>
        <w:spacing w:line="360" w:lineRule="auto"/>
        <w:ind w:firstLine="480" w:firstLineChars="200"/>
        <w:rPr>
          <w:rFonts w:hint="eastAsia" w:ascii="Times New Roman" w:hAnsi="Times New Roman" w:eastAsia="宋体" w:cs="宋体"/>
          <w:bCs/>
          <w:color w:val="auto"/>
          <w:sz w:val="24"/>
          <w:szCs w:val="24"/>
        </w:rPr>
      </w:pPr>
      <w:r>
        <w:rPr>
          <w:rFonts w:hint="eastAsia" w:ascii="Times New Roman" w:hAnsi="Times New Roman" w:eastAsia="宋体" w:cs="宋体"/>
          <w:bCs/>
          <w:color w:val="auto"/>
          <w:sz w:val="24"/>
          <w:szCs w:val="24"/>
        </w:rPr>
        <w:t>本项目其它季节猪粪的产生量为：</w:t>
      </w:r>
      <w:r>
        <w:rPr>
          <w:rFonts w:hint="eastAsia" w:ascii="Times New Roman" w:hAnsi="Times New Roman" w:eastAsia="宋体" w:cs="宋体"/>
          <w:bCs/>
          <w:color w:val="auto"/>
          <w:sz w:val="24"/>
          <w:szCs w:val="24"/>
          <w:lang w:val="en-US" w:eastAsia="zh-CN"/>
        </w:rPr>
        <w:t>15000</w:t>
      </w:r>
      <w:r>
        <w:rPr>
          <w:rFonts w:hint="eastAsia" w:ascii="Times New Roman" w:hAnsi="Times New Roman" w:eastAsia="宋体" w:cs="宋体"/>
          <w:bCs/>
          <w:color w:val="auto"/>
          <w:sz w:val="24"/>
          <w:szCs w:val="24"/>
        </w:rPr>
        <w:t>头×2kg/只</w:t>
      </w:r>
      <w:r>
        <w:rPr>
          <w:rFonts w:hint="eastAsia" w:ascii="Times New Roman" w:hAnsi="Times New Roman" w:eastAsia="宋体" w:cs="宋体"/>
          <w:bCs/>
          <w:color w:val="auto"/>
          <w:sz w:val="24"/>
          <w:szCs w:val="24"/>
          <w:lang w:val="en-US" w:eastAsia="zh-CN"/>
        </w:rPr>
        <w:t>/</w:t>
      </w:r>
      <w:r>
        <w:rPr>
          <w:rFonts w:hint="eastAsia" w:ascii="Times New Roman" w:hAnsi="Times New Roman" w:eastAsia="宋体" w:cs="宋体"/>
          <w:bCs/>
          <w:color w:val="auto"/>
          <w:sz w:val="24"/>
          <w:szCs w:val="24"/>
        </w:rPr>
        <w:t>d＝</w:t>
      </w:r>
      <w:r>
        <w:rPr>
          <w:rFonts w:hint="eastAsia" w:ascii="Times New Roman" w:hAnsi="Times New Roman" w:eastAsia="宋体" w:cs="宋体"/>
          <w:bCs/>
          <w:color w:val="auto"/>
          <w:sz w:val="24"/>
          <w:szCs w:val="24"/>
          <w:lang w:val="en-US" w:eastAsia="zh-CN"/>
        </w:rPr>
        <w:t>30</w:t>
      </w:r>
      <w:r>
        <w:rPr>
          <w:rFonts w:hint="eastAsia" w:ascii="Times New Roman" w:hAnsi="Times New Roman" w:eastAsia="宋体" w:cs="宋体"/>
          <w:bCs/>
          <w:color w:val="auto"/>
          <w:sz w:val="24"/>
          <w:szCs w:val="24"/>
        </w:rPr>
        <w:t>t/d。采用干清粪工艺，按90%的清粪率计，进入污水系统的猪粪（含水）量为</w:t>
      </w:r>
      <w:r>
        <w:rPr>
          <w:rFonts w:hint="eastAsia" w:ascii="Times New Roman" w:hAnsi="Times New Roman" w:eastAsia="宋体" w:cs="宋体"/>
          <w:bCs/>
          <w:color w:val="auto"/>
          <w:sz w:val="24"/>
          <w:szCs w:val="24"/>
          <w:lang w:val="en-US" w:eastAsia="zh-CN"/>
        </w:rPr>
        <w:t>30</w:t>
      </w:r>
      <w:r>
        <w:rPr>
          <w:rFonts w:hint="eastAsia" w:ascii="Times New Roman" w:hAnsi="Times New Roman" w:eastAsia="宋体" w:cs="宋体"/>
          <w:bCs/>
          <w:color w:val="auto"/>
          <w:sz w:val="24"/>
          <w:szCs w:val="24"/>
        </w:rPr>
        <w:t>t/d×（1-90％）＝</w:t>
      </w:r>
      <w:r>
        <w:rPr>
          <w:rFonts w:hint="eastAsia" w:ascii="Times New Roman" w:hAnsi="Times New Roman" w:eastAsia="宋体" w:cs="宋体"/>
          <w:bCs/>
          <w:color w:val="auto"/>
          <w:sz w:val="24"/>
          <w:szCs w:val="24"/>
          <w:lang w:val="en-US" w:eastAsia="zh-CN"/>
        </w:rPr>
        <w:t>3</w:t>
      </w:r>
      <w:r>
        <w:rPr>
          <w:rFonts w:hint="eastAsia" w:ascii="Times New Roman" w:hAnsi="Times New Roman" w:eastAsia="宋体" w:cs="宋体"/>
          <w:bCs/>
          <w:color w:val="auto"/>
          <w:sz w:val="24"/>
          <w:szCs w:val="24"/>
        </w:rPr>
        <w:t>t/d，夏季按参照值增加20%计，则夏季猪粪（含水）的产生量为</w:t>
      </w:r>
      <w:r>
        <w:rPr>
          <w:rFonts w:hint="eastAsia" w:ascii="Times New Roman" w:hAnsi="Times New Roman" w:eastAsia="宋体" w:cs="宋体"/>
          <w:bCs/>
          <w:color w:val="auto"/>
          <w:sz w:val="24"/>
          <w:szCs w:val="24"/>
          <w:lang w:val="en-US" w:eastAsia="zh-CN"/>
        </w:rPr>
        <w:t>3.60</w:t>
      </w:r>
      <w:r>
        <w:rPr>
          <w:rFonts w:hint="eastAsia" w:ascii="Times New Roman" w:hAnsi="Times New Roman" w:eastAsia="宋体" w:cs="宋体"/>
          <w:bCs/>
          <w:color w:val="auto"/>
          <w:sz w:val="24"/>
          <w:szCs w:val="24"/>
        </w:rPr>
        <w:t>t/d。</w:t>
      </w:r>
    </w:p>
    <w:p>
      <w:pPr>
        <w:adjustRightInd w:val="0"/>
        <w:snapToGrid w:val="0"/>
        <w:spacing w:line="360" w:lineRule="auto"/>
        <w:ind w:firstLine="480" w:firstLineChars="200"/>
        <w:rPr>
          <w:rFonts w:hint="eastAsia" w:ascii="Times New Roman" w:hAnsi="Times New Roman" w:eastAsia="宋体" w:cs="宋体"/>
          <w:bCs/>
          <w:color w:val="auto"/>
          <w:sz w:val="24"/>
          <w:szCs w:val="24"/>
        </w:rPr>
      </w:pPr>
      <w:r>
        <w:rPr>
          <w:rFonts w:hint="eastAsia" w:ascii="Times New Roman" w:hAnsi="Times New Roman" w:eastAsia="宋体" w:cs="宋体"/>
          <w:bCs/>
          <w:color w:val="auto"/>
          <w:sz w:val="24"/>
          <w:szCs w:val="24"/>
        </w:rPr>
        <w:t>（4）夏季猪舍降温用水</w:t>
      </w:r>
    </w:p>
    <w:p>
      <w:pPr>
        <w:adjustRightInd w:val="0"/>
        <w:snapToGrid w:val="0"/>
        <w:spacing w:line="360" w:lineRule="auto"/>
        <w:ind w:firstLine="480" w:firstLineChars="200"/>
        <w:rPr>
          <w:rFonts w:hint="eastAsia" w:ascii="Times New Roman" w:hAnsi="Times New Roman" w:eastAsia="宋体" w:cs="宋体"/>
          <w:bCs/>
          <w:color w:val="auto"/>
          <w:sz w:val="24"/>
          <w:szCs w:val="24"/>
          <w:lang w:eastAsia="zh-CN"/>
        </w:rPr>
      </w:pPr>
      <w:r>
        <w:rPr>
          <w:rFonts w:hint="eastAsia" w:ascii="Times New Roman" w:hAnsi="Times New Roman" w:eastAsia="宋体" w:cs="宋体"/>
          <w:bCs/>
          <w:color w:val="auto"/>
          <w:sz w:val="24"/>
          <w:szCs w:val="24"/>
          <w:lang w:eastAsia="zh-CN"/>
        </w:rPr>
        <w:t xml:space="preserve">夏季猪场猪舍采用湿帘降温系统对猪舍进行降温处理，根据实际需求，项目共设 </w:t>
      </w:r>
      <w:r>
        <w:rPr>
          <w:rFonts w:hint="eastAsia" w:ascii="Times New Roman" w:hAnsi="Times New Roman" w:eastAsia="宋体" w:cs="宋体"/>
          <w:bCs/>
          <w:color w:val="auto"/>
          <w:sz w:val="24"/>
          <w:szCs w:val="24"/>
          <w:lang w:val="en-US" w:eastAsia="zh-CN"/>
        </w:rPr>
        <w:t>2</w:t>
      </w:r>
      <w:r>
        <w:rPr>
          <w:rFonts w:hint="eastAsia" w:ascii="Times New Roman" w:hAnsi="Times New Roman" w:eastAsia="宋体" w:cs="宋体"/>
          <w:bCs/>
          <w:color w:val="auto"/>
          <w:sz w:val="24"/>
          <w:szCs w:val="24"/>
          <w:lang w:eastAsia="zh-CN"/>
        </w:rPr>
        <w:t>套，每套循环水规模为1.2m</w:t>
      </w:r>
      <w:r>
        <w:rPr>
          <w:rFonts w:hint="eastAsia" w:ascii="Times New Roman" w:hAnsi="Times New Roman" w:eastAsia="宋体" w:cs="宋体"/>
          <w:bCs/>
          <w:color w:val="auto"/>
          <w:sz w:val="24"/>
          <w:szCs w:val="24"/>
          <w:vertAlign w:val="superscript"/>
          <w:lang w:eastAsia="zh-CN"/>
        </w:rPr>
        <w:t>3</w:t>
      </w:r>
      <w:r>
        <w:rPr>
          <w:rFonts w:hint="eastAsia" w:ascii="Times New Roman" w:hAnsi="Times New Roman" w:eastAsia="宋体" w:cs="宋体"/>
          <w:bCs/>
          <w:color w:val="auto"/>
          <w:sz w:val="24"/>
          <w:szCs w:val="24"/>
          <w:lang w:eastAsia="zh-CN"/>
        </w:rPr>
        <w:t>/h，降温期按122d 估算，运行时间约6h/d，水循环使用，重复用水率约90%，猪场降温新鲜用水量约</w:t>
      </w:r>
      <w:r>
        <w:rPr>
          <w:rFonts w:hint="eastAsia" w:ascii="Times New Roman" w:hAnsi="Times New Roman" w:eastAsia="宋体" w:cs="宋体"/>
          <w:bCs/>
          <w:color w:val="auto"/>
          <w:sz w:val="24"/>
          <w:szCs w:val="24"/>
          <w:lang w:val="en-US" w:eastAsia="zh-CN"/>
        </w:rPr>
        <w:t>175.68</w:t>
      </w:r>
      <w:r>
        <w:rPr>
          <w:rFonts w:hint="eastAsia" w:ascii="Times New Roman" w:hAnsi="Times New Roman" w:eastAsia="宋体" w:cs="宋体"/>
          <w:bCs/>
          <w:color w:val="auto"/>
          <w:sz w:val="24"/>
          <w:szCs w:val="24"/>
          <w:lang w:eastAsia="zh-CN"/>
        </w:rPr>
        <w:t>m</w:t>
      </w:r>
      <w:r>
        <w:rPr>
          <w:rFonts w:hint="eastAsia" w:ascii="Times New Roman" w:hAnsi="Times New Roman" w:eastAsia="宋体" w:cs="宋体"/>
          <w:bCs/>
          <w:color w:val="auto"/>
          <w:sz w:val="24"/>
          <w:szCs w:val="24"/>
          <w:vertAlign w:val="superscript"/>
          <w:lang w:eastAsia="zh-CN"/>
        </w:rPr>
        <w:t>3</w:t>
      </w:r>
      <w:r>
        <w:rPr>
          <w:rFonts w:hint="eastAsia" w:ascii="Times New Roman" w:hAnsi="Times New Roman" w:eastAsia="宋体" w:cs="宋体"/>
          <w:bCs/>
          <w:color w:val="auto"/>
          <w:sz w:val="24"/>
          <w:szCs w:val="24"/>
          <w:lang w:eastAsia="zh-CN"/>
        </w:rPr>
        <w:t>/a（</w:t>
      </w:r>
      <w:r>
        <w:rPr>
          <w:rFonts w:hint="eastAsia" w:ascii="Times New Roman" w:hAnsi="Times New Roman" w:eastAsia="宋体" w:cs="宋体"/>
          <w:bCs/>
          <w:color w:val="auto"/>
          <w:sz w:val="24"/>
          <w:szCs w:val="24"/>
          <w:lang w:val="en-US" w:eastAsia="zh-CN"/>
        </w:rPr>
        <w:t>0.48</w:t>
      </w:r>
      <w:r>
        <w:rPr>
          <w:rFonts w:hint="eastAsia" w:ascii="Times New Roman" w:hAnsi="Times New Roman" w:eastAsia="宋体" w:cs="宋体"/>
          <w:bCs/>
          <w:color w:val="auto"/>
          <w:sz w:val="24"/>
          <w:szCs w:val="24"/>
          <w:lang w:eastAsia="zh-CN"/>
        </w:rPr>
        <w:t>m</w:t>
      </w:r>
      <w:r>
        <w:rPr>
          <w:rFonts w:hint="eastAsia" w:ascii="Times New Roman" w:hAnsi="Times New Roman" w:eastAsia="宋体" w:cs="宋体"/>
          <w:bCs/>
          <w:color w:val="auto"/>
          <w:sz w:val="24"/>
          <w:szCs w:val="24"/>
          <w:vertAlign w:val="superscript"/>
          <w:lang w:eastAsia="zh-CN"/>
        </w:rPr>
        <w:t>3</w:t>
      </w:r>
      <w:r>
        <w:rPr>
          <w:rFonts w:hint="eastAsia" w:ascii="Times New Roman" w:hAnsi="Times New Roman" w:eastAsia="宋体" w:cs="宋体"/>
          <w:bCs/>
          <w:color w:val="auto"/>
          <w:sz w:val="24"/>
          <w:szCs w:val="24"/>
          <w:lang w:eastAsia="zh-CN"/>
        </w:rPr>
        <w:t>/</w:t>
      </w:r>
      <w:r>
        <w:rPr>
          <w:rFonts w:hint="eastAsia" w:ascii="Times New Roman" w:hAnsi="Times New Roman" w:eastAsia="宋体" w:cs="宋体"/>
          <w:bCs/>
          <w:color w:val="auto"/>
          <w:sz w:val="24"/>
          <w:szCs w:val="24"/>
          <w:lang w:val="en-US" w:eastAsia="zh-CN"/>
        </w:rPr>
        <w:t>d</w:t>
      </w:r>
      <w:r>
        <w:rPr>
          <w:rFonts w:hint="eastAsia" w:ascii="Times New Roman" w:hAnsi="Times New Roman" w:eastAsia="宋体" w:cs="宋体"/>
          <w:bCs/>
          <w:color w:val="auto"/>
          <w:sz w:val="24"/>
          <w:szCs w:val="24"/>
          <w:lang w:eastAsia="zh-CN"/>
        </w:rPr>
        <w:t>），全部损耗。</w:t>
      </w:r>
    </w:p>
    <w:p>
      <w:pPr>
        <w:adjustRightInd w:val="0"/>
        <w:snapToGrid w:val="0"/>
        <w:spacing w:line="360" w:lineRule="auto"/>
        <w:ind w:firstLine="480" w:firstLineChars="200"/>
        <w:rPr>
          <w:rFonts w:hint="eastAsia" w:ascii="Times New Roman" w:hAnsi="Times New Roman" w:eastAsia="宋体" w:cs="宋体"/>
          <w:bCs/>
          <w:color w:val="auto"/>
          <w:sz w:val="24"/>
          <w:szCs w:val="24"/>
          <w:lang w:eastAsia="zh-CN"/>
        </w:rPr>
      </w:pPr>
      <w:r>
        <w:rPr>
          <w:rFonts w:hint="eastAsia" w:ascii="Times New Roman" w:hAnsi="Times New Roman" w:eastAsia="宋体" w:cs="宋体"/>
          <w:bCs/>
          <w:color w:val="auto"/>
          <w:sz w:val="24"/>
          <w:szCs w:val="24"/>
        </w:rPr>
        <w:t>（</w:t>
      </w:r>
      <w:r>
        <w:rPr>
          <w:rFonts w:hint="eastAsia" w:ascii="Times New Roman" w:hAnsi="Times New Roman" w:eastAsia="宋体" w:cs="宋体"/>
          <w:bCs/>
          <w:color w:val="auto"/>
          <w:sz w:val="24"/>
          <w:szCs w:val="24"/>
          <w:lang w:val="en-US" w:eastAsia="zh-CN"/>
        </w:rPr>
        <w:t>5</w:t>
      </w:r>
      <w:r>
        <w:rPr>
          <w:rFonts w:hint="eastAsia" w:ascii="Times New Roman" w:hAnsi="Times New Roman" w:eastAsia="宋体" w:cs="宋体"/>
          <w:bCs/>
          <w:color w:val="auto"/>
          <w:sz w:val="24"/>
          <w:szCs w:val="24"/>
        </w:rPr>
        <w:t>）</w:t>
      </w:r>
      <w:r>
        <w:rPr>
          <w:rFonts w:hint="eastAsia" w:ascii="Times New Roman" w:hAnsi="Times New Roman" w:eastAsia="宋体" w:cs="宋体"/>
          <w:bCs/>
          <w:color w:val="auto"/>
          <w:sz w:val="24"/>
          <w:szCs w:val="24"/>
          <w:lang w:eastAsia="zh-CN"/>
        </w:rPr>
        <w:t>消毒用水</w:t>
      </w:r>
    </w:p>
    <w:p>
      <w:pPr>
        <w:adjustRightInd w:val="0"/>
        <w:snapToGrid w:val="0"/>
        <w:spacing w:line="360" w:lineRule="auto"/>
        <w:ind w:firstLine="480" w:firstLineChars="200"/>
        <w:rPr>
          <w:rFonts w:hint="eastAsia" w:ascii="Times New Roman" w:hAnsi="Times New Roman" w:eastAsia="宋体" w:cs="宋体"/>
          <w:bCs/>
          <w:color w:val="auto"/>
          <w:sz w:val="24"/>
          <w:szCs w:val="24"/>
        </w:rPr>
      </w:pPr>
      <w:r>
        <w:rPr>
          <w:rFonts w:hint="eastAsia" w:ascii="Times New Roman" w:hAnsi="Times New Roman" w:eastAsia="宋体" w:cs="宋体"/>
          <w:bCs/>
          <w:color w:val="auto"/>
          <w:sz w:val="24"/>
          <w:szCs w:val="24"/>
        </w:rPr>
        <w:t>本项目使用消毒剂主要按1:200 进行稀释，消毒剂年消耗量为</w:t>
      </w:r>
      <w:r>
        <w:rPr>
          <w:rFonts w:hint="eastAsia" w:ascii="Times New Roman" w:hAnsi="Times New Roman" w:eastAsia="宋体" w:cs="宋体"/>
          <w:bCs/>
          <w:color w:val="auto"/>
          <w:sz w:val="24"/>
          <w:szCs w:val="24"/>
          <w:lang w:val="en-US" w:eastAsia="zh-CN"/>
        </w:rPr>
        <w:t>1.5</w:t>
      </w:r>
      <w:r>
        <w:rPr>
          <w:rFonts w:hint="eastAsia" w:ascii="Times New Roman" w:hAnsi="Times New Roman" w:eastAsia="宋体" w:cs="宋体"/>
          <w:bCs/>
          <w:color w:val="auto"/>
          <w:sz w:val="24"/>
          <w:szCs w:val="24"/>
        </w:rPr>
        <w:t>t/a，则稀释用水</w:t>
      </w:r>
      <w:r>
        <w:rPr>
          <w:rFonts w:hint="eastAsia" w:ascii="Times New Roman" w:hAnsi="Times New Roman" w:eastAsia="宋体" w:cs="宋体"/>
          <w:bCs/>
          <w:color w:val="auto"/>
          <w:sz w:val="24"/>
          <w:szCs w:val="24"/>
          <w:lang w:val="en-US" w:eastAsia="zh-CN"/>
        </w:rPr>
        <w:t>300</w:t>
      </w:r>
      <w:r>
        <w:rPr>
          <w:rFonts w:hint="eastAsia" w:ascii="Times New Roman" w:hAnsi="Times New Roman" w:eastAsia="宋体" w:cs="宋体"/>
          <w:bCs/>
          <w:color w:val="auto"/>
          <w:sz w:val="24"/>
          <w:szCs w:val="24"/>
        </w:rPr>
        <w:t>t/a（</w:t>
      </w:r>
      <w:r>
        <w:rPr>
          <w:rFonts w:hint="eastAsia" w:ascii="Times New Roman" w:hAnsi="Times New Roman" w:eastAsia="宋体" w:cs="宋体"/>
          <w:bCs/>
          <w:color w:val="auto"/>
          <w:sz w:val="24"/>
          <w:szCs w:val="24"/>
          <w:lang w:val="en-US" w:eastAsia="zh-CN"/>
        </w:rPr>
        <w:t>0.82</w:t>
      </w:r>
      <w:r>
        <w:rPr>
          <w:rFonts w:hint="eastAsia" w:ascii="Times New Roman" w:hAnsi="Times New Roman" w:eastAsia="宋体" w:cs="宋体"/>
          <w:bCs/>
          <w:color w:val="auto"/>
          <w:sz w:val="24"/>
          <w:szCs w:val="24"/>
        </w:rPr>
        <w:t>t/d）。</w:t>
      </w:r>
    </w:p>
    <w:p>
      <w:pPr>
        <w:adjustRightInd w:val="0"/>
        <w:snapToGrid w:val="0"/>
        <w:spacing w:line="360" w:lineRule="auto"/>
        <w:ind w:firstLine="480" w:firstLineChars="200"/>
        <w:rPr>
          <w:rFonts w:hint="eastAsia" w:ascii="Times New Roman" w:hAnsi="Times New Roman" w:eastAsia="宋体" w:cs="宋体"/>
          <w:bCs/>
          <w:color w:val="auto"/>
          <w:sz w:val="24"/>
          <w:szCs w:val="24"/>
          <w:lang w:eastAsia="zh-CN"/>
        </w:rPr>
      </w:pPr>
      <w:r>
        <w:rPr>
          <w:rFonts w:hint="eastAsia" w:ascii="Times New Roman" w:hAnsi="Times New Roman" w:eastAsia="宋体" w:cs="宋体"/>
          <w:bCs/>
          <w:color w:val="auto"/>
          <w:sz w:val="24"/>
          <w:szCs w:val="24"/>
          <w:lang w:eastAsia="zh-CN"/>
        </w:rPr>
        <w:t>（</w:t>
      </w:r>
      <w:r>
        <w:rPr>
          <w:rFonts w:hint="eastAsia" w:ascii="Times New Roman" w:hAnsi="Times New Roman" w:eastAsia="宋体" w:cs="宋体"/>
          <w:bCs/>
          <w:color w:val="auto"/>
          <w:sz w:val="24"/>
          <w:szCs w:val="24"/>
          <w:lang w:val="en-US" w:eastAsia="zh-CN"/>
        </w:rPr>
        <w:t>6</w:t>
      </w:r>
      <w:r>
        <w:rPr>
          <w:rFonts w:hint="eastAsia" w:ascii="Times New Roman" w:hAnsi="Times New Roman" w:eastAsia="宋体" w:cs="宋体"/>
          <w:bCs/>
          <w:color w:val="auto"/>
          <w:sz w:val="24"/>
          <w:szCs w:val="24"/>
          <w:lang w:eastAsia="zh-CN"/>
        </w:rPr>
        <w:t>）职工生活污水</w:t>
      </w:r>
    </w:p>
    <w:p>
      <w:pPr>
        <w:adjustRightInd w:val="0"/>
        <w:snapToGrid w:val="0"/>
        <w:spacing w:line="360" w:lineRule="auto"/>
        <w:ind w:firstLine="480" w:firstLineChars="200"/>
        <w:rPr>
          <w:rFonts w:hint="eastAsia" w:ascii="Times New Roman" w:hAnsi="Times New Roman" w:eastAsia="宋体" w:cs="宋体"/>
          <w:bCs/>
          <w:color w:val="auto"/>
          <w:sz w:val="24"/>
          <w:szCs w:val="24"/>
          <w:lang w:eastAsia="zh-CN"/>
        </w:rPr>
      </w:pPr>
      <w:r>
        <w:rPr>
          <w:rFonts w:hint="eastAsia" w:ascii="Times New Roman" w:hAnsi="Times New Roman" w:eastAsia="宋体" w:cs="宋体"/>
          <w:bCs/>
          <w:color w:val="auto"/>
          <w:sz w:val="24"/>
          <w:szCs w:val="24"/>
          <w:lang w:eastAsia="zh-CN"/>
        </w:rPr>
        <w:t>本项目劳动定员</w:t>
      </w:r>
      <w:r>
        <w:rPr>
          <w:rFonts w:hint="eastAsia" w:ascii="Times New Roman" w:hAnsi="Times New Roman" w:eastAsia="宋体" w:cs="宋体"/>
          <w:bCs/>
          <w:color w:val="auto"/>
          <w:sz w:val="24"/>
          <w:szCs w:val="24"/>
          <w:lang w:val="en-US" w:eastAsia="zh-CN"/>
        </w:rPr>
        <w:t>50</w:t>
      </w:r>
      <w:r>
        <w:rPr>
          <w:rFonts w:hint="eastAsia" w:ascii="Times New Roman" w:hAnsi="Times New Roman" w:eastAsia="宋体" w:cs="宋体"/>
          <w:bCs/>
          <w:color w:val="auto"/>
          <w:sz w:val="24"/>
          <w:szCs w:val="24"/>
          <w:lang w:eastAsia="zh-CN"/>
        </w:rPr>
        <w:t>人，均在厂区内食宿。</w:t>
      </w:r>
      <w:r>
        <w:rPr>
          <w:rFonts w:hint="default" w:ascii="Times New Roman" w:hAnsi="Times New Roman" w:eastAsia="宋体" w:cs="Times New Roman"/>
          <w:bCs/>
          <w:color w:val="auto"/>
          <w:kern w:val="44"/>
          <w:sz w:val="24"/>
          <w:szCs w:val="24"/>
        </w:rPr>
        <w:t>用水量参考《四川省用水定额》川府函〔2021〕8号及《建筑给水排水设计规范》（GB50015-2009），食宿人员用水按</w:t>
      </w:r>
      <w:r>
        <w:rPr>
          <w:rFonts w:hint="default" w:ascii="Times New Roman" w:hAnsi="Times New Roman" w:eastAsia="宋体" w:cs="Times New Roman"/>
          <w:bCs/>
          <w:color w:val="auto"/>
          <w:kern w:val="44"/>
          <w:sz w:val="24"/>
          <w:szCs w:val="24"/>
          <w:lang w:val="en-US" w:eastAsia="zh-CN"/>
        </w:rPr>
        <w:t>0.16</w:t>
      </w:r>
      <w:r>
        <w:rPr>
          <w:rFonts w:hint="default" w:ascii="Times New Roman" w:hAnsi="Times New Roman" w:eastAsia="宋体" w:cs="Times New Roman"/>
          <w:bCs/>
          <w:color w:val="auto"/>
          <w:kern w:val="44"/>
          <w:sz w:val="24"/>
          <w:szCs w:val="24"/>
        </w:rPr>
        <w:t xml:space="preserve"> m</w:t>
      </w:r>
      <w:r>
        <w:rPr>
          <w:rFonts w:hint="default" w:ascii="Times New Roman" w:hAnsi="Times New Roman" w:eastAsia="宋体" w:cs="Times New Roman"/>
          <w:bCs/>
          <w:color w:val="auto"/>
          <w:kern w:val="44"/>
          <w:sz w:val="24"/>
          <w:szCs w:val="24"/>
          <w:vertAlign w:val="superscript"/>
        </w:rPr>
        <w:t>3</w:t>
      </w:r>
      <w:r>
        <w:rPr>
          <w:rFonts w:hint="default" w:ascii="Times New Roman" w:hAnsi="Times New Roman" w:eastAsia="宋体" w:cs="Times New Roman"/>
          <w:bCs/>
          <w:color w:val="auto"/>
          <w:kern w:val="44"/>
          <w:sz w:val="24"/>
          <w:szCs w:val="24"/>
        </w:rPr>
        <w:t>/（d/人）计算。</w:t>
      </w:r>
      <w:r>
        <w:rPr>
          <w:rFonts w:hint="eastAsia" w:ascii="Times New Roman" w:hAnsi="Times New Roman" w:eastAsia="宋体" w:cs="Times New Roman"/>
          <w:bCs/>
          <w:color w:val="auto"/>
          <w:kern w:val="44"/>
          <w:sz w:val="24"/>
          <w:szCs w:val="24"/>
          <w:lang w:eastAsia="zh-CN"/>
        </w:rPr>
        <w:t>则本项目生活用水量为</w:t>
      </w:r>
      <w:r>
        <w:rPr>
          <w:rFonts w:hint="eastAsia" w:ascii="Times New Roman" w:hAnsi="Times New Roman" w:eastAsia="宋体" w:cs="Times New Roman"/>
          <w:bCs/>
          <w:color w:val="auto"/>
          <w:kern w:val="44"/>
          <w:sz w:val="24"/>
          <w:szCs w:val="24"/>
          <w:lang w:val="en-US" w:eastAsia="zh-CN"/>
        </w:rPr>
        <w:t>2920</w:t>
      </w:r>
      <w:r>
        <w:rPr>
          <w:rFonts w:hint="eastAsia" w:ascii="Times New Roman" w:hAnsi="Times New Roman" w:eastAsia="宋体" w:cs="宋体"/>
          <w:bCs/>
          <w:color w:val="auto"/>
          <w:sz w:val="24"/>
          <w:szCs w:val="24"/>
          <w:lang w:eastAsia="zh-CN"/>
        </w:rPr>
        <w:t>m</w:t>
      </w:r>
      <w:r>
        <w:rPr>
          <w:rFonts w:hint="eastAsia" w:ascii="Times New Roman" w:hAnsi="Times New Roman" w:eastAsia="宋体" w:cs="宋体"/>
          <w:bCs/>
          <w:color w:val="auto"/>
          <w:sz w:val="24"/>
          <w:szCs w:val="24"/>
          <w:vertAlign w:val="superscript"/>
          <w:lang w:eastAsia="zh-CN"/>
        </w:rPr>
        <w:t>3</w:t>
      </w:r>
      <w:r>
        <w:rPr>
          <w:rFonts w:hint="eastAsia" w:ascii="Times New Roman" w:hAnsi="Times New Roman" w:eastAsia="宋体" w:cs="宋体"/>
          <w:bCs/>
          <w:color w:val="auto"/>
          <w:sz w:val="24"/>
          <w:szCs w:val="24"/>
          <w:lang w:eastAsia="zh-CN"/>
        </w:rPr>
        <w:t>/a（</w:t>
      </w:r>
      <w:r>
        <w:rPr>
          <w:rFonts w:hint="eastAsia" w:ascii="Times New Roman" w:hAnsi="Times New Roman" w:eastAsia="宋体" w:cs="宋体"/>
          <w:bCs/>
          <w:color w:val="auto"/>
          <w:sz w:val="24"/>
          <w:szCs w:val="24"/>
          <w:lang w:val="en-US" w:eastAsia="zh-CN"/>
        </w:rPr>
        <w:t>8</w:t>
      </w:r>
      <w:r>
        <w:rPr>
          <w:rFonts w:hint="eastAsia" w:ascii="Times New Roman" w:hAnsi="Times New Roman" w:eastAsia="宋体" w:cs="宋体"/>
          <w:bCs/>
          <w:color w:val="auto"/>
          <w:sz w:val="24"/>
          <w:szCs w:val="24"/>
          <w:lang w:eastAsia="zh-CN"/>
        </w:rPr>
        <w:t>m</w:t>
      </w:r>
      <w:r>
        <w:rPr>
          <w:rFonts w:hint="eastAsia" w:ascii="Times New Roman" w:hAnsi="Times New Roman" w:eastAsia="宋体" w:cs="宋体"/>
          <w:bCs/>
          <w:color w:val="auto"/>
          <w:sz w:val="24"/>
          <w:szCs w:val="24"/>
          <w:vertAlign w:val="superscript"/>
          <w:lang w:eastAsia="zh-CN"/>
        </w:rPr>
        <w:t>3</w:t>
      </w:r>
      <w:r>
        <w:rPr>
          <w:rFonts w:hint="eastAsia" w:ascii="Times New Roman" w:hAnsi="Times New Roman" w:eastAsia="宋体" w:cs="宋体"/>
          <w:bCs/>
          <w:color w:val="auto"/>
          <w:sz w:val="24"/>
          <w:szCs w:val="24"/>
          <w:lang w:eastAsia="zh-CN"/>
        </w:rPr>
        <w:t>/</w:t>
      </w:r>
      <w:r>
        <w:rPr>
          <w:rFonts w:hint="eastAsia" w:ascii="Times New Roman" w:hAnsi="Times New Roman" w:eastAsia="宋体" w:cs="宋体"/>
          <w:bCs/>
          <w:color w:val="auto"/>
          <w:sz w:val="24"/>
          <w:szCs w:val="24"/>
          <w:lang w:val="en-US" w:eastAsia="zh-CN"/>
        </w:rPr>
        <w:t>d</w:t>
      </w:r>
      <w:r>
        <w:rPr>
          <w:rFonts w:hint="eastAsia" w:ascii="Times New Roman" w:hAnsi="Times New Roman" w:eastAsia="宋体" w:cs="宋体"/>
          <w:bCs/>
          <w:color w:val="auto"/>
          <w:sz w:val="24"/>
          <w:szCs w:val="24"/>
          <w:lang w:eastAsia="zh-CN"/>
        </w:rPr>
        <w:t>），废水排放量按照</w:t>
      </w:r>
      <w:r>
        <w:rPr>
          <w:rFonts w:hint="eastAsia" w:ascii="Times New Roman" w:hAnsi="Times New Roman" w:eastAsia="宋体" w:cs="宋体"/>
          <w:bCs/>
          <w:color w:val="auto"/>
          <w:sz w:val="24"/>
          <w:szCs w:val="24"/>
          <w:lang w:val="en-US" w:eastAsia="zh-CN"/>
        </w:rPr>
        <w:t>80%计，则生活废水量为</w:t>
      </w:r>
      <w:r>
        <w:rPr>
          <w:rFonts w:hint="eastAsia" w:ascii="Times New Roman" w:hAnsi="Times New Roman" w:eastAsia="宋体" w:cs="Times New Roman"/>
          <w:bCs/>
          <w:color w:val="auto"/>
          <w:kern w:val="44"/>
          <w:sz w:val="24"/>
          <w:szCs w:val="24"/>
          <w:lang w:val="en-US" w:eastAsia="zh-CN"/>
        </w:rPr>
        <w:t>2336</w:t>
      </w:r>
      <w:r>
        <w:rPr>
          <w:rFonts w:hint="eastAsia" w:ascii="Times New Roman" w:hAnsi="Times New Roman" w:eastAsia="宋体" w:cs="宋体"/>
          <w:bCs/>
          <w:color w:val="auto"/>
          <w:sz w:val="24"/>
          <w:szCs w:val="24"/>
          <w:lang w:eastAsia="zh-CN"/>
        </w:rPr>
        <w:t>m</w:t>
      </w:r>
      <w:r>
        <w:rPr>
          <w:rFonts w:hint="eastAsia" w:ascii="Times New Roman" w:hAnsi="Times New Roman" w:eastAsia="宋体" w:cs="宋体"/>
          <w:bCs/>
          <w:color w:val="auto"/>
          <w:sz w:val="24"/>
          <w:szCs w:val="24"/>
          <w:vertAlign w:val="superscript"/>
          <w:lang w:eastAsia="zh-CN"/>
        </w:rPr>
        <w:t>3</w:t>
      </w:r>
      <w:r>
        <w:rPr>
          <w:rFonts w:hint="eastAsia" w:ascii="Times New Roman" w:hAnsi="Times New Roman" w:eastAsia="宋体" w:cs="宋体"/>
          <w:bCs/>
          <w:color w:val="auto"/>
          <w:sz w:val="24"/>
          <w:szCs w:val="24"/>
          <w:lang w:eastAsia="zh-CN"/>
        </w:rPr>
        <w:t>/a（</w:t>
      </w:r>
      <w:r>
        <w:rPr>
          <w:rFonts w:hint="eastAsia" w:ascii="Times New Roman" w:hAnsi="Times New Roman" w:eastAsia="宋体" w:cs="宋体"/>
          <w:bCs/>
          <w:color w:val="auto"/>
          <w:sz w:val="24"/>
          <w:szCs w:val="24"/>
          <w:lang w:val="en-US" w:eastAsia="zh-CN"/>
        </w:rPr>
        <w:t>6.40</w:t>
      </w:r>
      <w:r>
        <w:rPr>
          <w:rFonts w:hint="eastAsia" w:ascii="Times New Roman" w:hAnsi="Times New Roman" w:eastAsia="宋体" w:cs="宋体"/>
          <w:bCs/>
          <w:color w:val="auto"/>
          <w:sz w:val="24"/>
          <w:szCs w:val="24"/>
          <w:lang w:eastAsia="zh-CN"/>
        </w:rPr>
        <w:t>m</w:t>
      </w:r>
      <w:r>
        <w:rPr>
          <w:rFonts w:hint="eastAsia" w:ascii="Times New Roman" w:hAnsi="Times New Roman" w:eastAsia="宋体" w:cs="宋体"/>
          <w:bCs/>
          <w:color w:val="auto"/>
          <w:sz w:val="24"/>
          <w:szCs w:val="24"/>
          <w:vertAlign w:val="superscript"/>
          <w:lang w:eastAsia="zh-CN"/>
        </w:rPr>
        <w:t>3</w:t>
      </w:r>
      <w:r>
        <w:rPr>
          <w:rFonts w:hint="eastAsia" w:ascii="Times New Roman" w:hAnsi="Times New Roman" w:eastAsia="宋体" w:cs="宋体"/>
          <w:bCs/>
          <w:color w:val="auto"/>
          <w:sz w:val="24"/>
          <w:szCs w:val="24"/>
          <w:lang w:eastAsia="zh-CN"/>
        </w:rPr>
        <w:t>/</w:t>
      </w:r>
      <w:r>
        <w:rPr>
          <w:rFonts w:hint="eastAsia" w:ascii="Times New Roman" w:hAnsi="Times New Roman" w:eastAsia="宋体" w:cs="宋体"/>
          <w:bCs/>
          <w:color w:val="auto"/>
          <w:sz w:val="24"/>
          <w:szCs w:val="24"/>
          <w:lang w:val="en-US" w:eastAsia="zh-CN"/>
        </w:rPr>
        <w:t>d</w:t>
      </w:r>
      <w:r>
        <w:rPr>
          <w:rFonts w:hint="eastAsia" w:ascii="Times New Roman" w:hAnsi="Times New Roman" w:eastAsia="宋体" w:cs="宋体"/>
          <w:bCs/>
          <w:color w:val="auto"/>
          <w:sz w:val="24"/>
          <w:szCs w:val="24"/>
          <w:lang w:eastAsia="zh-CN"/>
        </w:rPr>
        <w:t>）。</w:t>
      </w:r>
    </w:p>
    <w:p>
      <w:pPr>
        <w:adjustRightInd w:val="0"/>
        <w:snapToGrid w:val="0"/>
        <w:spacing w:line="360" w:lineRule="auto"/>
        <w:ind w:firstLine="480" w:firstLineChars="200"/>
        <w:rPr>
          <w:rFonts w:hint="eastAsia" w:ascii="Times New Roman" w:hAnsi="Times New Roman" w:eastAsia="宋体" w:cs="宋体"/>
          <w:bCs/>
          <w:color w:val="auto"/>
          <w:sz w:val="24"/>
          <w:szCs w:val="24"/>
          <w:lang w:eastAsia="zh-CN"/>
        </w:rPr>
      </w:pPr>
      <w:r>
        <w:rPr>
          <w:rFonts w:hint="eastAsia" w:ascii="Times New Roman" w:hAnsi="Times New Roman" w:eastAsia="宋体" w:cs="宋体"/>
          <w:bCs/>
          <w:color w:val="auto"/>
          <w:sz w:val="24"/>
          <w:szCs w:val="24"/>
          <w:lang w:eastAsia="zh-CN"/>
        </w:rPr>
        <w:t>（</w:t>
      </w:r>
      <w:r>
        <w:rPr>
          <w:rFonts w:hint="eastAsia" w:ascii="Times New Roman" w:hAnsi="Times New Roman" w:eastAsia="宋体" w:cs="宋体"/>
          <w:bCs/>
          <w:color w:val="auto"/>
          <w:sz w:val="24"/>
          <w:szCs w:val="24"/>
          <w:lang w:val="en-US" w:eastAsia="zh-CN"/>
        </w:rPr>
        <w:t>7</w:t>
      </w:r>
      <w:r>
        <w:rPr>
          <w:rFonts w:hint="eastAsia" w:ascii="Times New Roman" w:hAnsi="Times New Roman" w:eastAsia="宋体" w:cs="宋体"/>
          <w:bCs/>
          <w:color w:val="auto"/>
          <w:sz w:val="24"/>
          <w:szCs w:val="24"/>
          <w:lang w:eastAsia="zh-CN"/>
        </w:rPr>
        <w:t>）绿化用水</w:t>
      </w:r>
    </w:p>
    <w:p>
      <w:pPr>
        <w:adjustRightInd w:val="0"/>
        <w:snapToGrid w:val="0"/>
        <w:spacing w:line="360" w:lineRule="auto"/>
        <w:ind w:firstLine="480" w:firstLineChars="200"/>
        <w:rPr>
          <w:rFonts w:hint="eastAsia" w:ascii="Times New Roman" w:hAnsi="Times New Roman" w:eastAsia="宋体" w:cs="宋体"/>
          <w:bCs/>
          <w:color w:val="auto"/>
          <w:sz w:val="24"/>
          <w:szCs w:val="24"/>
          <w:lang w:eastAsia="zh-CN"/>
        </w:rPr>
      </w:pPr>
      <w:r>
        <w:rPr>
          <w:rFonts w:hint="eastAsia" w:ascii="Times New Roman" w:hAnsi="Times New Roman" w:eastAsia="宋体" w:cs="宋体"/>
          <w:bCs/>
          <w:color w:val="auto"/>
          <w:sz w:val="24"/>
          <w:szCs w:val="24"/>
          <w:lang w:eastAsia="zh-CN"/>
        </w:rPr>
        <w:t>项目绿化面积约</w:t>
      </w:r>
      <w:r>
        <w:rPr>
          <w:rFonts w:hint="eastAsia" w:ascii="Times New Roman" w:hAnsi="Times New Roman" w:eastAsia="宋体" w:cs="宋体"/>
          <w:bCs/>
          <w:color w:val="auto"/>
          <w:sz w:val="24"/>
          <w:szCs w:val="24"/>
          <w:lang w:val="en-US" w:eastAsia="zh-CN"/>
        </w:rPr>
        <w:t>15000</w:t>
      </w:r>
      <w:r>
        <w:rPr>
          <w:rFonts w:hint="eastAsia" w:ascii="Times New Roman" w:hAnsi="Times New Roman" w:eastAsia="宋体" w:cs="宋体"/>
          <w:bCs/>
          <w:color w:val="auto"/>
          <w:sz w:val="24"/>
          <w:szCs w:val="24"/>
          <w:lang w:eastAsia="zh-CN"/>
        </w:rPr>
        <w:t>m</w:t>
      </w:r>
      <w:r>
        <w:rPr>
          <w:rFonts w:hint="eastAsia" w:ascii="Times New Roman" w:hAnsi="Times New Roman" w:eastAsia="宋体" w:cs="宋体"/>
          <w:bCs/>
          <w:color w:val="auto"/>
          <w:sz w:val="24"/>
          <w:szCs w:val="24"/>
          <w:vertAlign w:val="superscript"/>
          <w:lang w:eastAsia="zh-CN"/>
        </w:rPr>
        <w:t>2</w:t>
      </w:r>
      <w:r>
        <w:rPr>
          <w:rFonts w:hint="eastAsia" w:ascii="Times New Roman" w:hAnsi="Times New Roman" w:eastAsia="宋体" w:cs="宋体"/>
          <w:bCs/>
          <w:color w:val="auto"/>
          <w:sz w:val="24"/>
          <w:szCs w:val="24"/>
          <w:lang w:eastAsia="zh-CN"/>
        </w:rPr>
        <w:t>，参照《用水定额-四川省地方标准》（DB51/T2138-2016），并结合项目实际情况，项目厂区绿化用水量按1.5L/m</w:t>
      </w:r>
      <w:r>
        <w:rPr>
          <w:rFonts w:hint="eastAsia" w:ascii="Times New Roman" w:hAnsi="Times New Roman" w:eastAsia="宋体" w:cs="宋体"/>
          <w:bCs/>
          <w:color w:val="auto"/>
          <w:sz w:val="24"/>
          <w:szCs w:val="24"/>
          <w:vertAlign w:val="superscript"/>
          <w:lang w:eastAsia="zh-CN"/>
        </w:rPr>
        <w:t>2</w:t>
      </w:r>
      <w:r>
        <w:rPr>
          <w:rFonts w:hint="eastAsia" w:ascii="Times New Roman" w:hAnsi="Times New Roman" w:eastAsia="宋体" w:cs="宋体"/>
          <w:bCs/>
          <w:color w:val="auto"/>
          <w:sz w:val="24"/>
          <w:szCs w:val="24"/>
          <w:lang w:eastAsia="zh-CN"/>
        </w:rPr>
        <w:t>·d 计，则用水量为</w:t>
      </w:r>
      <w:r>
        <w:rPr>
          <w:rFonts w:hint="eastAsia" w:ascii="Times New Roman" w:hAnsi="Times New Roman" w:eastAsia="宋体" w:cs="宋体"/>
          <w:bCs/>
          <w:color w:val="auto"/>
          <w:sz w:val="24"/>
          <w:szCs w:val="24"/>
          <w:lang w:val="en-US" w:eastAsia="zh-CN"/>
        </w:rPr>
        <w:t>22.50</w:t>
      </w:r>
      <w:r>
        <w:rPr>
          <w:rFonts w:hint="eastAsia" w:ascii="Times New Roman" w:hAnsi="Times New Roman" w:eastAsia="宋体" w:cs="宋体"/>
          <w:bCs/>
          <w:color w:val="auto"/>
          <w:sz w:val="24"/>
          <w:szCs w:val="24"/>
          <w:lang w:eastAsia="zh-CN"/>
        </w:rPr>
        <w:t>m³/d，采用污水处理区处理后的出水进行绿化。</w:t>
      </w:r>
    </w:p>
    <w:p>
      <w:pPr>
        <w:adjustRightInd w:val="0"/>
        <w:snapToGrid w:val="0"/>
        <w:spacing w:line="360" w:lineRule="auto"/>
        <w:ind w:firstLine="480" w:firstLineChars="200"/>
        <w:rPr>
          <w:rFonts w:hint="eastAsia" w:ascii="Times New Roman" w:hAnsi="Times New Roman" w:eastAsia="宋体" w:cs="宋体"/>
          <w:bCs/>
          <w:color w:val="auto"/>
          <w:sz w:val="24"/>
          <w:szCs w:val="24"/>
          <w:lang w:eastAsia="zh-CN"/>
        </w:rPr>
      </w:pPr>
      <w:r>
        <w:rPr>
          <w:rFonts w:hint="eastAsia" w:ascii="Times New Roman" w:hAnsi="Times New Roman" w:eastAsia="宋体" w:cs="宋体"/>
          <w:bCs/>
          <w:color w:val="auto"/>
          <w:sz w:val="24"/>
          <w:szCs w:val="24"/>
          <w:lang w:eastAsia="zh-CN"/>
        </w:rPr>
        <w:t>（</w:t>
      </w:r>
      <w:r>
        <w:rPr>
          <w:rFonts w:hint="eastAsia" w:ascii="Times New Roman" w:hAnsi="Times New Roman" w:eastAsia="宋体" w:cs="宋体"/>
          <w:bCs/>
          <w:color w:val="auto"/>
          <w:sz w:val="24"/>
          <w:szCs w:val="24"/>
          <w:lang w:val="en-US" w:eastAsia="zh-CN"/>
        </w:rPr>
        <w:t>8</w:t>
      </w:r>
      <w:r>
        <w:rPr>
          <w:rFonts w:hint="eastAsia" w:ascii="Times New Roman" w:hAnsi="Times New Roman" w:eastAsia="宋体" w:cs="宋体"/>
          <w:bCs/>
          <w:color w:val="auto"/>
          <w:sz w:val="24"/>
          <w:szCs w:val="24"/>
          <w:lang w:eastAsia="zh-CN"/>
        </w:rPr>
        <w:t>）未预见用水量</w:t>
      </w:r>
    </w:p>
    <w:p>
      <w:pPr>
        <w:adjustRightInd w:val="0"/>
        <w:snapToGrid w:val="0"/>
        <w:spacing w:line="360" w:lineRule="auto"/>
        <w:ind w:firstLine="480" w:firstLineChars="200"/>
        <w:rPr>
          <w:rFonts w:hint="eastAsia" w:ascii="Times New Roman" w:hAnsi="Times New Roman" w:eastAsia="宋体" w:cs="宋体"/>
          <w:bCs/>
          <w:color w:val="auto"/>
          <w:sz w:val="24"/>
          <w:szCs w:val="24"/>
          <w:lang w:eastAsia="zh-CN"/>
        </w:rPr>
      </w:pPr>
      <w:r>
        <w:rPr>
          <w:rFonts w:hint="eastAsia" w:ascii="Times New Roman" w:hAnsi="Times New Roman" w:eastAsia="宋体" w:cs="宋体"/>
          <w:bCs/>
          <w:color w:val="auto"/>
          <w:sz w:val="24"/>
          <w:szCs w:val="24"/>
          <w:lang w:eastAsia="zh-CN"/>
        </w:rPr>
        <w:t>不可预见用水为生产和生活用水量的10%，则夏季未预见水水量为</w:t>
      </w:r>
      <w:r>
        <w:rPr>
          <w:rFonts w:hint="eastAsia" w:ascii="Times New Roman" w:hAnsi="Times New Roman" w:eastAsia="宋体" w:cs="宋体"/>
          <w:bCs/>
          <w:color w:val="auto"/>
          <w:sz w:val="24"/>
          <w:szCs w:val="24"/>
          <w:lang w:val="en-US" w:eastAsia="zh-CN"/>
        </w:rPr>
        <w:t>18.97</w:t>
      </w:r>
      <w:r>
        <w:rPr>
          <w:rFonts w:hint="eastAsia" w:ascii="Times New Roman" w:hAnsi="Times New Roman" w:eastAsia="宋体" w:cs="宋体"/>
          <w:bCs/>
          <w:color w:val="auto"/>
          <w:sz w:val="24"/>
          <w:szCs w:val="24"/>
          <w:lang w:eastAsia="zh-CN"/>
        </w:rPr>
        <w:t>m</w:t>
      </w:r>
      <w:r>
        <w:rPr>
          <w:rFonts w:hint="eastAsia" w:ascii="Times New Roman" w:hAnsi="Times New Roman" w:eastAsia="宋体" w:cs="宋体"/>
          <w:bCs/>
          <w:color w:val="auto"/>
          <w:sz w:val="24"/>
          <w:szCs w:val="24"/>
          <w:vertAlign w:val="superscript"/>
          <w:lang w:eastAsia="zh-CN"/>
        </w:rPr>
        <w:t>3</w:t>
      </w:r>
      <w:r>
        <w:rPr>
          <w:rFonts w:hint="eastAsia" w:ascii="Times New Roman" w:hAnsi="Times New Roman" w:eastAsia="宋体" w:cs="宋体"/>
          <w:bCs/>
          <w:color w:val="auto"/>
          <w:sz w:val="24"/>
          <w:szCs w:val="24"/>
          <w:lang w:eastAsia="zh-CN"/>
        </w:rPr>
        <w:t>/d，其他季节未预见水水量为</w:t>
      </w:r>
      <w:r>
        <w:rPr>
          <w:rFonts w:hint="eastAsia" w:ascii="Times New Roman" w:hAnsi="Times New Roman" w:eastAsia="宋体" w:cs="宋体"/>
          <w:bCs/>
          <w:color w:val="auto"/>
          <w:sz w:val="24"/>
          <w:szCs w:val="24"/>
          <w:lang w:val="en-US" w:eastAsia="zh-CN"/>
        </w:rPr>
        <w:t>15.92</w:t>
      </w:r>
      <w:r>
        <w:rPr>
          <w:rFonts w:hint="eastAsia" w:ascii="Times New Roman" w:hAnsi="Times New Roman" w:eastAsia="宋体" w:cs="宋体"/>
          <w:bCs/>
          <w:color w:val="auto"/>
          <w:sz w:val="24"/>
          <w:szCs w:val="24"/>
          <w:lang w:eastAsia="zh-CN"/>
        </w:rPr>
        <w:t>m</w:t>
      </w:r>
      <w:r>
        <w:rPr>
          <w:rFonts w:hint="eastAsia" w:ascii="Times New Roman" w:hAnsi="Times New Roman" w:eastAsia="宋体" w:cs="宋体"/>
          <w:bCs/>
          <w:color w:val="auto"/>
          <w:sz w:val="24"/>
          <w:szCs w:val="24"/>
          <w:vertAlign w:val="superscript"/>
          <w:lang w:eastAsia="zh-CN"/>
        </w:rPr>
        <w:t>3</w:t>
      </w:r>
      <w:r>
        <w:rPr>
          <w:rFonts w:hint="eastAsia" w:ascii="Times New Roman" w:hAnsi="Times New Roman" w:eastAsia="宋体" w:cs="宋体"/>
          <w:bCs/>
          <w:color w:val="auto"/>
          <w:sz w:val="24"/>
          <w:szCs w:val="24"/>
          <w:lang w:eastAsia="zh-CN"/>
        </w:rPr>
        <w:t>/d。</w:t>
      </w:r>
    </w:p>
    <w:p>
      <w:pPr>
        <w:adjustRightInd w:val="0"/>
        <w:snapToGrid w:val="0"/>
        <w:spacing w:line="360" w:lineRule="auto"/>
        <w:ind w:firstLine="480" w:firstLineChars="200"/>
        <w:rPr>
          <w:rFonts w:hint="default" w:ascii="Times New Roman" w:hAnsi="Times New Roman" w:eastAsia="宋体" w:cs="宋体"/>
          <w:bCs/>
          <w:color w:val="auto"/>
          <w:sz w:val="24"/>
          <w:szCs w:val="24"/>
          <w:lang w:val="en-US" w:eastAsia="zh-CN"/>
        </w:rPr>
      </w:pPr>
      <w:r>
        <w:rPr>
          <w:rFonts w:hint="eastAsia" w:ascii="Times New Roman" w:hAnsi="Times New Roman" w:eastAsia="宋体" w:cs="宋体"/>
          <w:bCs/>
          <w:color w:val="auto"/>
          <w:sz w:val="24"/>
          <w:szCs w:val="24"/>
          <w:lang w:eastAsia="zh-CN"/>
        </w:rPr>
        <w:t>本项目营运期其他季节以及夏季用水量预测及分配情况见表</w:t>
      </w:r>
      <w:r>
        <w:rPr>
          <w:rFonts w:hint="eastAsia" w:ascii="Times New Roman" w:hAnsi="Times New Roman" w:eastAsia="宋体" w:cs="宋体"/>
          <w:bCs/>
          <w:color w:val="auto"/>
          <w:sz w:val="24"/>
          <w:szCs w:val="24"/>
          <w:lang w:val="en-US" w:eastAsia="zh-CN"/>
        </w:rPr>
        <w:t>3.3-1/3.3-2。</w:t>
      </w: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ascii="Times New Roman" w:hAnsi="Times New Roman" w:eastAsia="宋体"/>
          <w:b/>
          <w:color w:val="auto"/>
          <w:szCs w:val="21"/>
        </w:rPr>
      </w:pPr>
      <w:r>
        <w:rPr>
          <w:rFonts w:ascii="Times New Roman" w:hAnsi="Times New Roman" w:eastAsia="宋体"/>
          <w:b/>
          <w:color w:val="auto"/>
          <w:szCs w:val="21"/>
        </w:rPr>
        <w:t>表</w:t>
      </w:r>
      <w:r>
        <w:rPr>
          <w:rFonts w:hint="eastAsia" w:ascii="Times New Roman" w:hAnsi="Times New Roman" w:eastAsia="宋体"/>
          <w:b/>
          <w:color w:val="auto"/>
          <w:szCs w:val="21"/>
          <w:lang w:val="en-US" w:eastAsia="zh-CN"/>
        </w:rPr>
        <w:t>3.3</w:t>
      </w:r>
      <w:r>
        <w:rPr>
          <w:rFonts w:hint="eastAsia" w:ascii="Times New Roman" w:hAnsi="Times New Roman" w:eastAsia="宋体"/>
          <w:b/>
          <w:color w:val="auto"/>
          <w:szCs w:val="21"/>
        </w:rPr>
        <w:t>-1</w:t>
      </w:r>
      <w:r>
        <w:rPr>
          <w:rFonts w:hint="eastAsia" w:ascii="Times New Roman" w:hAnsi="Times New Roman" w:eastAsia="宋体"/>
          <w:b/>
          <w:color w:val="auto"/>
          <w:szCs w:val="21"/>
          <w:lang w:val="en-US" w:eastAsia="zh-CN"/>
        </w:rPr>
        <w:t xml:space="preserve"> </w:t>
      </w:r>
      <w:r>
        <w:rPr>
          <w:rFonts w:ascii="Times New Roman" w:hAnsi="Times New Roman" w:eastAsia="宋体"/>
          <w:b/>
          <w:color w:val="auto"/>
          <w:szCs w:val="21"/>
        </w:rPr>
        <w:t xml:space="preserve"> </w:t>
      </w:r>
      <w:r>
        <w:rPr>
          <w:rFonts w:hint="eastAsia" w:ascii="Times New Roman" w:hAnsi="Times New Roman" w:eastAsia="宋体"/>
          <w:b/>
          <w:color w:val="auto"/>
          <w:szCs w:val="21"/>
        </w:rPr>
        <w:t>项目夏季用水量预测及分配情况</w:t>
      </w:r>
    </w:p>
    <w:tbl>
      <w:tblPr>
        <w:tblStyle w:val="3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5"/>
        <w:gridCol w:w="1692"/>
        <w:gridCol w:w="1564"/>
        <w:gridCol w:w="1336"/>
        <w:gridCol w:w="1064"/>
        <w:gridCol w:w="1544"/>
        <w:gridCol w:w="1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5" w:type="dxa"/>
            <w:vAlign w:val="center"/>
          </w:tcPr>
          <w:p>
            <w:pPr>
              <w:pStyle w:val="98"/>
              <w:jc w:val="center"/>
              <w:rPr>
                <w:rFonts w:hint="eastAsia" w:ascii="Times New Roman" w:hAnsi="Times New Roman" w:cs="Times New Roman"/>
                <w:b/>
                <w:bCs/>
                <w:color w:val="auto"/>
                <w:szCs w:val="21"/>
                <w:lang w:eastAsia="zh-CN"/>
              </w:rPr>
            </w:pPr>
            <w:r>
              <w:rPr>
                <w:rFonts w:hint="eastAsia" w:ascii="Times New Roman" w:hAnsi="Times New Roman" w:cs="Times New Roman"/>
                <w:b/>
                <w:bCs/>
                <w:color w:val="auto"/>
                <w:szCs w:val="21"/>
                <w:lang w:eastAsia="zh-CN"/>
              </w:rPr>
              <w:t>序号</w:t>
            </w:r>
          </w:p>
        </w:tc>
        <w:tc>
          <w:tcPr>
            <w:tcW w:w="1692" w:type="dxa"/>
            <w:vAlign w:val="center"/>
          </w:tcPr>
          <w:p>
            <w:pPr>
              <w:pStyle w:val="98"/>
              <w:jc w:val="center"/>
              <w:rPr>
                <w:rFonts w:hint="eastAsia" w:ascii="Times New Roman" w:hAnsi="Times New Roman" w:cs="Times New Roman"/>
                <w:b/>
                <w:bCs/>
                <w:color w:val="auto"/>
                <w:szCs w:val="21"/>
                <w:lang w:eastAsia="zh-CN"/>
              </w:rPr>
            </w:pPr>
            <w:r>
              <w:rPr>
                <w:rFonts w:hint="eastAsia" w:ascii="Times New Roman" w:hAnsi="Times New Roman" w:cs="Times New Roman"/>
                <w:b/>
                <w:bCs/>
                <w:color w:val="auto"/>
                <w:szCs w:val="21"/>
                <w:lang w:eastAsia="zh-CN"/>
              </w:rPr>
              <w:t>项目</w:t>
            </w:r>
          </w:p>
        </w:tc>
        <w:tc>
          <w:tcPr>
            <w:tcW w:w="1564" w:type="dxa"/>
            <w:vAlign w:val="center"/>
          </w:tcPr>
          <w:p>
            <w:pPr>
              <w:pStyle w:val="98"/>
              <w:jc w:val="center"/>
              <w:rPr>
                <w:rFonts w:hint="eastAsia" w:ascii="Times New Roman" w:hAnsi="Times New Roman" w:cs="Times New Roman"/>
                <w:b/>
                <w:bCs/>
                <w:color w:val="auto"/>
                <w:szCs w:val="21"/>
                <w:lang w:eastAsia="zh-CN"/>
              </w:rPr>
            </w:pPr>
            <w:r>
              <w:rPr>
                <w:rFonts w:hint="eastAsia" w:ascii="Times New Roman" w:hAnsi="Times New Roman" w:cs="Times New Roman"/>
                <w:b/>
                <w:bCs/>
                <w:color w:val="auto"/>
                <w:szCs w:val="21"/>
                <w:lang w:eastAsia="zh-CN"/>
              </w:rPr>
              <w:t>用水标准</w:t>
            </w:r>
          </w:p>
        </w:tc>
        <w:tc>
          <w:tcPr>
            <w:tcW w:w="1336" w:type="dxa"/>
            <w:vAlign w:val="center"/>
          </w:tcPr>
          <w:p>
            <w:pPr>
              <w:pStyle w:val="98"/>
              <w:jc w:val="center"/>
              <w:rPr>
                <w:rFonts w:hint="eastAsia" w:ascii="Times New Roman" w:hAnsi="Times New Roman" w:cs="Times New Roman"/>
                <w:b/>
                <w:bCs/>
                <w:color w:val="auto"/>
                <w:szCs w:val="21"/>
                <w:lang w:eastAsia="zh-CN"/>
              </w:rPr>
            </w:pPr>
            <w:r>
              <w:rPr>
                <w:rFonts w:hint="eastAsia" w:ascii="Times New Roman" w:hAnsi="Times New Roman" w:cs="Times New Roman"/>
                <w:b/>
                <w:bCs/>
                <w:color w:val="auto"/>
                <w:szCs w:val="21"/>
                <w:lang w:eastAsia="zh-CN"/>
              </w:rPr>
              <w:t>用水规模</w:t>
            </w:r>
          </w:p>
        </w:tc>
        <w:tc>
          <w:tcPr>
            <w:tcW w:w="1064" w:type="dxa"/>
            <w:vAlign w:val="center"/>
          </w:tcPr>
          <w:p>
            <w:pPr>
              <w:pStyle w:val="98"/>
              <w:jc w:val="center"/>
              <w:rPr>
                <w:rFonts w:hint="eastAsia" w:ascii="Times New Roman" w:hAnsi="Times New Roman" w:cs="Times New Roman"/>
                <w:b/>
                <w:bCs/>
                <w:color w:val="auto"/>
                <w:szCs w:val="21"/>
                <w:lang w:eastAsia="zh-CN"/>
              </w:rPr>
            </w:pPr>
            <w:r>
              <w:rPr>
                <w:rFonts w:hint="eastAsia" w:ascii="Times New Roman" w:hAnsi="Times New Roman" w:cs="Times New Roman"/>
                <w:b/>
                <w:bCs/>
                <w:color w:val="auto"/>
                <w:szCs w:val="21"/>
                <w:lang w:eastAsia="zh-CN"/>
              </w:rPr>
              <w:t>排污系数</w:t>
            </w:r>
          </w:p>
        </w:tc>
        <w:tc>
          <w:tcPr>
            <w:tcW w:w="1544" w:type="dxa"/>
            <w:vAlign w:val="center"/>
          </w:tcPr>
          <w:p>
            <w:pPr>
              <w:pStyle w:val="98"/>
              <w:jc w:val="center"/>
              <w:rPr>
                <w:rFonts w:hint="eastAsia" w:ascii="Times New Roman" w:hAnsi="Times New Roman" w:cs="Times New Roman"/>
                <w:b/>
                <w:bCs/>
                <w:color w:val="auto"/>
                <w:szCs w:val="21"/>
                <w:lang w:eastAsia="zh-CN"/>
              </w:rPr>
            </w:pPr>
            <w:r>
              <w:rPr>
                <w:rFonts w:hint="eastAsia" w:ascii="Times New Roman" w:hAnsi="Times New Roman" w:cs="Times New Roman"/>
                <w:b/>
                <w:bCs/>
                <w:color w:val="auto"/>
                <w:szCs w:val="21"/>
                <w:lang w:eastAsia="zh-CN"/>
              </w:rPr>
              <w:t>用水量（</w:t>
            </w:r>
            <w:r>
              <w:rPr>
                <w:rFonts w:hint="eastAsia" w:ascii="Times New Roman" w:hAnsi="Times New Roman" w:cs="Times New Roman"/>
                <w:b/>
                <w:bCs/>
                <w:color w:val="auto"/>
                <w:szCs w:val="21"/>
                <w:lang w:val="en-US" w:eastAsia="zh-CN"/>
              </w:rPr>
              <w:t>m</w:t>
            </w:r>
            <w:r>
              <w:rPr>
                <w:rFonts w:hint="eastAsia" w:ascii="Times New Roman" w:hAnsi="Times New Roman" w:cs="Times New Roman"/>
                <w:b/>
                <w:bCs/>
                <w:color w:val="auto"/>
                <w:szCs w:val="21"/>
                <w:vertAlign w:val="superscript"/>
                <w:lang w:val="en-US" w:eastAsia="zh-CN"/>
              </w:rPr>
              <w:t>3</w:t>
            </w:r>
            <w:r>
              <w:rPr>
                <w:rFonts w:hint="eastAsia" w:ascii="Times New Roman" w:hAnsi="Times New Roman" w:cs="Times New Roman"/>
                <w:b/>
                <w:bCs/>
                <w:color w:val="auto"/>
                <w:szCs w:val="21"/>
                <w:lang w:val="en-US" w:eastAsia="zh-CN"/>
              </w:rPr>
              <w:t>/d</w:t>
            </w:r>
            <w:r>
              <w:rPr>
                <w:rFonts w:hint="eastAsia" w:ascii="Times New Roman" w:hAnsi="Times New Roman" w:cs="Times New Roman"/>
                <w:b/>
                <w:bCs/>
                <w:color w:val="auto"/>
                <w:szCs w:val="21"/>
                <w:lang w:eastAsia="zh-CN"/>
              </w:rPr>
              <w:t>）</w:t>
            </w:r>
          </w:p>
        </w:tc>
        <w:tc>
          <w:tcPr>
            <w:tcW w:w="1575" w:type="dxa"/>
            <w:vAlign w:val="center"/>
          </w:tcPr>
          <w:p>
            <w:pPr>
              <w:pStyle w:val="98"/>
              <w:jc w:val="center"/>
              <w:rPr>
                <w:rFonts w:hint="eastAsia" w:ascii="Times New Roman" w:hAnsi="Times New Roman" w:cs="Times New Roman"/>
                <w:b/>
                <w:bCs/>
                <w:color w:val="auto"/>
                <w:szCs w:val="21"/>
                <w:lang w:eastAsia="zh-CN"/>
              </w:rPr>
            </w:pPr>
            <w:r>
              <w:rPr>
                <w:rFonts w:hint="eastAsia" w:ascii="Times New Roman" w:hAnsi="Times New Roman" w:cs="Times New Roman"/>
                <w:b/>
                <w:bCs/>
                <w:color w:val="auto"/>
                <w:szCs w:val="21"/>
                <w:lang w:eastAsia="zh-CN"/>
              </w:rPr>
              <w:t>排水量（</w:t>
            </w:r>
            <w:r>
              <w:rPr>
                <w:rFonts w:hint="eastAsia" w:ascii="Times New Roman" w:hAnsi="Times New Roman" w:cs="Times New Roman"/>
                <w:b/>
                <w:bCs/>
                <w:color w:val="auto"/>
                <w:szCs w:val="21"/>
                <w:lang w:val="en-US" w:eastAsia="zh-CN"/>
              </w:rPr>
              <w:t>m</w:t>
            </w:r>
            <w:r>
              <w:rPr>
                <w:rFonts w:hint="eastAsia" w:ascii="Times New Roman" w:hAnsi="Times New Roman" w:cs="Times New Roman"/>
                <w:b/>
                <w:bCs/>
                <w:color w:val="auto"/>
                <w:szCs w:val="21"/>
                <w:vertAlign w:val="superscript"/>
                <w:lang w:val="en-US" w:eastAsia="zh-CN"/>
              </w:rPr>
              <w:t>3</w:t>
            </w:r>
            <w:r>
              <w:rPr>
                <w:rFonts w:hint="eastAsia" w:ascii="Times New Roman" w:hAnsi="Times New Roman" w:cs="Times New Roman"/>
                <w:b/>
                <w:bCs/>
                <w:color w:val="auto"/>
                <w:szCs w:val="21"/>
                <w:lang w:val="en-US" w:eastAsia="zh-CN"/>
              </w:rPr>
              <w:t>/d</w:t>
            </w:r>
            <w:r>
              <w:rPr>
                <w:rFonts w:hint="eastAsia" w:ascii="Times New Roman" w:hAnsi="Times New Roman" w:cs="Times New Roman"/>
                <w:b/>
                <w:bCs/>
                <w:color w:val="auto"/>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w:t>
            </w:r>
          </w:p>
        </w:tc>
        <w:tc>
          <w:tcPr>
            <w:tcW w:w="1692" w:type="dxa"/>
            <w:vAlign w:val="center"/>
          </w:tcPr>
          <w:p>
            <w:pPr>
              <w:pStyle w:val="98"/>
              <w:jc w:val="center"/>
              <w:rPr>
                <w:rFonts w:hint="eastAsia" w:ascii="Times New Roman" w:hAnsi="Times New Roman" w:cs="Times New Roman"/>
                <w:color w:val="auto"/>
                <w:szCs w:val="21"/>
                <w:lang w:eastAsia="zh-CN"/>
              </w:rPr>
            </w:pPr>
            <w:r>
              <w:rPr>
                <w:rFonts w:hint="eastAsia" w:ascii="Times New Roman" w:hAnsi="Times New Roman" w:cs="Times New Roman"/>
                <w:color w:val="auto"/>
                <w:szCs w:val="21"/>
                <w:lang w:eastAsia="zh-CN"/>
              </w:rPr>
              <w:t>猪饮用水</w:t>
            </w:r>
          </w:p>
        </w:tc>
        <w:tc>
          <w:tcPr>
            <w:tcW w:w="1564" w:type="dxa"/>
            <w:vAlign w:val="center"/>
          </w:tcPr>
          <w:p>
            <w:pPr>
              <w:pStyle w:val="98"/>
              <w:jc w:val="center"/>
              <w:rPr>
                <w:rFonts w:hint="eastAsia" w:ascii="Times New Roman" w:hAnsi="Times New Roman" w:cs="Times New Roman"/>
                <w:color w:val="auto"/>
                <w:szCs w:val="21"/>
                <w:lang w:eastAsia="zh-CN"/>
              </w:rPr>
            </w:pPr>
            <w:r>
              <w:rPr>
                <w:rFonts w:hint="eastAsia" w:ascii="Times New Roman" w:hAnsi="Times New Roman" w:cs="Times New Roman"/>
                <w:color w:val="auto"/>
                <w:szCs w:val="21"/>
                <w:lang w:eastAsia="zh-CN"/>
              </w:rPr>
              <w:t>猪饮用水10L/头·d，夏季增加20%</w:t>
            </w:r>
          </w:p>
        </w:tc>
        <w:tc>
          <w:tcPr>
            <w:tcW w:w="1336"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15000头</w:t>
            </w:r>
          </w:p>
        </w:tc>
        <w:tc>
          <w:tcPr>
            <w:tcW w:w="1064"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c>
          <w:tcPr>
            <w:tcW w:w="1544"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180</w:t>
            </w:r>
          </w:p>
        </w:tc>
        <w:tc>
          <w:tcPr>
            <w:tcW w:w="157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w:t>
            </w:r>
          </w:p>
        </w:tc>
        <w:tc>
          <w:tcPr>
            <w:tcW w:w="1692" w:type="dxa"/>
            <w:vAlign w:val="center"/>
          </w:tcPr>
          <w:p>
            <w:pPr>
              <w:pStyle w:val="98"/>
              <w:jc w:val="center"/>
              <w:rPr>
                <w:rFonts w:hint="eastAsia" w:ascii="Times New Roman" w:hAnsi="Times New Roman" w:cs="Times New Roman"/>
                <w:color w:val="auto"/>
                <w:szCs w:val="21"/>
                <w:lang w:eastAsia="zh-CN"/>
              </w:rPr>
            </w:pPr>
            <w:r>
              <w:rPr>
                <w:rFonts w:hint="eastAsia" w:ascii="Times New Roman" w:hAnsi="Times New Roman" w:cs="Times New Roman"/>
                <w:color w:val="auto"/>
                <w:szCs w:val="21"/>
                <w:lang w:eastAsia="zh-CN"/>
              </w:rPr>
              <w:t>猪舍冲洗用水</w:t>
            </w:r>
          </w:p>
        </w:tc>
        <w:tc>
          <w:tcPr>
            <w:tcW w:w="1564" w:type="dxa"/>
            <w:vAlign w:val="center"/>
          </w:tcPr>
          <w:p>
            <w:pPr>
              <w:pStyle w:val="98"/>
              <w:jc w:val="center"/>
              <w:rPr>
                <w:rFonts w:hint="eastAsia" w:ascii="Times New Roman" w:hAnsi="Times New Roman" w:cs="Times New Roman"/>
                <w:color w:val="auto"/>
                <w:szCs w:val="21"/>
                <w:lang w:eastAsia="zh-CN"/>
              </w:rPr>
            </w:pPr>
            <w:r>
              <w:rPr>
                <w:rFonts w:hint="eastAsia" w:ascii="Times New Roman" w:hAnsi="Times New Roman" w:cs="Times New Roman"/>
                <w:color w:val="auto"/>
                <w:szCs w:val="21"/>
                <w:lang w:eastAsia="zh-CN"/>
              </w:rPr>
              <w:t>6L/m</w:t>
            </w:r>
            <w:r>
              <w:rPr>
                <w:rFonts w:hint="eastAsia" w:ascii="Times New Roman" w:hAnsi="Times New Roman" w:cs="Times New Roman"/>
                <w:color w:val="auto"/>
                <w:szCs w:val="21"/>
                <w:vertAlign w:val="superscript"/>
                <w:lang w:eastAsia="zh-CN"/>
              </w:rPr>
              <w:t>2</w:t>
            </w:r>
            <w:r>
              <w:rPr>
                <w:rFonts w:hint="eastAsia" w:ascii="Times New Roman" w:hAnsi="Times New Roman" w:cs="Times New Roman"/>
                <w:color w:val="auto"/>
                <w:szCs w:val="21"/>
                <w:lang w:eastAsia="zh-CN"/>
              </w:rPr>
              <w:t>·次</w:t>
            </w:r>
          </w:p>
        </w:tc>
        <w:tc>
          <w:tcPr>
            <w:tcW w:w="1336" w:type="dxa"/>
            <w:vAlign w:val="center"/>
          </w:tcPr>
          <w:p>
            <w:pPr>
              <w:pStyle w:val="98"/>
              <w:jc w:val="center"/>
              <w:rPr>
                <w:rFonts w:hint="eastAsia" w:ascii="Times New Roman" w:hAnsi="Times New Roman" w:cs="Times New Roman"/>
                <w:color w:val="auto"/>
                <w:szCs w:val="21"/>
                <w:vertAlign w:val="baseline"/>
                <w:lang w:eastAsia="zh-CN"/>
              </w:rPr>
            </w:pPr>
            <w:r>
              <w:rPr>
                <w:rFonts w:hint="eastAsia" w:ascii="Times New Roman" w:hAnsi="Times New Roman" w:cs="Times New Roman"/>
                <w:color w:val="auto"/>
                <w:szCs w:val="21"/>
                <w:lang w:val="en-US" w:eastAsia="zh-CN"/>
              </w:rPr>
              <w:t>12480</w:t>
            </w:r>
            <w:r>
              <w:rPr>
                <w:rFonts w:hint="eastAsia" w:ascii="Times New Roman" w:hAnsi="Times New Roman" w:cs="Times New Roman"/>
                <w:color w:val="auto"/>
                <w:szCs w:val="21"/>
                <w:lang w:eastAsia="zh-CN"/>
              </w:rPr>
              <w:t>m</w:t>
            </w:r>
            <w:r>
              <w:rPr>
                <w:rFonts w:hint="eastAsia" w:ascii="Times New Roman" w:hAnsi="Times New Roman" w:cs="Times New Roman"/>
                <w:color w:val="auto"/>
                <w:szCs w:val="21"/>
                <w:vertAlign w:val="superscript"/>
                <w:lang w:eastAsia="zh-CN"/>
              </w:rPr>
              <w:t>2</w:t>
            </w:r>
            <w:r>
              <w:rPr>
                <w:rFonts w:hint="eastAsia" w:ascii="Times New Roman" w:hAnsi="Times New Roman" w:cs="Times New Roman"/>
                <w:color w:val="auto"/>
                <w:szCs w:val="21"/>
                <w:vertAlign w:val="baseline"/>
                <w:lang w:eastAsia="zh-CN"/>
              </w:rPr>
              <w:t>（一年</w:t>
            </w:r>
            <w:r>
              <w:rPr>
                <w:rFonts w:hint="eastAsia" w:ascii="Times New Roman" w:hAnsi="Times New Roman" w:cs="Times New Roman"/>
                <w:color w:val="auto"/>
                <w:szCs w:val="21"/>
                <w:vertAlign w:val="baseline"/>
                <w:lang w:val="en-US" w:eastAsia="zh-CN"/>
              </w:rPr>
              <w:t>2次</w:t>
            </w:r>
            <w:r>
              <w:rPr>
                <w:rFonts w:hint="eastAsia" w:ascii="Times New Roman" w:hAnsi="Times New Roman" w:cs="Times New Roman"/>
                <w:color w:val="auto"/>
                <w:szCs w:val="21"/>
                <w:vertAlign w:val="baseline"/>
                <w:lang w:eastAsia="zh-CN"/>
              </w:rPr>
              <w:t>）</w:t>
            </w:r>
          </w:p>
        </w:tc>
        <w:tc>
          <w:tcPr>
            <w:tcW w:w="1064"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0.8</w:t>
            </w:r>
          </w:p>
        </w:tc>
        <w:tc>
          <w:tcPr>
            <w:tcW w:w="1544"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0.41</w:t>
            </w:r>
          </w:p>
        </w:tc>
        <w:tc>
          <w:tcPr>
            <w:tcW w:w="157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w:t>
            </w:r>
          </w:p>
        </w:tc>
        <w:tc>
          <w:tcPr>
            <w:tcW w:w="1692" w:type="dxa"/>
            <w:vAlign w:val="center"/>
          </w:tcPr>
          <w:p>
            <w:pPr>
              <w:pStyle w:val="98"/>
              <w:jc w:val="center"/>
              <w:rPr>
                <w:rFonts w:hint="eastAsia" w:ascii="Times New Roman" w:hAnsi="Times New Roman" w:cs="Times New Roman"/>
                <w:color w:val="auto"/>
                <w:szCs w:val="21"/>
                <w:lang w:eastAsia="zh-CN"/>
              </w:rPr>
            </w:pPr>
            <w:r>
              <w:rPr>
                <w:rFonts w:hint="eastAsia" w:ascii="Times New Roman" w:hAnsi="Times New Roman" w:cs="Times New Roman"/>
                <w:color w:val="auto"/>
                <w:szCs w:val="21"/>
                <w:lang w:eastAsia="zh-CN"/>
              </w:rPr>
              <w:t>消毒用水</w:t>
            </w:r>
          </w:p>
        </w:tc>
        <w:tc>
          <w:tcPr>
            <w:tcW w:w="1564" w:type="dxa"/>
            <w:vAlign w:val="center"/>
          </w:tcPr>
          <w:p>
            <w:pPr>
              <w:pStyle w:val="98"/>
              <w:jc w:val="center"/>
              <w:rPr>
                <w:rFonts w:hint="eastAsia" w:ascii="Times New Roman" w:hAnsi="Times New Roman" w:cs="Times New Roman"/>
                <w:color w:val="auto"/>
                <w:szCs w:val="21"/>
                <w:lang w:eastAsia="zh-CN"/>
              </w:rPr>
            </w:pPr>
            <w:r>
              <w:rPr>
                <w:rFonts w:hint="eastAsia" w:ascii="Times New Roman" w:hAnsi="Times New Roman" w:cs="Times New Roman"/>
                <w:color w:val="auto"/>
                <w:szCs w:val="21"/>
                <w:lang w:eastAsia="zh-CN"/>
              </w:rPr>
              <w:t>与消毒剂比 例为 1:200</w:t>
            </w:r>
          </w:p>
        </w:tc>
        <w:tc>
          <w:tcPr>
            <w:tcW w:w="1336" w:type="dxa"/>
            <w:vAlign w:val="center"/>
          </w:tcPr>
          <w:p>
            <w:pPr>
              <w:pStyle w:val="98"/>
              <w:jc w:val="center"/>
              <w:rPr>
                <w:rFonts w:hint="eastAsia" w:ascii="Times New Roman" w:hAnsi="Times New Roman" w:cs="Times New Roman"/>
                <w:color w:val="auto"/>
                <w:szCs w:val="21"/>
                <w:lang w:eastAsia="zh-CN"/>
              </w:rPr>
            </w:pPr>
            <w:r>
              <w:rPr>
                <w:rFonts w:hint="eastAsia" w:ascii="Times New Roman" w:hAnsi="Times New Roman" w:cs="Times New Roman"/>
                <w:color w:val="auto"/>
                <w:szCs w:val="21"/>
                <w:lang w:eastAsia="zh-CN"/>
              </w:rPr>
              <w:t>消毒剂消耗量</w:t>
            </w:r>
            <w:r>
              <w:rPr>
                <w:rFonts w:hint="eastAsia" w:ascii="Times New Roman" w:hAnsi="Times New Roman" w:cs="Times New Roman"/>
                <w:color w:val="auto"/>
                <w:szCs w:val="21"/>
                <w:lang w:val="en-US" w:eastAsia="zh-CN"/>
              </w:rPr>
              <w:t>1.5</w:t>
            </w:r>
            <w:r>
              <w:rPr>
                <w:rFonts w:hint="eastAsia" w:ascii="Times New Roman" w:hAnsi="Times New Roman" w:cs="Times New Roman"/>
                <w:color w:val="auto"/>
                <w:szCs w:val="21"/>
                <w:lang w:eastAsia="zh-CN"/>
              </w:rPr>
              <w:t>t/a</w:t>
            </w:r>
          </w:p>
        </w:tc>
        <w:tc>
          <w:tcPr>
            <w:tcW w:w="1064"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w:t>
            </w:r>
          </w:p>
        </w:tc>
        <w:tc>
          <w:tcPr>
            <w:tcW w:w="1544"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0.82</w:t>
            </w:r>
          </w:p>
        </w:tc>
        <w:tc>
          <w:tcPr>
            <w:tcW w:w="157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0（蒸发损耗）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4</w:t>
            </w:r>
          </w:p>
        </w:tc>
        <w:tc>
          <w:tcPr>
            <w:tcW w:w="1692" w:type="dxa"/>
            <w:vAlign w:val="center"/>
          </w:tcPr>
          <w:p>
            <w:pPr>
              <w:pStyle w:val="98"/>
              <w:jc w:val="center"/>
              <w:rPr>
                <w:rFonts w:hint="eastAsia" w:ascii="Times New Roman" w:hAnsi="Times New Roman" w:cs="Times New Roman"/>
                <w:color w:val="auto"/>
                <w:szCs w:val="21"/>
                <w:lang w:eastAsia="zh-CN"/>
              </w:rPr>
            </w:pPr>
            <w:r>
              <w:rPr>
                <w:rFonts w:hint="eastAsia" w:ascii="Times New Roman" w:hAnsi="Times New Roman" w:cs="Times New Roman"/>
                <w:color w:val="auto"/>
                <w:szCs w:val="21"/>
                <w:lang w:eastAsia="zh-CN"/>
              </w:rPr>
              <w:t>水帘降温补水</w:t>
            </w:r>
          </w:p>
        </w:tc>
        <w:tc>
          <w:tcPr>
            <w:tcW w:w="1564"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c>
          <w:tcPr>
            <w:tcW w:w="1336"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c>
          <w:tcPr>
            <w:tcW w:w="1064"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c>
          <w:tcPr>
            <w:tcW w:w="1544"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0.48</w:t>
            </w:r>
          </w:p>
        </w:tc>
        <w:tc>
          <w:tcPr>
            <w:tcW w:w="157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0（蒸发损耗）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5</w:t>
            </w:r>
          </w:p>
        </w:tc>
        <w:tc>
          <w:tcPr>
            <w:tcW w:w="1692" w:type="dxa"/>
            <w:vAlign w:val="center"/>
          </w:tcPr>
          <w:p>
            <w:pPr>
              <w:pStyle w:val="98"/>
              <w:jc w:val="center"/>
              <w:rPr>
                <w:rFonts w:hint="eastAsia" w:ascii="Times New Roman" w:hAnsi="Times New Roman" w:cs="Times New Roman"/>
                <w:color w:val="auto"/>
                <w:szCs w:val="21"/>
                <w:lang w:eastAsia="zh-CN"/>
              </w:rPr>
            </w:pPr>
            <w:r>
              <w:rPr>
                <w:rFonts w:hint="eastAsia" w:ascii="Times New Roman" w:hAnsi="Times New Roman" w:cs="Times New Roman"/>
                <w:color w:val="auto"/>
                <w:szCs w:val="21"/>
                <w:lang w:eastAsia="zh-CN"/>
              </w:rPr>
              <w:t>生活用水</w:t>
            </w:r>
          </w:p>
        </w:tc>
        <w:tc>
          <w:tcPr>
            <w:tcW w:w="1564" w:type="dxa"/>
            <w:vAlign w:val="center"/>
          </w:tcPr>
          <w:p>
            <w:pPr>
              <w:pStyle w:val="98"/>
              <w:jc w:val="center"/>
              <w:rPr>
                <w:rFonts w:hint="eastAsia" w:ascii="Times New Roman" w:hAnsi="Times New Roman" w:cs="Times New Roman"/>
                <w:color w:val="auto"/>
                <w:szCs w:val="21"/>
                <w:lang w:eastAsia="zh-CN"/>
              </w:rPr>
            </w:pPr>
            <w:r>
              <w:rPr>
                <w:rFonts w:hint="eastAsia" w:ascii="Times New Roman" w:hAnsi="Times New Roman" w:cs="Times New Roman"/>
                <w:color w:val="auto"/>
                <w:szCs w:val="21"/>
                <w:lang w:val="en-US" w:eastAsia="zh-CN"/>
              </w:rPr>
              <w:t>0.16</w:t>
            </w:r>
            <w:r>
              <w:rPr>
                <w:rFonts w:hint="eastAsia" w:ascii="Times New Roman" w:hAnsi="Times New Roman" w:cs="Times New Roman"/>
                <w:color w:val="auto"/>
                <w:szCs w:val="21"/>
                <w:lang w:eastAsia="zh-CN"/>
              </w:rPr>
              <w:t>m</w:t>
            </w:r>
            <w:r>
              <w:rPr>
                <w:rFonts w:hint="eastAsia" w:ascii="Times New Roman" w:hAnsi="Times New Roman" w:cs="Times New Roman"/>
                <w:color w:val="auto"/>
                <w:szCs w:val="21"/>
                <w:vertAlign w:val="superscript"/>
                <w:lang w:val="en-US" w:eastAsia="zh-CN"/>
              </w:rPr>
              <w:t>3</w:t>
            </w:r>
            <w:r>
              <w:rPr>
                <w:rFonts w:hint="eastAsia" w:ascii="Times New Roman" w:hAnsi="Times New Roman" w:cs="Times New Roman"/>
                <w:color w:val="auto"/>
                <w:szCs w:val="21"/>
                <w:lang w:eastAsia="zh-CN"/>
              </w:rPr>
              <w:t>/人·天</w:t>
            </w:r>
          </w:p>
        </w:tc>
        <w:tc>
          <w:tcPr>
            <w:tcW w:w="1336"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50人</w:t>
            </w:r>
          </w:p>
        </w:tc>
        <w:tc>
          <w:tcPr>
            <w:tcW w:w="1064"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0.8</w:t>
            </w:r>
          </w:p>
        </w:tc>
        <w:tc>
          <w:tcPr>
            <w:tcW w:w="1544"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8</w:t>
            </w:r>
          </w:p>
        </w:tc>
        <w:tc>
          <w:tcPr>
            <w:tcW w:w="157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6.40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6</w:t>
            </w:r>
          </w:p>
        </w:tc>
        <w:tc>
          <w:tcPr>
            <w:tcW w:w="1692" w:type="dxa"/>
            <w:vAlign w:val="center"/>
          </w:tcPr>
          <w:p>
            <w:pPr>
              <w:pStyle w:val="98"/>
              <w:jc w:val="center"/>
              <w:rPr>
                <w:rFonts w:hint="eastAsia" w:ascii="Times New Roman" w:hAnsi="Times New Roman" w:cs="Times New Roman"/>
                <w:color w:val="auto"/>
                <w:szCs w:val="21"/>
                <w:lang w:eastAsia="zh-CN"/>
              </w:rPr>
            </w:pPr>
            <w:r>
              <w:rPr>
                <w:rFonts w:hint="eastAsia" w:ascii="Times New Roman" w:hAnsi="Times New Roman" w:cs="Times New Roman"/>
                <w:color w:val="auto"/>
                <w:szCs w:val="21"/>
                <w:lang w:eastAsia="zh-CN"/>
              </w:rPr>
              <w:t>绿化用水</w:t>
            </w:r>
          </w:p>
        </w:tc>
        <w:tc>
          <w:tcPr>
            <w:tcW w:w="1564" w:type="dxa"/>
            <w:vAlign w:val="center"/>
          </w:tcPr>
          <w:p>
            <w:pPr>
              <w:pStyle w:val="98"/>
              <w:jc w:val="center"/>
              <w:rPr>
                <w:rFonts w:hint="eastAsia" w:ascii="Times New Roman" w:hAnsi="Times New Roman" w:cs="Times New Roman"/>
                <w:color w:val="auto"/>
                <w:szCs w:val="21"/>
                <w:lang w:eastAsia="zh-CN"/>
              </w:rPr>
            </w:pPr>
            <w:r>
              <w:rPr>
                <w:rFonts w:hint="eastAsia" w:ascii="Times New Roman" w:hAnsi="Times New Roman" w:cs="Times New Roman"/>
                <w:color w:val="auto"/>
                <w:szCs w:val="21"/>
                <w:lang w:eastAsia="zh-CN"/>
              </w:rPr>
              <w:t>1.5L/m</w:t>
            </w:r>
            <w:r>
              <w:rPr>
                <w:rFonts w:hint="eastAsia" w:ascii="Times New Roman" w:hAnsi="Times New Roman" w:cs="Times New Roman"/>
                <w:color w:val="auto"/>
                <w:szCs w:val="21"/>
                <w:vertAlign w:val="superscript"/>
                <w:lang w:eastAsia="zh-CN"/>
              </w:rPr>
              <w:t>2</w:t>
            </w:r>
            <w:r>
              <w:rPr>
                <w:rFonts w:hint="eastAsia" w:ascii="Times New Roman" w:hAnsi="Times New Roman" w:cs="Times New Roman"/>
                <w:color w:val="auto"/>
                <w:szCs w:val="21"/>
                <w:lang w:eastAsia="zh-CN"/>
              </w:rPr>
              <w:t xml:space="preserve">·d </w:t>
            </w:r>
          </w:p>
        </w:tc>
        <w:tc>
          <w:tcPr>
            <w:tcW w:w="1336"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15000</w:t>
            </w:r>
            <w:r>
              <w:rPr>
                <w:rFonts w:hint="eastAsia" w:ascii="Times New Roman" w:hAnsi="Times New Roman" w:cs="Times New Roman"/>
                <w:color w:val="auto"/>
                <w:szCs w:val="21"/>
                <w:lang w:eastAsia="zh-CN"/>
              </w:rPr>
              <w:t>m</w:t>
            </w:r>
            <w:r>
              <w:rPr>
                <w:rFonts w:hint="eastAsia" w:ascii="Times New Roman" w:hAnsi="Times New Roman" w:cs="Times New Roman"/>
                <w:color w:val="auto"/>
                <w:szCs w:val="21"/>
                <w:vertAlign w:val="superscript"/>
                <w:lang w:eastAsia="zh-CN"/>
              </w:rPr>
              <w:t>2</w:t>
            </w:r>
          </w:p>
        </w:tc>
        <w:tc>
          <w:tcPr>
            <w:tcW w:w="1064"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c>
          <w:tcPr>
            <w:tcW w:w="1544"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0（22.50m</w:t>
            </w:r>
            <w:r>
              <w:rPr>
                <w:rFonts w:hint="eastAsia" w:ascii="Times New Roman" w:hAnsi="Times New Roman" w:cs="Times New Roman"/>
                <w:color w:val="auto"/>
                <w:szCs w:val="21"/>
                <w:vertAlign w:val="superscript"/>
                <w:lang w:val="en-US" w:eastAsia="zh-CN"/>
              </w:rPr>
              <w:t>3</w:t>
            </w:r>
            <w:r>
              <w:rPr>
                <w:rFonts w:hint="eastAsia" w:ascii="Times New Roman" w:hAnsi="Times New Roman" w:cs="Times New Roman"/>
                <w:color w:val="auto"/>
                <w:szCs w:val="21"/>
                <w:lang w:val="en-US" w:eastAsia="zh-CN"/>
              </w:rPr>
              <w:t>/d污水处理区出水，不计入用水量中）</w:t>
            </w:r>
          </w:p>
        </w:tc>
        <w:tc>
          <w:tcPr>
            <w:tcW w:w="157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7</w:t>
            </w:r>
          </w:p>
        </w:tc>
        <w:tc>
          <w:tcPr>
            <w:tcW w:w="1692" w:type="dxa"/>
            <w:vAlign w:val="center"/>
          </w:tcPr>
          <w:p>
            <w:pPr>
              <w:pStyle w:val="98"/>
              <w:jc w:val="center"/>
              <w:rPr>
                <w:rFonts w:hint="eastAsia" w:ascii="Times New Roman" w:hAnsi="Times New Roman" w:cs="Times New Roman"/>
                <w:color w:val="auto"/>
                <w:szCs w:val="21"/>
                <w:lang w:eastAsia="zh-CN"/>
              </w:rPr>
            </w:pPr>
            <w:r>
              <w:rPr>
                <w:rFonts w:hint="eastAsia" w:ascii="Times New Roman" w:hAnsi="Times New Roman" w:cs="Times New Roman"/>
                <w:color w:val="auto"/>
                <w:szCs w:val="21"/>
                <w:lang w:eastAsia="zh-CN"/>
              </w:rPr>
              <w:t>未预见用水</w:t>
            </w:r>
          </w:p>
        </w:tc>
        <w:tc>
          <w:tcPr>
            <w:tcW w:w="2900" w:type="dxa"/>
            <w:gridSpan w:val="2"/>
            <w:vAlign w:val="center"/>
          </w:tcPr>
          <w:p>
            <w:pPr>
              <w:pStyle w:val="98"/>
              <w:jc w:val="center"/>
              <w:rPr>
                <w:rFonts w:hint="eastAsia" w:ascii="Times New Roman" w:hAnsi="Times New Roman" w:cs="Times New Roman"/>
                <w:color w:val="auto"/>
                <w:szCs w:val="21"/>
                <w:lang w:eastAsia="zh-CN"/>
              </w:rPr>
            </w:pPr>
            <w:r>
              <w:rPr>
                <w:rFonts w:hint="eastAsia" w:ascii="Times New Roman" w:hAnsi="Times New Roman" w:cs="Times New Roman"/>
                <w:color w:val="auto"/>
                <w:szCs w:val="21"/>
                <w:lang w:eastAsia="zh-CN"/>
              </w:rPr>
              <w:t>以上水量的 10%</w:t>
            </w:r>
          </w:p>
        </w:tc>
        <w:tc>
          <w:tcPr>
            <w:tcW w:w="1064"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c>
          <w:tcPr>
            <w:tcW w:w="1544"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18.97</w:t>
            </w:r>
          </w:p>
        </w:tc>
        <w:tc>
          <w:tcPr>
            <w:tcW w:w="157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37" w:type="dxa"/>
            <w:gridSpan w:val="4"/>
            <w:vAlign w:val="center"/>
          </w:tcPr>
          <w:p>
            <w:pPr>
              <w:pStyle w:val="98"/>
              <w:jc w:val="center"/>
              <w:rPr>
                <w:rFonts w:hint="eastAsia" w:ascii="Times New Roman" w:hAnsi="Times New Roman" w:cs="Times New Roman"/>
                <w:color w:val="auto"/>
                <w:szCs w:val="21"/>
                <w:lang w:eastAsia="zh-CN"/>
              </w:rPr>
            </w:pPr>
            <w:r>
              <w:rPr>
                <w:rFonts w:hint="eastAsia" w:ascii="Times New Roman" w:hAnsi="Times New Roman" w:cs="Times New Roman"/>
                <w:color w:val="auto"/>
                <w:szCs w:val="21"/>
                <w:lang w:eastAsia="zh-CN"/>
              </w:rPr>
              <w:t>合计</w:t>
            </w:r>
          </w:p>
        </w:tc>
        <w:tc>
          <w:tcPr>
            <w:tcW w:w="1064"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c>
          <w:tcPr>
            <w:tcW w:w="1544"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208.68</w:t>
            </w:r>
          </w:p>
        </w:tc>
        <w:tc>
          <w:tcPr>
            <w:tcW w:w="157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69.73</w:t>
            </w:r>
          </w:p>
        </w:tc>
      </w:tr>
    </w:tbl>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hint="eastAsia" w:ascii="Times New Roman" w:hAnsi="Times New Roman" w:eastAsia="宋体"/>
          <w:b/>
          <w:color w:val="auto"/>
          <w:szCs w:val="21"/>
        </w:rPr>
      </w:pPr>
      <w:r>
        <w:rPr>
          <w:rFonts w:ascii="Times New Roman" w:hAnsi="Times New Roman" w:eastAsia="宋体"/>
          <w:b/>
          <w:color w:val="auto"/>
          <w:szCs w:val="21"/>
        </w:rPr>
        <w:t>表</w:t>
      </w:r>
      <w:r>
        <w:rPr>
          <w:rFonts w:hint="eastAsia" w:ascii="Times New Roman" w:hAnsi="Times New Roman" w:eastAsia="宋体"/>
          <w:b/>
          <w:color w:val="auto"/>
          <w:szCs w:val="21"/>
          <w:lang w:val="en-US" w:eastAsia="zh-CN"/>
        </w:rPr>
        <w:t>3.3</w:t>
      </w:r>
      <w:r>
        <w:rPr>
          <w:rFonts w:hint="eastAsia" w:ascii="Times New Roman" w:hAnsi="Times New Roman" w:eastAsia="宋体"/>
          <w:b/>
          <w:color w:val="auto"/>
          <w:szCs w:val="21"/>
        </w:rPr>
        <w:t>-</w:t>
      </w:r>
      <w:r>
        <w:rPr>
          <w:rFonts w:hint="eastAsia" w:ascii="Times New Roman" w:hAnsi="Times New Roman" w:eastAsia="宋体"/>
          <w:b/>
          <w:color w:val="auto"/>
          <w:szCs w:val="21"/>
          <w:lang w:val="en-US" w:eastAsia="zh-CN"/>
        </w:rPr>
        <w:t xml:space="preserve">2 </w:t>
      </w:r>
      <w:r>
        <w:rPr>
          <w:rFonts w:ascii="Times New Roman" w:hAnsi="Times New Roman" w:eastAsia="宋体"/>
          <w:b/>
          <w:color w:val="auto"/>
          <w:szCs w:val="21"/>
        </w:rPr>
        <w:t xml:space="preserve"> </w:t>
      </w:r>
      <w:r>
        <w:rPr>
          <w:rFonts w:hint="eastAsia" w:ascii="Times New Roman" w:hAnsi="Times New Roman" w:eastAsia="宋体"/>
          <w:b/>
          <w:color w:val="auto"/>
          <w:szCs w:val="21"/>
        </w:rPr>
        <w:t>项目</w:t>
      </w:r>
      <w:r>
        <w:rPr>
          <w:rFonts w:hint="eastAsia" w:ascii="Times New Roman" w:hAnsi="Times New Roman" w:eastAsia="宋体"/>
          <w:b/>
          <w:color w:val="auto"/>
          <w:szCs w:val="21"/>
          <w:lang w:eastAsia="zh-CN"/>
        </w:rPr>
        <w:t>其他季节</w:t>
      </w:r>
      <w:r>
        <w:rPr>
          <w:rFonts w:hint="eastAsia" w:ascii="Times New Roman" w:hAnsi="Times New Roman" w:eastAsia="宋体"/>
          <w:b/>
          <w:color w:val="auto"/>
          <w:szCs w:val="21"/>
        </w:rPr>
        <w:t>用水量预测及分配情况</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5"/>
        <w:gridCol w:w="1691"/>
        <w:gridCol w:w="1564"/>
        <w:gridCol w:w="1335"/>
        <w:gridCol w:w="1065"/>
        <w:gridCol w:w="1545"/>
        <w:gridCol w:w="1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pPr>
              <w:pStyle w:val="98"/>
              <w:jc w:val="center"/>
              <w:rPr>
                <w:rFonts w:hint="eastAsia" w:ascii="Times New Roman" w:hAnsi="Times New Roman" w:cs="Times New Roman"/>
                <w:b/>
                <w:bCs/>
                <w:color w:val="auto"/>
                <w:szCs w:val="21"/>
                <w:lang w:eastAsia="zh-CN"/>
              </w:rPr>
            </w:pPr>
            <w:r>
              <w:rPr>
                <w:rFonts w:hint="eastAsia" w:ascii="Times New Roman" w:hAnsi="Times New Roman" w:cs="Times New Roman"/>
                <w:b/>
                <w:bCs/>
                <w:color w:val="auto"/>
                <w:szCs w:val="21"/>
                <w:lang w:eastAsia="zh-CN"/>
              </w:rPr>
              <w:t>序号</w:t>
            </w:r>
          </w:p>
        </w:tc>
        <w:tc>
          <w:tcPr>
            <w:tcW w:w="1691" w:type="dxa"/>
            <w:vAlign w:val="center"/>
          </w:tcPr>
          <w:p>
            <w:pPr>
              <w:pStyle w:val="98"/>
              <w:jc w:val="center"/>
              <w:rPr>
                <w:rFonts w:hint="eastAsia" w:ascii="Times New Roman" w:hAnsi="Times New Roman" w:cs="Times New Roman"/>
                <w:b/>
                <w:bCs/>
                <w:color w:val="auto"/>
                <w:szCs w:val="21"/>
                <w:lang w:eastAsia="zh-CN"/>
              </w:rPr>
            </w:pPr>
            <w:r>
              <w:rPr>
                <w:rFonts w:hint="eastAsia" w:ascii="Times New Roman" w:hAnsi="Times New Roman" w:cs="Times New Roman"/>
                <w:b/>
                <w:bCs/>
                <w:color w:val="auto"/>
                <w:szCs w:val="21"/>
                <w:lang w:eastAsia="zh-CN"/>
              </w:rPr>
              <w:t>项目</w:t>
            </w:r>
          </w:p>
        </w:tc>
        <w:tc>
          <w:tcPr>
            <w:tcW w:w="1564" w:type="dxa"/>
            <w:vAlign w:val="center"/>
          </w:tcPr>
          <w:p>
            <w:pPr>
              <w:pStyle w:val="98"/>
              <w:jc w:val="center"/>
              <w:rPr>
                <w:rFonts w:hint="eastAsia" w:ascii="Times New Roman" w:hAnsi="Times New Roman" w:cs="Times New Roman"/>
                <w:b/>
                <w:bCs/>
                <w:color w:val="auto"/>
                <w:szCs w:val="21"/>
                <w:lang w:eastAsia="zh-CN"/>
              </w:rPr>
            </w:pPr>
            <w:r>
              <w:rPr>
                <w:rFonts w:hint="eastAsia" w:ascii="Times New Roman" w:hAnsi="Times New Roman" w:cs="Times New Roman"/>
                <w:b/>
                <w:bCs/>
                <w:color w:val="auto"/>
                <w:szCs w:val="21"/>
                <w:lang w:eastAsia="zh-CN"/>
              </w:rPr>
              <w:t>用水标准</w:t>
            </w:r>
          </w:p>
        </w:tc>
        <w:tc>
          <w:tcPr>
            <w:tcW w:w="1335" w:type="dxa"/>
            <w:vAlign w:val="center"/>
          </w:tcPr>
          <w:p>
            <w:pPr>
              <w:pStyle w:val="98"/>
              <w:jc w:val="center"/>
              <w:rPr>
                <w:rFonts w:hint="eastAsia" w:ascii="Times New Roman" w:hAnsi="Times New Roman" w:cs="Times New Roman"/>
                <w:b/>
                <w:bCs/>
                <w:color w:val="auto"/>
                <w:szCs w:val="21"/>
                <w:lang w:eastAsia="zh-CN"/>
              </w:rPr>
            </w:pPr>
            <w:r>
              <w:rPr>
                <w:rFonts w:hint="eastAsia" w:ascii="Times New Roman" w:hAnsi="Times New Roman" w:cs="Times New Roman"/>
                <w:b/>
                <w:bCs/>
                <w:color w:val="auto"/>
                <w:szCs w:val="21"/>
                <w:lang w:eastAsia="zh-CN"/>
              </w:rPr>
              <w:t>用水规模</w:t>
            </w:r>
          </w:p>
        </w:tc>
        <w:tc>
          <w:tcPr>
            <w:tcW w:w="1065" w:type="dxa"/>
            <w:vAlign w:val="center"/>
          </w:tcPr>
          <w:p>
            <w:pPr>
              <w:pStyle w:val="98"/>
              <w:jc w:val="center"/>
              <w:rPr>
                <w:rFonts w:hint="eastAsia" w:ascii="Times New Roman" w:hAnsi="Times New Roman" w:cs="Times New Roman"/>
                <w:b/>
                <w:bCs/>
                <w:color w:val="auto"/>
                <w:szCs w:val="21"/>
                <w:lang w:eastAsia="zh-CN"/>
              </w:rPr>
            </w:pPr>
            <w:r>
              <w:rPr>
                <w:rFonts w:hint="eastAsia" w:ascii="Times New Roman" w:hAnsi="Times New Roman" w:cs="Times New Roman"/>
                <w:b/>
                <w:bCs/>
                <w:color w:val="auto"/>
                <w:szCs w:val="21"/>
                <w:lang w:eastAsia="zh-CN"/>
              </w:rPr>
              <w:t>排污系数</w:t>
            </w:r>
          </w:p>
        </w:tc>
        <w:tc>
          <w:tcPr>
            <w:tcW w:w="1545" w:type="dxa"/>
            <w:vAlign w:val="center"/>
          </w:tcPr>
          <w:p>
            <w:pPr>
              <w:pStyle w:val="98"/>
              <w:jc w:val="center"/>
              <w:rPr>
                <w:rFonts w:hint="eastAsia" w:ascii="Times New Roman" w:hAnsi="Times New Roman" w:cs="Times New Roman"/>
                <w:b/>
                <w:bCs/>
                <w:color w:val="auto"/>
                <w:szCs w:val="21"/>
                <w:lang w:eastAsia="zh-CN"/>
              </w:rPr>
            </w:pPr>
            <w:r>
              <w:rPr>
                <w:rFonts w:hint="eastAsia" w:ascii="Times New Roman" w:hAnsi="Times New Roman" w:cs="Times New Roman"/>
                <w:b/>
                <w:bCs/>
                <w:color w:val="auto"/>
                <w:szCs w:val="21"/>
                <w:lang w:eastAsia="zh-CN"/>
              </w:rPr>
              <w:t>用水量（</w:t>
            </w:r>
            <w:r>
              <w:rPr>
                <w:rFonts w:hint="eastAsia" w:ascii="Times New Roman" w:hAnsi="Times New Roman" w:cs="Times New Roman"/>
                <w:b/>
                <w:bCs/>
                <w:color w:val="auto"/>
                <w:szCs w:val="21"/>
                <w:lang w:val="en-US" w:eastAsia="zh-CN"/>
              </w:rPr>
              <w:t>m</w:t>
            </w:r>
            <w:r>
              <w:rPr>
                <w:rFonts w:hint="eastAsia" w:ascii="Times New Roman" w:hAnsi="Times New Roman" w:cs="Times New Roman"/>
                <w:b/>
                <w:bCs/>
                <w:color w:val="auto"/>
                <w:szCs w:val="21"/>
                <w:vertAlign w:val="superscript"/>
                <w:lang w:val="en-US" w:eastAsia="zh-CN"/>
              </w:rPr>
              <w:t>3</w:t>
            </w:r>
            <w:r>
              <w:rPr>
                <w:rFonts w:hint="eastAsia" w:ascii="Times New Roman" w:hAnsi="Times New Roman" w:cs="Times New Roman"/>
                <w:b/>
                <w:bCs/>
                <w:color w:val="auto"/>
                <w:szCs w:val="21"/>
                <w:lang w:val="en-US" w:eastAsia="zh-CN"/>
              </w:rPr>
              <w:t>/d</w:t>
            </w:r>
            <w:r>
              <w:rPr>
                <w:rFonts w:hint="eastAsia" w:ascii="Times New Roman" w:hAnsi="Times New Roman" w:cs="Times New Roman"/>
                <w:b/>
                <w:bCs/>
                <w:color w:val="auto"/>
                <w:szCs w:val="21"/>
                <w:lang w:eastAsia="zh-CN"/>
              </w:rPr>
              <w:t>）</w:t>
            </w:r>
          </w:p>
        </w:tc>
        <w:tc>
          <w:tcPr>
            <w:tcW w:w="1575" w:type="dxa"/>
            <w:vAlign w:val="center"/>
          </w:tcPr>
          <w:p>
            <w:pPr>
              <w:pStyle w:val="98"/>
              <w:jc w:val="center"/>
              <w:rPr>
                <w:rFonts w:hint="eastAsia" w:ascii="Times New Roman" w:hAnsi="Times New Roman" w:cs="Times New Roman"/>
                <w:b/>
                <w:bCs/>
                <w:color w:val="auto"/>
                <w:szCs w:val="21"/>
                <w:lang w:eastAsia="zh-CN"/>
              </w:rPr>
            </w:pPr>
            <w:r>
              <w:rPr>
                <w:rFonts w:hint="eastAsia" w:ascii="Times New Roman" w:hAnsi="Times New Roman" w:cs="Times New Roman"/>
                <w:b/>
                <w:bCs/>
                <w:color w:val="auto"/>
                <w:szCs w:val="21"/>
                <w:lang w:eastAsia="zh-CN"/>
              </w:rPr>
              <w:t>排水量（</w:t>
            </w:r>
            <w:r>
              <w:rPr>
                <w:rFonts w:hint="eastAsia" w:ascii="Times New Roman" w:hAnsi="Times New Roman" w:cs="Times New Roman"/>
                <w:b/>
                <w:bCs/>
                <w:color w:val="auto"/>
                <w:szCs w:val="21"/>
                <w:lang w:val="en-US" w:eastAsia="zh-CN"/>
              </w:rPr>
              <w:t>m</w:t>
            </w:r>
            <w:r>
              <w:rPr>
                <w:rFonts w:hint="eastAsia" w:ascii="Times New Roman" w:hAnsi="Times New Roman" w:cs="Times New Roman"/>
                <w:b/>
                <w:bCs/>
                <w:color w:val="auto"/>
                <w:szCs w:val="21"/>
                <w:vertAlign w:val="superscript"/>
                <w:lang w:val="en-US" w:eastAsia="zh-CN"/>
              </w:rPr>
              <w:t>3</w:t>
            </w:r>
            <w:r>
              <w:rPr>
                <w:rFonts w:hint="eastAsia" w:ascii="Times New Roman" w:hAnsi="Times New Roman" w:cs="Times New Roman"/>
                <w:b/>
                <w:bCs/>
                <w:color w:val="auto"/>
                <w:szCs w:val="21"/>
                <w:lang w:val="en-US" w:eastAsia="zh-CN"/>
              </w:rPr>
              <w:t>/d</w:t>
            </w:r>
            <w:r>
              <w:rPr>
                <w:rFonts w:hint="eastAsia" w:ascii="Times New Roman" w:hAnsi="Times New Roman" w:cs="Times New Roman"/>
                <w:b/>
                <w:bCs/>
                <w:color w:val="auto"/>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w:t>
            </w:r>
          </w:p>
        </w:tc>
        <w:tc>
          <w:tcPr>
            <w:tcW w:w="1691" w:type="dxa"/>
            <w:vAlign w:val="center"/>
          </w:tcPr>
          <w:p>
            <w:pPr>
              <w:pStyle w:val="98"/>
              <w:jc w:val="center"/>
              <w:rPr>
                <w:rFonts w:hint="eastAsia" w:ascii="Times New Roman" w:hAnsi="Times New Roman" w:cs="Times New Roman"/>
                <w:color w:val="auto"/>
                <w:szCs w:val="21"/>
                <w:lang w:eastAsia="zh-CN"/>
              </w:rPr>
            </w:pPr>
            <w:r>
              <w:rPr>
                <w:rFonts w:hint="eastAsia" w:ascii="Times New Roman" w:hAnsi="Times New Roman" w:cs="Times New Roman"/>
                <w:color w:val="auto"/>
                <w:szCs w:val="21"/>
                <w:lang w:eastAsia="zh-CN"/>
              </w:rPr>
              <w:t>猪饮用水</w:t>
            </w:r>
          </w:p>
        </w:tc>
        <w:tc>
          <w:tcPr>
            <w:tcW w:w="1564" w:type="dxa"/>
            <w:vAlign w:val="center"/>
          </w:tcPr>
          <w:p>
            <w:pPr>
              <w:pStyle w:val="98"/>
              <w:jc w:val="center"/>
              <w:rPr>
                <w:rFonts w:hint="eastAsia" w:ascii="Times New Roman" w:hAnsi="Times New Roman" w:cs="Times New Roman"/>
                <w:color w:val="auto"/>
                <w:szCs w:val="21"/>
                <w:lang w:eastAsia="zh-CN"/>
              </w:rPr>
            </w:pPr>
            <w:r>
              <w:rPr>
                <w:rFonts w:hint="eastAsia" w:ascii="Times New Roman" w:hAnsi="Times New Roman" w:cs="Times New Roman"/>
                <w:color w:val="auto"/>
                <w:szCs w:val="21"/>
                <w:lang w:eastAsia="zh-CN"/>
              </w:rPr>
              <w:t>猪饮用水10L/头·d</w:t>
            </w:r>
          </w:p>
        </w:tc>
        <w:tc>
          <w:tcPr>
            <w:tcW w:w="133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15000头</w:t>
            </w:r>
          </w:p>
        </w:tc>
        <w:tc>
          <w:tcPr>
            <w:tcW w:w="106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c>
          <w:tcPr>
            <w:tcW w:w="154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150</w:t>
            </w:r>
          </w:p>
        </w:tc>
        <w:tc>
          <w:tcPr>
            <w:tcW w:w="157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52.50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w:t>
            </w:r>
          </w:p>
        </w:tc>
        <w:tc>
          <w:tcPr>
            <w:tcW w:w="1691" w:type="dxa"/>
            <w:vAlign w:val="center"/>
          </w:tcPr>
          <w:p>
            <w:pPr>
              <w:pStyle w:val="98"/>
              <w:jc w:val="center"/>
              <w:rPr>
                <w:rFonts w:hint="eastAsia" w:ascii="Times New Roman" w:hAnsi="Times New Roman" w:cs="Times New Roman"/>
                <w:color w:val="auto"/>
                <w:szCs w:val="21"/>
                <w:lang w:eastAsia="zh-CN"/>
              </w:rPr>
            </w:pPr>
            <w:r>
              <w:rPr>
                <w:rFonts w:hint="eastAsia" w:ascii="Times New Roman" w:hAnsi="Times New Roman" w:cs="Times New Roman"/>
                <w:color w:val="auto"/>
                <w:szCs w:val="21"/>
                <w:lang w:eastAsia="zh-CN"/>
              </w:rPr>
              <w:t>猪舍冲洗用水</w:t>
            </w:r>
          </w:p>
        </w:tc>
        <w:tc>
          <w:tcPr>
            <w:tcW w:w="1564" w:type="dxa"/>
            <w:vAlign w:val="center"/>
          </w:tcPr>
          <w:p>
            <w:pPr>
              <w:pStyle w:val="98"/>
              <w:jc w:val="center"/>
              <w:rPr>
                <w:rFonts w:hint="eastAsia" w:ascii="Times New Roman" w:hAnsi="Times New Roman" w:cs="Times New Roman"/>
                <w:color w:val="auto"/>
                <w:szCs w:val="21"/>
                <w:lang w:eastAsia="zh-CN"/>
              </w:rPr>
            </w:pPr>
            <w:r>
              <w:rPr>
                <w:rFonts w:hint="eastAsia" w:ascii="Times New Roman" w:hAnsi="Times New Roman" w:cs="Times New Roman"/>
                <w:color w:val="auto"/>
                <w:szCs w:val="21"/>
                <w:lang w:eastAsia="zh-CN"/>
              </w:rPr>
              <w:t>6L/m</w:t>
            </w:r>
            <w:r>
              <w:rPr>
                <w:rFonts w:hint="eastAsia" w:ascii="Times New Roman" w:hAnsi="Times New Roman" w:cs="Times New Roman"/>
                <w:color w:val="auto"/>
                <w:szCs w:val="21"/>
                <w:vertAlign w:val="superscript"/>
                <w:lang w:eastAsia="zh-CN"/>
              </w:rPr>
              <w:t>2</w:t>
            </w:r>
            <w:r>
              <w:rPr>
                <w:rFonts w:hint="eastAsia" w:ascii="Times New Roman" w:hAnsi="Times New Roman" w:cs="Times New Roman"/>
                <w:color w:val="auto"/>
                <w:szCs w:val="21"/>
                <w:lang w:eastAsia="zh-CN"/>
              </w:rPr>
              <w:t>·次</w:t>
            </w:r>
          </w:p>
        </w:tc>
        <w:tc>
          <w:tcPr>
            <w:tcW w:w="1335" w:type="dxa"/>
            <w:vAlign w:val="center"/>
          </w:tcPr>
          <w:p>
            <w:pPr>
              <w:pStyle w:val="98"/>
              <w:jc w:val="center"/>
              <w:rPr>
                <w:rFonts w:hint="eastAsia" w:ascii="Times New Roman" w:hAnsi="Times New Roman" w:cs="Times New Roman"/>
                <w:color w:val="auto"/>
                <w:szCs w:val="21"/>
                <w:vertAlign w:val="baseline"/>
                <w:lang w:eastAsia="zh-CN"/>
              </w:rPr>
            </w:pPr>
            <w:r>
              <w:rPr>
                <w:rFonts w:hint="eastAsia" w:ascii="Times New Roman" w:hAnsi="Times New Roman" w:cs="Times New Roman"/>
                <w:color w:val="auto"/>
                <w:szCs w:val="21"/>
                <w:lang w:val="en-US" w:eastAsia="zh-CN"/>
              </w:rPr>
              <w:t>12480</w:t>
            </w:r>
            <w:r>
              <w:rPr>
                <w:rFonts w:hint="eastAsia" w:ascii="Times New Roman" w:hAnsi="Times New Roman" w:cs="Times New Roman"/>
                <w:color w:val="auto"/>
                <w:szCs w:val="21"/>
                <w:lang w:eastAsia="zh-CN"/>
              </w:rPr>
              <w:t>m</w:t>
            </w:r>
            <w:r>
              <w:rPr>
                <w:rFonts w:hint="eastAsia" w:ascii="Times New Roman" w:hAnsi="Times New Roman" w:cs="Times New Roman"/>
                <w:color w:val="auto"/>
                <w:szCs w:val="21"/>
                <w:vertAlign w:val="superscript"/>
                <w:lang w:eastAsia="zh-CN"/>
              </w:rPr>
              <w:t>2</w:t>
            </w:r>
            <w:r>
              <w:rPr>
                <w:rFonts w:hint="eastAsia" w:ascii="Times New Roman" w:hAnsi="Times New Roman" w:cs="Times New Roman"/>
                <w:color w:val="auto"/>
                <w:szCs w:val="21"/>
                <w:vertAlign w:val="baseline"/>
                <w:lang w:eastAsia="zh-CN"/>
              </w:rPr>
              <w:t>（一年</w:t>
            </w:r>
            <w:r>
              <w:rPr>
                <w:rFonts w:hint="eastAsia" w:ascii="Times New Roman" w:hAnsi="Times New Roman" w:cs="Times New Roman"/>
                <w:color w:val="auto"/>
                <w:szCs w:val="21"/>
                <w:vertAlign w:val="baseline"/>
                <w:lang w:val="en-US" w:eastAsia="zh-CN"/>
              </w:rPr>
              <w:t>2次</w:t>
            </w:r>
            <w:r>
              <w:rPr>
                <w:rFonts w:hint="eastAsia" w:ascii="Times New Roman" w:hAnsi="Times New Roman" w:cs="Times New Roman"/>
                <w:color w:val="auto"/>
                <w:szCs w:val="21"/>
                <w:vertAlign w:val="baseline"/>
                <w:lang w:eastAsia="zh-CN"/>
              </w:rPr>
              <w:t>）</w:t>
            </w:r>
          </w:p>
        </w:tc>
        <w:tc>
          <w:tcPr>
            <w:tcW w:w="106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0.8</w:t>
            </w:r>
          </w:p>
        </w:tc>
        <w:tc>
          <w:tcPr>
            <w:tcW w:w="154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0.41</w:t>
            </w:r>
          </w:p>
        </w:tc>
        <w:tc>
          <w:tcPr>
            <w:tcW w:w="157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w:t>
            </w:r>
          </w:p>
        </w:tc>
        <w:tc>
          <w:tcPr>
            <w:tcW w:w="1691" w:type="dxa"/>
            <w:vAlign w:val="center"/>
          </w:tcPr>
          <w:p>
            <w:pPr>
              <w:pStyle w:val="98"/>
              <w:jc w:val="center"/>
              <w:rPr>
                <w:rFonts w:hint="eastAsia" w:ascii="Times New Roman" w:hAnsi="Times New Roman" w:cs="Times New Roman"/>
                <w:color w:val="auto"/>
                <w:szCs w:val="21"/>
                <w:lang w:eastAsia="zh-CN"/>
              </w:rPr>
            </w:pPr>
            <w:r>
              <w:rPr>
                <w:rFonts w:hint="eastAsia" w:ascii="Times New Roman" w:hAnsi="Times New Roman" w:cs="Times New Roman"/>
                <w:color w:val="auto"/>
                <w:szCs w:val="21"/>
                <w:lang w:eastAsia="zh-CN"/>
              </w:rPr>
              <w:t>消毒用水</w:t>
            </w:r>
          </w:p>
        </w:tc>
        <w:tc>
          <w:tcPr>
            <w:tcW w:w="1564" w:type="dxa"/>
            <w:vAlign w:val="center"/>
          </w:tcPr>
          <w:p>
            <w:pPr>
              <w:pStyle w:val="98"/>
              <w:jc w:val="center"/>
              <w:rPr>
                <w:rFonts w:hint="eastAsia" w:ascii="Times New Roman" w:hAnsi="Times New Roman" w:cs="Times New Roman"/>
                <w:color w:val="auto"/>
                <w:szCs w:val="21"/>
                <w:lang w:eastAsia="zh-CN"/>
              </w:rPr>
            </w:pPr>
            <w:r>
              <w:rPr>
                <w:rFonts w:hint="eastAsia" w:ascii="Times New Roman" w:hAnsi="Times New Roman" w:cs="Times New Roman"/>
                <w:color w:val="auto"/>
                <w:szCs w:val="21"/>
                <w:lang w:eastAsia="zh-CN"/>
              </w:rPr>
              <w:t>与消毒剂比 例为 1:200</w:t>
            </w:r>
          </w:p>
        </w:tc>
        <w:tc>
          <w:tcPr>
            <w:tcW w:w="1335" w:type="dxa"/>
            <w:vAlign w:val="center"/>
          </w:tcPr>
          <w:p>
            <w:pPr>
              <w:pStyle w:val="98"/>
              <w:jc w:val="center"/>
              <w:rPr>
                <w:rFonts w:hint="eastAsia" w:ascii="Times New Roman" w:hAnsi="Times New Roman" w:cs="Times New Roman"/>
                <w:color w:val="auto"/>
                <w:szCs w:val="21"/>
                <w:lang w:eastAsia="zh-CN"/>
              </w:rPr>
            </w:pPr>
            <w:r>
              <w:rPr>
                <w:rFonts w:hint="eastAsia" w:ascii="Times New Roman" w:hAnsi="Times New Roman" w:cs="Times New Roman"/>
                <w:color w:val="auto"/>
                <w:szCs w:val="21"/>
                <w:lang w:eastAsia="zh-CN"/>
              </w:rPr>
              <w:t>消毒剂消耗量</w:t>
            </w:r>
            <w:r>
              <w:rPr>
                <w:rFonts w:hint="eastAsia" w:ascii="Times New Roman" w:hAnsi="Times New Roman" w:cs="Times New Roman"/>
                <w:color w:val="auto"/>
                <w:szCs w:val="21"/>
                <w:lang w:val="en-US" w:eastAsia="zh-CN"/>
              </w:rPr>
              <w:t>1.5</w:t>
            </w:r>
            <w:r>
              <w:rPr>
                <w:rFonts w:hint="eastAsia" w:ascii="Times New Roman" w:hAnsi="Times New Roman" w:cs="Times New Roman"/>
                <w:color w:val="auto"/>
                <w:szCs w:val="21"/>
                <w:lang w:eastAsia="zh-CN"/>
              </w:rPr>
              <w:t>t/a</w:t>
            </w:r>
          </w:p>
        </w:tc>
        <w:tc>
          <w:tcPr>
            <w:tcW w:w="106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w:t>
            </w:r>
          </w:p>
        </w:tc>
        <w:tc>
          <w:tcPr>
            <w:tcW w:w="154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0.82</w:t>
            </w:r>
          </w:p>
        </w:tc>
        <w:tc>
          <w:tcPr>
            <w:tcW w:w="157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0（蒸发损耗）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4</w:t>
            </w:r>
          </w:p>
        </w:tc>
        <w:tc>
          <w:tcPr>
            <w:tcW w:w="1691" w:type="dxa"/>
            <w:vAlign w:val="center"/>
          </w:tcPr>
          <w:p>
            <w:pPr>
              <w:pStyle w:val="98"/>
              <w:jc w:val="center"/>
              <w:rPr>
                <w:rFonts w:hint="eastAsia" w:ascii="Times New Roman" w:hAnsi="Times New Roman" w:cs="Times New Roman"/>
                <w:color w:val="auto"/>
                <w:szCs w:val="21"/>
                <w:lang w:eastAsia="zh-CN"/>
              </w:rPr>
            </w:pPr>
            <w:r>
              <w:rPr>
                <w:rFonts w:hint="eastAsia" w:ascii="Times New Roman" w:hAnsi="Times New Roman" w:cs="Times New Roman"/>
                <w:color w:val="auto"/>
                <w:szCs w:val="21"/>
                <w:lang w:eastAsia="zh-CN"/>
              </w:rPr>
              <w:t>生活用水</w:t>
            </w:r>
          </w:p>
        </w:tc>
        <w:tc>
          <w:tcPr>
            <w:tcW w:w="1564" w:type="dxa"/>
            <w:vAlign w:val="center"/>
          </w:tcPr>
          <w:p>
            <w:pPr>
              <w:pStyle w:val="98"/>
              <w:jc w:val="center"/>
              <w:rPr>
                <w:rFonts w:hint="eastAsia" w:ascii="Times New Roman" w:hAnsi="Times New Roman" w:cs="Times New Roman"/>
                <w:color w:val="auto"/>
                <w:szCs w:val="21"/>
                <w:lang w:eastAsia="zh-CN"/>
              </w:rPr>
            </w:pPr>
            <w:r>
              <w:rPr>
                <w:rFonts w:hint="eastAsia" w:ascii="Times New Roman" w:hAnsi="Times New Roman" w:cs="Times New Roman"/>
                <w:color w:val="auto"/>
                <w:szCs w:val="21"/>
                <w:lang w:val="en-US" w:eastAsia="zh-CN"/>
              </w:rPr>
              <w:t>0.16</w:t>
            </w:r>
            <w:r>
              <w:rPr>
                <w:rFonts w:hint="eastAsia" w:ascii="Times New Roman" w:hAnsi="Times New Roman" w:cs="Times New Roman"/>
                <w:color w:val="auto"/>
                <w:szCs w:val="21"/>
                <w:lang w:eastAsia="zh-CN"/>
              </w:rPr>
              <w:t>m</w:t>
            </w:r>
            <w:r>
              <w:rPr>
                <w:rFonts w:hint="eastAsia" w:ascii="Times New Roman" w:hAnsi="Times New Roman" w:cs="Times New Roman"/>
                <w:color w:val="auto"/>
                <w:szCs w:val="21"/>
                <w:vertAlign w:val="superscript"/>
                <w:lang w:val="en-US" w:eastAsia="zh-CN"/>
              </w:rPr>
              <w:t>3</w:t>
            </w:r>
            <w:r>
              <w:rPr>
                <w:rFonts w:hint="eastAsia" w:ascii="Times New Roman" w:hAnsi="Times New Roman" w:cs="Times New Roman"/>
                <w:color w:val="auto"/>
                <w:szCs w:val="21"/>
                <w:lang w:eastAsia="zh-CN"/>
              </w:rPr>
              <w:t>/人·天</w:t>
            </w:r>
          </w:p>
        </w:tc>
        <w:tc>
          <w:tcPr>
            <w:tcW w:w="133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50人</w:t>
            </w:r>
          </w:p>
        </w:tc>
        <w:tc>
          <w:tcPr>
            <w:tcW w:w="106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0.8</w:t>
            </w:r>
          </w:p>
        </w:tc>
        <w:tc>
          <w:tcPr>
            <w:tcW w:w="154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8</w:t>
            </w:r>
          </w:p>
        </w:tc>
        <w:tc>
          <w:tcPr>
            <w:tcW w:w="157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6.40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5</w:t>
            </w:r>
          </w:p>
        </w:tc>
        <w:tc>
          <w:tcPr>
            <w:tcW w:w="1691" w:type="dxa"/>
            <w:vAlign w:val="center"/>
          </w:tcPr>
          <w:p>
            <w:pPr>
              <w:pStyle w:val="98"/>
              <w:jc w:val="center"/>
              <w:rPr>
                <w:rFonts w:hint="eastAsia" w:ascii="Times New Roman" w:hAnsi="Times New Roman" w:cs="Times New Roman"/>
                <w:color w:val="auto"/>
                <w:szCs w:val="21"/>
                <w:lang w:eastAsia="zh-CN"/>
              </w:rPr>
            </w:pPr>
            <w:r>
              <w:rPr>
                <w:rFonts w:hint="eastAsia" w:ascii="Times New Roman" w:hAnsi="Times New Roman" w:cs="Times New Roman"/>
                <w:color w:val="auto"/>
                <w:szCs w:val="21"/>
                <w:lang w:eastAsia="zh-CN"/>
              </w:rPr>
              <w:t>绿化用水</w:t>
            </w:r>
          </w:p>
        </w:tc>
        <w:tc>
          <w:tcPr>
            <w:tcW w:w="1564" w:type="dxa"/>
            <w:vAlign w:val="center"/>
          </w:tcPr>
          <w:p>
            <w:pPr>
              <w:pStyle w:val="98"/>
              <w:jc w:val="center"/>
              <w:rPr>
                <w:rFonts w:hint="eastAsia" w:ascii="Times New Roman" w:hAnsi="Times New Roman" w:cs="Times New Roman"/>
                <w:color w:val="auto"/>
                <w:szCs w:val="21"/>
                <w:lang w:eastAsia="zh-CN"/>
              </w:rPr>
            </w:pPr>
            <w:r>
              <w:rPr>
                <w:rFonts w:hint="eastAsia" w:ascii="Times New Roman" w:hAnsi="Times New Roman" w:cs="Times New Roman"/>
                <w:color w:val="auto"/>
                <w:szCs w:val="21"/>
                <w:lang w:eastAsia="zh-CN"/>
              </w:rPr>
              <w:t>1.5L/m</w:t>
            </w:r>
            <w:r>
              <w:rPr>
                <w:rFonts w:hint="eastAsia" w:ascii="Times New Roman" w:hAnsi="Times New Roman" w:cs="Times New Roman"/>
                <w:color w:val="auto"/>
                <w:szCs w:val="21"/>
                <w:vertAlign w:val="superscript"/>
                <w:lang w:eastAsia="zh-CN"/>
              </w:rPr>
              <w:t>2</w:t>
            </w:r>
            <w:r>
              <w:rPr>
                <w:rFonts w:hint="eastAsia" w:ascii="Times New Roman" w:hAnsi="Times New Roman" w:cs="Times New Roman"/>
                <w:color w:val="auto"/>
                <w:szCs w:val="21"/>
                <w:lang w:eastAsia="zh-CN"/>
              </w:rPr>
              <w:t xml:space="preserve">·d </w:t>
            </w:r>
          </w:p>
        </w:tc>
        <w:tc>
          <w:tcPr>
            <w:tcW w:w="133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15000</w:t>
            </w:r>
            <w:r>
              <w:rPr>
                <w:rFonts w:hint="eastAsia" w:ascii="Times New Roman" w:hAnsi="Times New Roman" w:cs="Times New Roman"/>
                <w:color w:val="auto"/>
                <w:szCs w:val="21"/>
                <w:lang w:eastAsia="zh-CN"/>
              </w:rPr>
              <w:t>m</w:t>
            </w:r>
            <w:r>
              <w:rPr>
                <w:rFonts w:hint="eastAsia" w:ascii="Times New Roman" w:hAnsi="Times New Roman" w:cs="Times New Roman"/>
                <w:color w:val="auto"/>
                <w:szCs w:val="21"/>
                <w:vertAlign w:val="superscript"/>
                <w:lang w:eastAsia="zh-CN"/>
              </w:rPr>
              <w:t>2</w:t>
            </w:r>
          </w:p>
        </w:tc>
        <w:tc>
          <w:tcPr>
            <w:tcW w:w="106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c>
          <w:tcPr>
            <w:tcW w:w="154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0（22.50m</w:t>
            </w:r>
            <w:r>
              <w:rPr>
                <w:rFonts w:hint="eastAsia" w:ascii="Times New Roman" w:hAnsi="Times New Roman" w:cs="Times New Roman"/>
                <w:color w:val="auto"/>
                <w:szCs w:val="21"/>
                <w:vertAlign w:val="superscript"/>
                <w:lang w:val="en-US" w:eastAsia="zh-CN"/>
              </w:rPr>
              <w:t>3</w:t>
            </w:r>
            <w:r>
              <w:rPr>
                <w:rFonts w:hint="eastAsia" w:ascii="Times New Roman" w:hAnsi="Times New Roman" w:cs="Times New Roman"/>
                <w:color w:val="auto"/>
                <w:szCs w:val="21"/>
                <w:lang w:val="en-US" w:eastAsia="zh-CN"/>
              </w:rPr>
              <w:t>污水处理区出水，不计入用水量中）</w:t>
            </w:r>
          </w:p>
        </w:tc>
        <w:tc>
          <w:tcPr>
            <w:tcW w:w="157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6</w:t>
            </w:r>
          </w:p>
        </w:tc>
        <w:tc>
          <w:tcPr>
            <w:tcW w:w="1691" w:type="dxa"/>
            <w:vAlign w:val="center"/>
          </w:tcPr>
          <w:p>
            <w:pPr>
              <w:pStyle w:val="98"/>
              <w:jc w:val="center"/>
              <w:rPr>
                <w:rFonts w:hint="eastAsia" w:ascii="Times New Roman" w:hAnsi="Times New Roman" w:cs="Times New Roman"/>
                <w:color w:val="auto"/>
                <w:szCs w:val="21"/>
                <w:lang w:eastAsia="zh-CN"/>
              </w:rPr>
            </w:pPr>
            <w:r>
              <w:rPr>
                <w:rFonts w:hint="eastAsia" w:ascii="Times New Roman" w:hAnsi="Times New Roman" w:cs="Times New Roman"/>
                <w:color w:val="auto"/>
                <w:szCs w:val="21"/>
                <w:lang w:eastAsia="zh-CN"/>
              </w:rPr>
              <w:t>未预见用水</w:t>
            </w:r>
          </w:p>
        </w:tc>
        <w:tc>
          <w:tcPr>
            <w:tcW w:w="2899" w:type="dxa"/>
            <w:gridSpan w:val="2"/>
            <w:vAlign w:val="center"/>
          </w:tcPr>
          <w:p>
            <w:pPr>
              <w:pStyle w:val="98"/>
              <w:jc w:val="center"/>
              <w:rPr>
                <w:rFonts w:hint="eastAsia" w:ascii="Times New Roman" w:hAnsi="Times New Roman" w:cs="Times New Roman"/>
                <w:color w:val="auto"/>
                <w:szCs w:val="21"/>
                <w:lang w:eastAsia="zh-CN"/>
              </w:rPr>
            </w:pPr>
            <w:r>
              <w:rPr>
                <w:rFonts w:hint="eastAsia" w:ascii="Times New Roman" w:hAnsi="Times New Roman" w:cs="Times New Roman"/>
                <w:color w:val="auto"/>
                <w:szCs w:val="21"/>
                <w:lang w:eastAsia="zh-CN"/>
              </w:rPr>
              <w:t>以上水量的 10%</w:t>
            </w:r>
          </w:p>
        </w:tc>
        <w:tc>
          <w:tcPr>
            <w:tcW w:w="106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c>
          <w:tcPr>
            <w:tcW w:w="154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15.92</w:t>
            </w:r>
          </w:p>
        </w:tc>
        <w:tc>
          <w:tcPr>
            <w:tcW w:w="157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35" w:type="dxa"/>
            <w:gridSpan w:val="4"/>
            <w:vAlign w:val="center"/>
          </w:tcPr>
          <w:p>
            <w:pPr>
              <w:pStyle w:val="98"/>
              <w:jc w:val="center"/>
              <w:rPr>
                <w:rFonts w:hint="eastAsia" w:ascii="Times New Roman" w:hAnsi="Times New Roman" w:cs="Times New Roman"/>
                <w:color w:val="auto"/>
                <w:szCs w:val="21"/>
                <w:lang w:eastAsia="zh-CN"/>
              </w:rPr>
            </w:pPr>
            <w:r>
              <w:rPr>
                <w:rFonts w:hint="eastAsia" w:ascii="Times New Roman" w:hAnsi="Times New Roman" w:cs="Times New Roman"/>
                <w:color w:val="auto"/>
                <w:szCs w:val="21"/>
                <w:lang w:eastAsia="zh-CN"/>
              </w:rPr>
              <w:t>合计</w:t>
            </w:r>
          </w:p>
        </w:tc>
        <w:tc>
          <w:tcPr>
            <w:tcW w:w="106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c>
          <w:tcPr>
            <w:tcW w:w="154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175.15</w:t>
            </w:r>
          </w:p>
        </w:tc>
        <w:tc>
          <w:tcPr>
            <w:tcW w:w="157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59.23</w:t>
            </w:r>
          </w:p>
        </w:tc>
      </w:tr>
    </w:tbl>
    <w:p>
      <w:pPr>
        <w:adjustRightInd w:val="0"/>
        <w:snapToGrid w:val="0"/>
        <w:spacing w:line="360" w:lineRule="auto"/>
        <w:ind w:firstLine="480" w:firstLineChars="200"/>
        <w:rPr>
          <w:rFonts w:hint="eastAsia" w:ascii="Times New Roman" w:hAnsi="Times New Roman" w:eastAsia="宋体" w:cs="宋体"/>
          <w:bCs/>
          <w:color w:val="auto"/>
          <w:sz w:val="24"/>
          <w:szCs w:val="24"/>
          <w:lang w:eastAsia="zh-CN"/>
        </w:rPr>
      </w:pPr>
      <w:r>
        <w:rPr>
          <w:rFonts w:hint="eastAsia" w:ascii="Times New Roman" w:hAnsi="Times New Roman" w:eastAsia="宋体" w:cs="宋体"/>
          <w:bCs/>
          <w:color w:val="auto"/>
          <w:sz w:val="24"/>
          <w:szCs w:val="24"/>
          <w:lang w:eastAsia="zh-CN"/>
        </w:rPr>
        <w:t>本项目水平衡图见下图：</w:t>
      </w:r>
    </w:p>
    <w:p>
      <w:pPr>
        <w:spacing w:line="360" w:lineRule="auto"/>
        <w:jc w:val="center"/>
        <w:rPr>
          <w:rFonts w:hint="eastAsia" w:ascii="Times New Roman" w:hAnsi="Times New Roman" w:eastAsia="宋体" w:cstheme="minorBidi"/>
          <w:b w:val="0"/>
          <w:snapToGrid w:val="0"/>
          <w:color w:val="auto"/>
          <w:kern w:val="2"/>
          <w:sz w:val="24"/>
          <w:szCs w:val="22"/>
          <w:lang w:val="en-US" w:eastAsia="zh-CN" w:bidi="ar-SA"/>
        </w:rPr>
      </w:pPr>
      <w:r>
        <w:rPr>
          <w:rFonts w:hint="default" w:ascii="Times New Roman" w:hAnsi="Times New Roman" w:cs="Times New Roman"/>
          <w:color w:val="auto"/>
          <w:sz w:val="21"/>
        </w:rPr>
        <mc:AlternateContent>
          <mc:Choice Requires="wpc">
            <w:drawing>
              <wp:inline distT="0" distB="0" distL="114300" distR="114300">
                <wp:extent cx="5667375" cy="3591560"/>
                <wp:effectExtent l="4445" t="5080" r="5080" b="22860"/>
                <wp:docPr id="108" name="画布 108"/>
                <wp:cNvGraphicFramePr/>
                <a:graphic xmlns:a="http://schemas.openxmlformats.org/drawingml/2006/main">
                  <a:graphicData uri="http://schemas.microsoft.com/office/word/2010/wordprocessingCanvas">
                    <wpc:wpc>
                      <wpc:bg>
                        <a:noFill/>
                      </wpc:bg>
                      <wpc:whole>
                        <a:ln w="9525" cap="flat" cmpd="sng">
                          <a:solidFill>
                            <a:srgbClr val="000000"/>
                          </a:solidFill>
                          <a:prstDash val="solid"/>
                          <a:miter/>
                          <a:headEnd type="none" w="med" len="med"/>
                          <a:tailEnd type="none" w="med" len="med"/>
                        </a:ln>
                      </wpc:whole>
                      <wps:wsp>
                        <wps:cNvPr id="75" name="文本框 8"/>
                        <wps:cNvSpPr txBox="1"/>
                        <wps:spPr>
                          <a:xfrm>
                            <a:off x="0" y="1670050"/>
                            <a:ext cx="537845" cy="354330"/>
                          </a:xfrm>
                          <a:prstGeom prst="rect">
                            <a:avLst/>
                          </a:prstGeom>
                          <a:noFill/>
                          <a:ln>
                            <a:noFill/>
                          </a:ln>
                        </wps:spPr>
                        <wps:txbx>
                          <w:txbxContent>
                            <w:p>
                              <w:pPr>
                                <w:spacing w:line="240" w:lineRule="auto"/>
                                <w:ind w:firstLine="0" w:firstLineChars="0"/>
                                <w:rPr>
                                  <w:rFonts w:hint="eastAsia" w:eastAsiaTheme="minorEastAsia"/>
                                  <w:sz w:val="18"/>
                                  <w:szCs w:val="18"/>
                                  <w:lang w:eastAsia="zh-CN"/>
                                </w:rPr>
                              </w:pPr>
                              <w:r>
                                <w:rPr>
                                  <w:rFonts w:hint="eastAsia"/>
                                  <w:sz w:val="18"/>
                                  <w:szCs w:val="18"/>
                                  <w:lang w:eastAsia="zh-CN"/>
                                </w:rPr>
                                <w:t>新鲜水</w:t>
                              </w:r>
                            </w:p>
                          </w:txbxContent>
                        </wps:txbx>
                        <wps:bodyPr upright="1"/>
                      </wps:wsp>
                      <wps:wsp>
                        <wps:cNvPr id="76" name="直接连接符 13"/>
                        <wps:cNvCnPr/>
                        <wps:spPr>
                          <a:xfrm>
                            <a:off x="450215" y="1835150"/>
                            <a:ext cx="517525" cy="0"/>
                          </a:xfrm>
                          <a:prstGeom prst="line">
                            <a:avLst/>
                          </a:prstGeom>
                          <a:ln w="9525" cap="flat" cmpd="sng">
                            <a:solidFill>
                              <a:srgbClr val="000000"/>
                            </a:solidFill>
                            <a:prstDash val="solid"/>
                            <a:headEnd type="none" w="med" len="med"/>
                            <a:tailEnd type="arrow" w="med" len="med"/>
                          </a:ln>
                        </wps:spPr>
                        <wps:bodyPr upright="1"/>
                      </wps:wsp>
                      <wps:wsp>
                        <wps:cNvPr id="77" name="直接连接符 16"/>
                        <wps:cNvCnPr/>
                        <wps:spPr>
                          <a:xfrm>
                            <a:off x="967105" y="565150"/>
                            <a:ext cx="0" cy="2760345"/>
                          </a:xfrm>
                          <a:prstGeom prst="line">
                            <a:avLst/>
                          </a:prstGeom>
                          <a:ln w="9525" cap="flat" cmpd="sng">
                            <a:solidFill>
                              <a:srgbClr val="000000"/>
                            </a:solidFill>
                            <a:prstDash val="solid"/>
                            <a:headEnd type="none" w="med" len="med"/>
                            <a:tailEnd type="none" w="med" len="med"/>
                          </a:ln>
                        </wps:spPr>
                        <wps:bodyPr upright="1"/>
                      </wps:wsp>
                      <wps:wsp>
                        <wps:cNvPr id="78" name="直接连接符 19"/>
                        <wps:cNvCnPr/>
                        <wps:spPr>
                          <a:xfrm flipV="1">
                            <a:off x="969645" y="572770"/>
                            <a:ext cx="533400" cy="0"/>
                          </a:xfrm>
                          <a:prstGeom prst="line">
                            <a:avLst/>
                          </a:prstGeom>
                          <a:ln w="9525" cap="flat" cmpd="sng">
                            <a:solidFill>
                              <a:srgbClr val="000000"/>
                            </a:solidFill>
                            <a:prstDash val="solid"/>
                            <a:headEnd type="none" w="med" len="med"/>
                            <a:tailEnd type="arrow" w="med" len="med"/>
                          </a:ln>
                        </wps:spPr>
                        <wps:bodyPr upright="1"/>
                      </wps:wsp>
                      <wps:wsp>
                        <wps:cNvPr id="80" name="直接连接符 34"/>
                        <wps:cNvCnPr/>
                        <wps:spPr>
                          <a:xfrm>
                            <a:off x="984885" y="1597660"/>
                            <a:ext cx="471805" cy="635"/>
                          </a:xfrm>
                          <a:prstGeom prst="line">
                            <a:avLst/>
                          </a:prstGeom>
                          <a:ln w="9525" cap="flat" cmpd="sng">
                            <a:solidFill>
                              <a:srgbClr val="000000"/>
                            </a:solidFill>
                            <a:prstDash val="solid"/>
                            <a:headEnd type="none" w="med" len="med"/>
                            <a:tailEnd type="arrow" w="med" len="med"/>
                          </a:ln>
                        </wps:spPr>
                        <wps:bodyPr upright="1"/>
                      </wps:wsp>
                      <wps:wsp>
                        <wps:cNvPr id="81" name="直接连接符 35"/>
                        <wps:cNvCnPr/>
                        <wps:spPr>
                          <a:xfrm>
                            <a:off x="2203450" y="562610"/>
                            <a:ext cx="930275" cy="7620"/>
                          </a:xfrm>
                          <a:prstGeom prst="line">
                            <a:avLst/>
                          </a:prstGeom>
                          <a:ln w="9525" cap="flat" cmpd="sng">
                            <a:solidFill>
                              <a:srgbClr val="000000"/>
                            </a:solidFill>
                            <a:prstDash val="solid"/>
                            <a:headEnd type="none" w="med" len="med"/>
                            <a:tailEnd type="arrow" w="med" len="med"/>
                          </a:ln>
                        </wps:spPr>
                        <wps:bodyPr upright="1"/>
                      </wps:wsp>
                      <wps:wsp>
                        <wps:cNvPr id="85" name="直接连接符 36"/>
                        <wps:cNvCnPr/>
                        <wps:spPr>
                          <a:xfrm flipV="1">
                            <a:off x="979170" y="1080135"/>
                            <a:ext cx="508635" cy="0"/>
                          </a:xfrm>
                          <a:prstGeom prst="line">
                            <a:avLst/>
                          </a:prstGeom>
                          <a:ln w="9525" cap="flat" cmpd="sng">
                            <a:solidFill>
                              <a:srgbClr val="000000"/>
                            </a:solidFill>
                            <a:prstDash val="solid"/>
                            <a:headEnd type="none" w="med" len="med"/>
                            <a:tailEnd type="arrow" w="med" len="med"/>
                          </a:ln>
                        </wps:spPr>
                        <wps:bodyPr upright="1"/>
                      </wps:wsp>
                      <wps:wsp>
                        <wps:cNvPr id="99" name="文本框 37"/>
                        <wps:cNvSpPr txBox="1"/>
                        <wps:spPr>
                          <a:xfrm>
                            <a:off x="1483360" y="923290"/>
                            <a:ext cx="786765" cy="2857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0" w:firstLineChars="0"/>
                                <w:rPr>
                                  <w:rFonts w:hint="eastAsia" w:eastAsia="宋体"/>
                                  <w:sz w:val="18"/>
                                  <w:szCs w:val="18"/>
                                  <w:lang w:eastAsia="zh-CN"/>
                                </w:rPr>
                              </w:pPr>
                              <w:r>
                                <w:rPr>
                                  <w:rFonts w:hint="eastAsia"/>
                                  <w:sz w:val="18"/>
                                  <w:szCs w:val="18"/>
                                </w:rPr>
                                <w:t>猪舍</w:t>
                              </w:r>
                              <w:r>
                                <w:rPr>
                                  <w:rFonts w:hint="eastAsia"/>
                                  <w:sz w:val="18"/>
                                  <w:szCs w:val="18"/>
                                  <w:lang w:eastAsia="zh-CN"/>
                                </w:rPr>
                                <w:t>冲洗水</w:t>
                              </w:r>
                            </w:p>
                          </w:txbxContent>
                        </wps:txbx>
                        <wps:bodyPr upright="1"/>
                      </wps:wsp>
                      <wps:wsp>
                        <wps:cNvPr id="102" name="文本框 39"/>
                        <wps:cNvSpPr txBox="1"/>
                        <wps:spPr>
                          <a:xfrm>
                            <a:off x="1475105" y="1419860"/>
                            <a:ext cx="766445"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0" w:firstLineChars="0"/>
                                <w:jc w:val="center"/>
                                <w:rPr>
                                  <w:rFonts w:hint="eastAsia" w:eastAsiaTheme="minorEastAsia"/>
                                  <w:sz w:val="18"/>
                                  <w:szCs w:val="18"/>
                                  <w:lang w:eastAsia="zh-CN"/>
                                </w:rPr>
                              </w:pPr>
                              <w:r>
                                <w:rPr>
                                  <w:rFonts w:hint="eastAsia"/>
                                  <w:sz w:val="18"/>
                                  <w:szCs w:val="18"/>
                                  <w:lang w:eastAsia="zh-CN"/>
                                </w:rPr>
                                <w:t>猪饮用水</w:t>
                              </w:r>
                            </w:p>
                          </w:txbxContent>
                        </wps:txbx>
                        <wps:bodyPr upright="1"/>
                      </wps:wsp>
                      <wps:wsp>
                        <wps:cNvPr id="104" name="文本框 40"/>
                        <wps:cNvSpPr txBox="1"/>
                        <wps:spPr>
                          <a:xfrm>
                            <a:off x="1510030" y="443865"/>
                            <a:ext cx="67691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0" w:firstLineChars="0"/>
                                <w:rPr>
                                  <w:sz w:val="18"/>
                                  <w:szCs w:val="18"/>
                                </w:rPr>
                              </w:pPr>
                              <w:r>
                                <w:rPr>
                                  <w:rFonts w:hint="eastAsia"/>
                                  <w:sz w:val="18"/>
                                  <w:szCs w:val="18"/>
                                </w:rPr>
                                <w:t>生活用水</w:t>
                              </w:r>
                            </w:p>
                          </w:txbxContent>
                        </wps:txbx>
                        <wps:bodyPr upright="1"/>
                      </wps:wsp>
                      <wps:wsp>
                        <wps:cNvPr id="106" name="文本框 41"/>
                        <wps:cNvSpPr txBox="1"/>
                        <wps:spPr>
                          <a:xfrm>
                            <a:off x="1492250" y="2585085"/>
                            <a:ext cx="89281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0" w:firstLineChars="0"/>
                                <w:rPr>
                                  <w:rFonts w:hint="eastAsia" w:eastAsia="宋体"/>
                                  <w:sz w:val="18"/>
                                  <w:szCs w:val="18"/>
                                  <w:lang w:eastAsia="zh-CN"/>
                                </w:rPr>
                              </w:pPr>
                              <w:r>
                                <w:rPr>
                                  <w:rFonts w:hint="eastAsia" w:eastAsia="宋体"/>
                                  <w:sz w:val="18"/>
                                  <w:szCs w:val="18"/>
                                  <w:lang w:eastAsia="zh-CN"/>
                                </w:rPr>
                                <w:t>水帘降温补水</w:t>
                              </w:r>
                            </w:p>
                          </w:txbxContent>
                        </wps:txbx>
                        <wps:bodyPr upright="1"/>
                      </wps:wsp>
                      <wps:wsp>
                        <wps:cNvPr id="109" name="文本框 43"/>
                        <wps:cNvSpPr txBox="1"/>
                        <wps:spPr>
                          <a:xfrm>
                            <a:off x="1504315" y="2060575"/>
                            <a:ext cx="70485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0" w:firstLineChars="0"/>
                                <w:jc w:val="center"/>
                                <w:rPr>
                                  <w:sz w:val="18"/>
                                  <w:szCs w:val="18"/>
                                </w:rPr>
                              </w:pPr>
                              <w:r>
                                <w:rPr>
                                  <w:rFonts w:hint="eastAsia"/>
                                  <w:sz w:val="18"/>
                                  <w:szCs w:val="18"/>
                                </w:rPr>
                                <w:t>消毒用水</w:t>
                              </w:r>
                            </w:p>
                          </w:txbxContent>
                        </wps:txbx>
                        <wps:bodyPr upright="1"/>
                      </wps:wsp>
                      <wps:wsp>
                        <wps:cNvPr id="115" name="文本框 45"/>
                        <wps:cNvSpPr txBox="1"/>
                        <wps:spPr>
                          <a:xfrm>
                            <a:off x="1484630" y="3139440"/>
                            <a:ext cx="819785"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0" w:firstLineChars="0"/>
                                <w:rPr>
                                  <w:rFonts w:hint="eastAsia" w:eastAsia="宋体"/>
                                  <w:sz w:val="18"/>
                                  <w:szCs w:val="18"/>
                                  <w:lang w:eastAsia="zh-CN"/>
                                </w:rPr>
                              </w:pPr>
                              <w:r>
                                <w:rPr>
                                  <w:rFonts w:hint="eastAsia"/>
                                  <w:sz w:val="18"/>
                                  <w:szCs w:val="18"/>
                                  <w:lang w:eastAsia="zh-CN"/>
                                </w:rPr>
                                <w:t>未</w:t>
                              </w:r>
                              <w:r>
                                <w:rPr>
                                  <w:rFonts w:hint="eastAsia"/>
                                  <w:sz w:val="18"/>
                                  <w:szCs w:val="18"/>
                                </w:rPr>
                                <w:t>预见</w:t>
                              </w:r>
                              <w:r>
                                <w:rPr>
                                  <w:rFonts w:hint="eastAsia"/>
                                  <w:sz w:val="18"/>
                                  <w:szCs w:val="18"/>
                                  <w:lang w:eastAsia="zh-CN"/>
                                </w:rPr>
                                <w:t>用水</w:t>
                              </w:r>
                            </w:p>
                          </w:txbxContent>
                        </wps:txbx>
                        <wps:bodyPr upright="1"/>
                      </wps:wsp>
                      <wps:wsp>
                        <wps:cNvPr id="116" name="直接连接符 48"/>
                        <wps:cNvCnPr/>
                        <wps:spPr>
                          <a:xfrm flipV="1">
                            <a:off x="2401570" y="2735580"/>
                            <a:ext cx="533400" cy="0"/>
                          </a:xfrm>
                          <a:prstGeom prst="line">
                            <a:avLst/>
                          </a:prstGeom>
                          <a:ln w="9525" cap="flat" cmpd="sng">
                            <a:solidFill>
                              <a:srgbClr val="000000"/>
                            </a:solidFill>
                            <a:prstDash val="dash"/>
                            <a:headEnd type="none" w="med" len="med"/>
                            <a:tailEnd type="arrow" w="med" len="med"/>
                          </a:ln>
                        </wps:spPr>
                        <wps:bodyPr upright="1"/>
                      </wps:wsp>
                      <wps:wsp>
                        <wps:cNvPr id="117" name="直接连接符 49"/>
                        <wps:cNvCnPr/>
                        <wps:spPr>
                          <a:xfrm>
                            <a:off x="2223770" y="2225675"/>
                            <a:ext cx="448310" cy="0"/>
                          </a:xfrm>
                          <a:prstGeom prst="line">
                            <a:avLst/>
                          </a:prstGeom>
                          <a:ln w="9525" cap="flat" cmpd="sng">
                            <a:solidFill>
                              <a:srgbClr val="000000"/>
                            </a:solidFill>
                            <a:prstDash val="dash"/>
                            <a:headEnd type="none" w="med" len="med"/>
                            <a:tailEnd type="arrow" w="med" len="med"/>
                          </a:ln>
                        </wps:spPr>
                        <wps:bodyPr upright="1"/>
                      </wps:wsp>
                      <wps:wsp>
                        <wps:cNvPr id="118" name="文本框 51"/>
                        <wps:cNvSpPr txBox="1"/>
                        <wps:spPr>
                          <a:xfrm>
                            <a:off x="2653030" y="2076450"/>
                            <a:ext cx="845185" cy="280035"/>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sz w:val="18"/>
                                  <w:szCs w:val="18"/>
                                </w:rPr>
                                <w:t>损耗</w:t>
                              </w:r>
                              <w:r>
                                <w:rPr>
                                  <w:rFonts w:hint="eastAsia"/>
                                  <w:sz w:val="18"/>
                                  <w:szCs w:val="18"/>
                                  <w:lang w:val="en-US" w:eastAsia="zh-CN"/>
                                </w:rPr>
                                <w:t>0.82</w:t>
                              </w:r>
                            </w:p>
                          </w:txbxContent>
                        </wps:txbx>
                        <wps:bodyPr upright="1"/>
                      </wps:wsp>
                      <wps:wsp>
                        <wps:cNvPr id="119" name="文本框 52"/>
                        <wps:cNvSpPr txBox="1"/>
                        <wps:spPr>
                          <a:xfrm>
                            <a:off x="996315" y="2502535"/>
                            <a:ext cx="549275" cy="241300"/>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0.48</w:t>
                              </w:r>
                            </w:p>
                          </w:txbxContent>
                        </wps:txbx>
                        <wps:bodyPr upright="1"/>
                      </wps:wsp>
                      <wps:wsp>
                        <wps:cNvPr id="120" name="直接连接符 53"/>
                        <wps:cNvCnPr/>
                        <wps:spPr>
                          <a:xfrm flipV="1">
                            <a:off x="1726565" y="306070"/>
                            <a:ext cx="469900" cy="114300"/>
                          </a:xfrm>
                          <a:prstGeom prst="line">
                            <a:avLst/>
                          </a:prstGeom>
                          <a:ln w="9525" cap="flat" cmpd="sng">
                            <a:solidFill>
                              <a:srgbClr val="000000"/>
                            </a:solidFill>
                            <a:prstDash val="dash"/>
                            <a:headEnd type="none" w="med" len="med"/>
                            <a:tailEnd type="arrow" w="med" len="med"/>
                          </a:ln>
                        </wps:spPr>
                        <wps:bodyPr upright="1"/>
                      </wps:wsp>
                      <wps:wsp>
                        <wps:cNvPr id="121" name="文本框 54"/>
                        <wps:cNvSpPr txBox="1"/>
                        <wps:spPr>
                          <a:xfrm>
                            <a:off x="1012190" y="1379855"/>
                            <a:ext cx="541655" cy="241300"/>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180</w:t>
                              </w:r>
                            </w:p>
                          </w:txbxContent>
                        </wps:txbx>
                        <wps:bodyPr upright="1"/>
                      </wps:wsp>
                      <wps:wsp>
                        <wps:cNvPr id="122" name="文本框 55"/>
                        <wps:cNvSpPr txBox="1"/>
                        <wps:spPr>
                          <a:xfrm>
                            <a:off x="2593340" y="843280"/>
                            <a:ext cx="650875" cy="295275"/>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eastAsia="宋体"/>
                                  <w:sz w:val="18"/>
                                  <w:szCs w:val="18"/>
                                  <w:lang w:val="en-US" w:eastAsia="zh-CN"/>
                                </w:rPr>
                                <w:t>0.35</w:t>
                              </w:r>
                            </w:p>
                          </w:txbxContent>
                        </wps:txbx>
                        <wps:bodyPr upright="1"/>
                      </wps:wsp>
                      <wps:wsp>
                        <wps:cNvPr id="123" name="文本框 56"/>
                        <wps:cNvSpPr txBox="1"/>
                        <wps:spPr>
                          <a:xfrm>
                            <a:off x="1056005" y="2011045"/>
                            <a:ext cx="468630" cy="254000"/>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0.80</w:t>
                              </w:r>
                            </w:p>
                          </w:txbxContent>
                        </wps:txbx>
                        <wps:bodyPr upright="1"/>
                      </wps:wsp>
                      <wps:wsp>
                        <wps:cNvPr id="124" name="文本框 57"/>
                        <wps:cNvSpPr txBox="1"/>
                        <wps:spPr>
                          <a:xfrm>
                            <a:off x="2882900" y="2590800"/>
                            <a:ext cx="670560" cy="297815"/>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sz w:val="18"/>
                                  <w:szCs w:val="18"/>
                                </w:rPr>
                                <w:t>损耗</w:t>
                              </w:r>
                              <w:r>
                                <w:rPr>
                                  <w:rFonts w:hint="eastAsia"/>
                                  <w:sz w:val="18"/>
                                  <w:szCs w:val="18"/>
                                  <w:lang w:val="en-US" w:eastAsia="zh-CN"/>
                                </w:rPr>
                                <w:t>0.48</w:t>
                              </w:r>
                            </w:p>
                          </w:txbxContent>
                        </wps:txbx>
                        <wps:bodyPr upright="1"/>
                      </wps:wsp>
                      <wps:wsp>
                        <wps:cNvPr id="125" name="文本框 58"/>
                        <wps:cNvSpPr txBox="1"/>
                        <wps:spPr>
                          <a:xfrm>
                            <a:off x="2783205" y="3129280"/>
                            <a:ext cx="951865" cy="316865"/>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sz w:val="18"/>
                                  <w:szCs w:val="18"/>
                                </w:rPr>
                                <w:t>损耗</w:t>
                              </w:r>
                              <w:r>
                                <w:rPr>
                                  <w:rFonts w:hint="eastAsia"/>
                                  <w:sz w:val="18"/>
                                  <w:szCs w:val="18"/>
                                  <w:lang w:val="en-US" w:eastAsia="zh-CN"/>
                                </w:rPr>
                                <w:t>18.97</w:t>
                              </w:r>
                            </w:p>
                          </w:txbxContent>
                        </wps:txbx>
                        <wps:bodyPr upright="1"/>
                      </wps:wsp>
                      <wps:wsp>
                        <wps:cNvPr id="126" name="直接连接符 59"/>
                        <wps:cNvCnPr/>
                        <wps:spPr>
                          <a:xfrm>
                            <a:off x="2240915" y="1584325"/>
                            <a:ext cx="308610" cy="0"/>
                          </a:xfrm>
                          <a:prstGeom prst="line">
                            <a:avLst/>
                          </a:prstGeom>
                          <a:ln w="12700" cap="flat" cmpd="sng">
                            <a:solidFill>
                              <a:srgbClr val="000000"/>
                            </a:solidFill>
                            <a:prstDash val="solid"/>
                            <a:headEnd type="none" w="med" len="med"/>
                            <a:tailEnd type="none" w="med" len="med"/>
                          </a:ln>
                        </wps:spPr>
                        <wps:bodyPr upright="1"/>
                      </wps:wsp>
                      <wps:wsp>
                        <wps:cNvPr id="127" name="文本框 60"/>
                        <wps:cNvSpPr txBox="1"/>
                        <wps:spPr>
                          <a:xfrm>
                            <a:off x="984250" y="3075305"/>
                            <a:ext cx="647700" cy="241300"/>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18.97</w:t>
                              </w:r>
                            </w:p>
                          </w:txbxContent>
                        </wps:txbx>
                        <wps:bodyPr upright="1"/>
                      </wps:wsp>
                      <wps:wsp>
                        <wps:cNvPr id="128" name="文本框 61"/>
                        <wps:cNvSpPr txBox="1"/>
                        <wps:spPr>
                          <a:xfrm>
                            <a:off x="2521585" y="1182370"/>
                            <a:ext cx="647700" cy="241300"/>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63</w:t>
                              </w:r>
                            </w:p>
                          </w:txbxContent>
                        </wps:txbx>
                        <wps:bodyPr upright="1"/>
                      </wps:wsp>
                      <wps:wsp>
                        <wps:cNvPr id="129" name="文本框 63"/>
                        <wps:cNvSpPr txBox="1"/>
                        <wps:spPr>
                          <a:xfrm>
                            <a:off x="4817764" y="937210"/>
                            <a:ext cx="824811" cy="279403"/>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0" w:firstLineChars="0"/>
                                <w:rPr>
                                  <w:sz w:val="18"/>
                                  <w:szCs w:val="18"/>
                                </w:rPr>
                              </w:pPr>
                              <w:r>
                                <w:rPr>
                                  <w:rFonts w:hint="eastAsia"/>
                                  <w:sz w:val="18"/>
                                  <w:szCs w:val="18"/>
                                  <w:lang w:eastAsia="zh-CN"/>
                                </w:rPr>
                                <w:t>污水处理区</w:t>
                              </w:r>
                            </w:p>
                          </w:txbxContent>
                        </wps:txbx>
                        <wps:bodyPr upright="1"/>
                      </wps:wsp>
                      <wps:wsp>
                        <wps:cNvPr id="130" name="直接连接符 64"/>
                        <wps:cNvCnPr/>
                        <wps:spPr>
                          <a:xfrm flipH="1">
                            <a:off x="5237480" y="1223645"/>
                            <a:ext cx="6985" cy="378460"/>
                          </a:xfrm>
                          <a:prstGeom prst="line">
                            <a:avLst/>
                          </a:prstGeom>
                          <a:ln w="9525" cap="flat" cmpd="sng">
                            <a:solidFill>
                              <a:srgbClr val="000000"/>
                            </a:solidFill>
                            <a:prstDash val="solid"/>
                            <a:headEnd type="none" w="med" len="med"/>
                            <a:tailEnd type="arrow" w="med" len="med"/>
                          </a:ln>
                        </wps:spPr>
                        <wps:bodyPr upright="1"/>
                      </wps:wsp>
                      <wps:wsp>
                        <wps:cNvPr id="131" name="文本框 68"/>
                        <wps:cNvSpPr txBox="1"/>
                        <wps:spPr>
                          <a:xfrm>
                            <a:off x="2534920" y="1550035"/>
                            <a:ext cx="704850" cy="276225"/>
                          </a:xfrm>
                          <a:prstGeom prst="rect">
                            <a:avLst/>
                          </a:prstGeom>
                          <a:noFill/>
                          <a:ln>
                            <a:noFill/>
                          </a:ln>
                        </wps:spPr>
                        <wps:txbx>
                          <w:txbxContent>
                            <w:p>
                              <w:pPr>
                                <w:spacing w:line="240" w:lineRule="auto"/>
                                <w:ind w:firstLine="0" w:firstLineChars="0"/>
                                <w:rPr>
                                  <w:rFonts w:hint="default" w:eastAsia="宋体"/>
                                  <w:color w:val="auto"/>
                                  <w:sz w:val="18"/>
                                  <w:szCs w:val="18"/>
                                  <w:lang w:val="en-US" w:eastAsia="zh-CN"/>
                                </w:rPr>
                              </w:pPr>
                              <w:r>
                                <w:rPr>
                                  <w:rFonts w:hint="eastAsia" w:eastAsia="宋体"/>
                                  <w:color w:val="auto"/>
                                  <w:sz w:val="18"/>
                                  <w:szCs w:val="18"/>
                                  <w:lang w:val="en-US" w:eastAsia="zh-CN"/>
                                </w:rPr>
                                <w:t>117</w:t>
                              </w:r>
                            </w:p>
                          </w:txbxContent>
                        </wps:txbx>
                        <wps:bodyPr upright="1"/>
                      </wps:wsp>
                      <wps:wsp>
                        <wps:cNvPr id="132" name="文本框 70"/>
                        <wps:cNvSpPr txBox="1"/>
                        <wps:spPr>
                          <a:xfrm>
                            <a:off x="436245" y="1576705"/>
                            <a:ext cx="571500" cy="241300"/>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208.68</w:t>
                              </w:r>
                            </w:p>
                          </w:txbxContent>
                        </wps:txbx>
                        <wps:bodyPr upright="1"/>
                      </wps:wsp>
                      <wps:wsp>
                        <wps:cNvPr id="133" name="文本框 71"/>
                        <wps:cNvSpPr txBox="1"/>
                        <wps:spPr>
                          <a:xfrm>
                            <a:off x="2186305" y="133985"/>
                            <a:ext cx="469900" cy="241300"/>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1.60</w:t>
                              </w:r>
                            </w:p>
                          </w:txbxContent>
                        </wps:txbx>
                        <wps:bodyPr upright="1"/>
                      </wps:wsp>
                      <wps:wsp>
                        <wps:cNvPr id="134" name="文本框 73"/>
                        <wps:cNvSpPr txBox="1"/>
                        <wps:spPr>
                          <a:xfrm>
                            <a:off x="1081405" y="360045"/>
                            <a:ext cx="469900" cy="241300"/>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8</w:t>
                              </w:r>
                            </w:p>
                          </w:txbxContent>
                        </wps:txbx>
                        <wps:bodyPr upright="1"/>
                      </wps:wsp>
                      <wps:wsp>
                        <wps:cNvPr id="135" name="直接连接符 79"/>
                        <wps:cNvCnPr/>
                        <wps:spPr>
                          <a:xfrm>
                            <a:off x="2284730" y="1079500"/>
                            <a:ext cx="2508885" cy="0"/>
                          </a:xfrm>
                          <a:prstGeom prst="line">
                            <a:avLst/>
                          </a:prstGeom>
                          <a:ln w="9525" cap="flat" cmpd="sng">
                            <a:solidFill>
                              <a:srgbClr val="000000"/>
                            </a:solidFill>
                            <a:prstDash val="solid"/>
                            <a:headEnd type="none" w="med" len="med"/>
                            <a:tailEnd type="arrow" w="med" len="med"/>
                          </a:ln>
                        </wps:spPr>
                        <wps:bodyPr upright="1"/>
                      </wps:wsp>
                      <wps:wsp>
                        <wps:cNvPr id="136" name="文本框 82"/>
                        <wps:cNvSpPr txBox="1"/>
                        <wps:spPr>
                          <a:xfrm>
                            <a:off x="991870" y="853440"/>
                            <a:ext cx="469900" cy="241300"/>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0.41</w:t>
                              </w:r>
                            </w:p>
                          </w:txbxContent>
                        </wps:txbx>
                        <wps:bodyPr upright="1"/>
                      </wps:wsp>
                      <wps:wsp>
                        <wps:cNvPr id="137" name="直接连接符 83"/>
                        <wps:cNvCnPr/>
                        <wps:spPr>
                          <a:xfrm>
                            <a:off x="970915" y="2729230"/>
                            <a:ext cx="525145" cy="635"/>
                          </a:xfrm>
                          <a:prstGeom prst="line">
                            <a:avLst/>
                          </a:prstGeom>
                          <a:ln w="9525" cap="flat" cmpd="sng">
                            <a:solidFill>
                              <a:srgbClr val="000000"/>
                            </a:solidFill>
                            <a:prstDash val="solid"/>
                            <a:headEnd type="none" w="med" len="med"/>
                            <a:tailEnd type="arrow" w="med" len="med"/>
                          </a:ln>
                        </wps:spPr>
                        <wps:bodyPr upright="1"/>
                      </wps:wsp>
                      <wps:wsp>
                        <wps:cNvPr id="140" name="直接连接符 84"/>
                        <wps:cNvCnPr/>
                        <wps:spPr>
                          <a:xfrm>
                            <a:off x="979805" y="2209800"/>
                            <a:ext cx="524510" cy="635"/>
                          </a:xfrm>
                          <a:prstGeom prst="line">
                            <a:avLst/>
                          </a:prstGeom>
                          <a:ln w="9525" cap="flat" cmpd="sng">
                            <a:solidFill>
                              <a:srgbClr val="000000"/>
                            </a:solidFill>
                            <a:prstDash val="solid"/>
                            <a:headEnd type="none" w="med" len="med"/>
                            <a:tailEnd type="arrow" w="med" len="med"/>
                          </a:ln>
                        </wps:spPr>
                        <wps:bodyPr upright="1"/>
                      </wps:wsp>
                      <wps:wsp>
                        <wps:cNvPr id="141" name="直接连接符 86"/>
                        <wps:cNvCnPr/>
                        <wps:spPr>
                          <a:xfrm flipV="1">
                            <a:off x="1669415" y="795655"/>
                            <a:ext cx="469900" cy="114300"/>
                          </a:xfrm>
                          <a:prstGeom prst="line">
                            <a:avLst/>
                          </a:prstGeom>
                          <a:ln w="9525" cap="flat" cmpd="sng">
                            <a:solidFill>
                              <a:srgbClr val="000000"/>
                            </a:solidFill>
                            <a:prstDash val="dash"/>
                            <a:headEnd type="none" w="med" len="med"/>
                            <a:tailEnd type="arrow" w="med" len="med"/>
                          </a:ln>
                        </wps:spPr>
                        <wps:bodyPr upright="1"/>
                      </wps:wsp>
                      <wps:wsp>
                        <wps:cNvPr id="142" name="直接连接符 87"/>
                        <wps:cNvCnPr/>
                        <wps:spPr>
                          <a:xfrm flipV="1">
                            <a:off x="2555240" y="1391285"/>
                            <a:ext cx="466090" cy="0"/>
                          </a:xfrm>
                          <a:prstGeom prst="line">
                            <a:avLst/>
                          </a:prstGeom>
                          <a:ln w="9525" cap="flat" cmpd="sng">
                            <a:solidFill>
                              <a:srgbClr val="000000"/>
                            </a:solidFill>
                            <a:prstDash val="solid"/>
                            <a:headEnd type="none" w="med" len="med"/>
                            <a:tailEnd type="arrow" w="med" len="med"/>
                          </a:ln>
                        </wps:spPr>
                        <wps:bodyPr upright="1"/>
                      </wps:wsp>
                      <wps:wsp>
                        <wps:cNvPr id="143" name="直接连接符 88"/>
                        <wps:cNvCnPr/>
                        <wps:spPr>
                          <a:xfrm flipH="1">
                            <a:off x="2552700" y="1395730"/>
                            <a:ext cx="635" cy="394335"/>
                          </a:xfrm>
                          <a:prstGeom prst="line">
                            <a:avLst/>
                          </a:prstGeom>
                          <a:ln w="12700" cap="flat" cmpd="sng">
                            <a:solidFill>
                              <a:srgbClr val="000000"/>
                            </a:solidFill>
                            <a:prstDash val="solid"/>
                            <a:headEnd type="none" w="med" len="med"/>
                            <a:tailEnd type="none" w="med" len="med"/>
                          </a:ln>
                        </wps:spPr>
                        <wps:bodyPr upright="1"/>
                      </wps:wsp>
                      <wps:wsp>
                        <wps:cNvPr id="144" name="文本框 89"/>
                        <wps:cNvSpPr txBox="1"/>
                        <wps:spPr>
                          <a:xfrm>
                            <a:off x="3030855" y="1238885"/>
                            <a:ext cx="74422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0" w:firstLineChars="0"/>
                                <w:rPr>
                                  <w:rFonts w:hint="eastAsia" w:eastAsia="宋体"/>
                                  <w:sz w:val="18"/>
                                  <w:szCs w:val="18"/>
                                  <w:lang w:eastAsia="zh-CN"/>
                                </w:rPr>
                              </w:pPr>
                              <w:r>
                                <w:rPr>
                                  <w:rFonts w:hint="eastAsia"/>
                                  <w:sz w:val="18"/>
                                  <w:szCs w:val="18"/>
                                  <w:lang w:eastAsia="zh-CN"/>
                                </w:rPr>
                                <w:t>猪粪、猪尿</w:t>
                              </w:r>
                            </w:p>
                          </w:txbxContent>
                        </wps:txbx>
                        <wps:bodyPr upright="1"/>
                      </wps:wsp>
                      <wps:wsp>
                        <wps:cNvPr id="145" name="文本框 90"/>
                        <wps:cNvSpPr txBox="1"/>
                        <wps:spPr>
                          <a:xfrm>
                            <a:off x="3016885" y="1646555"/>
                            <a:ext cx="6731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0" w:firstLineChars="0"/>
                                <w:rPr>
                                  <w:rFonts w:hint="eastAsia" w:eastAsia="宋体"/>
                                  <w:sz w:val="18"/>
                                  <w:szCs w:val="18"/>
                                  <w:lang w:eastAsia="zh-CN"/>
                                </w:rPr>
                              </w:pPr>
                              <w:r>
                                <w:rPr>
                                  <w:rFonts w:hint="eastAsia"/>
                                  <w:sz w:val="18"/>
                                  <w:szCs w:val="18"/>
                                  <w:lang w:eastAsia="zh-CN"/>
                                </w:rPr>
                                <w:t>生产消耗</w:t>
                              </w:r>
                            </w:p>
                          </w:txbxContent>
                        </wps:txbx>
                        <wps:bodyPr upright="1"/>
                      </wps:wsp>
                      <wps:wsp>
                        <wps:cNvPr id="146" name="直接连接符 91"/>
                        <wps:cNvCnPr/>
                        <wps:spPr>
                          <a:xfrm flipV="1">
                            <a:off x="2552700" y="1791970"/>
                            <a:ext cx="454660" cy="635"/>
                          </a:xfrm>
                          <a:prstGeom prst="line">
                            <a:avLst/>
                          </a:prstGeom>
                          <a:ln w="9525" cap="flat" cmpd="sng">
                            <a:solidFill>
                              <a:srgbClr val="000000"/>
                            </a:solidFill>
                            <a:prstDash val="solid"/>
                            <a:headEnd type="none" w="med" len="med"/>
                            <a:tailEnd type="arrow" w="med" len="med"/>
                          </a:ln>
                        </wps:spPr>
                        <wps:bodyPr upright="1"/>
                      </wps:wsp>
                      <wps:wsp>
                        <wps:cNvPr id="147" name="直接连接符 93"/>
                        <wps:cNvCnPr/>
                        <wps:spPr>
                          <a:xfrm>
                            <a:off x="986155" y="3304540"/>
                            <a:ext cx="488315" cy="0"/>
                          </a:xfrm>
                          <a:prstGeom prst="line">
                            <a:avLst/>
                          </a:prstGeom>
                          <a:ln w="9525" cap="flat" cmpd="sng">
                            <a:solidFill>
                              <a:srgbClr val="000000"/>
                            </a:solidFill>
                            <a:prstDash val="solid"/>
                            <a:headEnd type="none" w="med" len="med"/>
                            <a:tailEnd type="arrow" w="med" len="med"/>
                          </a:ln>
                        </wps:spPr>
                        <wps:bodyPr upright="1"/>
                      </wps:wsp>
                      <wps:wsp>
                        <wps:cNvPr id="148" name="直接连接符 95"/>
                        <wps:cNvCnPr/>
                        <wps:spPr>
                          <a:xfrm>
                            <a:off x="2313305" y="3305175"/>
                            <a:ext cx="444500" cy="0"/>
                          </a:xfrm>
                          <a:prstGeom prst="line">
                            <a:avLst/>
                          </a:prstGeom>
                          <a:ln w="9525" cap="flat" cmpd="sng">
                            <a:solidFill>
                              <a:srgbClr val="000000"/>
                            </a:solidFill>
                            <a:prstDash val="dash"/>
                            <a:headEnd type="none" w="med" len="med"/>
                            <a:tailEnd type="arrow" w="med" len="med"/>
                          </a:ln>
                        </wps:spPr>
                        <wps:bodyPr upright="1"/>
                      </wps:wsp>
                      <wps:wsp>
                        <wps:cNvPr id="149" name="直接连接符 96"/>
                        <wps:cNvCnPr/>
                        <wps:spPr>
                          <a:xfrm>
                            <a:off x="4198620" y="551180"/>
                            <a:ext cx="0" cy="834390"/>
                          </a:xfrm>
                          <a:prstGeom prst="line">
                            <a:avLst/>
                          </a:prstGeom>
                          <a:ln w="9525" cap="flat" cmpd="sng">
                            <a:solidFill>
                              <a:srgbClr val="000000"/>
                            </a:solidFill>
                            <a:prstDash val="solid"/>
                            <a:headEnd type="none" w="med" len="med"/>
                            <a:tailEnd type="none" w="med" len="med"/>
                          </a:ln>
                        </wps:spPr>
                        <wps:bodyPr upright="1"/>
                      </wps:wsp>
                      <wps:wsp>
                        <wps:cNvPr id="150" name="直接连接符 97"/>
                        <wps:cNvCnPr/>
                        <wps:spPr>
                          <a:xfrm flipH="1" flipV="1">
                            <a:off x="5253355" y="632460"/>
                            <a:ext cx="0" cy="299720"/>
                          </a:xfrm>
                          <a:prstGeom prst="line">
                            <a:avLst/>
                          </a:prstGeom>
                          <a:ln w="9525" cap="flat" cmpd="sng">
                            <a:solidFill>
                              <a:srgbClr val="000000"/>
                            </a:solidFill>
                            <a:prstDash val="solid"/>
                            <a:headEnd type="none" w="med" len="med"/>
                            <a:tailEnd type="arrow" w="med" len="med"/>
                          </a:ln>
                        </wps:spPr>
                        <wps:bodyPr upright="1"/>
                      </wps:wsp>
                      <wps:wsp>
                        <wps:cNvPr id="151" name="直接连接符 98"/>
                        <wps:cNvCnPr/>
                        <wps:spPr>
                          <a:xfrm flipV="1">
                            <a:off x="3783330" y="1390650"/>
                            <a:ext cx="430530" cy="6350"/>
                          </a:xfrm>
                          <a:prstGeom prst="line">
                            <a:avLst/>
                          </a:prstGeom>
                          <a:ln w="9525" cap="flat" cmpd="sng">
                            <a:solidFill>
                              <a:srgbClr val="000000"/>
                            </a:solidFill>
                            <a:prstDash val="solid"/>
                            <a:headEnd type="none" w="med" len="med"/>
                            <a:tailEnd type="arrow" w="med" len="med"/>
                          </a:ln>
                        </wps:spPr>
                        <wps:bodyPr upright="1"/>
                      </wps:wsp>
                      <wps:wsp>
                        <wps:cNvPr id="152" name="文本框 101"/>
                        <wps:cNvSpPr txBox="1"/>
                        <wps:spPr>
                          <a:xfrm>
                            <a:off x="2597150" y="327025"/>
                            <a:ext cx="647700" cy="241300"/>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eastAsia="宋体"/>
                                  <w:sz w:val="18"/>
                                  <w:szCs w:val="18"/>
                                  <w:lang w:val="en-US" w:eastAsia="zh-CN"/>
                                </w:rPr>
                                <w:t>6.40</w:t>
                              </w:r>
                            </w:p>
                          </w:txbxContent>
                        </wps:txbx>
                        <wps:bodyPr upright="1"/>
                      </wps:wsp>
                      <wps:wsp>
                        <wps:cNvPr id="153" name="文本框 105"/>
                        <wps:cNvSpPr txBox="1"/>
                        <wps:spPr>
                          <a:xfrm>
                            <a:off x="2085340" y="646430"/>
                            <a:ext cx="695960" cy="241300"/>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0.06</w:t>
                              </w:r>
                            </w:p>
                          </w:txbxContent>
                        </wps:txbx>
                        <wps:bodyPr upright="1"/>
                      </wps:wsp>
                      <wps:wsp>
                        <wps:cNvPr id="154" name="文本框 107"/>
                        <wps:cNvSpPr txBox="1"/>
                        <wps:spPr>
                          <a:xfrm>
                            <a:off x="4895215" y="1593850"/>
                            <a:ext cx="707390" cy="2730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农田灌溉</w:t>
                              </w:r>
                            </w:p>
                          </w:txbxContent>
                        </wps:txbx>
                        <wps:bodyPr upright="1"/>
                      </wps:wsp>
                      <wps:wsp>
                        <wps:cNvPr id="155" name="文本框 110"/>
                        <wps:cNvSpPr txBox="1"/>
                        <wps:spPr>
                          <a:xfrm>
                            <a:off x="3813810" y="1168400"/>
                            <a:ext cx="340360" cy="241300"/>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63</w:t>
                              </w:r>
                            </w:p>
                          </w:txbxContent>
                        </wps:txbx>
                        <wps:bodyPr upright="1"/>
                      </wps:wsp>
                      <wps:wsp>
                        <wps:cNvPr id="156" name="文本框 111"/>
                        <wps:cNvSpPr txBox="1"/>
                        <wps:spPr>
                          <a:xfrm>
                            <a:off x="4802505" y="318770"/>
                            <a:ext cx="819785"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0" w:firstLineChars="0"/>
                                <w:jc w:val="center"/>
                                <w:rPr>
                                  <w:rFonts w:hint="eastAsia" w:eastAsia="宋体"/>
                                  <w:sz w:val="18"/>
                                  <w:szCs w:val="18"/>
                                  <w:lang w:eastAsia="zh-CN"/>
                                </w:rPr>
                              </w:pPr>
                              <w:r>
                                <w:rPr>
                                  <w:rFonts w:hint="eastAsia"/>
                                  <w:sz w:val="18"/>
                                  <w:szCs w:val="18"/>
                                  <w:lang w:eastAsia="zh-CN"/>
                                </w:rPr>
                                <w:t>绿化用水</w:t>
                              </w:r>
                            </w:p>
                          </w:txbxContent>
                        </wps:txbx>
                        <wps:bodyPr upright="1"/>
                      </wps:wsp>
                      <wps:wsp>
                        <wps:cNvPr id="157" name="文本框 112"/>
                        <wps:cNvSpPr txBox="1"/>
                        <wps:spPr>
                          <a:xfrm>
                            <a:off x="4202430" y="810260"/>
                            <a:ext cx="530225" cy="316865"/>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eastAsia="宋体"/>
                                  <w:sz w:val="18"/>
                                  <w:szCs w:val="18"/>
                                  <w:lang w:val="en-US" w:eastAsia="zh-CN"/>
                                </w:rPr>
                                <w:t>69.73</w:t>
                              </w:r>
                            </w:p>
                          </w:txbxContent>
                        </wps:txbx>
                        <wps:bodyPr upright="1"/>
                      </wps:wsp>
                      <wps:wsp>
                        <wps:cNvPr id="158" name="文本框 113"/>
                        <wps:cNvSpPr txBox="1"/>
                        <wps:spPr>
                          <a:xfrm>
                            <a:off x="4903470" y="641350"/>
                            <a:ext cx="398145" cy="316865"/>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eastAsia="宋体"/>
                                  <w:sz w:val="18"/>
                                  <w:szCs w:val="18"/>
                                  <w:lang w:val="en-US" w:eastAsia="zh-CN"/>
                                </w:rPr>
                                <w:t>22.50</w:t>
                              </w:r>
                            </w:p>
                          </w:txbxContent>
                        </wps:txbx>
                        <wps:bodyPr upright="1"/>
                      </wps:wsp>
                      <wps:wsp>
                        <wps:cNvPr id="159" name="文本框 114"/>
                        <wps:cNvSpPr txBox="1"/>
                        <wps:spPr>
                          <a:xfrm>
                            <a:off x="4777740" y="1256665"/>
                            <a:ext cx="524510" cy="316865"/>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eastAsia="宋体"/>
                                  <w:sz w:val="18"/>
                                  <w:szCs w:val="18"/>
                                  <w:lang w:val="en-US" w:eastAsia="zh-CN"/>
                                </w:rPr>
                                <w:t>47.23</w:t>
                              </w:r>
                            </w:p>
                          </w:txbxContent>
                        </wps:txbx>
                        <wps:bodyPr upright="1"/>
                      </wps:wsp>
                      <wps:wsp>
                        <wps:cNvPr id="160" name="文本框 171"/>
                        <wps:cNvSpPr txBox="1"/>
                        <wps:spPr>
                          <a:xfrm>
                            <a:off x="3139440" y="414655"/>
                            <a:ext cx="56134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0" w:firstLineChars="0"/>
                                <w:rPr>
                                  <w:rFonts w:hint="default" w:eastAsia="宋体"/>
                                  <w:sz w:val="18"/>
                                  <w:szCs w:val="18"/>
                                  <w:lang w:val="en-US" w:eastAsia="zh-CN"/>
                                </w:rPr>
                              </w:pPr>
                              <w:r>
                                <w:rPr>
                                  <w:rFonts w:hint="eastAsia" w:eastAsia="宋体"/>
                                  <w:sz w:val="18"/>
                                  <w:szCs w:val="18"/>
                                  <w:lang w:val="en-US" w:eastAsia="zh-CN"/>
                                </w:rPr>
                                <w:t>隔油池</w:t>
                              </w:r>
                            </w:p>
                          </w:txbxContent>
                        </wps:txbx>
                        <wps:bodyPr upright="1"/>
                      </wps:wsp>
                      <wps:wsp>
                        <wps:cNvPr id="161" name="直接连接符 172"/>
                        <wps:cNvCnPr/>
                        <wps:spPr>
                          <a:xfrm>
                            <a:off x="3703955" y="560705"/>
                            <a:ext cx="517525" cy="0"/>
                          </a:xfrm>
                          <a:prstGeom prst="line">
                            <a:avLst/>
                          </a:prstGeom>
                          <a:ln w="9525" cap="flat" cmpd="sng">
                            <a:solidFill>
                              <a:srgbClr val="000000"/>
                            </a:solidFill>
                            <a:prstDash val="solid"/>
                            <a:headEnd type="none" w="med" len="med"/>
                            <a:tailEnd type="arrow" w="med" len="med"/>
                          </a:ln>
                        </wps:spPr>
                        <wps:bodyPr upright="1"/>
                      </wps:wsp>
                      <wps:wsp>
                        <wps:cNvPr id="162" name="文本框 173"/>
                        <wps:cNvSpPr txBox="1"/>
                        <wps:spPr>
                          <a:xfrm>
                            <a:off x="3689350" y="325755"/>
                            <a:ext cx="647700" cy="241300"/>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6.40</w:t>
                              </w:r>
                            </w:p>
                          </w:txbxContent>
                        </wps:txbx>
                        <wps:bodyPr upright="1"/>
                      </wps:wsp>
                    </wpc:wpc>
                  </a:graphicData>
                </a:graphic>
              </wp:inline>
            </w:drawing>
          </mc:Choice>
          <mc:Fallback>
            <w:pict>
              <v:group id="_x0000_s1026" o:spid="_x0000_s1026" o:spt="203" style="height:282.8pt;width:446.25pt;" coordsize="5667375,3591560" editas="canvas" o:gfxdata="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">
                <o:lock v:ext="edit" aspectratio="f"/>
                <v:shape id="_x0000_s1026" o:spid="_x0000_s1026" style="position:absolute;left:0;top:0;height:3591560;width:5667375;" filled="f" stroked="t" coordsize="21600,21600" o:gfxdata="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">
                  <v:fill on="f" focussize="0,0"/>
                  <v:stroke color="#000000" joinstyle="miter"/>
                  <v:imagedata o:title=""/>
                  <o:lock v:ext="edit" aspectratio="f"/>
                </v:shape>
                <v:shape id="文本框 8" o:spid="_x0000_s1026" o:spt="202" type="#_x0000_t202" style="position:absolute;left:0;top:1670050;height:354330;width:537845;" filled="f" stroked="f" coordsize="21600,21600" o:gfxdata="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bLAxi&#10;1AAAAAUBAAAPAAAAAAAAAAEAIAAAACIAAABkcnMvZG93bnJldi54bWxQSwECFAAUAAAACACHTuJA&#10;cH8MGrMBAABUAwAADgAAAAAAAAABACAAAAAjAQAAZHJzL2Uyb0RvYy54bWxQSwUGAAAAAAYABgBZ&#10;AQAASAUAAAAA&#10;">
                  <v:fill on="f" focussize="0,0"/>
                  <v:stroke on="f"/>
                  <v:imagedata o:title=""/>
                  <o:lock v:ext="edit" aspectratio="f"/>
                  <v:textbox>
                    <w:txbxContent>
                      <w:p>
                        <w:pPr>
                          <w:spacing w:line="240" w:lineRule="auto"/>
                          <w:ind w:firstLine="0" w:firstLineChars="0"/>
                          <w:rPr>
                            <w:rFonts w:hint="eastAsia" w:eastAsiaTheme="minorEastAsia"/>
                            <w:sz w:val="18"/>
                            <w:szCs w:val="18"/>
                            <w:lang w:eastAsia="zh-CN"/>
                          </w:rPr>
                        </w:pPr>
                        <w:r>
                          <w:rPr>
                            <w:rFonts w:hint="eastAsia"/>
                            <w:sz w:val="18"/>
                            <w:szCs w:val="18"/>
                            <w:lang w:eastAsia="zh-CN"/>
                          </w:rPr>
                          <w:t>新鲜水</w:t>
                        </w:r>
                      </w:p>
                    </w:txbxContent>
                  </v:textbox>
                </v:shape>
                <v:line id="直接连接符 13" o:spid="_x0000_s1026" o:spt="20" style="position:absolute;left:450215;top:1835150;height:0;width:517525;" filled="f" stroked="t" coordsize="21600,21600" o:gfxdata="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E6BxrWAAAABQEAAA8AAAAAAAAAAQAgAAAAIgAAAGRy&#10;cy9kb3ducmV2LnhtbFBLAQIUABQAAAAIAIdO4kC3qZOfBwIAAPEDAAAOAAAAAAAAAAEAIAAAACUB&#10;AABkcnMvZTJvRG9jLnhtbFBLBQYAAAAABgAGAFkBAACeBQAAAAA=&#10;">
                  <v:fill on="f" focussize="0,0"/>
                  <v:stroke color="#000000" joinstyle="round" endarrow="open"/>
                  <v:imagedata o:title=""/>
                  <o:lock v:ext="edit" aspectratio="f"/>
                </v:line>
                <v:line id="直接连接符 16" o:spid="_x0000_s1026" o:spt="20" style="position:absolute;left:967105;top:565150;height:2760345;width:0;" filled="f" stroked="t" coordsize="21600,21600" o:gfxdata="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ifdL39UAAAAFAQAADwAAAAAAAAABACAAAAAiAAAAZHJzL2Rvd25y&#10;ZXYueG1sUEsBAhQAFAAAAAgAh07iQF/Pp78BAgAA8AMAAA4AAAAAAAAAAQAgAAAAJAEAAGRycy9l&#10;Mm9Eb2MueG1sUEsFBgAAAAAGAAYAWQEAAJcFAAAAAA==&#10;">
                  <v:fill on="f" focussize="0,0"/>
                  <v:stroke color="#000000" joinstyle="round"/>
                  <v:imagedata o:title=""/>
                  <o:lock v:ext="edit" aspectratio="f"/>
                </v:line>
                <v:line id="直接连接符 19" o:spid="_x0000_s1026" o:spt="20" style="position:absolute;left:969645;top:572770;flip:y;height:0;width:533400;" filled="f" stroked="t" coordsize="21600,21600" o:gfxdata="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OuELoTWAAAABQEAAA8AAAAAAAAAAQAg&#10;AAAAIgAAAGRycy9kb3ducmV2LnhtbFBLAQIUABQAAAAIAIdO4kDu1MOAEAIAAPoDAAAOAAAAAAAA&#10;AAEAIAAAACUBAABkcnMvZTJvRG9jLnhtbFBLBQYAAAAABgAGAFkBAACnBQAAAAA=&#10;">
                  <v:fill on="f" focussize="0,0"/>
                  <v:stroke color="#000000" joinstyle="round" endarrow="open"/>
                  <v:imagedata o:title=""/>
                  <o:lock v:ext="edit" aspectratio="f"/>
                </v:line>
                <v:line id="直接连接符 34" o:spid="_x0000_s1026" o:spt="20" style="position:absolute;left:984885;top:1597660;height:635;width:471805;" filled="f" stroked="t" coordsize="21600,21600" o:gfxdata="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ROgca1gAAAAUBAAAPAAAAAAAAAAEAIAAAACIAAABk&#10;cnMvZG93bnJldi54bWxQSwECFAAUAAAACACHTuJABdeILggCAADzAwAADgAAAAAAAAABACAAAAAl&#10;AQAAZHJzL2Uyb0RvYy54bWxQSwUGAAAAAAYABgBZAQAAnwUAAAAA&#10;">
                  <v:fill on="f" focussize="0,0"/>
                  <v:stroke color="#000000" joinstyle="round" endarrow="open"/>
                  <v:imagedata o:title=""/>
                  <o:lock v:ext="edit" aspectratio="f"/>
                </v:line>
                <v:line id="直接连接符 35" o:spid="_x0000_s1026" o:spt="20" style="position:absolute;left:2203450;top:562610;height:7620;width:930275;" filled="f" stroked="t" coordsize="21600,21600" o:gfxdata="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ROgca1gAAAAUBAAAPAAAAAAAAAAEAIAAAACIA&#10;AABkcnMvZG93bnJldi54bWxQSwECFAAUAAAACACHTuJADMhcyAsCAAD0AwAADgAAAAAAAAABACAA&#10;AAAlAQAAZHJzL2Uyb0RvYy54bWxQSwUGAAAAAAYABgBZAQAAogUAAAAA&#10;">
                  <v:fill on="f" focussize="0,0"/>
                  <v:stroke color="#000000" joinstyle="round" endarrow="open"/>
                  <v:imagedata o:title=""/>
                  <o:lock v:ext="edit" aspectratio="f"/>
                </v:line>
                <v:line id="直接连接符 36" o:spid="_x0000_s1026" o:spt="20" style="position:absolute;left:979170;top:1080135;flip:y;height:0;width:508635;" filled="f" stroked="t" coordsize="21600,21600" o:gfxdata="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OuELoTWAAAABQEAAA8AAAAAAAAAAQAg&#10;AAAAIgAAAGRycy9kb3ducmV2LnhtbFBLAQIUABQAAAAIAIdO4kDVQGgGEAIAAPsDAAAOAAAAAAAA&#10;AAEAIAAAACUBAABkcnMvZTJvRG9jLnhtbFBLBQYAAAAABgAGAFkBAACnBQAAAAA=&#10;">
                  <v:fill on="f" focussize="0,0"/>
                  <v:stroke color="#000000" joinstyle="round" endarrow="open"/>
                  <v:imagedata o:title=""/>
                  <o:lock v:ext="edit" aspectratio="f"/>
                </v:line>
                <v:shape id="文本框 37" o:spid="_x0000_s1026" o:spt="202" type="#_x0000_t202" style="position:absolute;left:1483360;top:923290;height:285750;width:786765;" fillcolor="#FFFFFF" filled="t" stroked="t" coordsize="21600,21600" o:gfxdata="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aB9Q39YAAAAFAQAADwAAAAAA&#10;AAABACAAAAAiAAAAZHJzL2Rvd25yZXYueG1sUEsBAhQAFAAAAAgAh07iQMYzRlkVAgAAQgQAAA4A&#10;AAAAAAAAAQAgAAAAJQEAAGRycy9lMm9Eb2MueG1sUEsFBgAAAAAGAAYAWQEAAKwFAAAAAA==&#10;">
                  <v:fill on="t" focussize="0,0"/>
                  <v:stroke color="#000000" joinstyle="miter"/>
                  <v:imagedata o:title=""/>
                  <o:lock v:ext="edit" aspectratio="f"/>
                  <v:textbox>
                    <w:txbxContent>
                      <w:p>
                        <w:pPr>
                          <w:spacing w:line="240" w:lineRule="auto"/>
                          <w:ind w:firstLine="0" w:firstLineChars="0"/>
                          <w:rPr>
                            <w:rFonts w:hint="eastAsia" w:eastAsia="宋体"/>
                            <w:sz w:val="18"/>
                            <w:szCs w:val="18"/>
                            <w:lang w:eastAsia="zh-CN"/>
                          </w:rPr>
                        </w:pPr>
                        <w:r>
                          <w:rPr>
                            <w:rFonts w:hint="eastAsia"/>
                            <w:sz w:val="18"/>
                            <w:szCs w:val="18"/>
                          </w:rPr>
                          <w:t>猪舍</w:t>
                        </w:r>
                        <w:r>
                          <w:rPr>
                            <w:rFonts w:hint="eastAsia"/>
                            <w:sz w:val="18"/>
                            <w:szCs w:val="18"/>
                            <w:lang w:eastAsia="zh-CN"/>
                          </w:rPr>
                          <w:t>冲洗水</w:t>
                        </w:r>
                      </w:p>
                    </w:txbxContent>
                  </v:textbox>
                </v:shape>
                <v:shape id="文本框 39" o:spid="_x0000_s1026" o:spt="202" type="#_x0000_t202" style="position:absolute;left:1475105;top:1419860;height:279400;width:766445;" fillcolor="#FFFFFF" filled="t" stroked="t" coordsize="21600,21600" o:gfxdata="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gfUN/WAAAABQEAAA8AAAAA&#10;AAAAAQAgAAAAIgAAAGRycy9kb3ducmV2LnhtbFBLAQIUABQAAAAIAIdO4kCHHHe0FgIAAEQEAAAO&#10;AAAAAAAAAAEAIAAAACUBAABkcnMvZTJvRG9jLnhtbFBLBQYAAAAABgAGAFkBAACtBQAAAAA=&#10;">
                  <v:fill on="t" focussize="0,0"/>
                  <v:stroke color="#000000" joinstyle="miter"/>
                  <v:imagedata o:title=""/>
                  <o:lock v:ext="edit" aspectratio="f"/>
                  <v:textbox>
                    <w:txbxContent>
                      <w:p>
                        <w:pPr>
                          <w:spacing w:line="240" w:lineRule="auto"/>
                          <w:ind w:firstLine="0" w:firstLineChars="0"/>
                          <w:jc w:val="center"/>
                          <w:rPr>
                            <w:rFonts w:hint="eastAsia" w:eastAsiaTheme="minorEastAsia"/>
                            <w:sz w:val="18"/>
                            <w:szCs w:val="18"/>
                            <w:lang w:eastAsia="zh-CN"/>
                          </w:rPr>
                        </w:pPr>
                        <w:r>
                          <w:rPr>
                            <w:rFonts w:hint="eastAsia"/>
                            <w:sz w:val="18"/>
                            <w:szCs w:val="18"/>
                            <w:lang w:eastAsia="zh-CN"/>
                          </w:rPr>
                          <w:t>猪饮用水</w:t>
                        </w:r>
                      </w:p>
                    </w:txbxContent>
                  </v:textbox>
                </v:shape>
                <v:shape id="文本框 40" o:spid="_x0000_s1026" o:spt="202" type="#_x0000_t202" style="position:absolute;left:1510030;top:443865;height:279400;width:676910;" fillcolor="#FFFFFF" filled="t" stroked="t" coordsize="21600,21600" o:gfxdata="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aB9Q39YAAAAFAQAADwAA&#10;AAAAAAABACAAAAAiAAAAZHJzL2Rvd25yZXYueG1sUEsBAhQAFAAAAAgAh07iQKgy7TAYAgAAQwQA&#10;AA4AAAAAAAAAAQAgAAAAJQEAAGRycy9lMm9Eb2MueG1sUEsFBgAAAAAGAAYAWQEAAK8FAAAAAA==&#10;">
                  <v:fill on="t" focussize="0,0"/>
                  <v:stroke color="#000000" joinstyle="miter"/>
                  <v:imagedata o:title=""/>
                  <o:lock v:ext="edit" aspectratio="f"/>
                  <v:textbox>
                    <w:txbxContent>
                      <w:p>
                        <w:pPr>
                          <w:spacing w:line="240" w:lineRule="auto"/>
                          <w:ind w:firstLine="0" w:firstLineChars="0"/>
                          <w:rPr>
                            <w:sz w:val="18"/>
                            <w:szCs w:val="18"/>
                          </w:rPr>
                        </w:pPr>
                        <w:r>
                          <w:rPr>
                            <w:rFonts w:hint="eastAsia"/>
                            <w:sz w:val="18"/>
                            <w:szCs w:val="18"/>
                          </w:rPr>
                          <w:t>生活用水</w:t>
                        </w:r>
                      </w:p>
                    </w:txbxContent>
                  </v:textbox>
                </v:shape>
                <v:shape id="文本框 41" o:spid="_x0000_s1026" o:spt="202" type="#_x0000_t202" style="position:absolute;left:1492250;top:2585085;height:279400;width:892810;" fillcolor="#FFFFFF" filled="t" stroked="t" coordsize="21600,21600" o:gfxdata="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aB9Q39YAAAAFAQAADwAA&#10;AAAAAAABACAAAAAiAAAAZHJzL2Rvd25yZXYueG1sUEsBAhQAFAAAAAgAh07iQDY273kYAgAARAQA&#10;AA4AAAAAAAAAAQAgAAAAJQEAAGRycy9lMm9Eb2MueG1sUEsFBgAAAAAGAAYAWQEAAK8FAAAAAA==&#10;">
                  <v:fill on="t" focussize="0,0"/>
                  <v:stroke color="#000000" joinstyle="miter"/>
                  <v:imagedata o:title=""/>
                  <o:lock v:ext="edit" aspectratio="f"/>
                  <v:textbox>
                    <w:txbxContent>
                      <w:p>
                        <w:pPr>
                          <w:spacing w:line="240" w:lineRule="auto"/>
                          <w:ind w:firstLine="0" w:firstLineChars="0"/>
                          <w:rPr>
                            <w:rFonts w:hint="eastAsia" w:eastAsia="宋体"/>
                            <w:sz w:val="18"/>
                            <w:szCs w:val="18"/>
                            <w:lang w:eastAsia="zh-CN"/>
                          </w:rPr>
                        </w:pPr>
                        <w:r>
                          <w:rPr>
                            <w:rFonts w:hint="eastAsia" w:eastAsia="宋体"/>
                            <w:sz w:val="18"/>
                            <w:szCs w:val="18"/>
                            <w:lang w:eastAsia="zh-CN"/>
                          </w:rPr>
                          <w:t>水帘降温补水</w:t>
                        </w:r>
                      </w:p>
                    </w:txbxContent>
                  </v:textbox>
                </v:shape>
                <v:shape id="文本框 43" o:spid="_x0000_s1026" o:spt="202" type="#_x0000_t202" style="position:absolute;left:1504315;top:2060575;height:279400;width:704850;" fillcolor="#FFFFFF" filled="t" stroked="t" coordsize="21600,21600" o:gfxdata="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GgfUN/WAAAABQEAAA8A&#10;AAAAAAAAAQAgAAAAIgAAAGRycy9kb3ducmV2LnhtbFBLAQIUABQAAAAIAIdO4kCS6/xaGQIAAEQE&#10;AAAOAAAAAAAAAAEAIAAAACUBAABkcnMvZTJvRG9jLnhtbFBLBQYAAAAABgAGAFkBAACwBQAAAAA=&#10;">
                  <v:fill on="t" focussize="0,0"/>
                  <v:stroke color="#000000" joinstyle="miter"/>
                  <v:imagedata o:title=""/>
                  <o:lock v:ext="edit" aspectratio="f"/>
                  <v:textbox>
                    <w:txbxContent>
                      <w:p>
                        <w:pPr>
                          <w:spacing w:line="240" w:lineRule="auto"/>
                          <w:ind w:firstLine="0" w:firstLineChars="0"/>
                          <w:jc w:val="center"/>
                          <w:rPr>
                            <w:sz w:val="18"/>
                            <w:szCs w:val="18"/>
                          </w:rPr>
                        </w:pPr>
                        <w:r>
                          <w:rPr>
                            <w:rFonts w:hint="eastAsia"/>
                            <w:sz w:val="18"/>
                            <w:szCs w:val="18"/>
                          </w:rPr>
                          <w:t>消毒用水</w:t>
                        </w:r>
                      </w:p>
                    </w:txbxContent>
                  </v:textbox>
                </v:shape>
                <v:shape id="文本框 45" o:spid="_x0000_s1026" o:spt="202" type="#_x0000_t202" style="position:absolute;left:1484630;top:3139440;height:279400;width:819785;" fillcolor="#FFFFFF" filled="t" stroked="t" coordsize="21600,21600" o:gfxdata="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aB9Q39YAAAAFAQAADwAA&#10;AAAAAAABACAAAAAiAAAAZHJzL2Rvd25yZXYueG1sUEsBAhQAFAAAAAgAh07iQNLq/skYAgAARAQA&#10;AA4AAAAAAAAAAQAgAAAAJQEAAGRycy9lMm9Eb2MueG1sUEsFBgAAAAAGAAYAWQEAAK8FAAAAAA==&#10;">
                  <v:fill on="t" focussize="0,0"/>
                  <v:stroke color="#000000" joinstyle="miter"/>
                  <v:imagedata o:title=""/>
                  <o:lock v:ext="edit" aspectratio="f"/>
                  <v:textbox>
                    <w:txbxContent>
                      <w:p>
                        <w:pPr>
                          <w:spacing w:line="240" w:lineRule="auto"/>
                          <w:ind w:firstLine="0" w:firstLineChars="0"/>
                          <w:rPr>
                            <w:rFonts w:hint="eastAsia" w:eastAsia="宋体"/>
                            <w:sz w:val="18"/>
                            <w:szCs w:val="18"/>
                            <w:lang w:eastAsia="zh-CN"/>
                          </w:rPr>
                        </w:pPr>
                        <w:r>
                          <w:rPr>
                            <w:rFonts w:hint="eastAsia"/>
                            <w:sz w:val="18"/>
                            <w:szCs w:val="18"/>
                            <w:lang w:eastAsia="zh-CN"/>
                          </w:rPr>
                          <w:t>未</w:t>
                        </w:r>
                        <w:r>
                          <w:rPr>
                            <w:rFonts w:hint="eastAsia"/>
                            <w:sz w:val="18"/>
                            <w:szCs w:val="18"/>
                          </w:rPr>
                          <w:t>预见</w:t>
                        </w:r>
                        <w:r>
                          <w:rPr>
                            <w:rFonts w:hint="eastAsia"/>
                            <w:sz w:val="18"/>
                            <w:szCs w:val="18"/>
                            <w:lang w:eastAsia="zh-CN"/>
                          </w:rPr>
                          <w:t>用水</w:t>
                        </w:r>
                      </w:p>
                    </w:txbxContent>
                  </v:textbox>
                </v:shape>
                <v:line id="直接连接符 48" o:spid="_x0000_s1026" o:spt="20" style="position:absolute;left:2401570;top:2735580;flip:y;height:0;width:533400;" filled="f" stroked="t" coordsize="21600,21600" o:gfxdata="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B5LpdrUAAAABQEAAA8AAAAAAAAAAQAg&#10;AAAAIgAAAGRycy9kb3ducmV2LnhtbFBLAQIUABQAAAAIAIdO4kDECR1iEgIAAPwDAAAOAAAAAAAA&#10;AAEAIAAAACMBAABkcnMvZTJvRG9jLnhtbFBLBQYAAAAABgAGAFkBAACnBQAAAAA=&#10;">
                  <v:fill on="f" focussize="0,0"/>
                  <v:stroke color="#000000" joinstyle="round" dashstyle="dash" endarrow="open"/>
                  <v:imagedata o:title=""/>
                  <o:lock v:ext="edit" aspectratio="f"/>
                </v:line>
                <v:line id="直接连接符 49" o:spid="_x0000_s1026" o:spt="20" style="position:absolute;left:2223770;top:2225675;height:0;width:448310;" filled="f" stroked="t" coordsize="21600,21600" o:gfxdata="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sbWtf1gAAAAUBAAAPAAAAAAAAAAEAIAAAACIA&#10;AABkcnMvZG93bnJldi54bWxQSwECFAAUAAAACACHTuJAxIB0lAsCAADyAwAADgAAAAAAAAABACAA&#10;AAAlAQAAZHJzL2Uyb0RvYy54bWxQSwUGAAAAAAYABgBZAQAAogUAAAAA&#10;">
                  <v:fill on="f" focussize="0,0"/>
                  <v:stroke color="#000000" joinstyle="round" dashstyle="dash" endarrow="open"/>
                  <v:imagedata o:title=""/>
                  <o:lock v:ext="edit" aspectratio="f"/>
                </v:line>
                <v:shape id="文本框 51" o:spid="_x0000_s1026" o:spt="202" type="#_x0000_t202" style="position:absolute;left:2653030;top:2076450;height:280035;width:845185;" filled="f" stroked="f" coordsize="21600,21600" o:gfxdata="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b&#10;LAxi1AAAAAUBAAAPAAAAAAAAAAEAIAAAACIAAABkcnMvZG93bnJldi54bWxQSwECFAAUAAAACACH&#10;TuJApyILxrYBAABcAwAADgAAAAAAAAABACAAAAAjAQAAZHJzL2Uyb0RvYy54bWxQSwUGAAAAAAYA&#10;BgBZAQAASwU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sz w:val="18"/>
                            <w:szCs w:val="18"/>
                          </w:rPr>
                          <w:t>损耗</w:t>
                        </w:r>
                        <w:r>
                          <w:rPr>
                            <w:rFonts w:hint="eastAsia"/>
                            <w:sz w:val="18"/>
                            <w:szCs w:val="18"/>
                            <w:lang w:val="en-US" w:eastAsia="zh-CN"/>
                          </w:rPr>
                          <w:t>0.82</w:t>
                        </w:r>
                      </w:p>
                    </w:txbxContent>
                  </v:textbox>
                </v:shape>
                <v:shape id="文本框 52" o:spid="_x0000_s1026" o:spt="202" type="#_x0000_t202" style="position:absolute;left:996315;top:2502535;height:241300;width:549275;" filled="f" stroked="f" coordsize="21600,21600" o:gfxdata="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bLAxi1AAAAAUBAAAPAAAAAAAAAAEAIAAAACIAAABkcnMvZG93bnJldi54bWxQSwECFAAUAAAA&#10;CACHTuJAyE16srkBAABbAwAADgAAAAAAAAABACAAAAAjAQAAZHJzL2Uyb0RvYy54bWxQSwUGAAAA&#10;AAYABgBZAQAATgU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0.48</w:t>
                        </w:r>
                      </w:p>
                    </w:txbxContent>
                  </v:textbox>
                </v:shape>
                <v:line id="直接连接符 53" o:spid="_x0000_s1026" o:spt="20" style="position:absolute;left:1726565;top:306070;flip:y;height:114300;width:469900;" filled="f" stroked="t" coordsize="21600,21600" o:gfxdata="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eS6Xa1AAAAAUBAAAPAAAAAAAAAAEA&#10;IAAAACIAAABkcnMvZG93bnJldi54bWxQSwECFAAUAAAACACHTuJAMu4gmBMCAAAABAAADgAAAAAA&#10;AAABACAAAAAjAQAAZHJzL2Uyb0RvYy54bWxQSwUGAAAAAAYABgBZAQAAqAUAAAAA&#10;">
                  <v:fill on="f" focussize="0,0"/>
                  <v:stroke color="#000000" joinstyle="round" dashstyle="dash" endarrow="open"/>
                  <v:imagedata o:title=""/>
                  <o:lock v:ext="edit" aspectratio="f"/>
                </v:line>
                <v:shape id="文本框 54" o:spid="_x0000_s1026" o:spt="202" type="#_x0000_t202" style="position:absolute;left:1012190;top:1379855;height:241300;width:541655;" filled="f" stroked="f" coordsize="21600,21600" o:gfxdata="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NssDGLUAAAABQEAAA8AAAAAAAAAAQAgAAAAIgAAAGRycy9kb3ducmV2LnhtbFBLAQIUABQAAAAI&#10;AIdO4kDqZHkXuAEAAFwDAAAOAAAAAAAAAAEAIAAAACMBAABkcnMvZTJvRG9jLnhtbFBLBQYAAAAA&#10;BgAGAFkBAABNBQ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180</w:t>
                        </w:r>
                      </w:p>
                    </w:txbxContent>
                  </v:textbox>
                </v:shape>
                <v:shape id="文本框 55" o:spid="_x0000_s1026" o:spt="202" type="#_x0000_t202" style="position:absolute;left:2593340;top:843280;height:295275;width:650875;" filled="f" stroked="f" coordsize="21600,21600" o:gfxdata="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bLAxi1AAAAAUBAAAPAAAAAAAAAAEAIAAAACIAAABkcnMvZG93bnJldi54bWxQSwECFAAUAAAA&#10;CACHTuJA846AkbkBAABbAwAADgAAAAAAAAABACAAAAAjAQAAZHJzL2Uyb0RvYy54bWxQSwUGAAAA&#10;AAYABgBZAQAATgU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eastAsia="宋体"/>
                            <w:sz w:val="18"/>
                            <w:szCs w:val="18"/>
                            <w:lang w:val="en-US" w:eastAsia="zh-CN"/>
                          </w:rPr>
                          <w:t>0.35</w:t>
                        </w:r>
                      </w:p>
                    </w:txbxContent>
                  </v:textbox>
                </v:shape>
                <v:shape id="文本框 56" o:spid="_x0000_s1026" o:spt="202" type="#_x0000_t202" style="position:absolute;left:1056005;top:2011045;height:254000;width:468630;" filled="f" stroked="f" coordsize="21600,21600" o:gfxdata="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NssDGLUAAAABQEAAA8AAAAAAAAAAQAgAAAAIgAAAGRycy9kb3ducmV2LnhtbFBLAQIUABQAAAAI&#10;AIdO4kAArNkHuAEAAFwDAAAOAAAAAAAAAAEAIAAAACMBAABkcnMvZTJvRG9jLnhtbFBLBQYAAAAA&#10;BgAGAFkBAABNBQ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0.80</w:t>
                        </w:r>
                      </w:p>
                    </w:txbxContent>
                  </v:textbox>
                </v:shape>
                <v:shape id="文本框 57" o:spid="_x0000_s1026" o:spt="202" type="#_x0000_t202" style="position:absolute;left:2882900;top:2590800;height:297815;width:670560;" filled="f" stroked="f" coordsize="21600,21600" o:gfxdata="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NssDGLUAAAABQEAAA8AAAAAAAAAAQAgAAAAIgAAAGRycy9kb3ducmV2LnhtbFBLAQIUABQAAAAI&#10;AIdO4kBgRjs3uAEAAFwDAAAOAAAAAAAAAAEAIAAAACMBAABkcnMvZTJvRG9jLnhtbFBLBQYAAAAA&#10;BgAGAFkBAABNBQ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sz w:val="18"/>
                            <w:szCs w:val="18"/>
                          </w:rPr>
                          <w:t>损耗</w:t>
                        </w:r>
                        <w:r>
                          <w:rPr>
                            <w:rFonts w:hint="eastAsia"/>
                            <w:sz w:val="18"/>
                            <w:szCs w:val="18"/>
                            <w:lang w:val="en-US" w:eastAsia="zh-CN"/>
                          </w:rPr>
                          <w:t>0.48</w:t>
                        </w:r>
                      </w:p>
                    </w:txbxContent>
                  </v:textbox>
                </v:shape>
                <v:shape id="文本框 58" o:spid="_x0000_s1026" o:spt="202" type="#_x0000_t202" style="position:absolute;left:2783205;top:3129280;height:316865;width:951865;" filled="f" stroked="f" coordsize="21600,21600" o:gfxdata="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b&#10;LAxi1AAAAAUBAAAPAAAAAAAAAAEAIAAAACIAAABkcnMvZG93bnJldi54bWxQSwECFAAUAAAACACH&#10;TuJAW54EvLYBAABcAwAADgAAAAAAAAABACAAAAAjAQAAZHJzL2Uyb0RvYy54bWxQSwUGAAAAAAYA&#10;BgBZAQAASwU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sz w:val="18"/>
                            <w:szCs w:val="18"/>
                          </w:rPr>
                          <w:t>损耗</w:t>
                        </w:r>
                        <w:r>
                          <w:rPr>
                            <w:rFonts w:hint="eastAsia"/>
                            <w:sz w:val="18"/>
                            <w:szCs w:val="18"/>
                            <w:lang w:val="en-US" w:eastAsia="zh-CN"/>
                          </w:rPr>
                          <w:t>18.97</w:t>
                        </w:r>
                      </w:p>
                    </w:txbxContent>
                  </v:textbox>
                </v:shape>
                <v:line id="直接连接符 59" o:spid="_x0000_s1026" o:spt="20" style="position:absolute;left:2240915;top:1584325;height:0;width:308610;" filled="f" stroked="t" coordsize="21600,21600" o:gfxdata="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EAvY31gAAAAUBAAAPAAAAAAAAAAEAIAAAACIAAABkcnMv&#10;ZG93bnJldi54bWxQSwECFAAUAAAACACHTuJAusDTUAUCAADzAwAADgAAAAAAAAABACAAAAAlAQAA&#10;ZHJzL2Uyb0RvYy54bWxQSwUGAAAAAAYABgBZAQAAnAUAAAAA&#10;">
                  <v:fill on="f" focussize="0,0"/>
                  <v:stroke weight="1pt" color="#000000" joinstyle="round"/>
                  <v:imagedata o:title=""/>
                  <o:lock v:ext="edit" aspectratio="f"/>
                </v:line>
                <v:shape id="文本框 60" o:spid="_x0000_s1026" o:spt="202" type="#_x0000_t202" style="position:absolute;left:984250;top:3075305;height:241300;width:647700;" filled="f" stroked="f" coordsize="21600,21600" o:gfxdata="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NssDGLUAAAABQEAAA8AAAAAAAAAAQAgAAAAIgAAAGRycy9kb3ducmV2LnhtbFBLAQIUABQAAAAI&#10;AIdO4kDVkK3NuAEAAFsDAAAOAAAAAAAAAAEAIAAAACMBAABkcnMvZTJvRG9jLnhtbFBLBQYAAAAA&#10;BgAGAFkBAABNBQ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18.97</w:t>
                        </w:r>
                      </w:p>
                    </w:txbxContent>
                  </v:textbox>
                </v:shape>
                <v:shape id="文本框 61" o:spid="_x0000_s1026" o:spt="202" type="#_x0000_t202" style="position:absolute;left:2521585;top:1182370;height:241300;width:647700;" filled="f" stroked="f" coordsize="21600,21600" o:gfxdata="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NssDGLUAAAABQEAAA8AAAAAAAAAAQAgAAAAIgAAAGRycy9kb3ducmV2LnhtbFBLAQIUABQAAAAI&#10;AIdO4kCWict8uAEAAFwDAAAOAAAAAAAAAAEAIAAAACMBAABkcnMvZTJvRG9jLnhtbFBLBQYAAAAA&#10;BgAGAFkBAABNBQ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63</w:t>
                        </w:r>
                      </w:p>
                    </w:txbxContent>
                  </v:textbox>
                </v:shape>
                <v:shape id="文本框 63" o:spid="_x0000_s1026" o:spt="202" type="#_x0000_t202" style="position:absolute;left:4817764;top:937210;height:279403;width:824811;" fillcolor="#FFFFFF" filled="t" stroked="t" coordsize="21600,21600" o:gfxdata="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aB9Q39YAAAAFAQAADwAA&#10;AAAAAAABACAAAAAiAAAAZHJzL2Rvd25yZXYueG1sUEsBAhQAFAAAAAgAh07iQD5skwQYAgAAQwQA&#10;AA4AAAAAAAAAAQAgAAAAJQEAAGRycy9lMm9Eb2MueG1sUEsFBgAAAAAGAAYAWQEAAK8FAAAAAA==&#10;">
                  <v:fill on="t" focussize="0,0"/>
                  <v:stroke color="#000000" joinstyle="miter"/>
                  <v:imagedata o:title=""/>
                  <o:lock v:ext="edit" aspectratio="f"/>
                  <v:textbox>
                    <w:txbxContent>
                      <w:p>
                        <w:pPr>
                          <w:spacing w:line="240" w:lineRule="auto"/>
                          <w:ind w:firstLine="0" w:firstLineChars="0"/>
                          <w:rPr>
                            <w:sz w:val="18"/>
                            <w:szCs w:val="18"/>
                          </w:rPr>
                        </w:pPr>
                        <w:r>
                          <w:rPr>
                            <w:rFonts w:hint="eastAsia"/>
                            <w:sz w:val="18"/>
                            <w:szCs w:val="18"/>
                            <w:lang w:eastAsia="zh-CN"/>
                          </w:rPr>
                          <w:t>污水处理区</w:t>
                        </w:r>
                      </w:p>
                    </w:txbxContent>
                  </v:textbox>
                </v:shape>
                <v:line id="直接连接符 64" o:spid="_x0000_s1026" o:spt="20" style="position:absolute;left:5237480;top:1223645;flip:x;height:378460;width:6985;" filled="f" stroked="t" coordsize="21600,21600" o:gfxdata="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OuELoTWAAAABQEAAA8AAAAA&#10;AAAAAQAgAAAAIgAAAGRycy9kb3ducmV2LnhtbFBLAQIUABQAAAAIAIdO4kAYTHC7FgIAAAAEAAAO&#10;AAAAAAAAAAEAIAAAACUBAABkcnMvZTJvRG9jLnhtbFBLBQYAAAAABgAGAFkBAACtBQAAAAA=&#10;">
                  <v:fill on="f" focussize="0,0"/>
                  <v:stroke color="#000000" joinstyle="round" endarrow="open"/>
                  <v:imagedata o:title=""/>
                  <o:lock v:ext="edit" aspectratio="f"/>
                </v:line>
                <v:shape id="文本框 68" o:spid="_x0000_s1026" o:spt="202" type="#_x0000_t202" style="position:absolute;left:2534920;top:1550035;height:276225;width:704850;" filled="f" stroked="f" coordsize="21600,21600" o:gfxdata="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2ywMYtQAAAAFAQAADwAAAAAAAAABACAAAAAiAAAAZHJzL2Rvd25yZXYueG1sUEsBAhQAFAAA&#10;AAgAh07iQGbAa0+6AQAAXAMAAA4AAAAAAAAAAQAgAAAAIwEAAGRycy9lMm9Eb2MueG1sUEsFBgAA&#10;AAAGAAYAWQEAAE8FAAAAAA==&#10;">
                  <v:fill on="f" focussize="0,0"/>
                  <v:stroke on="f"/>
                  <v:imagedata o:title=""/>
                  <o:lock v:ext="edit" aspectratio="f"/>
                  <v:textbox>
                    <w:txbxContent>
                      <w:p>
                        <w:pPr>
                          <w:spacing w:line="240" w:lineRule="auto"/>
                          <w:ind w:firstLine="0" w:firstLineChars="0"/>
                          <w:rPr>
                            <w:rFonts w:hint="default" w:eastAsia="宋体"/>
                            <w:color w:val="auto"/>
                            <w:sz w:val="18"/>
                            <w:szCs w:val="18"/>
                            <w:lang w:val="en-US" w:eastAsia="zh-CN"/>
                          </w:rPr>
                        </w:pPr>
                        <w:r>
                          <w:rPr>
                            <w:rFonts w:hint="eastAsia" w:eastAsia="宋体"/>
                            <w:color w:val="auto"/>
                            <w:sz w:val="18"/>
                            <w:szCs w:val="18"/>
                            <w:lang w:val="en-US" w:eastAsia="zh-CN"/>
                          </w:rPr>
                          <w:t>117</w:t>
                        </w:r>
                      </w:p>
                    </w:txbxContent>
                  </v:textbox>
                </v:shape>
                <v:shape id="文本框 70" o:spid="_x0000_s1026" o:spt="202" type="#_x0000_t202" style="position:absolute;left:436245;top:1576705;height:241300;width:571500;" filled="f" stroked="f" coordsize="21600,21600" o:gfxdata="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2ywMYtQAAAAFAQAADwAAAAAAAAABACAAAAAiAAAAZHJzL2Rvd25yZXYueG1sUEsBAhQAFAAAAAgA&#10;h07iQBNC28i3AQAAWwMAAA4AAAAAAAAAAQAgAAAAIwEAAGRycy9lMm9Eb2MueG1sUEsFBgAAAAAG&#10;AAYAWQEAAEwFA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208.68</w:t>
                        </w:r>
                      </w:p>
                    </w:txbxContent>
                  </v:textbox>
                </v:shape>
                <v:shape id="文本框 71" o:spid="_x0000_s1026" o:spt="202" type="#_x0000_t202" style="position:absolute;left:2186305;top:133985;height:241300;width:469900;" filled="f" stroked="f" coordsize="21600,21600" o:gfxdata="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NssDGLUAAAABQEAAA8AAAAAAAAAAQAgAAAAIgAAAGRycy9kb3ducmV2LnhtbFBLAQIUABQAAAAI&#10;AIdO4kBbEEoAuAEAAFsDAAAOAAAAAAAAAAEAIAAAACMBAABkcnMvZTJvRG9jLnhtbFBLBQYAAAAA&#10;BgAGAFkBAABNBQ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1.60</w:t>
                        </w:r>
                      </w:p>
                    </w:txbxContent>
                  </v:textbox>
                </v:shape>
                <v:shape id="文本框 73" o:spid="_x0000_s1026" o:spt="202" type="#_x0000_t202" style="position:absolute;left:1081405;top:360045;height:241300;width:469900;" filled="f" stroked="f" coordsize="21600,21600" o:gfxdata="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NssDGLUAAAABQEAAA8AAAAAAAAAAQAgAAAAIgAAAGRycy9kb3ducmV2LnhtbFBLAQIUABQAAAAI&#10;AIdO4kCXLKoRuAEAAFsDAAAOAAAAAAAAAAEAIAAAACMBAABkcnMvZTJvRG9jLnhtbFBLBQYAAAAA&#10;BgAGAFkBAABNBQ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8</w:t>
                        </w:r>
                      </w:p>
                    </w:txbxContent>
                  </v:textbox>
                </v:shape>
                <v:line id="直接连接符 79" o:spid="_x0000_s1026" o:spt="20" style="position:absolute;left:2284730;top:1079500;height:0;width:2508885;" filled="f" stroked="t" coordsize="21600,21600" o:gfxdata="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NE6BxrWAAAABQEAAA8AAAAAAAAAAQAgAAAAIgAA&#10;AGRycy9kb3ducmV2LnhtbFBLAQIUABQAAAAIAIdO4kDoKewyCgIAAPQDAAAOAAAAAAAAAAEAIAAA&#10;ACUBAABkcnMvZTJvRG9jLnhtbFBLBQYAAAAABgAGAFkBAAChBQAAAAA=&#10;">
                  <v:fill on="f" focussize="0,0"/>
                  <v:stroke color="#000000" joinstyle="round" endarrow="open"/>
                  <v:imagedata o:title=""/>
                  <o:lock v:ext="edit" aspectratio="f"/>
                </v:line>
                <v:shape id="文本框 82" o:spid="_x0000_s1026" o:spt="202" type="#_x0000_t202" style="position:absolute;left:991870;top:853440;height:241300;width:469900;" filled="f" stroked="f" coordsize="21600,21600" o:gfxdata="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2ywMYtQAAAAFAQAADwAAAAAAAAABACAAAAAiAAAAZHJzL2Rvd25yZXYueG1sUEsBAhQAFAAAAAgA&#10;h07iQGCzDm63AQAAWgMAAA4AAAAAAAAAAQAgAAAAIwEAAGRycy9lMm9Eb2MueG1sUEsFBgAAAAAG&#10;AAYAWQEAAEwFA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0.41</w:t>
                        </w:r>
                      </w:p>
                    </w:txbxContent>
                  </v:textbox>
                </v:shape>
                <v:line id="直接连接符 83" o:spid="_x0000_s1026" o:spt="20" style="position:absolute;left:970915;top:2729230;height:635;width:525145;" filled="f" stroked="t" coordsize="21600,21600" o:gfxdata="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ROgca1gAAAAUBAAAPAAAAAAAAAAEAIAAAACIAAABk&#10;cnMvZG93bnJldi54bWxQSwECFAAUAAAACACHTuJADX+9JwgCAAD0AwAADgAAAAAAAAABACAAAAAl&#10;AQAAZHJzL2Uyb0RvYy54bWxQSwUGAAAAAAYABgBZAQAAnwUAAAAA&#10;">
                  <v:fill on="f" focussize="0,0"/>
                  <v:stroke color="#000000" joinstyle="round" endarrow="open"/>
                  <v:imagedata o:title=""/>
                  <o:lock v:ext="edit" aspectratio="f"/>
                </v:line>
                <v:line id="直接连接符 84" o:spid="_x0000_s1026" o:spt="20" style="position:absolute;left:979805;top:2209800;height:635;width:524510;" filled="f" stroked="t" coordsize="21600,21600" o:gfxdata="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E6BxrWAAAABQEAAA8AAAAAAAAAAQAgAAAAIgAAAGRy&#10;cy9kb3ducmV2LnhtbFBLAQIUABQAAAAIAIdO4kDWX7ISBwIAAPQDAAAOAAAAAAAAAAEAIAAAACUB&#10;AABkcnMvZTJvRG9jLnhtbFBLBQYAAAAABgAGAFkBAACeBQAAAAA=&#10;">
                  <v:fill on="f" focussize="0,0"/>
                  <v:stroke color="#000000" joinstyle="round" endarrow="open"/>
                  <v:imagedata o:title=""/>
                  <o:lock v:ext="edit" aspectratio="f"/>
                </v:line>
                <v:line id="直接连接符 86" o:spid="_x0000_s1026" o:spt="20" style="position:absolute;left:1669415;top:795655;flip:y;height:114300;width:469900;" filled="f" stroked="t" coordsize="21600,21600" o:gfxdata="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Hkul2tQAAAAFAQAADwAAAAAAAAAB&#10;ACAAAAAiAAAAZHJzL2Rvd25yZXYueG1sUEsBAhQAFAAAAAgAh07iQI39J5IUAgAAAAQAAA4AAAAA&#10;AAAAAQAgAAAAIwEAAGRycy9lMm9Eb2MueG1sUEsFBgAAAAAGAAYAWQEAAKkFAAAAAA==&#10;">
                  <v:fill on="f" focussize="0,0"/>
                  <v:stroke color="#000000" joinstyle="round" dashstyle="dash" endarrow="open"/>
                  <v:imagedata o:title=""/>
                  <o:lock v:ext="edit" aspectratio="f"/>
                </v:line>
                <v:line id="直接连接符 87" o:spid="_x0000_s1026" o:spt="20" style="position:absolute;left:2555240;top:1391285;flip:y;height:0;width:466090;" filled="f" stroked="t" coordsize="21600,21600" o:gfxdata="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OuELoTWAAAABQEAAA8AAAAAAAAA&#10;AQAgAAAAIgAAAGRycy9kb3ducmV2LnhtbFBLAQIUABQAAAAIAIdO4kD97vJNEwIAAP0DAAAOAAAA&#10;AAAAAAEAIAAAACUBAABkcnMvZTJvRG9jLnhtbFBLBQYAAAAABgAGAFkBAACqBQAAAAA=&#10;">
                  <v:fill on="f" focussize="0,0"/>
                  <v:stroke color="#000000" joinstyle="round" endarrow="open"/>
                  <v:imagedata o:title=""/>
                  <o:lock v:ext="edit" aspectratio="f"/>
                </v:line>
                <v:line id="直接连接符 88" o:spid="_x0000_s1026" o:spt="20" style="position:absolute;left:2552700;top:1395730;flip:x;height:394335;width:635;" filled="f" stroked="t" coordsize="21600,21600" o:gfxdata="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QDplW1gAAAAUBAAAPAAAAAAAAAAEAIAAAACIA&#10;AABkcnMvZG93bnJldi54bWxQSwECFAAUAAAACACHTuJAB5H7qAsCAAD/AwAADgAAAAAAAAABACAA&#10;AAAlAQAAZHJzL2Uyb0RvYy54bWxQSwUGAAAAAAYABgBZAQAAogUAAAAA&#10;">
                  <v:fill on="f" focussize="0,0"/>
                  <v:stroke weight="1pt" color="#000000" joinstyle="round"/>
                  <v:imagedata o:title=""/>
                  <o:lock v:ext="edit" aspectratio="f"/>
                </v:line>
                <v:shape id="文本框 89" o:spid="_x0000_s1026" o:spt="202" type="#_x0000_t202" style="position:absolute;left:3030855;top:1238885;height:279400;width:744220;" fillcolor="#FFFFFF" filled="t" stroked="t" coordsize="21600,21600" o:gfxdata="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GgfUN/WAAAABQEAAA8A&#10;AAAAAAAAAQAgAAAAIgAAAGRycy9kb3ducmV2LnhtbFBLAQIUABQAAAAIAIdO4kCIR1hEGQIAAEQE&#10;AAAOAAAAAAAAAAEAIAAAACUBAABkcnMvZTJvRG9jLnhtbFBLBQYAAAAABgAGAFkBAACwBQAAAAA=&#10;">
                  <v:fill on="t" focussize="0,0"/>
                  <v:stroke color="#000000" joinstyle="miter"/>
                  <v:imagedata o:title=""/>
                  <o:lock v:ext="edit" aspectratio="f"/>
                  <v:textbox>
                    <w:txbxContent>
                      <w:p>
                        <w:pPr>
                          <w:spacing w:line="240" w:lineRule="auto"/>
                          <w:ind w:firstLine="0" w:firstLineChars="0"/>
                          <w:rPr>
                            <w:rFonts w:hint="eastAsia" w:eastAsia="宋体"/>
                            <w:sz w:val="18"/>
                            <w:szCs w:val="18"/>
                            <w:lang w:eastAsia="zh-CN"/>
                          </w:rPr>
                        </w:pPr>
                        <w:r>
                          <w:rPr>
                            <w:rFonts w:hint="eastAsia"/>
                            <w:sz w:val="18"/>
                            <w:szCs w:val="18"/>
                            <w:lang w:eastAsia="zh-CN"/>
                          </w:rPr>
                          <w:t>猪粪、猪尿</w:t>
                        </w:r>
                      </w:p>
                    </w:txbxContent>
                  </v:textbox>
                </v:shape>
                <v:shape id="文本框 90" o:spid="_x0000_s1026" o:spt="202" type="#_x0000_t202" style="position:absolute;left:3016885;top:1646555;height:279400;width:673100;" fillcolor="#FFFFFF" filled="t" stroked="t" coordsize="21600,21600" o:gfxdata="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gfUN/WAAAABQEAAA8AAAAA&#10;AAAAAQAgAAAAIgAAAGRycy9kb3ducmV2LnhtbFBLAQIUABQAAAAIAIdO4kADxq7VFgIAAEQEAAAO&#10;AAAAAAAAAAEAIAAAACUBAABkcnMvZTJvRG9jLnhtbFBLBQYAAAAABgAGAFkBAACtBQAAAAA=&#10;">
                  <v:fill on="t" focussize="0,0"/>
                  <v:stroke color="#000000" joinstyle="miter"/>
                  <v:imagedata o:title=""/>
                  <o:lock v:ext="edit" aspectratio="f"/>
                  <v:textbox>
                    <w:txbxContent>
                      <w:p>
                        <w:pPr>
                          <w:spacing w:line="240" w:lineRule="auto"/>
                          <w:ind w:firstLine="0" w:firstLineChars="0"/>
                          <w:rPr>
                            <w:rFonts w:hint="eastAsia" w:eastAsia="宋体"/>
                            <w:sz w:val="18"/>
                            <w:szCs w:val="18"/>
                            <w:lang w:eastAsia="zh-CN"/>
                          </w:rPr>
                        </w:pPr>
                        <w:r>
                          <w:rPr>
                            <w:rFonts w:hint="eastAsia"/>
                            <w:sz w:val="18"/>
                            <w:szCs w:val="18"/>
                            <w:lang w:eastAsia="zh-CN"/>
                          </w:rPr>
                          <w:t>生产消耗</w:t>
                        </w:r>
                      </w:p>
                    </w:txbxContent>
                  </v:textbox>
                </v:shape>
                <v:line id="直接连接符 91" o:spid="_x0000_s1026" o:spt="20" style="position:absolute;left:2552700;top:1791970;flip:y;height:635;width:454660;" filled="f" stroked="t" coordsize="21600,21600" o:gfxdata="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rhC6E1gAAAAUBAAAPAAAAAAAAAAEA&#10;IAAAACIAAABkcnMvZG93bnJldi54bWxQSwECFAAUAAAACACHTuJAj/NZzRECAAD/AwAADgAAAAAA&#10;AAABACAAAAAlAQAAZHJzL2Uyb0RvYy54bWxQSwUGAAAAAAYABgBZAQAAqAUAAAAA&#10;">
                  <v:fill on="f" focussize="0,0"/>
                  <v:stroke color="#000000" joinstyle="round" endarrow="open"/>
                  <v:imagedata o:title=""/>
                  <o:lock v:ext="edit" aspectratio="f"/>
                </v:line>
                <v:line id="直接连接符 93" o:spid="_x0000_s1026" o:spt="20" style="position:absolute;left:986155;top:3304540;height:0;width:488315;" filled="f" stroked="t" coordsize="21600,21600" o:gfxdata="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0ToHGtYAAAAFAQAADwAAAAAAAAABACAAAAAiAAAA&#10;ZHJzL2Rvd25yZXYueG1sUEsBAhQAFAAAAAgAh07iQMcdEvsJAgAA8gMAAA4AAAAAAAAAAQAgAAAA&#10;JQEAAGRycy9lMm9Eb2MueG1sUEsFBgAAAAAGAAYAWQEAAKAFAAAAAA==&#10;">
                  <v:fill on="f" focussize="0,0"/>
                  <v:stroke color="#000000" joinstyle="round" endarrow="open"/>
                  <v:imagedata o:title=""/>
                  <o:lock v:ext="edit" aspectratio="f"/>
                </v:line>
                <v:line id="直接连接符 95" o:spid="_x0000_s1026" o:spt="20" style="position:absolute;left:2313305;top:3305175;height:0;width:444500;" filled="f" stroked="t" coordsize="21600,21600" o:gfxdata="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sbWtf1gAAAAUBAAAPAAAAAAAAAAEAIAAAACIA&#10;AABkcnMvZG93bnJldi54bWxQSwECFAAUAAAACACHTuJAVTrStAsCAADyAwAADgAAAAAAAAABACAA&#10;AAAlAQAAZHJzL2Uyb0RvYy54bWxQSwUGAAAAAAYABgBZAQAAogUAAAAA&#10;">
                  <v:fill on="f" focussize="0,0"/>
                  <v:stroke color="#000000" joinstyle="round" dashstyle="dash" endarrow="open"/>
                  <v:imagedata o:title=""/>
                  <o:lock v:ext="edit" aspectratio="f"/>
                </v:line>
                <v:line id="直接连接符 96" o:spid="_x0000_s1026" o:spt="20" style="position:absolute;left:4198620;top:551180;height:834390;width:0;" filled="f" stroked="t" coordsize="21600,21600" o:gfxdata="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ifdL39UAAAAFAQAADwAAAAAAAAABACAAAAAiAAAAZHJzL2Rv&#10;d25yZXYueG1sUEsBAhQAFAAAAAgAh07iQMehiC4EAgAA8QMAAA4AAAAAAAAAAQAgAAAAJAEAAGRy&#10;cy9lMm9Eb2MueG1sUEsFBgAAAAAGAAYAWQEAAJoFAAAAAA==&#10;">
                  <v:fill on="f" focussize="0,0"/>
                  <v:stroke color="#000000" joinstyle="round"/>
                  <v:imagedata o:title=""/>
                  <o:lock v:ext="edit" aspectratio="f"/>
                </v:line>
                <v:line id="直接连接符 97" o:spid="_x0000_s1026" o:spt="20" style="position:absolute;left:5253355;top:632460;flip:x y;height:299720;width:0;" filled="f" stroked="t" coordsize="21600,21600" o:gfxdata="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MwCsL9YAAAAFAQAADwAAAAAA&#10;AAABACAAAAAiAAAAZHJzL2Rvd25yZXYueG1sUEsBAhQAFAAAAAgAh07iQEGEmkQVAgAABgQAAA4A&#10;AAAAAAAAAQAgAAAAJQEAAGRycy9lMm9Eb2MueG1sUEsFBgAAAAAGAAYAWQEAAKwFAAAAAA==&#10;">
                  <v:fill on="f" focussize="0,0"/>
                  <v:stroke color="#000000" joinstyle="round" endarrow="open"/>
                  <v:imagedata o:title=""/>
                  <o:lock v:ext="edit" aspectratio="f"/>
                </v:line>
                <v:line id="直接连接符 98" o:spid="_x0000_s1026" o:spt="20" style="position:absolute;left:3783330;top:1390650;flip:y;height:6350;width:430530;" filled="f" stroked="t" coordsize="21600,21600" o:gfxdata="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OuELoTWAAAABQEAAA8AAAAAAAAA&#10;AQAgAAAAIgAAAGRycy9kb3ducmV2LnhtbFBLAQIUABQAAAAIAIdO4kA5IjXMEwIAAAAEAAAOAAAA&#10;AAAAAAEAIAAAACUBAABkcnMvZTJvRG9jLnhtbFBLBQYAAAAABgAGAFkBAACqBQAAAAA=&#10;">
                  <v:fill on="f" focussize="0,0"/>
                  <v:stroke color="#000000" joinstyle="round" endarrow="open"/>
                  <v:imagedata o:title=""/>
                  <o:lock v:ext="edit" aspectratio="f"/>
                </v:line>
                <v:shape id="文本框 101" o:spid="_x0000_s1026" o:spt="202" type="#_x0000_t202" style="position:absolute;left:2597150;top:327025;height:241300;width:647700;" filled="f" stroked="f" coordsize="21600,21600" o:gfxdata="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bLAxi1AAAAAUBAAAPAAAAAAAAAAEAIAAAACIAAABkcnMvZG93bnJldi54bWxQSwECFAAUAAAA&#10;CACHTuJA+aPYBrkBAABcAwAADgAAAAAAAAABACAAAAAjAQAAZHJzL2Uyb0RvYy54bWxQSwUGAAAA&#10;AAYABgBZAQAATgU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eastAsia="宋体"/>
                            <w:sz w:val="18"/>
                            <w:szCs w:val="18"/>
                            <w:lang w:val="en-US" w:eastAsia="zh-CN"/>
                          </w:rPr>
                          <w:t>6.40</w:t>
                        </w:r>
                      </w:p>
                    </w:txbxContent>
                  </v:textbox>
                </v:shape>
                <v:shape id="文本框 105" o:spid="_x0000_s1026" o:spt="202" type="#_x0000_t202" style="position:absolute;left:2085340;top:646430;height:241300;width:695960;" filled="f" stroked="f" coordsize="21600,21600" o:gfxdata="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bLAxi1AAAAAUBAAAPAAAAAAAAAAEAIAAAACIAAABkcnMvZG93bnJldi54bWxQSwECFAAUAAAA&#10;CACHTuJAFJxN3LkBAABcAwAADgAAAAAAAAABACAAAAAjAQAAZHJzL2Uyb0RvYy54bWxQSwUGAAAA&#10;AAYABgBZAQAATgU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0.06</w:t>
                        </w:r>
                      </w:p>
                    </w:txbxContent>
                  </v:textbox>
                </v:shape>
                <v:shape id="文本框 107" o:spid="_x0000_s1026" o:spt="202" type="#_x0000_t202" style="position:absolute;left:4895215;top:1593850;height:273050;width:707390;" fillcolor="#FFFFFF" filled="t" stroked="t" coordsize="21600,21600" o:gfxdata="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oH1Df1gAAAAUBAAAPAAAA&#10;AAAAAAEAIAAAACIAAABkcnMvZG93bnJldi54bWxQSwECFAAUAAAACACHTuJAYMQfnBcCAABFBAAA&#10;DgAAAAAAAAABACAAAAAlAQAAZHJzL2Uyb0RvYy54bWxQSwUGAAAAAAYABgBZAQAArgUAAAAA&#10;">
                  <v:fill on="t" focussize="0,0"/>
                  <v:stroke color="#000000" joinstyle="miter"/>
                  <v:imagedata o:title=""/>
                  <o:lock v:ext="edit" aspectratio="f"/>
                  <v:textbo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农田灌溉</w:t>
                        </w:r>
                      </w:p>
                    </w:txbxContent>
                  </v:textbox>
                </v:shape>
                <v:shape id="文本框 110" o:spid="_x0000_s1026" o:spt="202" type="#_x0000_t202" style="position:absolute;left:3813810;top:1168400;height:241300;width:340360;" filled="f" stroked="f" coordsize="21600,21600" o:gfxdata="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b&#10;LAxi1AAAAAUBAAAPAAAAAAAAAAEAIAAAACIAAABkcnMvZG93bnJldi54bWxQSwECFAAUAAAACACH&#10;TuJAspICo7YBAABdAwAADgAAAAAAAAABACAAAAAjAQAAZHJzL2Uyb0RvYy54bWxQSwUGAAAAAAYA&#10;BgBZAQAASwU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63</w:t>
                        </w:r>
                      </w:p>
                    </w:txbxContent>
                  </v:textbox>
                </v:shape>
                <v:shape id="文本框 111" o:spid="_x0000_s1026" o:spt="202" type="#_x0000_t202" style="position:absolute;left:4802505;top:318770;height:279400;width:819785;" fillcolor="#FFFFFF" filled="t" stroked="t" coordsize="21600,21600" o:gfxdata="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aB9Q39YAAAAFAQAADwAA&#10;AAAAAAABACAAAAAiAAAAZHJzL2Rvd25yZXYueG1sUEsBAhQAFAAAAAgAh07iQCrqDf0YAgAARAQA&#10;AA4AAAAAAAAAAQAgAAAAJQEAAGRycy9lMm9Eb2MueG1sUEsFBgAAAAAGAAYAWQEAAK8FAAAAAA==&#10;">
                  <v:fill on="t" focussize="0,0"/>
                  <v:stroke color="#000000" joinstyle="miter"/>
                  <v:imagedata o:title=""/>
                  <o:lock v:ext="edit" aspectratio="f"/>
                  <v:textbox>
                    <w:txbxContent>
                      <w:p>
                        <w:pPr>
                          <w:spacing w:line="240" w:lineRule="auto"/>
                          <w:ind w:firstLine="0" w:firstLineChars="0"/>
                          <w:jc w:val="center"/>
                          <w:rPr>
                            <w:rFonts w:hint="eastAsia" w:eastAsia="宋体"/>
                            <w:sz w:val="18"/>
                            <w:szCs w:val="18"/>
                            <w:lang w:eastAsia="zh-CN"/>
                          </w:rPr>
                        </w:pPr>
                        <w:r>
                          <w:rPr>
                            <w:rFonts w:hint="eastAsia"/>
                            <w:sz w:val="18"/>
                            <w:szCs w:val="18"/>
                            <w:lang w:eastAsia="zh-CN"/>
                          </w:rPr>
                          <w:t>绿化用水</w:t>
                        </w:r>
                      </w:p>
                    </w:txbxContent>
                  </v:textbox>
                </v:shape>
                <v:shape id="文本框 112" o:spid="_x0000_s1026" o:spt="202" type="#_x0000_t202" style="position:absolute;left:4202430;top:810260;height:316865;width:530225;" filled="f" stroked="f" coordsize="21600,21600" o:gfxdata="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NssDGLUAAAABQEAAA8AAAAAAAAAAQAgAAAAIgAAAGRycy9kb3ducmV2LnhtbFBLAQIUABQAAAAI&#10;AIdO4kAdzk+ZuAEAAFwDAAAOAAAAAAAAAAEAIAAAACMBAABkcnMvZTJvRG9jLnhtbFBLBQYAAAAA&#10;BgAGAFkBAABNBQ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eastAsia="宋体"/>
                            <w:sz w:val="18"/>
                            <w:szCs w:val="18"/>
                            <w:lang w:val="en-US" w:eastAsia="zh-CN"/>
                          </w:rPr>
                          <w:t>69.73</w:t>
                        </w:r>
                      </w:p>
                    </w:txbxContent>
                  </v:textbox>
                </v:shape>
                <v:shape id="文本框 113" o:spid="_x0000_s1026" o:spt="202" type="#_x0000_t202" style="position:absolute;left:4903470;top:641350;height:316865;width:398145;" filled="f" stroked="f" coordsize="21600,21600" o:gfxdata="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2ywMYtQAAAAFAQAADwAAAAAAAAABACAAAAAiAAAAZHJzL2Rvd25yZXYueG1sUEsBAhQAFAAA&#10;AAgAh07iQCJfQVK6AQAAXAMAAA4AAAAAAAAAAQAgAAAAIwEAAGRycy9lMm9Eb2MueG1sUEsFBgAA&#10;AAAGAAYAWQEAAE8FA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eastAsia="宋体"/>
                            <w:sz w:val="18"/>
                            <w:szCs w:val="18"/>
                            <w:lang w:val="en-US" w:eastAsia="zh-CN"/>
                          </w:rPr>
                          <w:t>22.50</w:t>
                        </w:r>
                      </w:p>
                    </w:txbxContent>
                  </v:textbox>
                </v:shape>
                <v:shape id="文本框 114" o:spid="_x0000_s1026" o:spt="202" type="#_x0000_t202" style="position:absolute;left:4777740;top:1256665;height:316865;width:524510;" filled="f" stroked="f" coordsize="21600,21600" o:gfxdata="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bLAxi1AAAAAUBAAAPAAAAAAAAAAEAIAAAACIAAABkcnMvZG93bnJldi54bWxQSwECFAAUAAAA&#10;CACHTuJAIED0wLkBAABdAwAADgAAAAAAAAABACAAAAAjAQAAZHJzL2Uyb0RvYy54bWxQSwUGAAAA&#10;AAYABgBZAQAATgU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eastAsia="宋体"/>
                            <w:sz w:val="18"/>
                            <w:szCs w:val="18"/>
                            <w:lang w:val="en-US" w:eastAsia="zh-CN"/>
                          </w:rPr>
                          <w:t>47.23</w:t>
                        </w:r>
                      </w:p>
                    </w:txbxContent>
                  </v:textbox>
                </v:shape>
                <v:shape id="文本框 171" o:spid="_x0000_s1026" o:spt="202" type="#_x0000_t202" style="position:absolute;left:3139440;top:414655;height:279400;width:561340;" fillcolor="#FFFFFF" filled="t" stroked="t" coordsize="21600,21600" o:gfxdata="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aB9Q39YAAAAFAQAADwAA&#10;AAAAAAABACAAAAAiAAAAZHJzL2Rvd25yZXYueG1sUEsBAhQAFAAAAAgAh07iQPesAyEYAgAARAQA&#10;AA4AAAAAAAAAAQAgAAAAJQEAAGRycy9lMm9Eb2MueG1sUEsFBgAAAAAGAAYAWQEAAK8FAAAAAA==&#10;">
                  <v:fill on="t" focussize="0,0"/>
                  <v:stroke color="#000000" joinstyle="miter"/>
                  <v:imagedata o:title=""/>
                  <o:lock v:ext="edit" aspectratio="f"/>
                  <v:textbox>
                    <w:txbxContent>
                      <w:p>
                        <w:pPr>
                          <w:spacing w:line="240" w:lineRule="auto"/>
                          <w:ind w:firstLine="0" w:firstLineChars="0"/>
                          <w:rPr>
                            <w:rFonts w:hint="default" w:eastAsia="宋体"/>
                            <w:sz w:val="18"/>
                            <w:szCs w:val="18"/>
                            <w:lang w:val="en-US" w:eastAsia="zh-CN"/>
                          </w:rPr>
                        </w:pPr>
                        <w:r>
                          <w:rPr>
                            <w:rFonts w:hint="eastAsia" w:eastAsia="宋体"/>
                            <w:sz w:val="18"/>
                            <w:szCs w:val="18"/>
                            <w:lang w:val="en-US" w:eastAsia="zh-CN"/>
                          </w:rPr>
                          <w:t>隔油池</w:t>
                        </w:r>
                      </w:p>
                    </w:txbxContent>
                  </v:textbox>
                </v:shape>
                <v:line id="直接连接符 172" o:spid="_x0000_s1026" o:spt="20" style="position:absolute;left:3703955;top:560705;height:0;width:517525;" filled="f" stroked="t" coordsize="21600,21600" o:gfxdata="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NE6BxrWAAAABQEAAA8AAAAAAAAAAQAgAAAAIgAA&#10;AGRycy9kb3ducmV2LnhtbFBLAQIUABQAAAAIAIdO4kCayjzMCgIAAPMDAAAOAAAAAAAAAAEAIAAA&#10;ACUBAABkcnMvZTJvRG9jLnhtbFBLBQYAAAAABgAGAFkBAAChBQAAAAA=&#10;">
                  <v:fill on="f" focussize="0,0"/>
                  <v:stroke color="#000000" joinstyle="round" endarrow="open"/>
                  <v:imagedata o:title=""/>
                  <o:lock v:ext="edit" aspectratio="f"/>
                </v:line>
                <v:shape id="文本框 173" o:spid="_x0000_s1026" o:spt="202" type="#_x0000_t202" style="position:absolute;left:3689350;top:325755;height:241300;width:647700;" filled="f" stroked="f" coordsize="21600,21600" o:gfxdata="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2ywMYtQAAAAFAQAADwAAAAAAAAABACAAAAAiAAAAZHJzL2Rvd25yZXYueG1sUEsBAhQAFAAA&#10;AAgAh07iQAcKiUe6AQAAXAMAAA4AAAAAAAAAAQAgAAAAIwEAAGRycy9lMm9Eb2MueG1sUEsFBgAA&#10;AAAGAAYAWQEAAE8FA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6.40</w:t>
                        </w:r>
                      </w:p>
                    </w:txbxContent>
                  </v:textbox>
                </v:shape>
                <w10:wrap type="none"/>
                <w10:anchorlock/>
              </v:group>
            </w:pict>
          </mc:Fallback>
        </mc:AlternateContent>
      </w: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hint="eastAsia" w:ascii="Times New Roman" w:hAnsi="Times New Roman" w:eastAsia="宋体"/>
          <w:b/>
          <w:color w:val="auto"/>
          <w:szCs w:val="21"/>
        </w:rPr>
      </w:pPr>
      <w:r>
        <w:rPr>
          <w:rFonts w:hint="eastAsia" w:ascii="Times New Roman" w:hAnsi="Times New Roman" w:eastAsia="宋体"/>
          <w:b/>
          <w:color w:val="auto"/>
          <w:szCs w:val="21"/>
          <w:lang w:eastAsia="zh-CN"/>
        </w:rPr>
        <w:t>图</w:t>
      </w:r>
      <w:r>
        <w:rPr>
          <w:rFonts w:hint="eastAsia" w:ascii="Times New Roman" w:hAnsi="Times New Roman" w:eastAsia="宋体"/>
          <w:b/>
          <w:color w:val="auto"/>
          <w:szCs w:val="21"/>
          <w:lang w:val="en-US" w:eastAsia="zh-CN"/>
        </w:rPr>
        <w:t>3.3</w:t>
      </w:r>
      <w:r>
        <w:rPr>
          <w:rFonts w:hint="eastAsia" w:ascii="Times New Roman" w:hAnsi="Times New Roman" w:eastAsia="宋体"/>
          <w:b/>
          <w:color w:val="auto"/>
          <w:szCs w:val="21"/>
        </w:rPr>
        <w:t>-</w:t>
      </w:r>
      <w:r>
        <w:rPr>
          <w:rFonts w:hint="eastAsia" w:ascii="Times New Roman" w:hAnsi="Times New Roman" w:eastAsia="宋体"/>
          <w:b/>
          <w:color w:val="auto"/>
          <w:szCs w:val="21"/>
          <w:lang w:val="en-US" w:eastAsia="zh-CN"/>
        </w:rPr>
        <w:t xml:space="preserve">1 </w:t>
      </w:r>
      <w:r>
        <w:rPr>
          <w:rFonts w:ascii="Times New Roman" w:hAnsi="Times New Roman" w:eastAsia="宋体"/>
          <w:b/>
          <w:color w:val="auto"/>
          <w:szCs w:val="21"/>
        </w:rPr>
        <w:t xml:space="preserve"> </w:t>
      </w:r>
      <w:r>
        <w:rPr>
          <w:rFonts w:hint="eastAsia" w:ascii="Times New Roman" w:hAnsi="Times New Roman" w:eastAsia="宋体"/>
          <w:b/>
          <w:color w:val="auto"/>
          <w:szCs w:val="21"/>
        </w:rPr>
        <w:t>项目夏季水平衡图（单位：m</w:t>
      </w:r>
      <w:r>
        <w:rPr>
          <w:rFonts w:hint="eastAsia" w:ascii="Times New Roman" w:hAnsi="Times New Roman" w:eastAsia="宋体"/>
          <w:b/>
          <w:color w:val="auto"/>
          <w:szCs w:val="21"/>
          <w:vertAlign w:val="superscript"/>
        </w:rPr>
        <w:t>3</w:t>
      </w:r>
      <w:r>
        <w:rPr>
          <w:rFonts w:hint="eastAsia" w:ascii="Times New Roman" w:hAnsi="Times New Roman" w:eastAsia="宋体"/>
          <w:b/>
          <w:color w:val="auto"/>
          <w:szCs w:val="21"/>
        </w:rPr>
        <w:t>/d）</w:t>
      </w:r>
    </w:p>
    <w:p>
      <w:pPr>
        <w:spacing w:line="360" w:lineRule="auto"/>
        <w:rPr>
          <w:rFonts w:hint="eastAsia" w:ascii="Times New Roman" w:hAnsi="Times New Roman" w:eastAsia="宋体" w:cstheme="minorBidi"/>
          <w:b w:val="0"/>
          <w:snapToGrid w:val="0"/>
          <w:color w:val="auto"/>
          <w:kern w:val="2"/>
          <w:sz w:val="24"/>
          <w:szCs w:val="22"/>
          <w:lang w:val="en-US" w:eastAsia="zh-CN" w:bidi="ar-SA"/>
        </w:rPr>
      </w:pPr>
      <w:r>
        <w:rPr>
          <w:rFonts w:hint="default" w:ascii="Times New Roman" w:hAnsi="Times New Roman" w:cs="Times New Roman"/>
          <w:color w:val="auto"/>
          <w:sz w:val="21"/>
        </w:rPr>
        <mc:AlternateContent>
          <mc:Choice Requires="wpc">
            <w:drawing>
              <wp:inline distT="0" distB="0" distL="114300" distR="114300">
                <wp:extent cx="5667375" cy="2888615"/>
                <wp:effectExtent l="4445" t="5080" r="5080" b="20955"/>
                <wp:docPr id="174" name="画布 174"/>
                <wp:cNvGraphicFramePr/>
                <a:graphic xmlns:a="http://schemas.openxmlformats.org/drawingml/2006/main">
                  <a:graphicData uri="http://schemas.microsoft.com/office/word/2010/wordprocessingCanvas">
                    <wpc:wpc>
                      <wpc:bg>
                        <a:noFill/>
                      </wpc:bg>
                      <wpc:whole>
                        <a:ln w="9525" cap="flat" cmpd="sng">
                          <a:solidFill>
                            <a:srgbClr val="000000"/>
                          </a:solidFill>
                          <a:prstDash val="solid"/>
                          <a:miter/>
                          <a:headEnd type="none" w="med" len="med"/>
                          <a:tailEnd type="none" w="med" len="med"/>
                        </a:ln>
                      </wpc:whole>
                      <wps:wsp>
                        <wps:cNvPr id="163" name="文本框 8"/>
                        <wps:cNvSpPr txBox="1"/>
                        <wps:spPr>
                          <a:xfrm>
                            <a:off x="0" y="1670050"/>
                            <a:ext cx="537845" cy="354330"/>
                          </a:xfrm>
                          <a:prstGeom prst="rect">
                            <a:avLst/>
                          </a:prstGeom>
                          <a:noFill/>
                          <a:ln>
                            <a:noFill/>
                          </a:ln>
                        </wps:spPr>
                        <wps:txbx>
                          <w:txbxContent>
                            <w:p>
                              <w:pPr>
                                <w:spacing w:line="240" w:lineRule="auto"/>
                                <w:ind w:firstLine="0" w:firstLineChars="0"/>
                                <w:rPr>
                                  <w:rFonts w:hint="eastAsia" w:eastAsiaTheme="minorEastAsia"/>
                                  <w:sz w:val="18"/>
                                  <w:szCs w:val="18"/>
                                  <w:lang w:eastAsia="zh-CN"/>
                                </w:rPr>
                              </w:pPr>
                              <w:r>
                                <w:rPr>
                                  <w:rFonts w:hint="eastAsia"/>
                                  <w:sz w:val="18"/>
                                  <w:szCs w:val="18"/>
                                  <w:lang w:eastAsia="zh-CN"/>
                                </w:rPr>
                                <w:t>新鲜水</w:t>
                              </w:r>
                            </w:p>
                          </w:txbxContent>
                        </wps:txbx>
                        <wps:bodyPr upright="1"/>
                      </wps:wsp>
                      <wps:wsp>
                        <wps:cNvPr id="164" name="直接连接符 13"/>
                        <wps:cNvCnPr/>
                        <wps:spPr>
                          <a:xfrm>
                            <a:off x="450215" y="1835150"/>
                            <a:ext cx="517525" cy="0"/>
                          </a:xfrm>
                          <a:prstGeom prst="line">
                            <a:avLst/>
                          </a:prstGeom>
                          <a:ln w="9525" cap="flat" cmpd="sng">
                            <a:solidFill>
                              <a:srgbClr val="000000"/>
                            </a:solidFill>
                            <a:prstDash val="solid"/>
                            <a:headEnd type="none" w="med" len="med"/>
                            <a:tailEnd type="arrow" w="med" len="med"/>
                          </a:ln>
                        </wps:spPr>
                        <wps:bodyPr upright="1"/>
                      </wps:wsp>
                      <wps:wsp>
                        <wps:cNvPr id="165" name="直接连接符 16"/>
                        <wps:cNvCnPr/>
                        <wps:spPr>
                          <a:xfrm>
                            <a:off x="967105" y="565150"/>
                            <a:ext cx="8255" cy="2151380"/>
                          </a:xfrm>
                          <a:prstGeom prst="line">
                            <a:avLst/>
                          </a:prstGeom>
                          <a:ln w="9525" cap="flat" cmpd="sng">
                            <a:solidFill>
                              <a:srgbClr val="000000"/>
                            </a:solidFill>
                            <a:prstDash val="solid"/>
                            <a:headEnd type="none" w="med" len="med"/>
                            <a:tailEnd type="none" w="med" len="med"/>
                          </a:ln>
                        </wps:spPr>
                        <wps:bodyPr upright="1"/>
                      </wps:wsp>
                      <wps:wsp>
                        <wps:cNvPr id="166" name="直接连接符 19"/>
                        <wps:cNvCnPr/>
                        <wps:spPr>
                          <a:xfrm flipV="1">
                            <a:off x="969645" y="572770"/>
                            <a:ext cx="533400" cy="0"/>
                          </a:xfrm>
                          <a:prstGeom prst="line">
                            <a:avLst/>
                          </a:prstGeom>
                          <a:ln w="9525" cap="flat" cmpd="sng">
                            <a:solidFill>
                              <a:srgbClr val="000000"/>
                            </a:solidFill>
                            <a:prstDash val="solid"/>
                            <a:headEnd type="none" w="med" len="med"/>
                            <a:tailEnd type="arrow" w="med" len="med"/>
                          </a:ln>
                        </wps:spPr>
                        <wps:bodyPr upright="1"/>
                      </wps:wsp>
                      <wps:wsp>
                        <wps:cNvPr id="167" name="直接连接符 34"/>
                        <wps:cNvCnPr/>
                        <wps:spPr>
                          <a:xfrm>
                            <a:off x="984885" y="1597660"/>
                            <a:ext cx="471805" cy="635"/>
                          </a:xfrm>
                          <a:prstGeom prst="line">
                            <a:avLst/>
                          </a:prstGeom>
                          <a:ln w="9525" cap="flat" cmpd="sng">
                            <a:solidFill>
                              <a:srgbClr val="000000"/>
                            </a:solidFill>
                            <a:prstDash val="solid"/>
                            <a:headEnd type="none" w="med" len="med"/>
                            <a:tailEnd type="arrow" w="med" len="med"/>
                          </a:ln>
                        </wps:spPr>
                        <wps:bodyPr upright="1"/>
                      </wps:wsp>
                      <wps:wsp>
                        <wps:cNvPr id="168" name="直接连接符 35"/>
                        <wps:cNvCnPr/>
                        <wps:spPr>
                          <a:xfrm>
                            <a:off x="2203450" y="562610"/>
                            <a:ext cx="930275" cy="7620"/>
                          </a:xfrm>
                          <a:prstGeom prst="line">
                            <a:avLst/>
                          </a:prstGeom>
                          <a:ln w="9525" cap="flat" cmpd="sng">
                            <a:solidFill>
                              <a:srgbClr val="000000"/>
                            </a:solidFill>
                            <a:prstDash val="solid"/>
                            <a:headEnd type="none" w="med" len="med"/>
                            <a:tailEnd type="arrow" w="med" len="med"/>
                          </a:ln>
                        </wps:spPr>
                        <wps:bodyPr upright="1"/>
                      </wps:wsp>
                      <wps:wsp>
                        <wps:cNvPr id="169" name="直接连接符 36"/>
                        <wps:cNvCnPr/>
                        <wps:spPr>
                          <a:xfrm flipV="1">
                            <a:off x="979170" y="1080135"/>
                            <a:ext cx="508635" cy="0"/>
                          </a:xfrm>
                          <a:prstGeom prst="line">
                            <a:avLst/>
                          </a:prstGeom>
                          <a:ln w="9525" cap="flat" cmpd="sng">
                            <a:solidFill>
                              <a:srgbClr val="000000"/>
                            </a:solidFill>
                            <a:prstDash val="solid"/>
                            <a:headEnd type="none" w="med" len="med"/>
                            <a:tailEnd type="arrow" w="med" len="med"/>
                          </a:ln>
                        </wps:spPr>
                        <wps:bodyPr upright="1"/>
                      </wps:wsp>
                      <wps:wsp>
                        <wps:cNvPr id="170" name="文本框 37"/>
                        <wps:cNvSpPr txBox="1"/>
                        <wps:spPr>
                          <a:xfrm>
                            <a:off x="1483360" y="923290"/>
                            <a:ext cx="786765" cy="2857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0" w:firstLineChars="0"/>
                                <w:rPr>
                                  <w:rFonts w:hint="eastAsia" w:eastAsia="宋体"/>
                                  <w:sz w:val="18"/>
                                  <w:szCs w:val="18"/>
                                  <w:lang w:eastAsia="zh-CN"/>
                                </w:rPr>
                              </w:pPr>
                              <w:r>
                                <w:rPr>
                                  <w:rFonts w:hint="eastAsia"/>
                                  <w:sz w:val="18"/>
                                  <w:szCs w:val="18"/>
                                </w:rPr>
                                <w:t>猪舍</w:t>
                              </w:r>
                              <w:r>
                                <w:rPr>
                                  <w:rFonts w:hint="eastAsia"/>
                                  <w:sz w:val="18"/>
                                  <w:szCs w:val="18"/>
                                  <w:lang w:eastAsia="zh-CN"/>
                                </w:rPr>
                                <w:t>冲洗水</w:t>
                              </w:r>
                            </w:p>
                          </w:txbxContent>
                        </wps:txbx>
                        <wps:bodyPr upright="1"/>
                      </wps:wsp>
                      <wps:wsp>
                        <wps:cNvPr id="185" name="文本框 39"/>
                        <wps:cNvSpPr txBox="1"/>
                        <wps:spPr>
                          <a:xfrm>
                            <a:off x="1475105" y="1419860"/>
                            <a:ext cx="766445"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0" w:firstLineChars="0"/>
                                <w:jc w:val="center"/>
                                <w:rPr>
                                  <w:rFonts w:hint="eastAsia" w:eastAsiaTheme="minorEastAsia"/>
                                  <w:sz w:val="18"/>
                                  <w:szCs w:val="18"/>
                                  <w:lang w:eastAsia="zh-CN"/>
                                </w:rPr>
                              </w:pPr>
                              <w:r>
                                <w:rPr>
                                  <w:rFonts w:hint="eastAsia"/>
                                  <w:sz w:val="18"/>
                                  <w:szCs w:val="18"/>
                                  <w:lang w:eastAsia="zh-CN"/>
                                </w:rPr>
                                <w:t>猪饮用水</w:t>
                              </w:r>
                            </w:p>
                          </w:txbxContent>
                        </wps:txbx>
                        <wps:bodyPr upright="1"/>
                      </wps:wsp>
                      <wps:wsp>
                        <wps:cNvPr id="188" name="文本框 40"/>
                        <wps:cNvSpPr txBox="1"/>
                        <wps:spPr>
                          <a:xfrm>
                            <a:off x="1510030" y="443865"/>
                            <a:ext cx="67691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0" w:firstLineChars="0"/>
                                <w:rPr>
                                  <w:sz w:val="18"/>
                                  <w:szCs w:val="18"/>
                                </w:rPr>
                              </w:pPr>
                              <w:r>
                                <w:rPr>
                                  <w:rFonts w:hint="eastAsia"/>
                                  <w:sz w:val="18"/>
                                  <w:szCs w:val="18"/>
                                </w:rPr>
                                <w:t>生活用水</w:t>
                              </w:r>
                            </w:p>
                          </w:txbxContent>
                        </wps:txbx>
                        <wps:bodyPr upright="1"/>
                      </wps:wsp>
                      <wps:wsp>
                        <wps:cNvPr id="191" name="文本框 43"/>
                        <wps:cNvSpPr txBox="1"/>
                        <wps:spPr>
                          <a:xfrm>
                            <a:off x="1504315" y="2060575"/>
                            <a:ext cx="70485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0" w:firstLineChars="0"/>
                                <w:jc w:val="center"/>
                                <w:rPr>
                                  <w:sz w:val="18"/>
                                  <w:szCs w:val="18"/>
                                </w:rPr>
                              </w:pPr>
                              <w:r>
                                <w:rPr>
                                  <w:rFonts w:hint="eastAsia"/>
                                  <w:sz w:val="18"/>
                                  <w:szCs w:val="18"/>
                                </w:rPr>
                                <w:t>消毒用水</w:t>
                              </w:r>
                            </w:p>
                          </w:txbxContent>
                        </wps:txbx>
                        <wps:bodyPr upright="1"/>
                      </wps:wsp>
                      <wps:wsp>
                        <wps:cNvPr id="196" name="文本框 45"/>
                        <wps:cNvSpPr txBox="1"/>
                        <wps:spPr>
                          <a:xfrm>
                            <a:off x="1477645" y="2553335"/>
                            <a:ext cx="819785"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0" w:firstLineChars="0"/>
                                <w:rPr>
                                  <w:rFonts w:hint="eastAsia" w:eastAsia="宋体"/>
                                  <w:sz w:val="18"/>
                                  <w:szCs w:val="18"/>
                                  <w:lang w:eastAsia="zh-CN"/>
                                </w:rPr>
                              </w:pPr>
                              <w:r>
                                <w:rPr>
                                  <w:rFonts w:hint="eastAsia"/>
                                  <w:sz w:val="18"/>
                                  <w:szCs w:val="18"/>
                                  <w:lang w:eastAsia="zh-CN"/>
                                </w:rPr>
                                <w:t>未</w:t>
                              </w:r>
                              <w:r>
                                <w:rPr>
                                  <w:rFonts w:hint="eastAsia"/>
                                  <w:sz w:val="18"/>
                                  <w:szCs w:val="18"/>
                                </w:rPr>
                                <w:t>预见</w:t>
                              </w:r>
                              <w:r>
                                <w:rPr>
                                  <w:rFonts w:hint="eastAsia"/>
                                  <w:sz w:val="18"/>
                                  <w:szCs w:val="18"/>
                                  <w:lang w:eastAsia="zh-CN"/>
                                </w:rPr>
                                <w:t>用水</w:t>
                              </w:r>
                            </w:p>
                          </w:txbxContent>
                        </wps:txbx>
                        <wps:bodyPr upright="1"/>
                      </wps:wsp>
                      <wps:wsp>
                        <wps:cNvPr id="209" name="直接连接符 49"/>
                        <wps:cNvCnPr/>
                        <wps:spPr>
                          <a:xfrm>
                            <a:off x="2223770" y="2225675"/>
                            <a:ext cx="448310" cy="0"/>
                          </a:xfrm>
                          <a:prstGeom prst="line">
                            <a:avLst/>
                          </a:prstGeom>
                          <a:ln w="9525" cap="flat" cmpd="sng">
                            <a:solidFill>
                              <a:srgbClr val="000000"/>
                            </a:solidFill>
                            <a:prstDash val="dash"/>
                            <a:headEnd type="none" w="med" len="med"/>
                            <a:tailEnd type="arrow" w="med" len="med"/>
                          </a:ln>
                        </wps:spPr>
                        <wps:bodyPr upright="1"/>
                      </wps:wsp>
                      <wps:wsp>
                        <wps:cNvPr id="233" name="文本框 51"/>
                        <wps:cNvSpPr txBox="1"/>
                        <wps:spPr>
                          <a:xfrm>
                            <a:off x="2653030" y="2076450"/>
                            <a:ext cx="845185" cy="280035"/>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sz w:val="18"/>
                                  <w:szCs w:val="18"/>
                                </w:rPr>
                                <w:t>损耗</w:t>
                              </w:r>
                              <w:r>
                                <w:rPr>
                                  <w:rFonts w:hint="eastAsia"/>
                                  <w:sz w:val="18"/>
                                  <w:szCs w:val="18"/>
                                  <w:lang w:val="en-US" w:eastAsia="zh-CN"/>
                                </w:rPr>
                                <w:t>0.82</w:t>
                              </w:r>
                            </w:p>
                          </w:txbxContent>
                        </wps:txbx>
                        <wps:bodyPr upright="1"/>
                      </wps:wsp>
                      <wps:wsp>
                        <wps:cNvPr id="234" name="直接连接符 53"/>
                        <wps:cNvCnPr/>
                        <wps:spPr>
                          <a:xfrm flipV="1">
                            <a:off x="1726565" y="306070"/>
                            <a:ext cx="469900" cy="114300"/>
                          </a:xfrm>
                          <a:prstGeom prst="line">
                            <a:avLst/>
                          </a:prstGeom>
                          <a:ln w="9525" cap="flat" cmpd="sng">
                            <a:solidFill>
                              <a:srgbClr val="000000"/>
                            </a:solidFill>
                            <a:prstDash val="dash"/>
                            <a:headEnd type="none" w="med" len="med"/>
                            <a:tailEnd type="arrow" w="med" len="med"/>
                          </a:ln>
                        </wps:spPr>
                        <wps:bodyPr upright="1"/>
                      </wps:wsp>
                      <wps:wsp>
                        <wps:cNvPr id="235" name="文本框 54"/>
                        <wps:cNvSpPr txBox="1"/>
                        <wps:spPr>
                          <a:xfrm>
                            <a:off x="1012190" y="1379855"/>
                            <a:ext cx="541655" cy="241300"/>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eastAsia="宋体"/>
                                  <w:sz w:val="18"/>
                                  <w:szCs w:val="18"/>
                                  <w:lang w:val="en-US" w:eastAsia="zh-CN"/>
                                </w:rPr>
                                <w:t>150</w:t>
                              </w:r>
                            </w:p>
                          </w:txbxContent>
                        </wps:txbx>
                        <wps:bodyPr upright="1"/>
                      </wps:wsp>
                      <wps:wsp>
                        <wps:cNvPr id="236" name="文本框 55"/>
                        <wps:cNvSpPr txBox="1"/>
                        <wps:spPr>
                          <a:xfrm>
                            <a:off x="2593340" y="843280"/>
                            <a:ext cx="650875" cy="295275"/>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eastAsia="宋体"/>
                                  <w:sz w:val="18"/>
                                  <w:szCs w:val="18"/>
                                  <w:lang w:val="en-US" w:eastAsia="zh-CN"/>
                                </w:rPr>
                                <w:t>0.35</w:t>
                              </w:r>
                            </w:p>
                          </w:txbxContent>
                        </wps:txbx>
                        <wps:bodyPr upright="1"/>
                      </wps:wsp>
                      <wps:wsp>
                        <wps:cNvPr id="237" name="文本框 56"/>
                        <wps:cNvSpPr txBox="1"/>
                        <wps:spPr>
                          <a:xfrm>
                            <a:off x="1056005" y="2011045"/>
                            <a:ext cx="468630" cy="254000"/>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0.82</w:t>
                              </w:r>
                            </w:p>
                          </w:txbxContent>
                        </wps:txbx>
                        <wps:bodyPr upright="1"/>
                      </wps:wsp>
                      <wps:wsp>
                        <wps:cNvPr id="238" name="文本框 58"/>
                        <wps:cNvSpPr txBox="1"/>
                        <wps:spPr>
                          <a:xfrm>
                            <a:off x="2753995" y="2565400"/>
                            <a:ext cx="859790" cy="316865"/>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sz w:val="18"/>
                                  <w:szCs w:val="18"/>
                                </w:rPr>
                                <w:t>损耗</w:t>
                              </w:r>
                              <w:r>
                                <w:rPr>
                                  <w:rFonts w:hint="eastAsia"/>
                                  <w:sz w:val="18"/>
                                  <w:szCs w:val="18"/>
                                  <w:lang w:val="en-US" w:eastAsia="zh-CN"/>
                                </w:rPr>
                                <w:t>15.92</w:t>
                              </w:r>
                            </w:p>
                          </w:txbxContent>
                        </wps:txbx>
                        <wps:bodyPr upright="1"/>
                      </wps:wsp>
                      <wps:wsp>
                        <wps:cNvPr id="239" name="直接连接符 59"/>
                        <wps:cNvCnPr/>
                        <wps:spPr>
                          <a:xfrm>
                            <a:off x="2240915" y="1584325"/>
                            <a:ext cx="308610" cy="0"/>
                          </a:xfrm>
                          <a:prstGeom prst="line">
                            <a:avLst/>
                          </a:prstGeom>
                          <a:ln w="12700" cap="flat" cmpd="sng">
                            <a:solidFill>
                              <a:srgbClr val="000000"/>
                            </a:solidFill>
                            <a:prstDash val="solid"/>
                            <a:headEnd type="none" w="med" len="med"/>
                            <a:tailEnd type="none" w="med" len="med"/>
                          </a:ln>
                        </wps:spPr>
                        <wps:bodyPr upright="1"/>
                      </wps:wsp>
                      <wps:wsp>
                        <wps:cNvPr id="240" name="文本框 60"/>
                        <wps:cNvSpPr txBox="1"/>
                        <wps:spPr>
                          <a:xfrm>
                            <a:off x="947420" y="2459990"/>
                            <a:ext cx="647700" cy="241300"/>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15.92</w:t>
                              </w:r>
                            </w:p>
                          </w:txbxContent>
                        </wps:txbx>
                        <wps:bodyPr upright="1"/>
                      </wps:wsp>
                      <wps:wsp>
                        <wps:cNvPr id="241" name="文本框 61"/>
                        <wps:cNvSpPr txBox="1"/>
                        <wps:spPr>
                          <a:xfrm>
                            <a:off x="2521585" y="1182370"/>
                            <a:ext cx="647700" cy="241300"/>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52.50</w:t>
                              </w:r>
                            </w:p>
                          </w:txbxContent>
                        </wps:txbx>
                        <wps:bodyPr upright="1"/>
                      </wps:wsp>
                      <wps:wsp>
                        <wps:cNvPr id="242" name="文本框 63"/>
                        <wps:cNvSpPr txBox="1"/>
                        <wps:spPr>
                          <a:xfrm>
                            <a:off x="4817764" y="937210"/>
                            <a:ext cx="824811" cy="279403"/>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0" w:firstLineChars="0"/>
                                <w:rPr>
                                  <w:sz w:val="18"/>
                                  <w:szCs w:val="18"/>
                                </w:rPr>
                              </w:pPr>
                              <w:r>
                                <w:rPr>
                                  <w:rFonts w:hint="eastAsia"/>
                                  <w:sz w:val="18"/>
                                  <w:szCs w:val="18"/>
                                  <w:lang w:eastAsia="zh-CN"/>
                                </w:rPr>
                                <w:t>污水处理区</w:t>
                              </w:r>
                            </w:p>
                          </w:txbxContent>
                        </wps:txbx>
                        <wps:bodyPr upright="1"/>
                      </wps:wsp>
                      <wps:wsp>
                        <wps:cNvPr id="243" name="直接连接符 64"/>
                        <wps:cNvCnPr/>
                        <wps:spPr>
                          <a:xfrm flipH="1">
                            <a:off x="5237480" y="1223645"/>
                            <a:ext cx="6985" cy="378460"/>
                          </a:xfrm>
                          <a:prstGeom prst="line">
                            <a:avLst/>
                          </a:prstGeom>
                          <a:ln w="9525" cap="flat" cmpd="sng">
                            <a:solidFill>
                              <a:srgbClr val="000000"/>
                            </a:solidFill>
                            <a:prstDash val="solid"/>
                            <a:headEnd type="none" w="med" len="med"/>
                            <a:tailEnd type="arrow" w="med" len="med"/>
                          </a:ln>
                        </wps:spPr>
                        <wps:bodyPr upright="1"/>
                      </wps:wsp>
                      <wps:wsp>
                        <wps:cNvPr id="244" name="文本框 68"/>
                        <wps:cNvSpPr txBox="1"/>
                        <wps:spPr>
                          <a:xfrm>
                            <a:off x="2534920" y="1550035"/>
                            <a:ext cx="704850" cy="276225"/>
                          </a:xfrm>
                          <a:prstGeom prst="rect">
                            <a:avLst/>
                          </a:prstGeom>
                          <a:noFill/>
                          <a:ln>
                            <a:noFill/>
                          </a:ln>
                        </wps:spPr>
                        <wps:txbx>
                          <w:txbxContent>
                            <w:p>
                              <w:pPr>
                                <w:spacing w:line="240" w:lineRule="auto"/>
                                <w:ind w:firstLine="0" w:firstLineChars="0"/>
                                <w:rPr>
                                  <w:rFonts w:hint="default" w:eastAsia="宋体"/>
                                  <w:color w:val="auto"/>
                                  <w:sz w:val="18"/>
                                  <w:szCs w:val="18"/>
                                  <w:lang w:val="en-US" w:eastAsia="zh-CN"/>
                                </w:rPr>
                              </w:pPr>
                              <w:r>
                                <w:rPr>
                                  <w:rFonts w:hint="eastAsia" w:eastAsia="宋体"/>
                                  <w:color w:val="auto"/>
                                  <w:sz w:val="18"/>
                                  <w:szCs w:val="18"/>
                                  <w:lang w:val="en-US" w:eastAsia="zh-CN"/>
                                </w:rPr>
                                <w:t>97.50</w:t>
                              </w:r>
                            </w:p>
                          </w:txbxContent>
                        </wps:txbx>
                        <wps:bodyPr upright="1"/>
                      </wps:wsp>
                      <wps:wsp>
                        <wps:cNvPr id="245" name="文本框 70"/>
                        <wps:cNvSpPr txBox="1"/>
                        <wps:spPr>
                          <a:xfrm>
                            <a:off x="436245" y="1576705"/>
                            <a:ext cx="571500" cy="241300"/>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175.15</w:t>
                              </w:r>
                            </w:p>
                          </w:txbxContent>
                        </wps:txbx>
                        <wps:bodyPr upright="1"/>
                      </wps:wsp>
                      <wps:wsp>
                        <wps:cNvPr id="246" name="文本框 71"/>
                        <wps:cNvSpPr txBox="1"/>
                        <wps:spPr>
                          <a:xfrm>
                            <a:off x="2186305" y="133985"/>
                            <a:ext cx="469900" cy="241300"/>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1.60</w:t>
                              </w:r>
                            </w:p>
                          </w:txbxContent>
                        </wps:txbx>
                        <wps:bodyPr upright="1"/>
                      </wps:wsp>
                      <wps:wsp>
                        <wps:cNvPr id="247" name="文本框 73"/>
                        <wps:cNvSpPr txBox="1"/>
                        <wps:spPr>
                          <a:xfrm>
                            <a:off x="1081405" y="360045"/>
                            <a:ext cx="469900" cy="241300"/>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8</w:t>
                              </w:r>
                            </w:p>
                          </w:txbxContent>
                        </wps:txbx>
                        <wps:bodyPr upright="1"/>
                      </wps:wsp>
                      <wps:wsp>
                        <wps:cNvPr id="248" name="直接连接符 79"/>
                        <wps:cNvCnPr/>
                        <wps:spPr>
                          <a:xfrm>
                            <a:off x="2284730" y="1079500"/>
                            <a:ext cx="2508885" cy="6985"/>
                          </a:xfrm>
                          <a:prstGeom prst="line">
                            <a:avLst/>
                          </a:prstGeom>
                          <a:ln w="9525" cap="flat" cmpd="sng">
                            <a:solidFill>
                              <a:srgbClr val="000000"/>
                            </a:solidFill>
                            <a:prstDash val="solid"/>
                            <a:headEnd type="none" w="med" len="med"/>
                            <a:tailEnd type="arrow" w="med" len="med"/>
                          </a:ln>
                        </wps:spPr>
                        <wps:bodyPr upright="1"/>
                      </wps:wsp>
                      <wps:wsp>
                        <wps:cNvPr id="249" name="文本框 82"/>
                        <wps:cNvSpPr txBox="1"/>
                        <wps:spPr>
                          <a:xfrm>
                            <a:off x="991870" y="853440"/>
                            <a:ext cx="469900" cy="241300"/>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0.41</w:t>
                              </w:r>
                            </w:p>
                          </w:txbxContent>
                        </wps:txbx>
                        <wps:bodyPr upright="1"/>
                      </wps:wsp>
                      <wps:wsp>
                        <wps:cNvPr id="250" name="直接连接符 84"/>
                        <wps:cNvCnPr/>
                        <wps:spPr>
                          <a:xfrm>
                            <a:off x="979805" y="2209800"/>
                            <a:ext cx="524510" cy="635"/>
                          </a:xfrm>
                          <a:prstGeom prst="line">
                            <a:avLst/>
                          </a:prstGeom>
                          <a:ln w="9525" cap="flat" cmpd="sng">
                            <a:solidFill>
                              <a:srgbClr val="000000"/>
                            </a:solidFill>
                            <a:prstDash val="solid"/>
                            <a:headEnd type="none" w="med" len="med"/>
                            <a:tailEnd type="arrow" w="med" len="med"/>
                          </a:ln>
                        </wps:spPr>
                        <wps:bodyPr upright="1"/>
                      </wps:wsp>
                      <wps:wsp>
                        <wps:cNvPr id="251" name="直接连接符 86"/>
                        <wps:cNvCnPr/>
                        <wps:spPr>
                          <a:xfrm flipV="1">
                            <a:off x="1669415" y="795655"/>
                            <a:ext cx="469900" cy="114300"/>
                          </a:xfrm>
                          <a:prstGeom prst="line">
                            <a:avLst/>
                          </a:prstGeom>
                          <a:ln w="9525" cap="flat" cmpd="sng">
                            <a:solidFill>
                              <a:srgbClr val="000000"/>
                            </a:solidFill>
                            <a:prstDash val="dash"/>
                            <a:headEnd type="none" w="med" len="med"/>
                            <a:tailEnd type="arrow" w="med" len="med"/>
                          </a:ln>
                        </wps:spPr>
                        <wps:bodyPr upright="1"/>
                      </wps:wsp>
                      <wps:wsp>
                        <wps:cNvPr id="252" name="直接连接符 87"/>
                        <wps:cNvCnPr/>
                        <wps:spPr>
                          <a:xfrm flipV="1">
                            <a:off x="2555240" y="1391285"/>
                            <a:ext cx="466090" cy="0"/>
                          </a:xfrm>
                          <a:prstGeom prst="line">
                            <a:avLst/>
                          </a:prstGeom>
                          <a:ln w="9525" cap="flat" cmpd="sng">
                            <a:solidFill>
                              <a:srgbClr val="000000"/>
                            </a:solidFill>
                            <a:prstDash val="solid"/>
                            <a:headEnd type="none" w="med" len="med"/>
                            <a:tailEnd type="arrow" w="med" len="med"/>
                          </a:ln>
                        </wps:spPr>
                        <wps:bodyPr upright="1"/>
                      </wps:wsp>
                      <wps:wsp>
                        <wps:cNvPr id="253" name="直接连接符 88"/>
                        <wps:cNvCnPr/>
                        <wps:spPr>
                          <a:xfrm flipH="1">
                            <a:off x="2552700" y="1395730"/>
                            <a:ext cx="635" cy="394335"/>
                          </a:xfrm>
                          <a:prstGeom prst="line">
                            <a:avLst/>
                          </a:prstGeom>
                          <a:ln w="12700" cap="flat" cmpd="sng">
                            <a:solidFill>
                              <a:srgbClr val="000000"/>
                            </a:solidFill>
                            <a:prstDash val="solid"/>
                            <a:headEnd type="none" w="med" len="med"/>
                            <a:tailEnd type="none" w="med" len="med"/>
                          </a:ln>
                        </wps:spPr>
                        <wps:bodyPr upright="1"/>
                      </wps:wsp>
                      <wps:wsp>
                        <wps:cNvPr id="254" name="文本框 89"/>
                        <wps:cNvSpPr txBox="1"/>
                        <wps:spPr>
                          <a:xfrm>
                            <a:off x="3030855" y="1238885"/>
                            <a:ext cx="74422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0" w:firstLineChars="0"/>
                                <w:rPr>
                                  <w:rFonts w:hint="eastAsia" w:eastAsia="宋体"/>
                                  <w:sz w:val="18"/>
                                  <w:szCs w:val="18"/>
                                  <w:lang w:eastAsia="zh-CN"/>
                                </w:rPr>
                              </w:pPr>
                              <w:r>
                                <w:rPr>
                                  <w:rFonts w:hint="eastAsia"/>
                                  <w:sz w:val="18"/>
                                  <w:szCs w:val="18"/>
                                  <w:lang w:eastAsia="zh-CN"/>
                                </w:rPr>
                                <w:t>猪粪、猪尿</w:t>
                              </w:r>
                            </w:p>
                          </w:txbxContent>
                        </wps:txbx>
                        <wps:bodyPr upright="1"/>
                      </wps:wsp>
                      <wps:wsp>
                        <wps:cNvPr id="255" name="文本框 90"/>
                        <wps:cNvSpPr txBox="1"/>
                        <wps:spPr>
                          <a:xfrm>
                            <a:off x="3016885" y="1646555"/>
                            <a:ext cx="6731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0" w:firstLineChars="0"/>
                                <w:rPr>
                                  <w:rFonts w:hint="eastAsia" w:eastAsia="宋体"/>
                                  <w:sz w:val="18"/>
                                  <w:szCs w:val="18"/>
                                  <w:lang w:eastAsia="zh-CN"/>
                                </w:rPr>
                              </w:pPr>
                              <w:r>
                                <w:rPr>
                                  <w:rFonts w:hint="eastAsia"/>
                                  <w:sz w:val="18"/>
                                  <w:szCs w:val="18"/>
                                  <w:lang w:eastAsia="zh-CN"/>
                                </w:rPr>
                                <w:t>生产消耗</w:t>
                              </w:r>
                            </w:p>
                          </w:txbxContent>
                        </wps:txbx>
                        <wps:bodyPr upright="1"/>
                      </wps:wsp>
                      <wps:wsp>
                        <wps:cNvPr id="256" name="直接连接符 91"/>
                        <wps:cNvCnPr/>
                        <wps:spPr>
                          <a:xfrm flipV="1">
                            <a:off x="2552700" y="1791970"/>
                            <a:ext cx="454660" cy="635"/>
                          </a:xfrm>
                          <a:prstGeom prst="line">
                            <a:avLst/>
                          </a:prstGeom>
                          <a:ln w="9525" cap="flat" cmpd="sng">
                            <a:solidFill>
                              <a:srgbClr val="000000"/>
                            </a:solidFill>
                            <a:prstDash val="solid"/>
                            <a:headEnd type="none" w="med" len="med"/>
                            <a:tailEnd type="arrow" w="med" len="med"/>
                          </a:ln>
                        </wps:spPr>
                        <wps:bodyPr upright="1"/>
                      </wps:wsp>
                      <wps:wsp>
                        <wps:cNvPr id="257" name="直接连接符 93"/>
                        <wps:cNvCnPr/>
                        <wps:spPr>
                          <a:xfrm>
                            <a:off x="986155" y="2703830"/>
                            <a:ext cx="488315" cy="0"/>
                          </a:xfrm>
                          <a:prstGeom prst="line">
                            <a:avLst/>
                          </a:prstGeom>
                          <a:ln w="9525" cap="flat" cmpd="sng">
                            <a:solidFill>
                              <a:srgbClr val="000000"/>
                            </a:solidFill>
                            <a:prstDash val="solid"/>
                            <a:headEnd type="none" w="med" len="med"/>
                            <a:tailEnd type="arrow" w="med" len="med"/>
                          </a:ln>
                        </wps:spPr>
                        <wps:bodyPr upright="1"/>
                      </wps:wsp>
                      <wps:wsp>
                        <wps:cNvPr id="258" name="直接连接符 95"/>
                        <wps:cNvCnPr/>
                        <wps:spPr>
                          <a:xfrm>
                            <a:off x="2306320" y="2726690"/>
                            <a:ext cx="444500" cy="0"/>
                          </a:xfrm>
                          <a:prstGeom prst="line">
                            <a:avLst/>
                          </a:prstGeom>
                          <a:ln w="9525" cap="flat" cmpd="sng">
                            <a:solidFill>
                              <a:srgbClr val="000000"/>
                            </a:solidFill>
                            <a:prstDash val="dash"/>
                            <a:headEnd type="none" w="med" len="med"/>
                            <a:tailEnd type="arrow" w="med" len="med"/>
                          </a:ln>
                        </wps:spPr>
                        <wps:bodyPr upright="1"/>
                      </wps:wsp>
                      <wps:wsp>
                        <wps:cNvPr id="259" name="直接连接符 96"/>
                        <wps:cNvCnPr/>
                        <wps:spPr>
                          <a:xfrm>
                            <a:off x="4198620" y="551180"/>
                            <a:ext cx="0" cy="834390"/>
                          </a:xfrm>
                          <a:prstGeom prst="line">
                            <a:avLst/>
                          </a:prstGeom>
                          <a:ln w="9525" cap="flat" cmpd="sng">
                            <a:solidFill>
                              <a:srgbClr val="000000"/>
                            </a:solidFill>
                            <a:prstDash val="solid"/>
                            <a:headEnd type="none" w="med" len="med"/>
                            <a:tailEnd type="none" w="med" len="med"/>
                          </a:ln>
                        </wps:spPr>
                        <wps:bodyPr upright="1"/>
                      </wps:wsp>
                      <wps:wsp>
                        <wps:cNvPr id="260" name="直接连接符 97"/>
                        <wps:cNvCnPr/>
                        <wps:spPr>
                          <a:xfrm flipH="1" flipV="1">
                            <a:off x="5253355" y="632460"/>
                            <a:ext cx="0" cy="299720"/>
                          </a:xfrm>
                          <a:prstGeom prst="line">
                            <a:avLst/>
                          </a:prstGeom>
                          <a:ln w="9525" cap="flat" cmpd="sng">
                            <a:solidFill>
                              <a:srgbClr val="000000"/>
                            </a:solidFill>
                            <a:prstDash val="solid"/>
                            <a:headEnd type="none" w="med" len="med"/>
                            <a:tailEnd type="arrow" w="med" len="med"/>
                          </a:ln>
                        </wps:spPr>
                        <wps:bodyPr upright="1"/>
                      </wps:wsp>
                      <wps:wsp>
                        <wps:cNvPr id="261" name="直接连接符 98"/>
                        <wps:cNvCnPr/>
                        <wps:spPr>
                          <a:xfrm flipV="1">
                            <a:off x="3783330" y="1390650"/>
                            <a:ext cx="430530" cy="6350"/>
                          </a:xfrm>
                          <a:prstGeom prst="line">
                            <a:avLst/>
                          </a:prstGeom>
                          <a:ln w="9525" cap="flat" cmpd="sng">
                            <a:solidFill>
                              <a:srgbClr val="000000"/>
                            </a:solidFill>
                            <a:prstDash val="solid"/>
                            <a:headEnd type="none" w="med" len="med"/>
                            <a:tailEnd type="arrow" w="med" len="med"/>
                          </a:ln>
                        </wps:spPr>
                        <wps:bodyPr upright="1"/>
                      </wps:wsp>
                      <wps:wsp>
                        <wps:cNvPr id="262" name="文本框 101"/>
                        <wps:cNvSpPr txBox="1"/>
                        <wps:spPr>
                          <a:xfrm>
                            <a:off x="2597150" y="327025"/>
                            <a:ext cx="647700" cy="241300"/>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6.40</w:t>
                              </w:r>
                            </w:p>
                          </w:txbxContent>
                        </wps:txbx>
                        <wps:bodyPr upright="1"/>
                      </wps:wsp>
                      <wps:wsp>
                        <wps:cNvPr id="263" name="文本框 105"/>
                        <wps:cNvSpPr txBox="1"/>
                        <wps:spPr>
                          <a:xfrm>
                            <a:off x="2085340" y="646430"/>
                            <a:ext cx="695960" cy="241300"/>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0.06</w:t>
                              </w:r>
                            </w:p>
                          </w:txbxContent>
                        </wps:txbx>
                        <wps:bodyPr upright="1"/>
                      </wps:wsp>
                      <wps:wsp>
                        <wps:cNvPr id="264" name="文本框 107"/>
                        <wps:cNvSpPr txBox="1"/>
                        <wps:spPr>
                          <a:xfrm>
                            <a:off x="4895215" y="1593850"/>
                            <a:ext cx="707390" cy="2730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农田灌溉</w:t>
                              </w:r>
                            </w:p>
                          </w:txbxContent>
                        </wps:txbx>
                        <wps:bodyPr upright="1"/>
                      </wps:wsp>
                      <wps:wsp>
                        <wps:cNvPr id="265" name="文本框 110"/>
                        <wps:cNvSpPr txBox="1"/>
                        <wps:spPr>
                          <a:xfrm>
                            <a:off x="3813810" y="1168400"/>
                            <a:ext cx="466725" cy="241300"/>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52.50</w:t>
                              </w:r>
                            </w:p>
                          </w:txbxContent>
                        </wps:txbx>
                        <wps:bodyPr upright="1"/>
                      </wps:wsp>
                      <wps:wsp>
                        <wps:cNvPr id="266" name="文本框 111"/>
                        <wps:cNvSpPr txBox="1"/>
                        <wps:spPr>
                          <a:xfrm>
                            <a:off x="4802505" y="318770"/>
                            <a:ext cx="819785"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0" w:firstLineChars="0"/>
                                <w:jc w:val="center"/>
                                <w:rPr>
                                  <w:rFonts w:hint="eastAsia" w:eastAsia="宋体"/>
                                  <w:sz w:val="18"/>
                                  <w:szCs w:val="18"/>
                                  <w:lang w:eastAsia="zh-CN"/>
                                </w:rPr>
                              </w:pPr>
                              <w:r>
                                <w:rPr>
                                  <w:rFonts w:hint="eastAsia"/>
                                  <w:sz w:val="18"/>
                                  <w:szCs w:val="18"/>
                                  <w:lang w:eastAsia="zh-CN"/>
                                </w:rPr>
                                <w:t>绿化用水</w:t>
                              </w:r>
                            </w:p>
                          </w:txbxContent>
                        </wps:txbx>
                        <wps:bodyPr upright="1"/>
                      </wps:wsp>
                      <wps:wsp>
                        <wps:cNvPr id="267" name="文本框 112"/>
                        <wps:cNvSpPr txBox="1"/>
                        <wps:spPr>
                          <a:xfrm>
                            <a:off x="4202430" y="810260"/>
                            <a:ext cx="530225" cy="316865"/>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eastAsia="宋体"/>
                                  <w:sz w:val="18"/>
                                  <w:szCs w:val="18"/>
                                  <w:lang w:val="en-US" w:eastAsia="zh-CN"/>
                                </w:rPr>
                                <w:t>59.23</w:t>
                              </w:r>
                            </w:p>
                          </w:txbxContent>
                        </wps:txbx>
                        <wps:bodyPr upright="1"/>
                      </wps:wsp>
                      <wps:wsp>
                        <wps:cNvPr id="268" name="文本框 113"/>
                        <wps:cNvSpPr txBox="1"/>
                        <wps:spPr>
                          <a:xfrm>
                            <a:off x="4848225" y="641350"/>
                            <a:ext cx="548640" cy="316865"/>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eastAsia="宋体"/>
                                  <w:sz w:val="18"/>
                                  <w:szCs w:val="18"/>
                                  <w:lang w:val="en-US" w:eastAsia="zh-CN"/>
                                </w:rPr>
                                <w:t>22.50</w:t>
                              </w:r>
                            </w:p>
                          </w:txbxContent>
                        </wps:txbx>
                        <wps:bodyPr upright="1"/>
                      </wps:wsp>
                      <wps:wsp>
                        <wps:cNvPr id="269" name="文本框 114"/>
                        <wps:cNvSpPr txBox="1"/>
                        <wps:spPr>
                          <a:xfrm>
                            <a:off x="4777740" y="1256665"/>
                            <a:ext cx="524510" cy="316865"/>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eastAsia="宋体"/>
                                  <w:sz w:val="18"/>
                                  <w:szCs w:val="18"/>
                                  <w:lang w:val="en-US" w:eastAsia="zh-CN"/>
                                </w:rPr>
                                <w:t>36.73</w:t>
                              </w:r>
                            </w:p>
                          </w:txbxContent>
                        </wps:txbx>
                        <wps:bodyPr upright="1"/>
                      </wps:wsp>
                      <wps:wsp>
                        <wps:cNvPr id="270" name="文本框 171"/>
                        <wps:cNvSpPr txBox="1"/>
                        <wps:spPr>
                          <a:xfrm>
                            <a:off x="3139440" y="414655"/>
                            <a:ext cx="56134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0" w:firstLineChars="0"/>
                                <w:rPr>
                                  <w:rFonts w:hint="default" w:eastAsia="宋体"/>
                                  <w:sz w:val="18"/>
                                  <w:szCs w:val="18"/>
                                  <w:lang w:val="en-US" w:eastAsia="zh-CN"/>
                                </w:rPr>
                              </w:pPr>
                              <w:r>
                                <w:rPr>
                                  <w:rFonts w:hint="eastAsia" w:eastAsia="宋体"/>
                                  <w:sz w:val="18"/>
                                  <w:szCs w:val="18"/>
                                  <w:lang w:val="en-US" w:eastAsia="zh-CN"/>
                                </w:rPr>
                                <w:t>隔油池</w:t>
                              </w:r>
                            </w:p>
                          </w:txbxContent>
                        </wps:txbx>
                        <wps:bodyPr upright="1"/>
                      </wps:wsp>
                      <wps:wsp>
                        <wps:cNvPr id="271" name="直接连接符 172"/>
                        <wps:cNvCnPr/>
                        <wps:spPr>
                          <a:xfrm>
                            <a:off x="3703955" y="560705"/>
                            <a:ext cx="517525" cy="0"/>
                          </a:xfrm>
                          <a:prstGeom prst="line">
                            <a:avLst/>
                          </a:prstGeom>
                          <a:ln w="9525" cap="flat" cmpd="sng">
                            <a:solidFill>
                              <a:srgbClr val="000000"/>
                            </a:solidFill>
                            <a:prstDash val="solid"/>
                            <a:headEnd type="none" w="med" len="med"/>
                            <a:tailEnd type="arrow" w="med" len="med"/>
                          </a:ln>
                        </wps:spPr>
                        <wps:bodyPr upright="1"/>
                      </wps:wsp>
                      <wps:wsp>
                        <wps:cNvPr id="272" name="文本框 173"/>
                        <wps:cNvSpPr txBox="1"/>
                        <wps:spPr>
                          <a:xfrm>
                            <a:off x="3689350" y="325755"/>
                            <a:ext cx="647700" cy="241300"/>
                          </a:xfrm>
                          <a:prstGeom prst="rect">
                            <a:avLst/>
                          </a:prstGeom>
                          <a:noFill/>
                          <a:ln>
                            <a:noFill/>
                          </a:ln>
                        </wps:spPr>
                        <wps:txbx>
                          <w:txbxContent>
                            <w:p>
                              <w:pPr>
                                <w:spacing w:line="240" w:lineRule="auto"/>
                                <w:ind w:firstLine="0" w:firstLineChars="0"/>
                                <w:rPr>
                                  <w:rFonts w:hint="default" w:eastAsia="宋体"/>
                                  <w:sz w:val="18"/>
                                  <w:szCs w:val="18"/>
                                  <w:lang w:val="en-US" w:eastAsia="zh-CN"/>
                                </w:rPr>
                              </w:pPr>
                              <w:r>
                                <w:rPr>
                                  <w:rFonts w:hint="eastAsia" w:eastAsia="宋体"/>
                                  <w:sz w:val="18"/>
                                  <w:szCs w:val="18"/>
                                  <w:lang w:val="en-US" w:eastAsia="zh-CN"/>
                                </w:rPr>
                                <w:t>6.40</w:t>
                              </w:r>
                            </w:p>
                          </w:txbxContent>
                        </wps:txbx>
                        <wps:bodyPr upright="1"/>
                      </wps:wsp>
                    </wpc:wpc>
                  </a:graphicData>
                </a:graphic>
              </wp:inline>
            </w:drawing>
          </mc:Choice>
          <mc:Fallback>
            <w:pict>
              <v:group id="_x0000_s1026" o:spid="_x0000_s1026" o:spt="203" style="height:227.45pt;width:446.25pt;" coordsize="5667375,2888615" editas="canvas" o:gfxdata="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">
                <o:lock v:ext="edit" aspectratio="f"/>
                <v:shape id="_x0000_s1026" o:spid="_x0000_s1026" style="position:absolute;left:0;top:0;height:2888615;width:5667375;" filled="f" stroked="t" coordsize="21600,21600" o:gfxdata="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">
                  <v:fill on="f" focussize="0,0"/>
                  <v:stroke color="#000000" joinstyle="miter"/>
                  <v:imagedata o:title=""/>
                  <o:lock v:ext="edit" aspectratio="f"/>
                </v:shape>
                <v:shape id="文本框 8" o:spid="_x0000_s1026" o:spt="202" type="#_x0000_t202" style="position:absolute;left:0;top:1670050;height:354330;width:537845;" filled="f" stroked="f" coordsize="21600,21600" o:gfxdata="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wZ8Io&#10;1AAAAAUBAAAPAAAAAAAAAAEAIAAAACIAAABkcnMvZG93bnJldi54bWxQSwECFAAUAAAACACHTuJA&#10;i/IKsbMBAABVAwAADgAAAAAAAAABACAAAAAjAQAAZHJzL2Uyb0RvYy54bWxQSwUGAAAAAAYABgBZ&#10;AQAASAUAAAAA&#10;">
                  <v:fill on="f" focussize="0,0"/>
                  <v:stroke on="f"/>
                  <v:imagedata o:title=""/>
                  <o:lock v:ext="edit" aspectratio="f"/>
                  <v:textbox>
                    <w:txbxContent>
                      <w:p>
                        <w:pPr>
                          <w:spacing w:line="240" w:lineRule="auto"/>
                          <w:ind w:firstLine="0" w:firstLineChars="0"/>
                          <w:rPr>
                            <w:rFonts w:hint="eastAsia" w:eastAsiaTheme="minorEastAsia"/>
                            <w:sz w:val="18"/>
                            <w:szCs w:val="18"/>
                            <w:lang w:eastAsia="zh-CN"/>
                          </w:rPr>
                        </w:pPr>
                        <w:r>
                          <w:rPr>
                            <w:rFonts w:hint="eastAsia"/>
                            <w:sz w:val="18"/>
                            <w:szCs w:val="18"/>
                            <w:lang w:eastAsia="zh-CN"/>
                          </w:rPr>
                          <w:t>新鲜水</w:t>
                        </w:r>
                      </w:p>
                    </w:txbxContent>
                  </v:textbox>
                </v:shape>
                <v:line id="直接连接符 13" o:spid="_x0000_s1026" o:spt="20" style="position:absolute;left:450215;top:1835150;height:0;width:517525;" filled="f" stroked="t" coordsize="21600,21600" o:gfxdata="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6cclQ1wAAAAUBAAAPAAAAAAAAAAEAIAAAACIAAABk&#10;cnMvZG93bnJldi54bWxQSwECFAAUAAAACACHTuJAQRBaZwcCAADyAwAADgAAAAAAAAABACAAAAAm&#10;AQAAZHJzL2Uyb0RvYy54bWxQSwUGAAAAAAYABgBZAQAAnwUAAAAA&#10;">
                  <v:fill on="f" focussize="0,0"/>
                  <v:stroke color="#000000" joinstyle="round" endarrow="open"/>
                  <v:imagedata o:title=""/>
                  <o:lock v:ext="edit" aspectratio="f"/>
                </v:line>
                <v:line id="直接连接符 16" o:spid="_x0000_s1026" o:spt="20" style="position:absolute;left:967105;top:565150;height:2151380;width:8255;" filled="f" stroked="t" coordsize="21600,21600" o:gfxdata="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IryFldUAAAAFAQAADwAAAAAAAAABACAAAAAiAAAAZHJzL2Rv&#10;d25yZXYueG1sUEsBAhQAFAAAAAgAh07iQBKsiysEAgAA9AMAAA4AAAAAAAAAAQAgAAAAJAEAAGRy&#10;cy9lMm9Eb2MueG1sUEsFBgAAAAAGAAYAWQEAAJoFAAAAAA==&#10;">
                  <v:fill on="f" focussize="0,0"/>
                  <v:stroke color="#000000" joinstyle="round"/>
                  <v:imagedata o:title=""/>
                  <o:lock v:ext="edit" aspectratio="f"/>
                </v:line>
                <v:line id="直接连接符 19" o:spid="_x0000_s1026" o:spt="20" style="position:absolute;left:969645;top:572770;flip:y;height:0;width:533400;" filled="f" stroked="t" coordsize="21600,21600" o:gfxdata="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Az+DO1gAAAAUBAAAPAAAAAAAAAAEA&#10;IAAAACIAAABkcnMvZG93bnJldi54bWxQSwECFAAUAAAACACHTuJAPcMQERECAAD7AwAADgAAAAAA&#10;AAABACAAAAAlAQAAZHJzL2Uyb0RvYy54bWxQSwUGAAAAAAYABgBZAQAAqAUAAAAA&#10;">
                  <v:fill on="f" focussize="0,0"/>
                  <v:stroke color="#000000" joinstyle="round" endarrow="open"/>
                  <v:imagedata o:title=""/>
                  <o:lock v:ext="edit" aspectratio="f"/>
                </v:line>
                <v:line id="直接连接符 34" o:spid="_x0000_s1026" o:spt="20" style="position:absolute;left:984885;top:1597660;height:635;width:471805;" filled="f" stroked="t" coordsize="21600,21600" o:gfxdata="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enHJUNcAAAAFAQAADwAAAAAAAAABACAAAAAiAAAA&#10;ZHJzL2Rvd25yZXYueG1sUEsBAhQAFAAAAAgAh07iQBdB1LMIAgAA9AMAAA4AAAAAAAAAAQAgAAAA&#10;JgEAAGRycy9lMm9Eb2MueG1sUEsFBgAAAAAGAAYAWQEAAKAFAAAAAA==&#10;">
                  <v:fill on="f" focussize="0,0"/>
                  <v:stroke color="#000000" joinstyle="round" endarrow="open"/>
                  <v:imagedata o:title=""/>
                  <o:lock v:ext="edit" aspectratio="f"/>
                </v:line>
                <v:line id="直接连接符 35" o:spid="_x0000_s1026" o:spt="20" style="position:absolute;left:2203450;top:562610;height:7620;width:930275;" filled="f" stroked="t" coordsize="21600,21600" o:gfxdata="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enHJUNcAAAAFAQAADwAAAAAAAAABACAAAAAi&#10;AAAAZHJzL2Rvd25yZXYueG1sUEsBAhQAFAAAAAgAh07iQLVXkAQLAgAA9QMAAA4AAAAAAAAAAQAg&#10;AAAAJgEAAGRycy9lMm9Eb2MueG1sUEsFBgAAAAAGAAYAWQEAAKMFAAAAAA==&#10;">
                  <v:fill on="f" focussize="0,0"/>
                  <v:stroke color="#000000" joinstyle="round" endarrow="open"/>
                  <v:imagedata o:title=""/>
                  <o:lock v:ext="edit" aspectratio="f"/>
                </v:line>
                <v:line id="直接连接符 36" o:spid="_x0000_s1026" o:spt="20" style="position:absolute;left:979170;top:1080135;flip:y;height:0;width:508635;" filled="f" stroked="t" coordsize="21600,21600" o:gfxdata="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Az+DO1gAAAAUBAAAPAAAAAAAAAAEA&#10;IAAAACIAAABkcnMvZG93bnJldi54bWxQSwECFAAUAAAACACHTuJAFT5tZhECAAD8AwAADgAAAAAA&#10;AAABACAAAAAlAQAAZHJzL2Uyb0RvYy54bWxQSwUGAAAAAAYABgBZAQAAqAUAAAAA&#10;">
                  <v:fill on="f" focussize="0,0"/>
                  <v:stroke color="#000000" joinstyle="round" endarrow="open"/>
                  <v:imagedata o:title=""/>
                  <o:lock v:ext="edit" aspectratio="f"/>
                </v:line>
                <v:shape id="文本框 37" o:spid="_x0000_s1026" o:spt="202" type="#_x0000_t202" style="position:absolute;left:1483360;top:923290;height:285750;width:786765;" fillcolor="#FFFFFF" filled="t" stroked="t" coordsize="21600,21600" o:gfxdata="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MNUnpXWAAAABQEAAA8AAAAA&#10;AAAAAQAgAAAAIgAAAGRycy9kb3ducmV2LnhtbFBLAQIUABQAAAAIAIdO4kBpAw1dFgIAAEMEAAAO&#10;AAAAAAAAAAEAIAAAACUBAABkcnMvZTJvRG9jLnhtbFBLBQYAAAAABgAGAFkBAACtBQAAAAA=&#10;">
                  <v:fill on="t" focussize="0,0"/>
                  <v:stroke color="#000000" joinstyle="miter"/>
                  <v:imagedata o:title=""/>
                  <o:lock v:ext="edit" aspectratio="f"/>
                  <v:textbox>
                    <w:txbxContent>
                      <w:p>
                        <w:pPr>
                          <w:spacing w:line="240" w:lineRule="auto"/>
                          <w:ind w:firstLine="0" w:firstLineChars="0"/>
                          <w:rPr>
                            <w:rFonts w:hint="eastAsia" w:eastAsia="宋体"/>
                            <w:sz w:val="18"/>
                            <w:szCs w:val="18"/>
                            <w:lang w:eastAsia="zh-CN"/>
                          </w:rPr>
                        </w:pPr>
                        <w:r>
                          <w:rPr>
                            <w:rFonts w:hint="eastAsia"/>
                            <w:sz w:val="18"/>
                            <w:szCs w:val="18"/>
                          </w:rPr>
                          <w:t>猪舍</w:t>
                        </w:r>
                        <w:r>
                          <w:rPr>
                            <w:rFonts w:hint="eastAsia"/>
                            <w:sz w:val="18"/>
                            <w:szCs w:val="18"/>
                            <w:lang w:eastAsia="zh-CN"/>
                          </w:rPr>
                          <w:t>冲洗水</w:t>
                        </w:r>
                      </w:p>
                    </w:txbxContent>
                  </v:textbox>
                </v:shape>
                <v:shape id="文本框 39" o:spid="_x0000_s1026" o:spt="202" type="#_x0000_t202" style="position:absolute;left:1475105;top:1419860;height:279400;width:766445;" fillcolor="#FFFFFF" filled="t" stroked="t" coordsize="21600,21600" o:gfxdata="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DVJ6V1gAAAAUBAAAPAAAAAAAA&#10;AAEAIAAAACIAAABkcnMvZG93bnJldi54bWxQSwECFAAUAAAACACHTuJAivhUdxQCAABEBAAADgAA&#10;AAAAAAABACAAAAAlAQAAZHJzL2Uyb0RvYy54bWxQSwUGAAAAAAYABgBZAQAAqwUAAAAA&#10;">
                  <v:fill on="t" focussize="0,0"/>
                  <v:stroke color="#000000" joinstyle="miter"/>
                  <v:imagedata o:title=""/>
                  <o:lock v:ext="edit" aspectratio="f"/>
                  <v:textbox>
                    <w:txbxContent>
                      <w:p>
                        <w:pPr>
                          <w:spacing w:line="240" w:lineRule="auto"/>
                          <w:ind w:firstLine="0" w:firstLineChars="0"/>
                          <w:jc w:val="center"/>
                          <w:rPr>
                            <w:rFonts w:hint="eastAsia" w:eastAsiaTheme="minorEastAsia"/>
                            <w:sz w:val="18"/>
                            <w:szCs w:val="18"/>
                            <w:lang w:eastAsia="zh-CN"/>
                          </w:rPr>
                        </w:pPr>
                        <w:r>
                          <w:rPr>
                            <w:rFonts w:hint="eastAsia"/>
                            <w:sz w:val="18"/>
                            <w:szCs w:val="18"/>
                            <w:lang w:eastAsia="zh-CN"/>
                          </w:rPr>
                          <w:t>猪饮用水</w:t>
                        </w:r>
                      </w:p>
                    </w:txbxContent>
                  </v:textbox>
                </v:shape>
                <v:shape id="文本框 40" o:spid="_x0000_s1026" o:spt="202" type="#_x0000_t202" style="position:absolute;left:1510030;top:443865;height:279400;width:676910;" fillcolor="#FFFFFF" filled="t" stroked="t" coordsize="21600,21600" o:gfxdata="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w1SeldYAAAAFAQAADwAA&#10;AAAAAAABACAAAAAiAAAAZHJzL2Rvd25yZXYueG1sUEsBAhQAFAAAAAgAh07iQOh0S4YYAgAAQwQA&#10;AA4AAAAAAAAAAQAgAAAAJQEAAGRycy9lMm9Eb2MueG1sUEsFBgAAAAAGAAYAWQEAAK8FAAAAAA==&#10;">
                  <v:fill on="t" focussize="0,0"/>
                  <v:stroke color="#000000" joinstyle="miter"/>
                  <v:imagedata o:title=""/>
                  <o:lock v:ext="edit" aspectratio="f"/>
                  <v:textbox>
                    <w:txbxContent>
                      <w:p>
                        <w:pPr>
                          <w:spacing w:line="240" w:lineRule="auto"/>
                          <w:ind w:firstLine="0" w:firstLineChars="0"/>
                          <w:rPr>
                            <w:sz w:val="18"/>
                            <w:szCs w:val="18"/>
                          </w:rPr>
                        </w:pPr>
                        <w:r>
                          <w:rPr>
                            <w:rFonts w:hint="eastAsia"/>
                            <w:sz w:val="18"/>
                            <w:szCs w:val="18"/>
                          </w:rPr>
                          <w:t>生活用水</w:t>
                        </w:r>
                      </w:p>
                    </w:txbxContent>
                  </v:textbox>
                </v:shape>
                <v:shape id="文本框 43" o:spid="_x0000_s1026" o:spt="202" type="#_x0000_t202" style="position:absolute;left:1504315;top:2060575;height:279400;width:704850;" fillcolor="#FFFFFF" filled="t" stroked="t" coordsize="21600,21600" o:gfxdata="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DVJ6V1gAAAAUBAAAP&#10;AAAAAAAAAAEAIAAAACIAAABkcnMvZG93bnJldi54bWxQSwECFAAUAAAACACHTuJAw5AjDhoCAABE&#10;BAAADgAAAAAAAAABACAAAAAlAQAAZHJzL2Uyb0RvYy54bWxQSwUGAAAAAAYABgBZAQAAsQUAAAAA&#10;">
                  <v:fill on="t" focussize="0,0"/>
                  <v:stroke color="#000000" joinstyle="miter"/>
                  <v:imagedata o:title=""/>
                  <o:lock v:ext="edit" aspectratio="f"/>
                  <v:textbox>
                    <w:txbxContent>
                      <w:p>
                        <w:pPr>
                          <w:spacing w:line="240" w:lineRule="auto"/>
                          <w:ind w:firstLine="0" w:firstLineChars="0"/>
                          <w:jc w:val="center"/>
                          <w:rPr>
                            <w:sz w:val="18"/>
                            <w:szCs w:val="18"/>
                          </w:rPr>
                        </w:pPr>
                        <w:r>
                          <w:rPr>
                            <w:rFonts w:hint="eastAsia"/>
                            <w:sz w:val="18"/>
                            <w:szCs w:val="18"/>
                          </w:rPr>
                          <w:t>消毒用水</w:t>
                        </w:r>
                      </w:p>
                    </w:txbxContent>
                  </v:textbox>
                </v:shape>
                <v:shape id="文本框 45" o:spid="_x0000_s1026" o:spt="202" type="#_x0000_t202" style="position:absolute;left:1477645;top:2553335;height:279400;width:819785;" fillcolor="#FFFFFF" filled="t" stroked="t" coordsize="21600,21600" o:gfxdata="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DVJ6V1gAAAAUBAAAPAAAA&#10;AAAAAAEAIAAAACIAAABkcnMvZG93bnJldi54bWxQSwECFAAUAAAACACHTuJA4CvZ4hcCAABEBAAA&#10;DgAAAAAAAAABACAAAAAlAQAAZHJzL2Uyb0RvYy54bWxQSwUGAAAAAAYABgBZAQAArgUAAAAA&#10;">
                  <v:fill on="t" focussize="0,0"/>
                  <v:stroke color="#000000" joinstyle="miter"/>
                  <v:imagedata o:title=""/>
                  <o:lock v:ext="edit" aspectratio="f"/>
                  <v:textbox>
                    <w:txbxContent>
                      <w:p>
                        <w:pPr>
                          <w:spacing w:line="240" w:lineRule="auto"/>
                          <w:ind w:firstLine="0" w:firstLineChars="0"/>
                          <w:rPr>
                            <w:rFonts w:hint="eastAsia" w:eastAsia="宋体"/>
                            <w:sz w:val="18"/>
                            <w:szCs w:val="18"/>
                            <w:lang w:eastAsia="zh-CN"/>
                          </w:rPr>
                        </w:pPr>
                        <w:r>
                          <w:rPr>
                            <w:rFonts w:hint="eastAsia"/>
                            <w:sz w:val="18"/>
                            <w:szCs w:val="18"/>
                            <w:lang w:eastAsia="zh-CN"/>
                          </w:rPr>
                          <w:t>未</w:t>
                        </w:r>
                        <w:r>
                          <w:rPr>
                            <w:rFonts w:hint="eastAsia"/>
                            <w:sz w:val="18"/>
                            <w:szCs w:val="18"/>
                          </w:rPr>
                          <w:t>预见</w:t>
                        </w:r>
                        <w:r>
                          <w:rPr>
                            <w:rFonts w:hint="eastAsia"/>
                            <w:sz w:val="18"/>
                            <w:szCs w:val="18"/>
                            <w:lang w:eastAsia="zh-CN"/>
                          </w:rPr>
                          <w:t>用水</w:t>
                        </w:r>
                      </w:p>
                    </w:txbxContent>
                  </v:textbox>
                </v:shape>
                <v:line id="直接连接符 49" o:spid="_x0000_s1026" o:spt="20" style="position:absolute;left:2223770;top:2225675;height:0;width:448310;" filled="f" stroked="t" coordsize="21600,21600" o:gfxdata="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HJqUV1wAAAAUBAAAPAAAAAAAAAAEAIAAAACIA&#10;AABkcnMvZG93bnJldi54bWxQSwECFAAUAAAACACHTuJAhL2ZbQoCAADyAwAADgAAAAAAAAABACAA&#10;AAAmAQAAZHJzL2Uyb0RvYy54bWxQSwUGAAAAAAYABgBZAQAAogUAAAAA&#10;">
                  <v:fill on="f" focussize="0,0"/>
                  <v:stroke color="#000000" joinstyle="round" dashstyle="dash" endarrow="open"/>
                  <v:imagedata o:title=""/>
                  <o:lock v:ext="edit" aspectratio="f"/>
                </v:line>
                <v:shape id="文本框 51" o:spid="_x0000_s1026" o:spt="202" type="#_x0000_t202" style="position:absolute;left:2653030;top:2076450;height:280035;width:845185;" filled="f" stroked="f" coordsize="21600,21600" o:gfxdata="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cGfCKNQAAAAFAQAADwAAAAAAAAABACAAAAAiAAAAZHJzL2Rvd25yZXYueG1sUEsBAhQAFAAAAAgA&#10;h07iQEP+LRq3AQAAXAMAAA4AAAAAAAAAAQAgAAAAIwEAAGRycy9lMm9Eb2MueG1sUEsFBgAAAAAG&#10;AAYAWQEAAEwFA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sz w:val="18"/>
                            <w:szCs w:val="18"/>
                          </w:rPr>
                          <w:t>损耗</w:t>
                        </w:r>
                        <w:r>
                          <w:rPr>
                            <w:rFonts w:hint="eastAsia"/>
                            <w:sz w:val="18"/>
                            <w:szCs w:val="18"/>
                            <w:lang w:val="en-US" w:eastAsia="zh-CN"/>
                          </w:rPr>
                          <w:t>0.82</w:t>
                        </w:r>
                      </w:p>
                    </w:txbxContent>
                  </v:textbox>
                </v:shape>
                <v:line id="直接连接符 53" o:spid="_x0000_s1026" o:spt="20" style="position:absolute;left:1726565;top:306070;flip:y;height:114300;width:469900;" filled="f" stroked="t" coordsize="21600,21600" o:gfxdata="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UAa5DVAAAABQEAAA8AAAAAAAAA&#10;AQAgAAAAIgAAAGRycy9kb3ducmV2LnhtbFBLAQIUABQAAAAIAIdO4kBz0Y5DFAIAAAAEAAAOAAAA&#10;AAAAAAEAIAAAACQBAABkcnMvZTJvRG9jLnhtbFBLBQYAAAAABgAGAFkBAACqBQAAAAA=&#10;">
                  <v:fill on="f" focussize="0,0"/>
                  <v:stroke color="#000000" joinstyle="round" dashstyle="dash" endarrow="open"/>
                  <v:imagedata o:title=""/>
                  <o:lock v:ext="edit" aspectratio="f"/>
                </v:line>
                <v:shape id="文本框 54" o:spid="_x0000_s1026" o:spt="202" type="#_x0000_t202" style="position:absolute;left:1012190;top:1379855;height:241300;width:541655;" filled="f" stroked="f" coordsize="21600,21600" o:gfxdata="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wZ8Io1AAAAAUBAAAPAAAAAAAAAAEAIAAAACIAAABkcnMvZG93bnJldi54bWxQSwECFAAUAAAA&#10;CACHTuJAV7YFpbkBAABcAwAADgAAAAAAAAABACAAAAAjAQAAZHJzL2Uyb0RvYy54bWxQSwUGAAAA&#10;AAYABgBZAQAATgU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eastAsia="宋体"/>
                            <w:sz w:val="18"/>
                            <w:szCs w:val="18"/>
                            <w:lang w:val="en-US" w:eastAsia="zh-CN"/>
                          </w:rPr>
                          <w:t>150</w:t>
                        </w:r>
                      </w:p>
                    </w:txbxContent>
                  </v:textbox>
                </v:shape>
                <v:shape id="文本框 55" o:spid="_x0000_s1026" o:spt="202" type="#_x0000_t202" style="position:absolute;left:2593340;top:843280;height:295275;width:650875;" filled="f" stroked="f" coordsize="21600,21600" o:gfxdata="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HBnwijUAAAABQEAAA8AAAAAAAAAAQAgAAAAIgAAAGRycy9kb3ducmV2LnhtbFBLAQIUABQAAAAI&#10;AIdO4kBKG1lQuAEAAFsDAAAOAAAAAAAAAAEAIAAAACMBAABkcnMvZTJvRG9jLnhtbFBLBQYAAAAA&#10;BgAGAFkBAABNBQ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eastAsia="宋体"/>
                            <w:sz w:val="18"/>
                            <w:szCs w:val="18"/>
                            <w:lang w:val="en-US" w:eastAsia="zh-CN"/>
                          </w:rPr>
                          <w:t>0.35</w:t>
                        </w:r>
                      </w:p>
                    </w:txbxContent>
                  </v:textbox>
                </v:shape>
                <v:shape id="文本框 56" o:spid="_x0000_s1026" o:spt="202" type="#_x0000_t202" style="position:absolute;left:1056005;top:2011045;height:254000;width:468630;" filled="f" stroked="f" coordsize="21600,21600" o:gfxdata="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HBnwijUAAAABQEAAA8AAAAAAAAAAQAgAAAAIgAAAGRycy9kb3ducmV2LnhtbFBLAQIUABQAAAAI&#10;AIdO4kC9fqW1uAEAAFwDAAAOAAAAAAAAAAEAIAAAACMBAABkcnMvZTJvRG9jLnhtbFBLBQYAAAAA&#10;BgAGAFkBAABNBQ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0.82</w:t>
                        </w:r>
                      </w:p>
                    </w:txbxContent>
                  </v:textbox>
                </v:shape>
                <v:shape id="文本框 58" o:spid="_x0000_s1026" o:spt="202" type="#_x0000_t202" style="position:absolute;left:2753995;top:2565400;height:316865;width:859790;" filled="f" stroked="f" coordsize="21600,21600" o:gfxdata="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wZ8Io1AAAAAUBAAAPAAAAAAAAAAEAIAAAACIAAABkcnMvZG93bnJldi54bWxQSwECFAAUAAAA&#10;CACHTuJAI4QKrLkBAABcAwAADgAAAAAAAAABACAAAAAjAQAAZHJzL2Uyb0RvYy54bWxQSwUGAAAA&#10;AAYABgBZAQAATgU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sz w:val="18"/>
                            <w:szCs w:val="18"/>
                          </w:rPr>
                          <w:t>损耗</w:t>
                        </w:r>
                        <w:r>
                          <w:rPr>
                            <w:rFonts w:hint="eastAsia"/>
                            <w:sz w:val="18"/>
                            <w:szCs w:val="18"/>
                            <w:lang w:val="en-US" w:eastAsia="zh-CN"/>
                          </w:rPr>
                          <w:t>15.92</w:t>
                        </w:r>
                      </w:p>
                    </w:txbxContent>
                  </v:textbox>
                </v:shape>
                <v:line id="直接连接符 59" o:spid="_x0000_s1026" o:spt="20" style="position:absolute;left:2240915;top:1584325;height:0;width:308610;" filled="f" stroked="t" coordsize="21600,21600" o:gfxdata="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K9JOH3XAAAABQEAAA8AAAAAAAAAAQAgAAAAIgAAAGRy&#10;cy9kb3ducmV2LnhtbFBLAQIUABQAAAAIAIdO4kBeRRC4BgIAAPMDAAAOAAAAAAAAAAEAIAAAACYB&#10;AABkcnMvZTJvRG9jLnhtbFBLBQYAAAAABgAGAFkBAACeBQAAAAA=&#10;">
                  <v:fill on="f" focussize="0,0"/>
                  <v:stroke weight="1pt" color="#000000" joinstyle="round"/>
                  <v:imagedata o:title=""/>
                  <o:lock v:ext="edit" aspectratio="f"/>
                </v:line>
                <v:shape id="文本框 60" o:spid="_x0000_s1026" o:spt="202" type="#_x0000_t202" style="position:absolute;left:947420;top:2459990;height:241300;width:647700;" filled="f" stroked="f" coordsize="21600,21600" o:gfxdata="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cGfC&#10;KNQAAAAFAQAADwAAAAAAAAABACAAAAAiAAAAZHJzL2Rvd25yZXYueG1sUEsBAhQAFAAAAAgAh07i&#10;QIjtzgq0AQAAWwMAAA4AAAAAAAAAAQAgAAAAIwEAAGRycy9lMm9Eb2MueG1sUEsFBgAAAAAGAAYA&#10;WQEAAEkFA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15.92</w:t>
                        </w:r>
                      </w:p>
                    </w:txbxContent>
                  </v:textbox>
                </v:shape>
                <v:shape id="文本框 61" o:spid="_x0000_s1026" o:spt="202" type="#_x0000_t202" style="position:absolute;left:2521585;top:1182370;height:241300;width:647700;" filled="f" stroked="f" coordsize="21600,21600" o:gfxdata="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HBnwijUAAAABQEAAA8AAAAAAAAAAQAgAAAAIgAAAGRycy9kb3ducmV2LnhtbFBLAQIUABQAAAAI&#10;AIdO4kBksW10uAEAAFwDAAAOAAAAAAAAAAEAIAAAACMBAABkcnMvZTJvRG9jLnhtbFBLBQYAAAAA&#10;BgAGAFkBAABNBQ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52.50</w:t>
                        </w:r>
                      </w:p>
                    </w:txbxContent>
                  </v:textbox>
                </v:shape>
                <v:shape id="文本框 63" o:spid="_x0000_s1026" o:spt="202" type="#_x0000_t202" style="position:absolute;left:4817764;top:937210;height:279403;width:824811;" fillcolor="#FFFFFF" filled="t" stroked="t" coordsize="21600,21600" o:gfxdata="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DVJ6V1gAAAAUBAAAP&#10;AAAAAAAAAAEAIAAAACIAAABkcnMvZG93bnJldi54bWxQSwECFAAUAAAACACHTuJAt1JZbhoCAABD&#10;BAAADgAAAAAAAAABACAAAAAlAQAAZHJzL2Uyb0RvYy54bWxQSwUGAAAAAAYABgBZAQAAsQUAAAAA&#10;">
                  <v:fill on="t" focussize="0,0"/>
                  <v:stroke color="#000000" joinstyle="miter"/>
                  <v:imagedata o:title=""/>
                  <o:lock v:ext="edit" aspectratio="f"/>
                  <v:textbox>
                    <w:txbxContent>
                      <w:p>
                        <w:pPr>
                          <w:spacing w:line="240" w:lineRule="auto"/>
                          <w:ind w:firstLine="0" w:firstLineChars="0"/>
                          <w:rPr>
                            <w:sz w:val="18"/>
                            <w:szCs w:val="18"/>
                          </w:rPr>
                        </w:pPr>
                        <w:r>
                          <w:rPr>
                            <w:rFonts w:hint="eastAsia"/>
                            <w:sz w:val="18"/>
                            <w:szCs w:val="18"/>
                            <w:lang w:eastAsia="zh-CN"/>
                          </w:rPr>
                          <w:t>污水处理区</w:t>
                        </w:r>
                      </w:p>
                    </w:txbxContent>
                  </v:textbox>
                </v:shape>
                <v:line id="直接连接符 64" o:spid="_x0000_s1026" o:spt="20" style="position:absolute;left:5237480;top:1223645;flip:x;height:378460;width:6985;" filled="f" stroked="t" coordsize="21600,21600" o:gfxdata="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Az+DO1gAAAAUBAAAPAAAA&#10;AAAAAAEAIAAAACIAAABkcnMvZG93bnJldi54bWxQSwECFAAUAAAACACHTuJAwJssxxcCAAAABAAA&#10;DgAAAAAAAAABACAAAAAlAQAAZHJzL2Uyb0RvYy54bWxQSwUGAAAAAAYABgBZAQAArgUAAAAA&#10;">
                  <v:fill on="f" focussize="0,0"/>
                  <v:stroke color="#000000" joinstyle="round" endarrow="open"/>
                  <v:imagedata o:title=""/>
                  <o:lock v:ext="edit" aspectratio="f"/>
                </v:line>
                <v:shape id="文本框 68" o:spid="_x0000_s1026" o:spt="202" type="#_x0000_t202" style="position:absolute;left:2534920;top:1550035;height:276225;width:704850;" filled="f" stroked="f" coordsize="21600,21600" o:gfxdata="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HBnwijUAAAABQEAAA8AAAAAAAAAAQAgAAAAIgAAAGRycy9kb3ducmV2LnhtbFBLAQIUABQA&#10;AAAIAIdO4kAbqB69uwEAAFwDAAAOAAAAAAAAAAEAIAAAACMBAABkcnMvZTJvRG9jLnhtbFBLBQYA&#10;AAAABgAGAFkBAABQBQAAAAA=&#10;">
                  <v:fill on="f" focussize="0,0"/>
                  <v:stroke on="f"/>
                  <v:imagedata o:title=""/>
                  <o:lock v:ext="edit" aspectratio="f"/>
                  <v:textbox>
                    <w:txbxContent>
                      <w:p>
                        <w:pPr>
                          <w:spacing w:line="240" w:lineRule="auto"/>
                          <w:ind w:firstLine="0" w:firstLineChars="0"/>
                          <w:rPr>
                            <w:rFonts w:hint="default" w:eastAsia="宋体"/>
                            <w:color w:val="auto"/>
                            <w:sz w:val="18"/>
                            <w:szCs w:val="18"/>
                            <w:lang w:val="en-US" w:eastAsia="zh-CN"/>
                          </w:rPr>
                        </w:pPr>
                        <w:r>
                          <w:rPr>
                            <w:rFonts w:hint="eastAsia" w:eastAsia="宋体"/>
                            <w:color w:val="auto"/>
                            <w:sz w:val="18"/>
                            <w:szCs w:val="18"/>
                            <w:lang w:val="en-US" w:eastAsia="zh-CN"/>
                          </w:rPr>
                          <w:t>97.50</w:t>
                        </w:r>
                      </w:p>
                    </w:txbxContent>
                  </v:textbox>
                </v:shape>
                <v:shape id="文本框 70" o:spid="_x0000_s1026" o:spt="202" type="#_x0000_t202" style="position:absolute;left:436245;top:1576705;height:241300;width:571500;" filled="f" stroked="f" coordsize="21600,21600" o:gfxdata="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w&#10;Z8Io1AAAAAUBAAAPAAAAAAAAAAEAIAAAACIAAABkcnMvZG93bnJldi54bWxQSwECFAAUAAAACACH&#10;TuJA2NqEwrYBAABbAwAADgAAAAAAAAABACAAAAAjAQAAZHJzL2Uyb0RvYy54bWxQSwUGAAAAAAYA&#10;BgBZAQAASwU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175.15</w:t>
                        </w:r>
                      </w:p>
                    </w:txbxContent>
                  </v:textbox>
                </v:shape>
                <v:shape id="文本框 71" o:spid="_x0000_s1026" o:spt="202" type="#_x0000_t202" style="position:absolute;left:2186305;top:133985;height:241300;width:469900;" filled="f" stroked="f" coordsize="21600,21600" o:gfxdata="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wZ8Io1AAAAAUBAAAPAAAAAAAAAAEAIAAAACIAAABkcnMvZG93bnJldi54bWxQSwECFAAUAAAA&#10;CACHTuJACCMiF7kBAABbAwAADgAAAAAAAAABACAAAAAjAQAAZHJzL2Uyb0RvYy54bWxQSwUGAAAA&#10;AAYABgBZAQAATgU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1.60</w:t>
                        </w:r>
                      </w:p>
                    </w:txbxContent>
                  </v:textbox>
                </v:shape>
                <v:shape id="文本框 73" o:spid="_x0000_s1026" o:spt="202" type="#_x0000_t202" style="position:absolute;left:1081405;top:360045;height:241300;width:469900;" filled="f" stroked="f" coordsize="21600,21600" o:gfxdata="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cGfCKNQAAAAFAQAADwAAAAAAAAABACAAAAAiAAAAZHJzL2Rvd25yZXYueG1sUEsBAhQAFAAA&#10;AAgAh07iQGzjmiG6AQAAWwMAAA4AAAAAAAAAAQAgAAAAIwEAAGRycy9lMm9Eb2MueG1sUEsFBgAA&#10;AAAGAAYAWQEAAE8FA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8</w:t>
                        </w:r>
                      </w:p>
                    </w:txbxContent>
                  </v:textbox>
                </v:shape>
                <v:line id="直接连接符 79" o:spid="_x0000_s1026" o:spt="20" style="position:absolute;left:2284730;top:1079500;height:6985;width:2508885;" filled="f" stroked="t" coordsize="21600,21600" o:gfxdata="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6cclQ1wAAAAUBAAAPAAAAAAAAAAEAIAAAACIA&#10;AABkcnMvZG93bnJldi54bWxQSwECFAAUAAAACACHTuJAY9nCwwoCAAD3AwAADgAAAAAAAAABACAA&#10;AAAmAQAAZHJzL2Uyb0RvYy54bWxQSwUGAAAAAAYABgBZAQAAogUAAAAA&#10;">
                  <v:fill on="f" focussize="0,0"/>
                  <v:stroke color="#000000" joinstyle="round" endarrow="open"/>
                  <v:imagedata o:title=""/>
                  <o:lock v:ext="edit" aspectratio="f"/>
                </v:line>
                <v:shape id="文本框 82" o:spid="_x0000_s1026" o:spt="202" type="#_x0000_t202" style="position:absolute;left:991870;top:853440;height:241300;width:469900;" filled="f" stroked="f" coordsize="21600,21600" o:gfxdata="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cGfCKNQAAAAFAQAADwAAAAAAAAABACAAAAAiAAAAZHJzL2Rvd25yZXYueG1sUEsBAhQAFAAAAAgA&#10;h07iQG2lRF63AQAAWgMAAA4AAAAAAAAAAQAgAAAAIwEAAGRycy9lMm9Eb2MueG1sUEsFBgAAAAAG&#10;AAYAWQEAAEwFA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0.41</w:t>
                        </w:r>
                      </w:p>
                    </w:txbxContent>
                  </v:textbox>
                </v:shape>
                <v:line id="直接连接符 84" o:spid="_x0000_s1026" o:spt="20" style="position:absolute;left:979805;top:2209800;height:635;width:524510;" filled="f" stroked="t" coordsize="21600,21600" o:gfxdata="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6cclQ1wAAAAUBAAAPAAAAAAAAAAEAIAAAACIAAABk&#10;cnMvZG93bnJldi54bWxQSwECFAAUAAAACACHTuJAiR8X5wcCAAD0AwAADgAAAAAAAAABACAAAAAm&#10;AQAAZHJzL2Uyb0RvYy54bWxQSwUGAAAAAAYABgBZAQAAnwUAAAAA&#10;">
                  <v:fill on="f" focussize="0,0"/>
                  <v:stroke color="#000000" joinstyle="round" endarrow="open"/>
                  <v:imagedata o:title=""/>
                  <o:lock v:ext="edit" aspectratio="f"/>
                </v:line>
                <v:line id="直接连接符 86" o:spid="_x0000_s1026" o:spt="20" style="position:absolute;left:1669415;top:795655;flip:y;height:114300;width:469900;" filled="f" stroked="t" coordsize="21600,21600" o:gfxdata="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QBrkNUAAAAFAQAADwAAAAAA&#10;AAABACAAAAAiAAAAZHJzL2Rvd25yZXYueG1sUEsBAhQAFAAAAAgAh07iQF9mkJkWAgAAAAQAAA4A&#10;AAAAAAAAAQAgAAAAJAEAAGRycy9lMm9Eb2MueG1sUEsFBgAAAAAGAAYAWQEAAKwFAAAAAA==&#10;">
                  <v:fill on="f" focussize="0,0"/>
                  <v:stroke color="#000000" joinstyle="round" dashstyle="dash" endarrow="open"/>
                  <v:imagedata o:title=""/>
                  <o:lock v:ext="edit" aspectratio="f"/>
                </v:line>
                <v:line id="直接连接符 87" o:spid="_x0000_s1026" o:spt="20" style="position:absolute;left:2555240;top:1391285;flip:y;height:0;width:466090;" filled="f" stroked="t" coordsize="21600,21600" o:gfxdata="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QM/gztYAAAAFAQAADwAAAAAAAAAB&#10;ACAAAAAiAAAAZHJzL2Rvd25yZXYueG1sUEsBAhQAFAAAAAgAh07iQNTWSJkSAgAA/QMAAA4AAAAA&#10;AAAAAQAgAAAAJQEAAGRycy9lMm9Eb2MueG1sUEsFBgAAAAAGAAYAWQEAAKkFAAAAAA==&#10;">
                  <v:fill on="f" focussize="0,0"/>
                  <v:stroke color="#000000" joinstyle="round" endarrow="open"/>
                  <v:imagedata o:title=""/>
                  <o:lock v:ext="edit" aspectratio="f"/>
                </v:line>
                <v:line id="直接连接符 88" o:spid="_x0000_s1026" o:spt="20" style="position:absolute;left:2552700;top:1395730;flip:x;height:394335;width:635;" filled="f" stroked="t" coordsize="21600,21600" o:gfxdata="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O0VXHNYAAAAFAQAADwAAAAAAAAABACAAAAAiAAAA&#10;ZHJzL2Rvd25yZXYueG1sUEsBAhQAFAAAAAgAh07iQMhiv8QJAgAA/wMAAA4AAAAAAAAAAQAgAAAA&#10;JQEAAGRycy9lMm9Eb2MueG1sUEsFBgAAAAAGAAYAWQEAAKAFAAAAAA==&#10;">
                  <v:fill on="f" focussize="0,0"/>
                  <v:stroke weight="1pt" color="#000000" joinstyle="round"/>
                  <v:imagedata o:title=""/>
                  <o:lock v:ext="edit" aspectratio="f"/>
                </v:line>
                <v:shape id="文本框 89" o:spid="_x0000_s1026" o:spt="202" type="#_x0000_t202" style="position:absolute;left:3030855;top:1238885;height:279400;width:744220;" fillcolor="#FFFFFF" filled="t" stroked="t" coordsize="21600,21600" o:gfxdata="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DVJ6V1gAAAAUBAAAP&#10;AAAAAAAAAAEAIAAAACIAAABkcnMvZG93bnJldi54bWxQSwECFAAUAAAACACHTuJANhIsrRoCAABE&#10;BAAADgAAAAAAAAABACAAAAAlAQAAZHJzL2Uyb0RvYy54bWxQSwUGAAAAAAYABgBZAQAAsQUAAAAA&#10;">
                  <v:fill on="t" focussize="0,0"/>
                  <v:stroke color="#000000" joinstyle="miter"/>
                  <v:imagedata o:title=""/>
                  <o:lock v:ext="edit" aspectratio="f"/>
                  <v:textbox>
                    <w:txbxContent>
                      <w:p>
                        <w:pPr>
                          <w:spacing w:line="240" w:lineRule="auto"/>
                          <w:ind w:firstLine="0" w:firstLineChars="0"/>
                          <w:rPr>
                            <w:rFonts w:hint="eastAsia" w:eastAsia="宋体"/>
                            <w:sz w:val="18"/>
                            <w:szCs w:val="18"/>
                            <w:lang w:eastAsia="zh-CN"/>
                          </w:rPr>
                        </w:pPr>
                        <w:r>
                          <w:rPr>
                            <w:rFonts w:hint="eastAsia"/>
                            <w:sz w:val="18"/>
                            <w:szCs w:val="18"/>
                            <w:lang w:eastAsia="zh-CN"/>
                          </w:rPr>
                          <w:t>猪粪、猪尿</w:t>
                        </w:r>
                      </w:p>
                    </w:txbxContent>
                  </v:textbox>
                </v:shape>
                <v:shape id="文本框 90" o:spid="_x0000_s1026" o:spt="202" type="#_x0000_t202" style="position:absolute;left:3016885;top:1646555;height:279400;width:673100;" fillcolor="#FFFFFF" filled="t" stroked="t" coordsize="21600,21600" o:gfxdata="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MNUnpXWAAAABQEAAA8AAAAA&#10;AAAAAQAgAAAAIgAAAGRycy9kb3ducmV2LnhtbFBLAQIUABQAAAAIAIdO4kC9k9o8FgIAAEQEAAAO&#10;AAAAAAAAAAEAIAAAACUBAABkcnMvZTJvRG9jLnhtbFBLBQYAAAAABgAGAFkBAACtBQAAAAA=&#10;">
                  <v:fill on="t" focussize="0,0"/>
                  <v:stroke color="#000000" joinstyle="miter"/>
                  <v:imagedata o:title=""/>
                  <o:lock v:ext="edit" aspectratio="f"/>
                  <v:textbox>
                    <w:txbxContent>
                      <w:p>
                        <w:pPr>
                          <w:spacing w:line="240" w:lineRule="auto"/>
                          <w:ind w:firstLine="0" w:firstLineChars="0"/>
                          <w:rPr>
                            <w:rFonts w:hint="eastAsia" w:eastAsia="宋体"/>
                            <w:sz w:val="18"/>
                            <w:szCs w:val="18"/>
                            <w:lang w:eastAsia="zh-CN"/>
                          </w:rPr>
                        </w:pPr>
                        <w:r>
                          <w:rPr>
                            <w:rFonts w:hint="eastAsia"/>
                            <w:sz w:val="18"/>
                            <w:szCs w:val="18"/>
                            <w:lang w:eastAsia="zh-CN"/>
                          </w:rPr>
                          <w:t>生产消耗</w:t>
                        </w:r>
                      </w:p>
                    </w:txbxContent>
                  </v:textbox>
                </v:shape>
                <v:line id="直接连接符 91" o:spid="_x0000_s1026" o:spt="20" style="position:absolute;left:2552700;top:1791970;flip:y;height:635;width:454660;" filled="f" stroked="t" coordsize="21600,21600" o:gfxdata="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EDP4M7WAAAABQEAAA8AAAAAAAAAAQAg&#10;AAAAIgAAAGRycy9kb3ducmV2LnhtbFBLAQIUABQAAAAIAIdO4kBAAB2hEAIAAP8DAAAOAAAAAAAA&#10;AAEAIAAAACUBAABkcnMvZTJvRG9jLnhtbFBLBQYAAAAABgAGAFkBAACnBQAAAAA=&#10;">
                  <v:fill on="f" focussize="0,0"/>
                  <v:stroke color="#000000" joinstyle="round" endarrow="open"/>
                  <v:imagedata o:title=""/>
                  <o:lock v:ext="edit" aspectratio="f"/>
                </v:line>
                <v:line id="直接连接符 93" o:spid="_x0000_s1026" o:spt="20" style="position:absolute;left:986155;top:2703830;height:0;width:488315;" filled="f" stroked="t" coordsize="21600,21600" o:gfxdata="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HpxyVDXAAAABQEAAA8AAAAAAAAAAQAgAAAAIgAA&#10;AGRycy9kb3ducmV2LnhtbFBLAQIUABQAAAAIAIdO4kBsxJgoCQIAAPIDAAAOAAAAAAAAAAEAIAAA&#10;ACYBAABkcnMvZTJvRG9jLnhtbFBLBQYAAAAABgAGAFkBAAChBQAAAAA=&#10;">
                  <v:fill on="f" focussize="0,0"/>
                  <v:stroke color="#000000" joinstyle="round" endarrow="open"/>
                  <v:imagedata o:title=""/>
                  <o:lock v:ext="edit" aspectratio="f"/>
                </v:line>
                <v:line id="直接连接符 95" o:spid="_x0000_s1026" o:spt="20" style="position:absolute;left:2306320;top:2726690;height:0;width:444500;" filled="f" stroked="t" coordsize="21600,21600" o:gfxdata="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HJqUV1wAAAAUBAAAPAAAAAAAAAAEAIAAAACIA&#10;AABkcnMvZG93bnJldi54bWxQSwECFAAUAAAACACHTuJACg70JgoCAADyAwAADgAAAAAAAAABACAA&#10;AAAmAQAAZHJzL2Uyb0RvYy54bWxQSwUGAAAAAAYABgBZAQAAogUAAAAA&#10;">
                  <v:fill on="f" focussize="0,0"/>
                  <v:stroke color="#000000" joinstyle="round" dashstyle="dash" endarrow="open"/>
                  <v:imagedata o:title=""/>
                  <o:lock v:ext="edit" aspectratio="f"/>
                </v:line>
                <v:line id="直接连接符 96" o:spid="_x0000_s1026" o:spt="20" style="position:absolute;left:4198620;top:551180;height:834390;width:0;" filled="f" stroked="t" coordsize="21600,21600" o:gfxdata="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CK8hZXVAAAABQEAAA8AAAAAAAAAAQAgAAAAIgAAAGRycy9k&#10;b3ducmV2LnhtbFBLAQIUABQAAAAIAIdO4kBaNm/UBQIAAPEDAAAOAAAAAAAAAAEAIAAAACQBAABk&#10;cnMvZTJvRG9jLnhtbFBLBQYAAAAABgAGAFkBAACbBQAAAAA=&#10;">
                  <v:fill on="f" focussize="0,0"/>
                  <v:stroke color="#000000" joinstyle="round"/>
                  <v:imagedata o:title=""/>
                  <o:lock v:ext="edit" aspectratio="f"/>
                </v:line>
                <v:line id="直接连接符 97" o:spid="_x0000_s1026" o:spt="20" style="position:absolute;left:5253355;top:632460;flip:x y;height:299720;width:0;" filled="f" stroked="t" coordsize="21600,21600" o:gfxdata="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JhLYmXXAAAABQEAAA8AAAAA&#10;AAAAAQAgAAAAIgAAAGRycy9kb3ducmV2LnhtbFBLAQIUABQAAAAIAIdO4kAfjHbXFQIAAAYEAAAO&#10;AAAAAAAAAAEAIAAAACYBAABkcnMvZTJvRG9jLnhtbFBLBQYAAAAABgAGAFkBAACtBQAAAAA=&#10;">
                  <v:fill on="f" focussize="0,0"/>
                  <v:stroke color="#000000" joinstyle="round" endarrow="open"/>
                  <v:imagedata o:title=""/>
                  <o:lock v:ext="edit" aspectratio="f"/>
                </v:line>
                <v:line id="直接连接符 98" o:spid="_x0000_s1026" o:spt="20" style="position:absolute;left:3783330;top:1390650;flip:y;height:6350;width:430530;" filled="f" stroked="t" coordsize="21600,21600" o:gfxdata="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EDP4M7WAAAABQEAAA8AAAAAAAAA&#10;AQAgAAAAIgAAAGRycy9kb3ducmV2LnhtbFBLAQIUABQAAAAIAIdO4kBG1GnzEwIAAAAEAAAOAAAA&#10;AAAAAAEAIAAAACUBAABkcnMvZTJvRG9jLnhtbFBLBQYAAAAABgAGAFkBAACqBQAAAAA=&#10;">
                  <v:fill on="f" focussize="0,0"/>
                  <v:stroke color="#000000" joinstyle="round" endarrow="open"/>
                  <v:imagedata o:title=""/>
                  <o:lock v:ext="edit" aspectratio="f"/>
                </v:line>
                <v:shape id="文本框 101" o:spid="_x0000_s1026" o:spt="202" type="#_x0000_t202" style="position:absolute;left:2597150;top:327025;height:241300;width:647700;" filled="f" stroked="f" coordsize="21600,21600" o:gfxdata="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cGfCKNQAAAAFAQAADwAAAAAAAAABACAAAAAiAAAAZHJzL2Rvd25yZXYueG1sUEsBAhQAFAAA&#10;AAgAh07iQPpJ22q6AQAAXAMAAA4AAAAAAAAAAQAgAAAAIwEAAGRycy9lMm9Eb2MueG1sUEsFBgAA&#10;AAAGAAYAWQEAAE8FA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6.40</w:t>
                        </w:r>
                      </w:p>
                    </w:txbxContent>
                  </v:textbox>
                </v:shape>
                <v:shape id="文本框 105" o:spid="_x0000_s1026" o:spt="202" type="#_x0000_t202" style="position:absolute;left:2085340;top:646430;height:241300;width:695960;" filled="f" stroked="f" coordsize="21600,21600" o:gfxdata="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cGfCKNQAAAAFAQAADwAAAAAAAAABACAAAAAiAAAAZHJzL2Rvd25yZXYueG1sUEsBAhQAFAAA&#10;AAgAh07iQBd2TrC6AQAAXAMAAA4AAAAAAAAAAQAgAAAAIwEAAGRycy9lMm9Eb2MueG1sUEsFBgAA&#10;AAAGAAYAWQEAAE8FA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0.06</w:t>
                        </w:r>
                      </w:p>
                    </w:txbxContent>
                  </v:textbox>
                </v:shape>
                <v:shape id="文本框 107" o:spid="_x0000_s1026" o:spt="202" type="#_x0000_t202" style="position:absolute;left:4895215;top:1593850;height:273050;width:707390;" fillcolor="#FFFFFF" filled="t" stroked="t" coordsize="21600,21600" o:gfxdata="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MNUnpXWAAAABQEAAA8A&#10;AAAAAAAAAQAgAAAAIgAAAGRycy9kb3ducmV2LnhtbFBLAQIUABQAAAAIAIdO4kC/0wdwGQIAAEUE&#10;AAAOAAAAAAAAAAEAIAAAACUBAABkcnMvZTJvRG9jLnhtbFBLBQYAAAAABgAGAFkBAACwBQAAAAA=&#10;">
                  <v:fill on="t" focussize="0,0"/>
                  <v:stroke color="#000000" joinstyle="miter"/>
                  <v:imagedata o:title=""/>
                  <o:lock v:ext="edit" aspectratio="f"/>
                  <v:textbo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农田灌溉</w:t>
                        </w:r>
                      </w:p>
                    </w:txbxContent>
                  </v:textbox>
                </v:shape>
                <v:shape id="文本框 110" o:spid="_x0000_s1026" o:spt="202" type="#_x0000_t202" style="position:absolute;left:3813810;top:1168400;height:241300;width:466725;" filled="f" stroked="f" coordsize="21600,21600" o:gfxdata="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cGfCKNQAAAAFAQAADwAAAAAAAAABACAAAAAiAAAAZHJzL2Rvd25yZXYueG1sUEsBAhQAFAAAAAgA&#10;h07iQPiCzf+3AQAAXQMAAA4AAAAAAAAAAQAgAAAAIwEAAGRycy9lMm9Eb2MueG1sUEsFBgAAAAAG&#10;AAYAWQEAAEwFA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sz w:val="18"/>
                            <w:szCs w:val="18"/>
                            <w:lang w:val="en-US" w:eastAsia="zh-CN"/>
                          </w:rPr>
                          <w:t>52.50</w:t>
                        </w:r>
                      </w:p>
                    </w:txbxContent>
                  </v:textbox>
                </v:shape>
                <v:shape id="文本框 111" o:spid="_x0000_s1026" o:spt="202" type="#_x0000_t202" style="position:absolute;left:4802505;top:318770;height:279400;width:819785;" fillcolor="#FFFFFF" filled="t" stroked="t" coordsize="21600,21600" o:gfxdata="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w1SeldYAAAAFAQAADwAA&#10;AAAAAAABACAAAAAiAAAAZHJzL2Rvd25yZXYueG1sUEsBAhQAFAAAAAgAh07iQOsT6IYYAgAARAQA&#10;AA4AAAAAAAAAAQAgAAAAJQEAAGRycy9lMm9Eb2MueG1sUEsFBgAAAAAGAAYAWQEAAK8FAAAAAA==&#10;">
                  <v:fill on="t" focussize="0,0"/>
                  <v:stroke color="#000000" joinstyle="miter"/>
                  <v:imagedata o:title=""/>
                  <o:lock v:ext="edit" aspectratio="f"/>
                  <v:textbox>
                    <w:txbxContent>
                      <w:p>
                        <w:pPr>
                          <w:spacing w:line="240" w:lineRule="auto"/>
                          <w:ind w:firstLine="0" w:firstLineChars="0"/>
                          <w:jc w:val="center"/>
                          <w:rPr>
                            <w:rFonts w:hint="eastAsia" w:eastAsia="宋体"/>
                            <w:sz w:val="18"/>
                            <w:szCs w:val="18"/>
                            <w:lang w:eastAsia="zh-CN"/>
                          </w:rPr>
                        </w:pPr>
                        <w:r>
                          <w:rPr>
                            <w:rFonts w:hint="eastAsia"/>
                            <w:sz w:val="18"/>
                            <w:szCs w:val="18"/>
                            <w:lang w:eastAsia="zh-CN"/>
                          </w:rPr>
                          <w:t>绿化用水</w:t>
                        </w:r>
                      </w:p>
                    </w:txbxContent>
                  </v:textbox>
                </v:shape>
                <v:shape id="文本框 112" o:spid="_x0000_s1026" o:spt="202" type="#_x0000_t202" style="position:absolute;left:4202430;top:810260;height:316865;width:530225;" filled="f" stroked="f" coordsize="21600,21600" o:gfxdata="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cGfCKNQAAAAFAQAADwAAAAAAAAABACAAAAAiAAAAZHJzL2Rvd25yZXYueG1sUEsBAhQAFAAA&#10;AAgAh07iQB4kTPW6AQAAXAMAAA4AAAAAAAAAAQAgAAAAIwEAAGRycy9lMm9Eb2MueG1sUEsFBgAA&#10;AAAGAAYAWQEAAE8FA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eastAsia="宋体"/>
                            <w:sz w:val="18"/>
                            <w:szCs w:val="18"/>
                            <w:lang w:val="en-US" w:eastAsia="zh-CN"/>
                          </w:rPr>
                          <w:t>59.23</w:t>
                        </w:r>
                      </w:p>
                    </w:txbxContent>
                  </v:textbox>
                </v:shape>
                <v:shape id="文本框 113" o:spid="_x0000_s1026" o:spt="202" type="#_x0000_t202" style="position:absolute;left:4848225;top:641350;height:316865;width:548640;" filled="f" stroked="f" coordsize="21600,21600" o:gfxdata="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cGfCKNQAAAAFAQAADwAAAAAAAAABACAAAAAiAAAAZHJzL2Rvd25yZXYueG1sUEsBAhQAFAAA&#10;AAgAh07iQIxNkPy6AQAAXAMAAA4AAAAAAAAAAQAgAAAAIwEAAGRycy9lMm9Eb2MueG1sUEsFBgAA&#10;AAAGAAYAWQEAAE8FA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eastAsia="宋体"/>
                            <w:sz w:val="18"/>
                            <w:szCs w:val="18"/>
                            <w:lang w:val="en-US" w:eastAsia="zh-CN"/>
                          </w:rPr>
                          <w:t>22.50</w:t>
                        </w:r>
                      </w:p>
                    </w:txbxContent>
                  </v:textbox>
                </v:shape>
                <v:shape id="文本框 114" o:spid="_x0000_s1026" o:spt="202" type="#_x0000_t202" style="position:absolute;left:4777740;top:1256665;height:316865;width:524510;" filled="f" stroked="f" coordsize="21600,21600" o:gfxdata="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cGfCKNQAAAAFAQAADwAAAAAAAAABACAAAAAiAAAAZHJzL2Rvd25yZXYueG1sUEsBAhQAFAAA&#10;AAgAh07iQHASkVm6AQAAXQMAAA4AAAAAAAAAAQAgAAAAIwEAAGRycy9lMm9Eb2MueG1sUEsFBgAA&#10;AAAGAAYAWQEAAE8FA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eastAsia="宋体"/>
                            <w:sz w:val="18"/>
                            <w:szCs w:val="18"/>
                            <w:lang w:val="en-US" w:eastAsia="zh-CN"/>
                          </w:rPr>
                          <w:t>36.73</w:t>
                        </w:r>
                      </w:p>
                    </w:txbxContent>
                  </v:textbox>
                </v:shape>
                <v:shape id="文本框 171" o:spid="_x0000_s1026" o:spt="202" type="#_x0000_t202" style="position:absolute;left:3139440;top:414655;height:279400;width:561340;" fillcolor="#FFFFFF" filled="t" stroked="t" coordsize="21600,21600" o:gfxdata="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w1SeldYAAAAFAQAADwAA&#10;AAAAAAABACAAAAAiAAAAZHJzL2Rvd25yZXYueG1sUEsBAhQAFAAAAAgAh07iQEn5d8gYAgAARAQA&#10;AA4AAAAAAAAAAQAgAAAAJQEAAGRycy9lMm9Eb2MueG1sUEsFBgAAAAAGAAYAWQEAAK8FAAAAAA==&#10;">
                  <v:fill on="t" focussize="0,0"/>
                  <v:stroke color="#000000" joinstyle="miter"/>
                  <v:imagedata o:title=""/>
                  <o:lock v:ext="edit" aspectratio="f"/>
                  <v:textbox>
                    <w:txbxContent>
                      <w:p>
                        <w:pPr>
                          <w:spacing w:line="240" w:lineRule="auto"/>
                          <w:ind w:firstLine="0" w:firstLineChars="0"/>
                          <w:rPr>
                            <w:rFonts w:hint="default" w:eastAsia="宋体"/>
                            <w:sz w:val="18"/>
                            <w:szCs w:val="18"/>
                            <w:lang w:val="en-US" w:eastAsia="zh-CN"/>
                          </w:rPr>
                        </w:pPr>
                        <w:r>
                          <w:rPr>
                            <w:rFonts w:hint="eastAsia" w:eastAsia="宋体"/>
                            <w:sz w:val="18"/>
                            <w:szCs w:val="18"/>
                            <w:lang w:val="en-US" w:eastAsia="zh-CN"/>
                          </w:rPr>
                          <w:t>隔油池</w:t>
                        </w:r>
                      </w:p>
                    </w:txbxContent>
                  </v:textbox>
                </v:shape>
                <v:line id="直接连接符 172" o:spid="_x0000_s1026" o:spt="20" style="position:absolute;left:3703955;top:560705;height:0;width:517525;" filled="f" stroked="t" coordsize="21600,21600" o:gfxdata="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6cclQ1wAAAAUBAAAPAAAAAAAAAAEAIAAAACIA&#10;AABkcnMvZG93bnJldi54bWxQSwECFAAUAAAACACHTuJAzcK4ZgoCAADzAwAADgAAAAAAAAABACAA&#10;AAAmAQAAZHJzL2Uyb0RvYy54bWxQSwUGAAAAAAYABgBZAQAAogUAAAAA&#10;">
                  <v:fill on="f" focussize="0,0"/>
                  <v:stroke color="#000000" joinstyle="round" endarrow="open"/>
                  <v:imagedata o:title=""/>
                  <o:lock v:ext="edit" aspectratio="f"/>
                </v:line>
                <v:shape id="文本框 173" o:spid="_x0000_s1026" o:spt="202" type="#_x0000_t202" style="position:absolute;left:3689350;top:325755;height:241300;width:647700;" filled="f" stroked="f" coordsize="21600,21600" o:gfxdata="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cGfCKNQAAAAFAQAADwAAAAAAAAABACAAAAAiAAAAZHJzL2Rvd25yZXYueG1sUEsBAhQAFAAA&#10;AAgAh07iQEGHFtO6AQAAXAMAAA4AAAAAAAAAAQAgAAAAIwEAAGRycy9lMm9Eb2MueG1sUEsFBgAA&#10;AAAGAAYAWQEAAE8FAAAAAA==&#10;">
                  <v:fill on="f" focussize="0,0"/>
                  <v:stroke on="f"/>
                  <v:imagedata o:title=""/>
                  <o:lock v:ext="edit" aspectratio="f"/>
                  <v:textbox>
                    <w:txbxContent>
                      <w:p>
                        <w:pPr>
                          <w:spacing w:line="240" w:lineRule="auto"/>
                          <w:ind w:firstLine="0" w:firstLineChars="0"/>
                          <w:rPr>
                            <w:rFonts w:hint="default" w:eastAsia="宋体"/>
                            <w:sz w:val="18"/>
                            <w:szCs w:val="18"/>
                            <w:lang w:val="en-US" w:eastAsia="zh-CN"/>
                          </w:rPr>
                        </w:pPr>
                        <w:r>
                          <w:rPr>
                            <w:rFonts w:hint="eastAsia" w:eastAsia="宋体"/>
                            <w:sz w:val="18"/>
                            <w:szCs w:val="18"/>
                            <w:lang w:val="en-US" w:eastAsia="zh-CN"/>
                          </w:rPr>
                          <w:t>6.40</w:t>
                        </w:r>
                      </w:p>
                    </w:txbxContent>
                  </v:textbox>
                </v:shape>
                <w10:wrap type="none"/>
                <w10:anchorlock/>
              </v:group>
            </w:pict>
          </mc:Fallback>
        </mc:AlternateContent>
      </w: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hint="eastAsia" w:ascii="Times New Roman" w:hAnsi="Times New Roman" w:eastAsia="宋体"/>
          <w:b/>
          <w:color w:val="auto"/>
          <w:szCs w:val="21"/>
          <w:highlight w:val="none"/>
        </w:rPr>
      </w:pPr>
      <w:r>
        <w:rPr>
          <w:rFonts w:hint="eastAsia" w:ascii="Times New Roman" w:hAnsi="Times New Roman" w:eastAsia="宋体"/>
          <w:b/>
          <w:color w:val="auto"/>
          <w:szCs w:val="21"/>
          <w:highlight w:val="none"/>
          <w:lang w:eastAsia="zh-CN"/>
        </w:rPr>
        <w:t>图</w:t>
      </w:r>
      <w:r>
        <w:rPr>
          <w:rFonts w:hint="eastAsia" w:ascii="Times New Roman" w:hAnsi="Times New Roman" w:eastAsia="宋体"/>
          <w:b/>
          <w:color w:val="auto"/>
          <w:szCs w:val="21"/>
          <w:highlight w:val="none"/>
          <w:lang w:val="en-US" w:eastAsia="zh-CN"/>
        </w:rPr>
        <w:t>3.3</w:t>
      </w:r>
      <w:r>
        <w:rPr>
          <w:rFonts w:hint="eastAsia" w:ascii="Times New Roman" w:hAnsi="Times New Roman" w:eastAsia="宋体"/>
          <w:b/>
          <w:color w:val="auto"/>
          <w:szCs w:val="21"/>
          <w:highlight w:val="none"/>
        </w:rPr>
        <w:t>-</w:t>
      </w:r>
      <w:r>
        <w:rPr>
          <w:rFonts w:hint="eastAsia" w:ascii="Times New Roman" w:hAnsi="Times New Roman" w:eastAsia="宋体"/>
          <w:b/>
          <w:color w:val="auto"/>
          <w:szCs w:val="21"/>
          <w:highlight w:val="none"/>
          <w:lang w:val="en-US" w:eastAsia="zh-CN"/>
        </w:rPr>
        <w:t xml:space="preserve">2 </w:t>
      </w:r>
      <w:r>
        <w:rPr>
          <w:rFonts w:ascii="Times New Roman" w:hAnsi="Times New Roman" w:eastAsia="宋体"/>
          <w:b/>
          <w:color w:val="auto"/>
          <w:szCs w:val="21"/>
          <w:highlight w:val="none"/>
        </w:rPr>
        <w:t xml:space="preserve"> </w:t>
      </w:r>
      <w:r>
        <w:rPr>
          <w:rFonts w:hint="eastAsia" w:ascii="Times New Roman" w:hAnsi="Times New Roman" w:eastAsia="宋体"/>
          <w:b/>
          <w:color w:val="auto"/>
          <w:szCs w:val="21"/>
          <w:highlight w:val="none"/>
        </w:rPr>
        <w:t>项目</w:t>
      </w:r>
      <w:r>
        <w:rPr>
          <w:rFonts w:hint="eastAsia" w:ascii="Times New Roman" w:hAnsi="Times New Roman" w:eastAsia="宋体"/>
          <w:b/>
          <w:color w:val="auto"/>
          <w:szCs w:val="21"/>
          <w:highlight w:val="none"/>
          <w:lang w:eastAsia="zh-CN"/>
        </w:rPr>
        <w:t>其他季节</w:t>
      </w:r>
      <w:r>
        <w:rPr>
          <w:rFonts w:hint="eastAsia" w:ascii="Times New Roman" w:hAnsi="Times New Roman" w:eastAsia="宋体"/>
          <w:b/>
          <w:color w:val="auto"/>
          <w:szCs w:val="21"/>
          <w:highlight w:val="none"/>
        </w:rPr>
        <w:t>水平衡图（单位：m</w:t>
      </w:r>
      <w:r>
        <w:rPr>
          <w:rFonts w:hint="eastAsia" w:ascii="Times New Roman" w:hAnsi="Times New Roman" w:eastAsia="宋体"/>
          <w:b/>
          <w:color w:val="auto"/>
          <w:szCs w:val="21"/>
          <w:highlight w:val="none"/>
          <w:vertAlign w:val="superscript"/>
        </w:rPr>
        <w:t>3</w:t>
      </w:r>
      <w:r>
        <w:rPr>
          <w:rFonts w:hint="eastAsia" w:ascii="Times New Roman" w:hAnsi="Times New Roman" w:eastAsia="宋体"/>
          <w:b/>
          <w:color w:val="auto"/>
          <w:szCs w:val="21"/>
          <w:highlight w:val="none"/>
        </w:rPr>
        <w:t>/d）</w:t>
      </w:r>
    </w:p>
    <w:p>
      <w:pPr>
        <w:ind w:left="420" w:leftChars="200"/>
        <w:jc w:val="center"/>
        <w:rPr>
          <w:rFonts w:ascii="Times New Roman" w:hAnsi="Times New Roman" w:eastAsia="宋体" w:cs="Times New Roman"/>
          <w:b/>
          <w:color w:val="auto"/>
          <w:sz w:val="21"/>
          <w:szCs w:val="21"/>
          <w:highlight w:val="green"/>
        </w:rPr>
      </w:pPr>
    </w:p>
    <w:p>
      <w:pPr>
        <w:pStyle w:val="5"/>
        <w:keepNext/>
        <w:keepLines/>
        <w:pageBreakBefore w:val="0"/>
        <w:widowControl w:val="0"/>
        <w:kinsoku/>
        <w:wordWrap/>
        <w:overflowPunct/>
        <w:topLinePunct w:val="0"/>
        <w:autoSpaceDE/>
        <w:autoSpaceDN/>
        <w:bidi w:val="0"/>
        <w:adjustRightInd w:val="0"/>
        <w:snapToGrid w:val="0"/>
        <w:spacing w:before="0" w:after="0" w:line="360" w:lineRule="auto"/>
        <w:textAlignment w:val="auto"/>
        <w:rPr>
          <w:rFonts w:ascii="Times New Roman" w:hAnsi="Times New Roman" w:eastAsia="宋体"/>
          <w:color w:val="auto"/>
          <w:sz w:val="30"/>
          <w:szCs w:val="30"/>
        </w:rPr>
      </w:pPr>
      <w:bookmarkStart w:id="117" w:name="_Toc459118430"/>
      <w:bookmarkStart w:id="118" w:name="_Toc8365"/>
      <w:bookmarkStart w:id="119" w:name="_Toc16407"/>
      <w:r>
        <w:rPr>
          <w:rFonts w:hint="eastAsia" w:ascii="Times New Roman" w:hAnsi="Times New Roman" w:eastAsia="宋体"/>
          <w:color w:val="auto"/>
          <w:sz w:val="30"/>
          <w:szCs w:val="30"/>
        </w:rPr>
        <w:t>3</w:t>
      </w:r>
      <w:r>
        <w:rPr>
          <w:rFonts w:ascii="Times New Roman" w:hAnsi="Times New Roman" w:eastAsia="宋体"/>
          <w:color w:val="auto"/>
          <w:sz w:val="30"/>
          <w:szCs w:val="30"/>
        </w:rPr>
        <w:t>.</w:t>
      </w:r>
      <w:r>
        <w:rPr>
          <w:rFonts w:hint="eastAsia" w:ascii="Times New Roman" w:hAnsi="Times New Roman" w:eastAsia="宋体"/>
          <w:color w:val="auto"/>
          <w:sz w:val="30"/>
          <w:szCs w:val="30"/>
        </w:rPr>
        <w:t>4</w:t>
      </w:r>
      <w:bookmarkEnd w:id="117"/>
      <w:r>
        <w:rPr>
          <w:rFonts w:hint="eastAsia" w:ascii="Times New Roman" w:hAnsi="Times New Roman" w:eastAsia="宋体"/>
          <w:color w:val="auto"/>
          <w:sz w:val="30"/>
          <w:szCs w:val="30"/>
        </w:rPr>
        <w:t>施工期项目污染物排放及治理</w:t>
      </w:r>
      <w:bookmarkEnd w:id="118"/>
      <w:bookmarkEnd w:id="119"/>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textAlignment w:val="auto"/>
        <w:outlineLvl w:val="2"/>
        <w:rPr>
          <w:rFonts w:hint="eastAsia" w:ascii="Times New Roman" w:hAnsi="Times New Roman" w:eastAsia="宋体"/>
          <w:b/>
          <w:bCs/>
          <w:color w:val="auto"/>
          <w:sz w:val="28"/>
          <w:szCs w:val="28"/>
          <w:lang w:val="en-US" w:eastAsia="zh-CN"/>
        </w:rPr>
      </w:pPr>
      <w:r>
        <w:rPr>
          <w:rFonts w:hint="eastAsia" w:ascii="Times New Roman" w:hAnsi="Times New Roman" w:eastAsia="宋体"/>
          <w:b/>
          <w:bCs/>
          <w:color w:val="auto"/>
          <w:sz w:val="28"/>
          <w:szCs w:val="28"/>
        </w:rPr>
        <w:t>3.</w:t>
      </w:r>
      <w:r>
        <w:rPr>
          <w:rFonts w:hint="eastAsia" w:ascii="Times New Roman" w:hAnsi="Times New Roman" w:eastAsia="宋体"/>
          <w:b/>
          <w:bCs/>
          <w:color w:val="auto"/>
          <w:sz w:val="28"/>
          <w:szCs w:val="28"/>
          <w:lang w:val="en-US" w:eastAsia="zh-CN"/>
        </w:rPr>
        <w:t>4</w:t>
      </w:r>
      <w:r>
        <w:rPr>
          <w:rFonts w:hint="eastAsia" w:ascii="Times New Roman" w:hAnsi="Times New Roman" w:eastAsia="宋体"/>
          <w:b/>
          <w:bCs/>
          <w:color w:val="auto"/>
          <w:sz w:val="28"/>
          <w:szCs w:val="28"/>
        </w:rPr>
        <w:t>.1</w:t>
      </w:r>
      <w:r>
        <w:rPr>
          <w:rFonts w:hint="eastAsia" w:ascii="Times New Roman" w:hAnsi="Times New Roman" w:eastAsia="宋体"/>
          <w:b/>
          <w:bCs/>
          <w:color w:val="auto"/>
          <w:sz w:val="28"/>
          <w:szCs w:val="28"/>
          <w:lang w:eastAsia="zh-CN"/>
        </w:rPr>
        <w:t>施工废气</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本项目施工期的大气污染物主要是扬尘，扬尘一般由土地平整、土方填挖、物料装卸和车辆运输造成的。建设单位在施工前，做好土石方平衡工作，尽量减少挖填施工工程量。</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color w:val="auto"/>
          <w:kern w:val="2"/>
          <w:sz w:val="24"/>
          <w:lang w:eastAsia="zh-CN"/>
        </w:rPr>
        <w:t>（</w:t>
      </w:r>
      <w:r>
        <w:rPr>
          <w:rFonts w:hint="eastAsia" w:ascii="Times New Roman" w:hAnsi="Times New Roman" w:cs="Times New Roman"/>
          <w:color w:val="auto"/>
          <w:kern w:val="2"/>
          <w:sz w:val="24"/>
          <w:lang w:val="en-US" w:eastAsia="zh-CN"/>
        </w:rPr>
        <w:t>1</w:t>
      </w:r>
      <w:r>
        <w:rPr>
          <w:rFonts w:hint="eastAsia" w:ascii="Times New Roman" w:hAnsi="Times New Roman" w:cs="Times New Roman"/>
          <w:color w:val="auto"/>
          <w:kern w:val="2"/>
          <w:sz w:val="24"/>
          <w:lang w:eastAsia="zh-CN"/>
        </w:rPr>
        <w:t>）施工车辆扬尘</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车辆行驶产生的扬尘，在完全干燥情况下，按下列经验公式计算：</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center"/>
        <w:textAlignment w:val="auto"/>
        <w:rPr>
          <w:rFonts w:hint="eastAsia" w:ascii="Times New Roman" w:hAnsi="Times New Roman" w:cs="Times New Roman" w:eastAsiaTheme="minorEastAsia"/>
          <w:color w:val="auto"/>
          <w:kern w:val="2"/>
          <w:sz w:val="24"/>
          <w:lang w:eastAsia="zh-CN"/>
        </w:rPr>
      </w:pPr>
      <w:r>
        <w:rPr>
          <w:color w:val="auto"/>
        </w:rPr>
        <w:drawing>
          <wp:inline distT="0" distB="0" distL="114300" distR="114300">
            <wp:extent cx="2990850" cy="561975"/>
            <wp:effectExtent l="0" t="0" r="0" b="9525"/>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28"/>
                    <a:stretch>
                      <a:fillRect/>
                    </a:stretch>
                  </pic:blipFill>
                  <pic:spPr>
                    <a:xfrm>
                      <a:off x="0" y="0"/>
                      <a:ext cx="2990850" cy="561975"/>
                    </a:xfrm>
                    <a:prstGeom prst="rect">
                      <a:avLst/>
                    </a:prstGeom>
                    <a:noFill/>
                    <a:ln>
                      <a:noFill/>
                    </a:ln>
                  </pic:spPr>
                </pic:pic>
              </a:graphicData>
            </a:graphic>
          </wp:inline>
        </w:drawing>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color w:val="auto"/>
          <w:kern w:val="2"/>
          <w:sz w:val="24"/>
          <w:lang w:val="en-US" w:eastAsia="zh-CN"/>
        </w:rPr>
      </w:pPr>
      <w:r>
        <w:rPr>
          <w:rFonts w:hint="eastAsia" w:ascii="Times New Roman" w:hAnsi="Times New Roman" w:cs="Times New Roman"/>
          <w:color w:val="auto"/>
          <w:kern w:val="2"/>
          <w:sz w:val="24"/>
          <w:lang w:eastAsia="zh-CN"/>
        </w:rPr>
        <w:t>式中：</w:t>
      </w:r>
      <w:r>
        <w:rPr>
          <w:rFonts w:hint="eastAsia" w:ascii="Times New Roman" w:hAnsi="Times New Roman" w:cs="Times New Roman"/>
          <w:color w:val="auto"/>
          <w:kern w:val="2"/>
          <w:sz w:val="24"/>
          <w:lang w:val="en-US" w:eastAsia="zh-CN"/>
        </w:rPr>
        <w:t>Q—汽车行驶的扬尘，kg/km·辆；</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color w:val="auto"/>
          <w:kern w:val="2"/>
          <w:sz w:val="24"/>
          <w:lang w:val="en-US" w:eastAsia="zh-CN"/>
        </w:rPr>
      </w:pPr>
      <w:r>
        <w:rPr>
          <w:rFonts w:hint="eastAsia" w:ascii="Times New Roman" w:hAnsi="Times New Roman" w:cs="Times New Roman"/>
          <w:color w:val="auto"/>
          <w:kern w:val="2"/>
          <w:sz w:val="24"/>
          <w:lang w:val="en-US" w:eastAsia="zh-CN"/>
        </w:rPr>
        <w:t xml:space="preserve">      V—汽车速度，km/hr；</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color w:val="auto"/>
          <w:kern w:val="2"/>
          <w:sz w:val="24"/>
          <w:lang w:val="en-US" w:eastAsia="zh-CN"/>
        </w:rPr>
      </w:pPr>
      <w:r>
        <w:rPr>
          <w:rFonts w:hint="eastAsia" w:ascii="Times New Roman" w:hAnsi="Times New Roman" w:cs="Times New Roman"/>
          <w:color w:val="auto"/>
          <w:kern w:val="2"/>
          <w:sz w:val="24"/>
          <w:lang w:val="en-US" w:eastAsia="zh-CN"/>
        </w:rPr>
        <w:t xml:space="preserve">      W—汽车载重量，吨；</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color w:val="auto"/>
          <w:kern w:val="2"/>
          <w:sz w:val="24"/>
          <w:lang w:val="en-US" w:eastAsia="zh-CN"/>
        </w:rPr>
      </w:pPr>
      <w:r>
        <w:rPr>
          <w:rFonts w:hint="eastAsia" w:ascii="Times New Roman" w:hAnsi="Times New Roman" w:cs="Times New Roman"/>
          <w:color w:val="auto"/>
          <w:kern w:val="2"/>
          <w:sz w:val="24"/>
          <w:lang w:val="en-US" w:eastAsia="zh-CN"/>
        </w:rPr>
        <w:t xml:space="preserve">      P—道路表面粉尘量，kg/m</w:t>
      </w:r>
      <w:r>
        <w:rPr>
          <w:rFonts w:hint="eastAsia" w:ascii="Times New Roman" w:hAnsi="Times New Roman" w:cs="Times New Roman"/>
          <w:color w:val="auto"/>
          <w:kern w:val="2"/>
          <w:sz w:val="24"/>
          <w:vertAlign w:val="superscript"/>
          <w:lang w:val="en-US" w:eastAsia="zh-CN"/>
        </w:rPr>
        <w:t>2</w:t>
      </w:r>
      <w:r>
        <w:rPr>
          <w:rFonts w:hint="eastAsia" w:ascii="Times New Roman" w:hAnsi="Times New Roman" w:cs="Times New Roman"/>
          <w:color w:val="auto"/>
          <w:kern w:val="2"/>
          <w:sz w:val="24"/>
          <w:lang w:val="en-US" w:eastAsia="zh-CN"/>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color w:val="auto"/>
          <w:kern w:val="2"/>
          <w:sz w:val="24"/>
          <w:lang w:val="en-US" w:eastAsia="zh-CN"/>
        </w:rPr>
      </w:pPr>
      <w:r>
        <w:rPr>
          <w:rFonts w:hint="eastAsia" w:ascii="Times New Roman" w:hAnsi="Times New Roman" w:cs="Times New Roman"/>
          <w:color w:val="auto"/>
          <w:kern w:val="2"/>
          <w:sz w:val="24"/>
          <w:lang w:val="en-US" w:eastAsia="zh-CN"/>
        </w:rPr>
        <w:t>表 3.4-1 为一辆 10 吨卡车，通过一段长度为 1km 的路面时，不同路面清洁程度，不同行驶速度情况下产生的扬尘量。</w:t>
      </w: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hint="eastAsia" w:ascii="Times New Roman" w:hAnsi="Times New Roman" w:eastAsia="宋体"/>
          <w:b/>
          <w:color w:val="auto"/>
          <w:szCs w:val="21"/>
        </w:rPr>
      </w:pPr>
      <w:r>
        <w:rPr>
          <w:rFonts w:ascii="Times New Roman" w:hAnsi="Times New Roman" w:eastAsia="宋体"/>
          <w:b/>
          <w:color w:val="auto"/>
          <w:szCs w:val="21"/>
        </w:rPr>
        <w:t>表</w:t>
      </w:r>
      <w:r>
        <w:rPr>
          <w:rFonts w:hint="eastAsia" w:ascii="Times New Roman" w:hAnsi="Times New Roman" w:eastAsia="宋体"/>
          <w:b/>
          <w:color w:val="auto"/>
          <w:szCs w:val="21"/>
          <w:lang w:val="en-US" w:eastAsia="zh-CN"/>
        </w:rPr>
        <w:t>3.4</w:t>
      </w:r>
      <w:r>
        <w:rPr>
          <w:rFonts w:hint="eastAsia" w:ascii="Times New Roman" w:hAnsi="Times New Roman" w:eastAsia="宋体"/>
          <w:b/>
          <w:color w:val="auto"/>
          <w:szCs w:val="21"/>
        </w:rPr>
        <w:t>-</w:t>
      </w:r>
      <w:r>
        <w:rPr>
          <w:rFonts w:hint="eastAsia" w:ascii="Times New Roman" w:hAnsi="Times New Roman" w:eastAsia="宋体"/>
          <w:b/>
          <w:color w:val="auto"/>
          <w:szCs w:val="21"/>
          <w:lang w:val="en-US" w:eastAsia="zh-CN"/>
        </w:rPr>
        <w:t xml:space="preserve">1 </w:t>
      </w:r>
      <w:r>
        <w:rPr>
          <w:rFonts w:ascii="Times New Roman" w:hAnsi="Times New Roman" w:eastAsia="宋体"/>
          <w:b/>
          <w:color w:val="auto"/>
          <w:szCs w:val="21"/>
        </w:rPr>
        <w:t xml:space="preserve"> </w:t>
      </w:r>
      <w:r>
        <w:rPr>
          <w:rFonts w:hint="eastAsia" w:ascii="Times New Roman" w:hAnsi="Times New Roman" w:eastAsia="宋体"/>
          <w:b/>
          <w:color w:val="auto"/>
          <w:szCs w:val="21"/>
        </w:rPr>
        <w:t>在不同车速和地面清洁程度的汽车扬尘 单位：kg/辆·km</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7"/>
        <w:gridCol w:w="1317"/>
        <w:gridCol w:w="1317"/>
        <w:gridCol w:w="1317"/>
        <w:gridCol w:w="1317"/>
        <w:gridCol w:w="1317"/>
        <w:gridCol w:w="1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7" w:type="dxa"/>
          </w:tcPr>
          <w:p>
            <w:pPr>
              <w:pStyle w:val="98"/>
              <w:jc w:val="center"/>
              <w:rPr>
                <w:rFonts w:hint="default"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P车速</w:t>
            </w:r>
          </w:p>
        </w:tc>
        <w:tc>
          <w:tcPr>
            <w:tcW w:w="1317" w:type="dxa"/>
          </w:tcPr>
          <w:p>
            <w:pPr>
              <w:pStyle w:val="98"/>
              <w:jc w:val="center"/>
              <w:rPr>
                <w:rFonts w:hint="default"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0.1（kg/m</w:t>
            </w:r>
            <w:r>
              <w:rPr>
                <w:rFonts w:hint="eastAsia" w:ascii="Times New Roman" w:hAnsi="Times New Roman" w:cs="Times New Roman"/>
                <w:b/>
                <w:bCs/>
                <w:color w:val="auto"/>
                <w:szCs w:val="21"/>
                <w:vertAlign w:val="superscript"/>
                <w:lang w:val="en-US" w:eastAsia="zh-CN"/>
              </w:rPr>
              <w:t>2</w:t>
            </w:r>
            <w:r>
              <w:rPr>
                <w:rFonts w:hint="eastAsia" w:ascii="Times New Roman" w:hAnsi="Times New Roman" w:cs="Times New Roman"/>
                <w:b/>
                <w:bCs/>
                <w:color w:val="auto"/>
                <w:szCs w:val="21"/>
                <w:lang w:val="en-US" w:eastAsia="zh-CN"/>
              </w:rPr>
              <w:t>）</w:t>
            </w:r>
          </w:p>
        </w:tc>
        <w:tc>
          <w:tcPr>
            <w:tcW w:w="1317" w:type="dxa"/>
          </w:tcPr>
          <w:p>
            <w:pPr>
              <w:pStyle w:val="98"/>
              <w:jc w:val="center"/>
              <w:rPr>
                <w:rFonts w:hint="default"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0.2（kg/m</w:t>
            </w:r>
            <w:r>
              <w:rPr>
                <w:rFonts w:hint="eastAsia" w:ascii="Times New Roman" w:hAnsi="Times New Roman" w:cs="Times New Roman"/>
                <w:b/>
                <w:bCs/>
                <w:color w:val="auto"/>
                <w:szCs w:val="21"/>
                <w:vertAlign w:val="superscript"/>
                <w:lang w:val="en-US" w:eastAsia="zh-CN"/>
              </w:rPr>
              <w:t>2</w:t>
            </w:r>
            <w:r>
              <w:rPr>
                <w:rFonts w:hint="eastAsia" w:ascii="Times New Roman" w:hAnsi="Times New Roman" w:cs="Times New Roman"/>
                <w:b/>
                <w:bCs/>
                <w:color w:val="auto"/>
                <w:szCs w:val="21"/>
                <w:lang w:val="en-US" w:eastAsia="zh-CN"/>
              </w:rPr>
              <w:t>）</w:t>
            </w:r>
          </w:p>
        </w:tc>
        <w:tc>
          <w:tcPr>
            <w:tcW w:w="1317" w:type="dxa"/>
          </w:tcPr>
          <w:p>
            <w:pPr>
              <w:pStyle w:val="98"/>
              <w:jc w:val="center"/>
              <w:rPr>
                <w:rFonts w:hint="default"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0.3（kg/m</w:t>
            </w:r>
            <w:r>
              <w:rPr>
                <w:rFonts w:hint="eastAsia" w:ascii="Times New Roman" w:hAnsi="Times New Roman" w:cs="Times New Roman"/>
                <w:b/>
                <w:bCs/>
                <w:color w:val="auto"/>
                <w:szCs w:val="21"/>
                <w:vertAlign w:val="superscript"/>
                <w:lang w:val="en-US" w:eastAsia="zh-CN"/>
              </w:rPr>
              <w:t>2</w:t>
            </w:r>
            <w:r>
              <w:rPr>
                <w:rFonts w:hint="eastAsia" w:ascii="Times New Roman" w:hAnsi="Times New Roman" w:cs="Times New Roman"/>
                <w:b/>
                <w:bCs/>
                <w:color w:val="auto"/>
                <w:szCs w:val="21"/>
                <w:lang w:val="en-US" w:eastAsia="zh-CN"/>
              </w:rPr>
              <w:t>）</w:t>
            </w:r>
          </w:p>
        </w:tc>
        <w:tc>
          <w:tcPr>
            <w:tcW w:w="1317" w:type="dxa"/>
          </w:tcPr>
          <w:p>
            <w:pPr>
              <w:pStyle w:val="98"/>
              <w:jc w:val="center"/>
              <w:rPr>
                <w:rFonts w:hint="default"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0.4（kg/m</w:t>
            </w:r>
            <w:r>
              <w:rPr>
                <w:rFonts w:hint="eastAsia" w:ascii="Times New Roman" w:hAnsi="Times New Roman" w:cs="Times New Roman"/>
                <w:b/>
                <w:bCs/>
                <w:color w:val="auto"/>
                <w:szCs w:val="21"/>
                <w:vertAlign w:val="superscript"/>
                <w:lang w:val="en-US" w:eastAsia="zh-CN"/>
              </w:rPr>
              <w:t>2</w:t>
            </w:r>
            <w:r>
              <w:rPr>
                <w:rFonts w:hint="eastAsia" w:ascii="Times New Roman" w:hAnsi="Times New Roman" w:cs="Times New Roman"/>
                <w:b/>
                <w:bCs/>
                <w:color w:val="auto"/>
                <w:szCs w:val="21"/>
                <w:lang w:val="en-US" w:eastAsia="zh-CN"/>
              </w:rPr>
              <w:t>）</w:t>
            </w:r>
          </w:p>
        </w:tc>
        <w:tc>
          <w:tcPr>
            <w:tcW w:w="1317" w:type="dxa"/>
          </w:tcPr>
          <w:p>
            <w:pPr>
              <w:pStyle w:val="98"/>
              <w:jc w:val="center"/>
              <w:rPr>
                <w:rFonts w:hint="default"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0.5（kg/m</w:t>
            </w:r>
            <w:r>
              <w:rPr>
                <w:rFonts w:hint="eastAsia" w:ascii="Times New Roman" w:hAnsi="Times New Roman" w:cs="Times New Roman"/>
                <w:b/>
                <w:bCs/>
                <w:color w:val="auto"/>
                <w:szCs w:val="21"/>
                <w:vertAlign w:val="superscript"/>
                <w:lang w:val="en-US" w:eastAsia="zh-CN"/>
              </w:rPr>
              <w:t>2</w:t>
            </w:r>
            <w:r>
              <w:rPr>
                <w:rFonts w:hint="eastAsia" w:ascii="Times New Roman" w:hAnsi="Times New Roman" w:cs="Times New Roman"/>
                <w:b/>
                <w:bCs/>
                <w:color w:val="auto"/>
                <w:szCs w:val="21"/>
                <w:lang w:val="en-US" w:eastAsia="zh-CN"/>
              </w:rPr>
              <w:t>）</w:t>
            </w:r>
          </w:p>
        </w:tc>
        <w:tc>
          <w:tcPr>
            <w:tcW w:w="1318" w:type="dxa"/>
          </w:tcPr>
          <w:p>
            <w:pPr>
              <w:pStyle w:val="98"/>
              <w:jc w:val="center"/>
              <w:rPr>
                <w:rFonts w:hint="default"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1（kg/m</w:t>
            </w:r>
            <w:r>
              <w:rPr>
                <w:rFonts w:hint="eastAsia" w:ascii="Times New Roman" w:hAnsi="Times New Roman" w:cs="Times New Roman"/>
                <w:b/>
                <w:bCs/>
                <w:color w:val="auto"/>
                <w:szCs w:val="21"/>
                <w:vertAlign w:val="superscript"/>
                <w:lang w:val="en-US" w:eastAsia="zh-CN"/>
              </w:rPr>
              <w:t>2</w:t>
            </w:r>
            <w:r>
              <w:rPr>
                <w:rFonts w:hint="eastAsia" w:ascii="Times New Roman" w:hAnsi="Times New Roman" w:cs="Times New Roman"/>
                <w:b/>
                <w:bCs/>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7" w:type="dxa"/>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5（km/hr）</w:t>
            </w:r>
          </w:p>
        </w:tc>
        <w:tc>
          <w:tcPr>
            <w:tcW w:w="1317" w:type="dxa"/>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0.051056</w:t>
            </w:r>
          </w:p>
        </w:tc>
        <w:tc>
          <w:tcPr>
            <w:tcW w:w="1317" w:type="dxa"/>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0.085865</w:t>
            </w:r>
          </w:p>
        </w:tc>
        <w:tc>
          <w:tcPr>
            <w:tcW w:w="1317" w:type="dxa"/>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0.116382</w:t>
            </w:r>
          </w:p>
        </w:tc>
        <w:tc>
          <w:tcPr>
            <w:tcW w:w="1317" w:type="dxa"/>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0.144408</w:t>
            </w:r>
          </w:p>
        </w:tc>
        <w:tc>
          <w:tcPr>
            <w:tcW w:w="1317" w:type="dxa"/>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0.170715</w:t>
            </w:r>
          </w:p>
        </w:tc>
        <w:tc>
          <w:tcPr>
            <w:tcW w:w="1318" w:type="dxa"/>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0.287108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7" w:type="dxa"/>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10（km/hr）</w:t>
            </w:r>
          </w:p>
        </w:tc>
        <w:tc>
          <w:tcPr>
            <w:tcW w:w="1317" w:type="dxa"/>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0.102112</w:t>
            </w:r>
          </w:p>
        </w:tc>
        <w:tc>
          <w:tcPr>
            <w:tcW w:w="1317" w:type="dxa"/>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0.171731</w:t>
            </w:r>
          </w:p>
        </w:tc>
        <w:tc>
          <w:tcPr>
            <w:tcW w:w="1317" w:type="dxa"/>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0.232764</w:t>
            </w:r>
          </w:p>
        </w:tc>
        <w:tc>
          <w:tcPr>
            <w:tcW w:w="1317" w:type="dxa"/>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0.288815</w:t>
            </w:r>
          </w:p>
        </w:tc>
        <w:tc>
          <w:tcPr>
            <w:tcW w:w="1317" w:type="dxa"/>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0.341431</w:t>
            </w:r>
          </w:p>
        </w:tc>
        <w:tc>
          <w:tcPr>
            <w:tcW w:w="1318" w:type="dxa"/>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0.574216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7" w:type="dxa"/>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15（km/hr）</w:t>
            </w:r>
          </w:p>
        </w:tc>
        <w:tc>
          <w:tcPr>
            <w:tcW w:w="1317" w:type="dxa"/>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0.153167</w:t>
            </w:r>
          </w:p>
        </w:tc>
        <w:tc>
          <w:tcPr>
            <w:tcW w:w="1317" w:type="dxa"/>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0.257596</w:t>
            </w:r>
          </w:p>
        </w:tc>
        <w:tc>
          <w:tcPr>
            <w:tcW w:w="1317" w:type="dxa"/>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0.349146</w:t>
            </w:r>
          </w:p>
        </w:tc>
        <w:tc>
          <w:tcPr>
            <w:tcW w:w="1317" w:type="dxa"/>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0.433223</w:t>
            </w:r>
          </w:p>
        </w:tc>
        <w:tc>
          <w:tcPr>
            <w:tcW w:w="1317" w:type="dxa"/>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0.512146</w:t>
            </w:r>
          </w:p>
        </w:tc>
        <w:tc>
          <w:tcPr>
            <w:tcW w:w="1318" w:type="dxa"/>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0.861323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7" w:type="dxa"/>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25（km/hr）</w:t>
            </w:r>
          </w:p>
        </w:tc>
        <w:tc>
          <w:tcPr>
            <w:tcW w:w="1317" w:type="dxa"/>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0.255279</w:t>
            </w:r>
          </w:p>
        </w:tc>
        <w:tc>
          <w:tcPr>
            <w:tcW w:w="1317" w:type="dxa"/>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0.429326</w:t>
            </w:r>
          </w:p>
        </w:tc>
        <w:tc>
          <w:tcPr>
            <w:tcW w:w="1317" w:type="dxa"/>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0.581991</w:t>
            </w:r>
          </w:p>
        </w:tc>
        <w:tc>
          <w:tcPr>
            <w:tcW w:w="1317" w:type="dxa"/>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0.722038</w:t>
            </w:r>
          </w:p>
        </w:tc>
        <w:tc>
          <w:tcPr>
            <w:tcW w:w="1317" w:type="dxa"/>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0.853577</w:t>
            </w:r>
          </w:p>
        </w:tc>
        <w:tc>
          <w:tcPr>
            <w:tcW w:w="1318" w:type="dxa"/>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1.435539</w:t>
            </w:r>
          </w:p>
        </w:tc>
      </w:tr>
    </w:tbl>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由此可见，施工车辆扬尘与车速、地面清洁程度等有密切关系。在同样路面清洁程度条件下，车速越快，扬尘量越大；而在同样车速情况下，路面越脏，则扬尘量越大。由于大部分施工作业都是在场内进行，场内目前大部分为农地，少量的防护林地。施工区域全部为农地，因此在场地内施工扬尘会较大，遇汛期将增加水土流失量。</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eastAsia" w:ascii="Times New Roman" w:hAnsi="Times New Roman" w:cs="Times New Roman" w:eastAsiaTheme="minorEastAsia"/>
          <w:b/>
          <w:bCs/>
          <w:color w:val="auto"/>
          <w:kern w:val="2"/>
          <w:sz w:val="24"/>
          <w:lang w:eastAsia="zh-CN"/>
        </w:rPr>
      </w:pPr>
      <w:r>
        <w:rPr>
          <w:rFonts w:hint="eastAsia" w:ascii="Times New Roman" w:hAnsi="Times New Roman" w:cs="Times New Roman" w:eastAsiaTheme="minorEastAsia"/>
          <w:b/>
          <w:bCs/>
          <w:color w:val="auto"/>
          <w:kern w:val="2"/>
          <w:sz w:val="24"/>
          <w:lang w:eastAsia="zh-CN"/>
        </w:rPr>
        <w:t>防治措施：</w:t>
      </w:r>
    </w:p>
    <w:p>
      <w:pPr>
        <w:keepNext w:val="0"/>
        <w:keepLines w:val="0"/>
        <w:pageBreakBefore w:val="0"/>
        <w:widowControl w:val="0"/>
        <w:numPr>
          <w:ilvl w:val="0"/>
          <w:numId w:val="1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严格按照《四川省大气污染防治行动计划实施细则 2017 年度实施计划》的要求：“严格执行安全文明施工标准规范，全面推行现场标准化管理。严格落实施工现场围挡、工地物料堆场覆盖、施工现场路面硬化、驶出工地车辆冲洗、拆迁工地湿法作业、渣土运输车辆密闭等扬尘防治要求。研究渣土运输车辆密闭改装标准，确保实现渣土密闭运输。加强建设工地监督检查，督促责任单位落实降尘、压尘和抑尘措施。”</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严格落实建设施工工地扬尘整治管理制度。做到“六必须”（必须围档作业、必须硬化道路、必须设置冲洗设施、必须及时洒水作业、必须落实保洁人员、必须定时清扫施工现场）、“六不准”（不准车辆带泥出门、不准运渣车辆冒顶装载、不准高空抛撒建筑垃圾、不准现场搅拌混凝土、不准场地积水、不准现场焚烧废弃物）。</w:t>
      </w:r>
    </w:p>
    <w:p>
      <w:pPr>
        <w:keepNext w:val="0"/>
        <w:keepLines w:val="0"/>
        <w:pageBreakBefore w:val="0"/>
        <w:widowControl w:val="0"/>
        <w:numPr>
          <w:ilvl w:val="0"/>
          <w:numId w:val="10"/>
        </w:numPr>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由于区域农地土壤吸水性能较好，因此，要求在施工前分片区洒水增加土壤湿度，然后在进行挖掘、运输，场内运输车应控制车速，降低扬尘的产生。</w:t>
      </w:r>
    </w:p>
    <w:p>
      <w:pPr>
        <w:keepNext w:val="0"/>
        <w:keepLines w:val="0"/>
        <w:pageBreakBefore w:val="0"/>
        <w:widowControl w:val="0"/>
        <w:numPr>
          <w:ilvl w:val="0"/>
          <w:numId w:val="10"/>
        </w:numPr>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要求在车辆进出场口设置冲洗平台，车辆冲洗干净方可出场，运输车辆必须遮蓬，防治运输途中的扬尘。</w:t>
      </w:r>
    </w:p>
    <w:p>
      <w:pPr>
        <w:keepNext w:val="0"/>
        <w:keepLines w:val="0"/>
        <w:pageBreakBefore w:val="0"/>
        <w:widowControl w:val="0"/>
        <w:numPr>
          <w:ilvl w:val="0"/>
          <w:numId w:val="10"/>
        </w:numPr>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定期清扫路面，保持路面清洁，控制车速。</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Chars="200" w:right="0" w:rightChars="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color w:val="auto"/>
          <w:kern w:val="2"/>
          <w:sz w:val="24"/>
          <w:lang w:eastAsia="zh-CN"/>
        </w:rPr>
        <w:t>（</w:t>
      </w:r>
      <w:r>
        <w:rPr>
          <w:rFonts w:hint="eastAsia" w:ascii="Times New Roman" w:hAnsi="Times New Roman" w:cs="Times New Roman"/>
          <w:color w:val="auto"/>
          <w:kern w:val="2"/>
          <w:sz w:val="24"/>
          <w:lang w:val="en-US" w:eastAsia="zh-CN"/>
        </w:rPr>
        <w:t>2</w:t>
      </w:r>
      <w:r>
        <w:rPr>
          <w:rFonts w:hint="eastAsia" w:ascii="Times New Roman" w:hAnsi="Times New Roman" w:cs="Times New Roman"/>
          <w:color w:val="auto"/>
          <w:kern w:val="2"/>
          <w:sz w:val="24"/>
          <w:lang w:eastAsia="zh-CN"/>
        </w:rPr>
        <w:t>）</w:t>
      </w:r>
      <w:r>
        <w:rPr>
          <w:rFonts w:hint="eastAsia" w:ascii="Times New Roman" w:hAnsi="Times New Roman" w:cs="Times New Roman" w:eastAsiaTheme="minorEastAsia"/>
          <w:color w:val="auto"/>
          <w:kern w:val="2"/>
          <w:sz w:val="24"/>
          <w:lang w:eastAsia="zh-CN"/>
        </w:rPr>
        <w:t>物料装卸扬尘</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Chars="200" w:right="0" w:rightChars="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装卸扬尘可根据经验计算公式：</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right="0"/>
        <w:jc w:val="center"/>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position w:val="-10"/>
          <w:sz w:val="24"/>
          <w:lang w:eastAsia="zh-CN"/>
        </w:rPr>
        <w:object>
          <v:shape id="_x0000_i1026" o:spt="75" type="#_x0000_t75" style="height:16pt;width:56pt;" o:ole="t" filled="f" o:preferrelative="t" stroked="f" coordsize="21600,21600">
            <v:path/>
            <v:fill on="f" focussize="0,0"/>
            <v:stroke on="f"/>
            <v:imagedata r:id="rId30" o:title=""/>
            <o:lock v:ext="edit" aspectratio="t"/>
            <w10:wrap type="none"/>
            <w10:anchorlock/>
          </v:shape>
          <o:OLEObject Type="Embed" ProgID="Equation.KSEE3" ShapeID="_x0000_i1026" DrawAspect="Content" ObjectID="_1468075726" r:id="rId29">
            <o:LockedField>false</o:LockedField>
          </o:OLEObject>
        </w:objec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color w:val="auto"/>
          <w:kern w:val="2"/>
          <w:sz w:val="24"/>
          <w:lang w:val="en-US" w:eastAsia="zh-CN"/>
        </w:rPr>
      </w:pPr>
      <w:r>
        <w:rPr>
          <w:rFonts w:hint="eastAsia" w:ascii="Times New Roman" w:hAnsi="Times New Roman" w:cs="Times New Roman"/>
          <w:color w:val="auto"/>
          <w:kern w:val="2"/>
          <w:sz w:val="24"/>
          <w:lang w:eastAsia="zh-CN"/>
        </w:rPr>
        <w:t>式中：</w:t>
      </w:r>
      <w:r>
        <w:rPr>
          <w:rFonts w:hint="eastAsia" w:ascii="Times New Roman" w:hAnsi="Times New Roman" w:cs="Times New Roman"/>
          <w:color w:val="auto"/>
          <w:kern w:val="2"/>
          <w:sz w:val="24"/>
          <w:lang w:val="en-US" w:eastAsia="zh-CN"/>
        </w:rPr>
        <w:t>Q—起尘量，kg/h</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color w:val="auto"/>
          <w:kern w:val="2"/>
          <w:sz w:val="24"/>
          <w:lang w:val="en-US" w:eastAsia="zh-CN"/>
        </w:rPr>
      </w:pPr>
      <w:r>
        <w:rPr>
          <w:rFonts w:hint="eastAsia" w:ascii="Times New Roman" w:hAnsi="Times New Roman" w:cs="Times New Roman"/>
          <w:color w:val="auto"/>
          <w:kern w:val="2"/>
          <w:sz w:val="24"/>
          <w:lang w:val="en-US" w:eastAsia="zh-CN"/>
        </w:rPr>
        <w:t xml:space="preserve">      M—抓运土石方量，kg/h</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color w:val="auto"/>
          <w:kern w:val="2"/>
          <w:sz w:val="24"/>
          <w:lang w:val="en-US" w:eastAsia="zh-CN"/>
        </w:rPr>
      </w:pPr>
      <w:r>
        <w:rPr>
          <w:rFonts w:hint="eastAsia" w:ascii="Times New Roman" w:hAnsi="Times New Roman" w:cs="Times New Roman"/>
          <w:color w:val="auto"/>
          <w:kern w:val="2"/>
          <w:sz w:val="24"/>
          <w:lang w:val="en-US" w:eastAsia="zh-CN"/>
        </w:rPr>
        <w:t xml:space="preserve">      K—起尘经验系数（不考虑防护措施时），0.1~1.0%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结合项目所在地的特点，本次评价的起尘经验系数取 0.2%。设定挖土机在 5 分钟内装完一辆 5t 运输车，一次抓土量 1.5t，则每装载一辆运输车辆的产尘速率约 2kg/min、 即 33.3g/s。</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eastAsia" w:ascii="Times New Roman" w:hAnsi="Times New Roman" w:cs="Times New Roman" w:eastAsiaTheme="minorEastAsia"/>
          <w:b/>
          <w:bCs/>
          <w:color w:val="auto"/>
          <w:kern w:val="2"/>
          <w:sz w:val="24"/>
          <w:lang w:eastAsia="zh-CN"/>
        </w:rPr>
      </w:pPr>
      <w:r>
        <w:rPr>
          <w:rFonts w:hint="eastAsia" w:ascii="Times New Roman" w:hAnsi="Times New Roman" w:cs="Times New Roman" w:eastAsiaTheme="minorEastAsia"/>
          <w:b/>
          <w:bCs/>
          <w:color w:val="auto"/>
          <w:kern w:val="2"/>
          <w:sz w:val="24"/>
          <w:lang w:eastAsia="zh-CN"/>
        </w:rPr>
        <w:t>防治措施：</w:t>
      </w:r>
    </w:p>
    <w:p>
      <w:pPr>
        <w:keepNext w:val="0"/>
        <w:keepLines w:val="0"/>
        <w:pageBreakBefore w:val="0"/>
        <w:widowControl w:val="0"/>
        <w:numPr>
          <w:ilvl w:val="0"/>
          <w:numId w:val="11"/>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加强管理，设置 2.5m 高施工围挡。</w:t>
      </w:r>
    </w:p>
    <w:p>
      <w:pPr>
        <w:keepNext w:val="0"/>
        <w:keepLines w:val="0"/>
        <w:pageBreakBefore w:val="0"/>
        <w:widowControl w:val="0"/>
        <w:numPr>
          <w:ilvl w:val="0"/>
          <w:numId w:val="11"/>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运输沙、石、水泥、垃圾的车辆装载高度应低于车箱上沿，不得超高超载。实行封闭运输，以免车辆颠簸洒漏。坚持文明装卸，运输车辆装卸完货后应清洗车厢。施工车辆及运输车辆在驶出施工区之前，需作清泥除尘处理，不得将泥土尘土带出场。</w:t>
      </w:r>
    </w:p>
    <w:p>
      <w:pPr>
        <w:keepNext w:val="0"/>
        <w:keepLines w:val="0"/>
        <w:pageBreakBefore w:val="0"/>
        <w:widowControl w:val="0"/>
        <w:numPr>
          <w:ilvl w:val="0"/>
          <w:numId w:val="9"/>
        </w:numPr>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堆场扬尘</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施工期扬尘的另一个主要原因是露天堆场和裸露场地的风力扬尘。由于施工的需要，一些建材需露天堆放；一些施工点表层土壤需人工开挖、堆放，在气候干燥又有风的情况下，会产生扬尘，其扬尘可按堆场起尘的经验公式计算：</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right="0"/>
        <w:jc w:val="center"/>
        <w:textAlignment w:val="auto"/>
        <w:rPr>
          <w:rFonts w:hint="eastAsia" w:ascii="Times New Roman" w:hAnsi="Times New Roman" w:cs="Times New Roman" w:eastAsiaTheme="minorEastAsia"/>
          <w:color w:val="auto"/>
          <w:kern w:val="2"/>
          <w:sz w:val="24"/>
          <w:lang w:eastAsia="zh-CN"/>
        </w:rPr>
      </w:pPr>
      <w:r>
        <w:rPr>
          <w:color w:val="auto"/>
        </w:rPr>
        <w:drawing>
          <wp:inline distT="0" distB="0" distL="114300" distR="114300">
            <wp:extent cx="2295525" cy="390525"/>
            <wp:effectExtent l="0" t="0" r="9525" b="9525"/>
            <wp:docPr id="1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5"/>
                    <pic:cNvPicPr>
                      <a:picLocks noChangeAspect="1"/>
                    </pic:cNvPicPr>
                  </pic:nvPicPr>
                  <pic:blipFill>
                    <a:blip r:embed="rId31"/>
                    <a:stretch>
                      <a:fillRect/>
                    </a:stretch>
                  </pic:blipFill>
                  <pic:spPr>
                    <a:xfrm>
                      <a:off x="0" y="0"/>
                      <a:ext cx="2295525" cy="390525"/>
                    </a:xfrm>
                    <a:prstGeom prst="rect">
                      <a:avLst/>
                    </a:prstGeom>
                    <a:noFill/>
                    <a:ln>
                      <a:noFill/>
                    </a:ln>
                  </pic:spPr>
                </pic:pic>
              </a:graphicData>
            </a:graphic>
          </wp:inline>
        </w:drawing>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color w:val="auto"/>
          <w:kern w:val="2"/>
          <w:sz w:val="24"/>
          <w:lang w:val="en-US" w:eastAsia="zh-CN"/>
        </w:rPr>
      </w:pPr>
      <w:r>
        <w:rPr>
          <w:rFonts w:hint="eastAsia" w:ascii="Times New Roman" w:hAnsi="Times New Roman" w:cs="Times New Roman"/>
          <w:color w:val="auto"/>
          <w:kern w:val="2"/>
          <w:sz w:val="24"/>
          <w:lang w:eastAsia="zh-CN"/>
        </w:rPr>
        <w:t>式中：</w:t>
      </w:r>
      <w:r>
        <w:rPr>
          <w:rFonts w:hint="eastAsia" w:ascii="Times New Roman" w:hAnsi="Times New Roman" w:cs="Times New Roman"/>
          <w:color w:val="auto"/>
          <w:kern w:val="2"/>
          <w:sz w:val="24"/>
          <w:lang w:val="en-US" w:eastAsia="zh-CN"/>
        </w:rPr>
        <w:t>Q—起尘量，kg/吨·年；</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color w:val="auto"/>
          <w:kern w:val="2"/>
          <w:sz w:val="24"/>
          <w:lang w:val="en-US" w:eastAsia="zh-CN"/>
        </w:rPr>
      </w:pPr>
      <w:r>
        <w:rPr>
          <w:rFonts w:hint="eastAsia" w:ascii="Times New Roman" w:hAnsi="Times New Roman" w:cs="Times New Roman"/>
          <w:color w:val="auto"/>
          <w:kern w:val="2"/>
          <w:sz w:val="24"/>
          <w:lang w:val="en-US" w:eastAsia="zh-CN"/>
        </w:rPr>
        <w:t xml:space="preserve">      V</w:t>
      </w:r>
      <w:r>
        <w:rPr>
          <w:rFonts w:hint="eastAsia" w:ascii="Times New Roman" w:hAnsi="Times New Roman" w:cs="Times New Roman"/>
          <w:color w:val="auto"/>
          <w:kern w:val="2"/>
          <w:sz w:val="24"/>
          <w:vertAlign w:val="subscript"/>
          <w:lang w:val="en-US" w:eastAsia="zh-CN"/>
        </w:rPr>
        <w:t>50</w:t>
      </w:r>
      <w:r>
        <w:rPr>
          <w:rFonts w:hint="eastAsia" w:ascii="Times New Roman" w:hAnsi="Times New Roman" w:cs="Times New Roman"/>
          <w:color w:val="auto"/>
          <w:kern w:val="2"/>
          <w:sz w:val="24"/>
          <w:lang w:val="en-US" w:eastAsia="zh-CN"/>
        </w:rPr>
        <w:t>—距地面50m 处风速，m/s；</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color w:val="auto"/>
          <w:kern w:val="2"/>
          <w:sz w:val="24"/>
          <w:lang w:val="en-US" w:eastAsia="zh-CN"/>
        </w:rPr>
      </w:pPr>
      <w:r>
        <w:rPr>
          <w:rFonts w:hint="eastAsia" w:ascii="Times New Roman" w:hAnsi="Times New Roman" w:cs="Times New Roman"/>
          <w:color w:val="auto"/>
          <w:kern w:val="2"/>
          <w:sz w:val="24"/>
          <w:lang w:val="en-US" w:eastAsia="zh-CN"/>
        </w:rPr>
        <w:t xml:space="preserve">      V</w:t>
      </w:r>
      <w:r>
        <w:rPr>
          <w:rFonts w:hint="eastAsia" w:ascii="Times New Roman" w:hAnsi="Times New Roman" w:cs="Times New Roman"/>
          <w:color w:val="auto"/>
          <w:kern w:val="2"/>
          <w:sz w:val="24"/>
          <w:vertAlign w:val="subscript"/>
          <w:lang w:val="en-US" w:eastAsia="zh-CN"/>
        </w:rPr>
        <w:t>0</w:t>
      </w:r>
      <w:r>
        <w:rPr>
          <w:rFonts w:hint="eastAsia" w:ascii="Times New Roman" w:hAnsi="Times New Roman" w:cs="Times New Roman"/>
          <w:color w:val="auto"/>
          <w:kern w:val="2"/>
          <w:sz w:val="24"/>
          <w:lang w:val="en-US" w:eastAsia="zh-CN"/>
        </w:rPr>
        <w:t>—起尘风速，m/s；</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color w:val="auto"/>
          <w:kern w:val="2"/>
          <w:sz w:val="24"/>
          <w:lang w:val="en-US" w:eastAsia="zh-CN"/>
        </w:rPr>
      </w:pPr>
      <w:r>
        <w:rPr>
          <w:rFonts w:hint="eastAsia" w:ascii="Times New Roman" w:hAnsi="Times New Roman" w:cs="Times New Roman"/>
          <w:color w:val="auto"/>
          <w:kern w:val="2"/>
          <w:sz w:val="24"/>
          <w:lang w:val="en-US" w:eastAsia="zh-CN"/>
        </w:rPr>
        <w:t xml:space="preserve">      W—尘粒的含水率，%。</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V</w:t>
      </w:r>
      <w:r>
        <w:rPr>
          <w:rFonts w:hint="eastAsia" w:ascii="Times New Roman" w:hAnsi="Times New Roman" w:cs="Times New Roman" w:eastAsiaTheme="minorEastAsia"/>
          <w:color w:val="auto"/>
          <w:kern w:val="2"/>
          <w:sz w:val="24"/>
          <w:vertAlign w:val="subscript"/>
          <w:lang w:eastAsia="zh-CN"/>
        </w:rPr>
        <w:t>0</w:t>
      </w:r>
      <w:r>
        <w:rPr>
          <w:rFonts w:hint="eastAsia" w:ascii="Times New Roman" w:hAnsi="Times New Roman" w:cs="Times New Roman" w:eastAsiaTheme="minorEastAsia"/>
          <w:color w:val="auto"/>
          <w:kern w:val="2"/>
          <w:sz w:val="24"/>
          <w:lang w:eastAsia="zh-CN"/>
        </w:rPr>
        <w:t>与粒径和含水率有关，因此，减少露天堆放和保证一定的含水率及减少裸露地面是减少风力起尘的有效手段。尘粒在空气中的传播扩散情况与风速等气象条件有关，也与尘粒本身的沉降速度有关。以煤尘为例，不同粒径的尘粒的沉降速度见表 3</w:t>
      </w:r>
      <w:r>
        <w:rPr>
          <w:rFonts w:hint="eastAsia" w:ascii="Times New Roman" w:hAnsi="Times New Roman" w:cs="Times New Roman"/>
          <w:color w:val="auto"/>
          <w:kern w:val="2"/>
          <w:sz w:val="24"/>
          <w:lang w:val="en-US" w:eastAsia="zh-CN"/>
        </w:rPr>
        <w:t>.4-2</w:t>
      </w:r>
      <w:r>
        <w:rPr>
          <w:rFonts w:hint="eastAsia" w:ascii="Times New Roman" w:hAnsi="Times New Roman" w:cs="Times New Roman" w:eastAsiaTheme="minorEastAsia"/>
          <w:color w:val="auto"/>
          <w:kern w:val="2"/>
          <w:sz w:val="24"/>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hint="eastAsia" w:ascii="Times New Roman" w:hAnsi="Times New Roman" w:eastAsia="宋体"/>
          <w:b/>
          <w:color w:val="auto"/>
          <w:szCs w:val="21"/>
        </w:rPr>
      </w:pPr>
      <w:r>
        <w:rPr>
          <w:rFonts w:ascii="Times New Roman" w:hAnsi="Times New Roman" w:eastAsia="宋体"/>
          <w:b/>
          <w:color w:val="auto"/>
          <w:szCs w:val="21"/>
        </w:rPr>
        <w:t>表</w:t>
      </w:r>
      <w:r>
        <w:rPr>
          <w:rFonts w:hint="eastAsia" w:ascii="Times New Roman" w:hAnsi="Times New Roman" w:eastAsia="宋体"/>
          <w:b/>
          <w:color w:val="auto"/>
          <w:szCs w:val="21"/>
          <w:lang w:val="en-US" w:eastAsia="zh-CN"/>
        </w:rPr>
        <w:t>3.4</w:t>
      </w:r>
      <w:r>
        <w:rPr>
          <w:rFonts w:hint="eastAsia" w:ascii="Times New Roman" w:hAnsi="Times New Roman" w:eastAsia="宋体"/>
          <w:b/>
          <w:color w:val="auto"/>
          <w:szCs w:val="21"/>
        </w:rPr>
        <w:t>-</w:t>
      </w:r>
      <w:r>
        <w:rPr>
          <w:rFonts w:hint="eastAsia" w:ascii="Times New Roman" w:hAnsi="Times New Roman" w:eastAsia="宋体"/>
          <w:b/>
          <w:color w:val="auto"/>
          <w:szCs w:val="21"/>
          <w:lang w:val="en-US" w:eastAsia="zh-CN"/>
        </w:rPr>
        <w:t xml:space="preserve">2 </w:t>
      </w:r>
      <w:r>
        <w:rPr>
          <w:rFonts w:ascii="Times New Roman" w:hAnsi="Times New Roman" w:eastAsia="宋体"/>
          <w:b/>
          <w:color w:val="auto"/>
          <w:szCs w:val="21"/>
        </w:rPr>
        <w:t xml:space="preserve"> </w:t>
      </w:r>
      <w:r>
        <w:rPr>
          <w:rFonts w:hint="eastAsia" w:ascii="Times New Roman" w:hAnsi="Times New Roman" w:eastAsia="宋体"/>
          <w:b/>
          <w:color w:val="auto"/>
          <w:szCs w:val="21"/>
        </w:rPr>
        <w:t>不同粒径尘粒的沉降速度</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2"/>
        <w:gridCol w:w="1152"/>
        <w:gridCol w:w="1152"/>
        <w:gridCol w:w="1152"/>
        <w:gridCol w:w="1153"/>
        <w:gridCol w:w="1153"/>
        <w:gridCol w:w="1153"/>
        <w:gridCol w:w="1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2" w:type="dxa"/>
            <w:vAlign w:val="center"/>
          </w:tcPr>
          <w:p>
            <w:pPr>
              <w:pStyle w:val="98"/>
              <w:jc w:val="center"/>
              <w:rPr>
                <w:rFonts w:hint="default"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粒径，μm</w:t>
            </w:r>
          </w:p>
        </w:tc>
        <w:tc>
          <w:tcPr>
            <w:tcW w:w="1152"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10</w:t>
            </w:r>
          </w:p>
        </w:tc>
        <w:tc>
          <w:tcPr>
            <w:tcW w:w="1152"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20</w:t>
            </w:r>
          </w:p>
        </w:tc>
        <w:tc>
          <w:tcPr>
            <w:tcW w:w="1152"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30</w:t>
            </w:r>
          </w:p>
        </w:tc>
        <w:tc>
          <w:tcPr>
            <w:tcW w:w="1153"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40</w:t>
            </w:r>
          </w:p>
        </w:tc>
        <w:tc>
          <w:tcPr>
            <w:tcW w:w="1153"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50</w:t>
            </w:r>
          </w:p>
        </w:tc>
        <w:tc>
          <w:tcPr>
            <w:tcW w:w="1153"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60</w:t>
            </w:r>
          </w:p>
        </w:tc>
        <w:tc>
          <w:tcPr>
            <w:tcW w:w="1153"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2" w:type="dxa"/>
            <w:vAlign w:val="center"/>
          </w:tcPr>
          <w:p>
            <w:pPr>
              <w:pStyle w:val="98"/>
              <w:jc w:val="center"/>
              <w:rPr>
                <w:rFonts w:hint="default"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沉降速度，m/s</w:t>
            </w:r>
          </w:p>
        </w:tc>
        <w:tc>
          <w:tcPr>
            <w:tcW w:w="1152"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0.003</w:t>
            </w:r>
          </w:p>
        </w:tc>
        <w:tc>
          <w:tcPr>
            <w:tcW w:w="1152"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0.012</w:t>
            </w:r>
          </w:p>
        </w:tc>
        <w:tc>
          <w:tcPr>
            <w:tcW w:w="1152"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0.027</w:t>
            </w:r>
          </w:p>
        </w:tc>
        <w:tc>
          <w:tcPr>
            <w:tcW w:w="1153"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0.048</w:t>
            </w:r>
          </w:p>
        </w:tc>
        <w:tc>
          <w:tcPr>
            <w:tcW w:w="1153"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0.075</w:t>
            </w:r>
          </w:p>
        </w:tc>
        <w:tc>
          <w:tcPr>
            <w:tcW w:w="1153"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0.108</w:t>
            </w:r>
          </w:p>
        </w:tc>
        <w:tc>
          <w:tcPr>
            <w:tcW w:w="1153"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0.147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2"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粒径，μm</w:t>
            </w:r>
          </w:p>
        </w:tc>
        <w:tc>
          <w:tcPr>
            <w:tcW w:w="1152"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80</w:t>
            </w:r>
          </w:p>
        </w:tc>
        <w:tc>
          <w:tcPr>
            <w:tcW w:w="1152"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90</w:t>
            </w:r>
          </w:p>
        </w:tc>
        <w:tc>
          <w:tcPr>
            <w:tcW w:w="1152"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100</w:t>
            </w:r>
          </w:p>
        </w:tc>
        <w:tc>
          <w:tcPr>
            <w:tcW w:w="1153"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150</w:t>
            </w:r>
          </w:p>
        </w:tc>
        <w:tc>
          <w:tcPr>
            <w:tcW w:w="1153"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200</w:t>
            </w:r>
          </w:p>
        </w:tc>
        <w:tc>
          <w:tcPr>
            <w:tcW w:w="1153"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250</w:t>
            </w:r>
          </w:p>
        </w:tc>
        <w:tc>
          <w:tcPr>
            <w:tcW w:w="1153"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2"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沉降速度，m/s</w:t>
            </w:r>
          </w:p>
        </w:tc>
        <w:tc>
          <w:tcPr>
            <w:tcW w:w="1152"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0.158</w:t>
            </w:r>
          </w:p>
        </w:tc>
        <w:tc>
          <w:tcPr>
            <w:tcW w:w="1152"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0.170</w:t>
            </w:r>
          </w:p>
        </w:tc>
        <w:tc>
          <w:tcPr>
            <w:tcW w:w="1152"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0.182</w:t>
            </w:r>
          </w:p>
        </w:tc>
        <w:tc>
          <w:tcPr>
            <w:tcW w:w="1153"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0.239</w:t>
            </w:r>
          </w:p>
        </w:tc>
        <w:tc>
          <w:tcPr>
            <w:tcW w:w="1153"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0.804</w:t>
            </w:r>
          </w:p>
        </w:tc>
        <w:tc>
          <w:tcPr>
            <w:tcW w:w="1153"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1.005</w:t>
            </w:r>
          </w:p>
        </w:tc>
        <w:tc>
          <w:tcPr>
            <w:tcW w:w="1153"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1.829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2"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粒径，μm</w:t>
            </w:r>
          </w:p>
        </w:tc>
        <w:tc>
          <w:tcPr>
            <w:tcW w:w="1152"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450</w:t>
            </w:r>
          </w:p>
        </w:tc>
        <w:tc>
          <w:tcPr>
            <w:tcW w:w="1152"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550</w:t>
            </w:r>
          </w:p>
        </w:tc>
        <w:tc>
          <w:tcPr>
            <w:tcW w:w="1152"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650</w:t>
            </w:r>
          </w:p>
        </w:tc>
        <w:tc>
          <w:tcPr>
            <w:tcW w:w="1153"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750</w:t>
            </w:r>
          </w:p>
        </w:tc>
        <w:tc>
          <w:tcPr>
            <w:tcW w:w="1153"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850</w:t>
            </w:r>
          </w:p>
        </w:tc>
        <w:tc>
          <w:tcPr>
            <w:tcW w:w="1153"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950</w:t>
            </w:r>
          </w:p>
        </w:tc>
        <w:tc>
          <w:tcPr>
            <w:tcW w:w="1153"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2"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沉降速度，m/s</w:t>
            </w:r>
          </w:p>
        </w:tc>
        <w:tc>
          <w:tcPr>
            <w:tcW w:w="1152"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2.211</w:t>
            </w:r>
          </w:p>
        </w:tc>
        <w:tc>
          <w:tcPr>
            <w:tcW w:w="1152"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2.614</w:t>
            </w:r>
          </w:p>
        </w:tc>
        <w:tc>
          <w:tcPr>
            <w:tcW w:w="1152"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3.016</w:t>
            </w:r>
          </w:p>
        </w:tc>
        <w:tc>
          <w:tcPr>
            <w:tcW w:w="1153"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3.418</w:t>
            </w:r>
          </w:p>
        </w:tc>
        <w:tc>
          <w:tcPr>
            <w:tcW w:w="1153"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3.820</w:t>
            </w:r>
          </w:p>
        </w:tc>
        <w:tc>
          <w:tcPr>
            <w:tcW w:w="1153"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4.222</w:t>
            </w:r>
          </w:p>
        </w:tc>
        <w:tc>
          <w:tcPr>
            <w:tcW w:w="1153"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4.6624</w:t>
            </w:r>
          </w:p>
        </w:tc>
      </w:tr>
    </w:tbl>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由表可知，尘粒的沉降速度随粒径的增大而迅速增大。当粒径为 250μm 时，沉降 速度为 1.005m/s，因此可以认为当尘粒大于 250μm 时，主要影响范围在扬尘点下风向 近距离范围内，而真正对外环境产生影响的是一些微小尘粒。</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eastAsia" w:ascii="Times New Roman" w:hAnsi="Times New Roman" w:cs="Times New Roman" w:eastAsiaTheme="minorEastAsia"/>
          <w:b/>
          <w:bCs/>
          <w:color w:val="auto"/>
          <w:kern w:val="2"/>
          <w:sz w:val="24"/>
          <w:lang w:eastAsia="zh-CN"/>
        </w:rPr>
      </w:pPr>
      <w:r>
        <w:rPr>
          <w:rFonts w:hint="eastAsia" w:ascii="Times New Roman" w:hAnsi="Times New Roman" w:cs="Times New Roman" w:eastAsiaTheme="minorEastAsia"/>
          <w:b/>
          <w:bCs/>
          <w:color w:val="auto"/>
          <w:kern w:val="2"/>
          <w:sz w:val="24"/>
          <w:lang w:eastAsia="zh-CN"/>
        </w:rPr>
        <w:t>防治措施：</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场内建筑主要为砖混结构及砖砌墙结构，路面为水泥路面铺设。混凝土为商品混 凝土，场内仅采用小型搅拌器，搅拌水泥、沙等，用于砖砌墙的的粘合剂。因此，场 内的水泥、沙等必须进行防风处理，减少扬尘。建议易飞扬的细颗粒散体材料，储存 在室内，定期洒水保持湿度；施工临时弃土应进行日覆盖，采用防风网。</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（4）施工机械尾气</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各种施工设备、运输车辆在燃油时会产生 TSP、CO、NO</w:t>
      </w:r>
      <w:r>
        <w:rPr>
          <w:rFonts w:hint="eastAsia" w:ascii="Times New Roman" w:hAnsi="Times New Roman" w:cs="Times New Roman" w:eastAsiaTheme="minorEastAsia"/>
          <w:color w:val="auto"/>
          <w:kern w:val="2"/>
          <w:sz w:val="24"/>
          <w:vertAlign w:val="subscript"/>
          <w:lang w:eastAsia="zh-CN"/>
        </w:rPr>
        <w:t>2</w:t>
      </w:r>
      <w:r>
        <w:rPr>
          <w:rFonts w:hint="eastAsia" w:ascii="Times New Roman" w:hAnsi="Times New Roman" w:cs="Times New Roman" w:eastAsiaTheme="minorEastAsia"/>
          <w:color w:val="auto"/>
          <w:kern w:val="2"/>
          <w:sz w:val="24"/>
          <w:lang w:eastAsia="zh-CN"/>
        </w:rPr>
        <w:t>、C</w:t>
      </w:r>
      <w:r>
        <w:rPr>
          <w:rFonts w:hint="eastAsia" w:ascii="Times New Roman" w:hAnsi="Times New Roman" w:cs="Times New Roman" w:eastAsiaTheme="minorEastAsia"/>
          <w:color w:val="auto"/>
          <w:kern w:val="2"/>
          <w:sz w:val="24"/>
          <w:vertAlign w:val="subscript"/>
          <w:lang w:eastAsia="zh-CN"/>
        </w:rPr>
        <w:t>n</w:t>
      </w:r>
      <w:r>
        <w:rPr>
          <w:rFonts w:hint="eastAsia" w:ascii="Times New Roman" w:hAnsi="Times New Roman" w:cs="Times New Roman" w:eastAsiaTheme="minorEastAsia"/>
          <w:color w:val="auto"/>
          <w:kern w:val="2"/>
          <w:sz w:val="24"/>
          <w:lang w:eastAsia="zh-CN"/>
        </w:rPr>
        <w:t>H</w:t>
      </w:r>
      <w:r>
        <w:rPr>
          <w:rFonts w:hint="eastAsia" w:ascii="Times New Roman" w:hAnsi="Times New Roman" w:cs="Times New Roman" w:eastAsiaTheme="minorEastAsia"/>
          <w:color w:val="auto"/>
          <w:kern w:val="2"/>
          <w:sz w:val="24"/>
          <w:vertAlign w:val="subscript"/>
          <w:lang w:eastAsia="zh-CN"/>
        </w:rPr>
        <w:t>m</w:t>
      </w:r>
      <w:r>
        <w:rPr>
          <w:rFonts w:hint="eastAsia" w:ascii="Times New Roman" w:hAnsi="Times New Roman" w:cs="Times New Roman" w:eastAsiaTheme="minorEastAsia"/>
          <w:color w:val="auto"/>
          <w:kern w:val="2"/>
          <w:sz w:val="24"/>
          <w:lang w:eastAsia="zh-CN"/>
        </w:rPr>
        <w:t>等大气污染物，但这些污染物排放量很少，且为间断排放，尾气中所含的有害物质主要有 CO、NO</w:t>
      </w:r>
      <w:r>
        <w:rPr>
          <w:rFonts w:hint="eastAsia" w:ascii="Times New Roman" w:hAnsi="Times New Roman" w:cs="Times New Roman" w:eastAsiaTheme="minorEastAsia"/>
          <w:color w:val="auto"/>
          <w:kern w:val="2"/>
          <w:sz w:val="24"/>
          <w:vertAlign w:val="subscript"/>
          <w:lang w:eastAsia="zh-CN"/>
        </w:rPr>
        <w:t>2</w:t>
      </w:r>
      <w:r>
        <w:rPr>
          <w:rFonts w:hint="eastAsia" w:ascii="Times New Roman" w:hAnsi="Times New Roman" w:cs="Times New Roman" w:eastAsiaTheme="minorEastAsia"/>
          <w:color w:val="auto"/>
          <w:kern w:val="2"/>
          <w:sz w:val="24"/>
          <w:lang w:eastAsia="zh-CN"/>
        </w:rPr>
        <w:t>等，对施工人员产生一定的影响。因此施工单位必须使用污染物排放符合国家标准的运输车辆，加强车辆的保养，使车辆处于良好的工作状态，严禁使用报废车辆，以减少施工对周围环境的影响。</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eastAsia" w:ascii="Times New Roman" w:hAnsi="Times New Roman" w:cs="Times New Roman" w:eastAsiaTheme="minorEastAsia"/>
          <w:b/>
          <w:bCs/>
          <w:color w:val="auto"/>
          <w:kern w:val="2"/>
          <w:sz w:val="24"/>
          <w:lang w:eastAsia="zh-CN"/>
        </w:rPr>
      </w:pPr>
      <w:r>
        <w:rPr>
          <w:rFonts w:hint="eastAsia" w:ascii="Times New Roman" w:hAnsi="Times New Roman" w:cs="Times New Roman" w:eastAsiaTheme="minorEastAsia"/>
          <w:b/>
          <w:bCs/>
          <w:color w:val="auto"/>
          <w:kern w:val="2"/>
          <w:sz w:val="24"/>
          <w:lang w:eastAsia="zh-CN"/>
        </w:rPr>
        <w:t>防治措施：</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运输车辆、挖掘机等设备产生的尾气特点是排放量小，属间断性排放，加之施工场地开阔，扩散条件良好。要求加强机械车辆维护和管理，确保施工机械正常运行，建议采用优质燃料。</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textAlignment w:val="auto"/>
        <w:outlineLvl w:val="2"/>
        <w:rPr>
          <w:rFonts w:hint="eastAsia" w:ascii="Times New Roman" w:hAnsi="Times New Roman" w:eastAsia="宋体"/>
          <w:b/>
          <w:bCs/>
          <w:color w:val="auto"/>
          <w:sz w:val="28"/>
          <w:szCs w:val="28"/>
          <w:lang w:val="en-US" w:eastAsia="zh-CN"/>
        </w:rPr>
      </w:pPr>
      <w:r>
        <w:rPr>
          <w:rFonts w:hint="eastAsia" w:ascii="Times New Roman" w:hAnsi="Times New Roman" w:eastAsia="宋体"/>
          <w:b/>
          <w:bCs/>
          <w:color w:val="auto"/>
          <w:sz w:val="28"/>
          <w:szCs w:val="28"/>
        </w:rPr>
        <w:t>3.</w:t>
      </w:r>
      <w:r>
        <w:rPr>
          <w:rFonts w:hint="eastAsia" w:ascii="Times New Roman" w:hAnsi="Times New Roman" w:eastAsia="宋体"/>
          <w:b/>
          <w:bCs/>
          <w:color w:val="auto"/>
          <w:sz w:val="28"/>
          <w:szCs w:val="28"/>
          <w:lang w:val="en-US" w:eastAsia="zh-CN"/>
        </w:rPr>
        <w:t>4.2</w:t>
      </w:r>
      <w:r>
        <w:rPr>
          <w:rFonts w:hint="eastAsia" w:ascii="Times New Roman" w:hAnsi="Times New Roman" w:eastAsia="宋体"/>
          <w:b/>
          <w:bCs/>
          <w:color w:val="auto"/>
          <w:sz w:val="28"/>
          <w:szCs w:val="28"/>
          <w:lang w:eastAsia="zh-CN"/>
        </w:rPr>
        <w:t>施工废水</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施工期产生的废水包括施工人员生活污水和施工作业废水。</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color w:val="auto"/>
          <w:kern w:val="2"/>
          <w:sz w:val="24"/>
          <w:lang w:eastAsia="zh-CN"/>
        </w:rPr>
        <w:t>（</w:t>
      </w:r>
      <w:r>
        <w:rPr>
          <w:rFonts w:hint="eastAsia" w:ascii="Times New Roman" w:hAnsi="Times New Roman" w:cs="Times New Roman"/>
          <w:color w:val="auto"/>
          <w:kern w:val="2"/>
          <w:sz w:val="24"/>
          <w:lang w:val="en-US" w:eastAsia="zh-CN"/>
        </w:rPr>
        <w:t>1</w:t>
      </w:r>
      <w:r>
        <w:rPr>
          <w:rFonts w:hint="eastAsia" w:ascii="Times New Roman" w:hAnsi="Times New Roman" w:cs="Times New Roman"/>
          <w:color w:val="auto"/>
          <w:kern w:val="2"/>
          <w:sz w:val="24"/>
          <w:lang w:eastAsia="zh-CN"/>
        </w:rPr>
        <w:t>）</w:t>
      </w:r>
      <w:r>
        <w:rPr>
          <w:rFonts w:hint="eastAsia" w:ascii="Times New Roman" w:hAnsi="Times New Roman" w:cs="Times New Roman" w:eastAsiaTheme="minorEastAsia"/>
          <w:color w:val="auto"/>
          <w:kern w:val="2"/>
          <w:sz w:val="24"/>
          <w:lang w:eastAsia="zh-CN"/>
        </w:rPr>
        <w:t>生活污水</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本项目施工期在场地内</w:t>
      </w:r>
      <w:r>
        <w:rPr>
          <w:rFonts w:hint="eastAsia" w:ascii="Times New Roman" w:hAnsi="Times New Roman" w:cs="Times New Roman"/>
          <w:color w:val="auto"/>
          <w:kern w:val="2"/>
          <w:sz w:val="24"/>
          <w:lang w:eastAsia="zh-CN"/>
        </w:rPr>
        <w:t>不</w:t>
      </w:r>
      <w:r>
        <w:rPr>
          <w:rFonts w:hint="eastAsia" w:ascii="Times New Roman" w:hAnsi="Times New Roman" w:cs="Times New Roman" w:eastAsiaTheme="minorEastAsia"/>
          <w:color w:val="auto"/>
          <w:kern w:val="2"/>
          <w:sz w:val="24"/>
          <w:lang w:eastAsia="zh-CN"/>
        </w:rPr>
        <w:t>设施工营地。施工期施工人员约40人，全部</w:t>
      </w:r>
      <w:r>
        <w:rPr>
          <w:rFonts w:hint="eastAsia" w:ascii="Times New Roman" w:hAnsi="Times New Roman" w:cs="Times New Roman"/>
          <w:color w:val="auto"/>
          <w:kern w:val="2"/>
          <w:sz w:val="24"/>
          <w:lang w:eastAsia="zh-CN"/>
        </w:rPr>
        <w:t>不</w:t>
      </w:r>
      <w:r>
        <w:rPr>
          <w:rFonts w:hint="eastAsia" w:ascii="Times New Roman" w:hAnsi="Times New Roman" w:cs="Times New Roman" w:eastAsiaTheme="minorEastAsia"/>
          <w:color w:val="auto"/>
          <w:kern w:val="2"/>
          <w:sz w:val="24"/>
          <w:lang w:eastAsia="zh-CN"/>
        </w:rPr>
        <w:t xml:space="preserve">在场地住宿。施工人员每天生活用水以20L/人计，用水量为 </w:t>
      </w:r>
      <w:r>
        <w:rPr>
          <w:rFonts w:hint="eastAsia" w:ascii="Times New Roman" w:hAnsi="Times New Roman" w:cs="Times New Roman"/>
          <w:color w:val="auto"/>
          <w:kern w:val="2"/>
          <w:sz w:val="24"/>
          <w:lang w:val="en-US" w:eastAsia="zh-CN"/>
        </w:rPr>
        <w:t>0.8</w:t>
      </w:r>
      <w:r>
        <w:rPr>
          <w:rFonts w:hint="eastAsia" w:ascii="Times New Roman" w:hAnsi="Times New Roman" w:cs="Times New Roman" w:eastAsiaTheme="minorEastAsia"/>
          <w:color w:val="auto"/>
          <w:kern w:val="2"/>
          <w:sz w:val="24"/>
          <w:lang w:eastAsia="zh-CN"/>
        </w:rPr>
        <w:t>m</w:t>
      </w:r>
      <w:r>
        <w:rPr>
          <w:rFonts w:hint="eastAsia" w:ascii="Times New Roman" w:hAnsi="Times New Roman" w:cs="Times New Roman" w:eastAsiaTheme="minorEastAsia"/>
          <w:color w:val="auto"/>
          <w:kern w:val="2"/>
          <w:sz w:val="24"/>
          <w:vertAlign w:val="superscript"/>
          <w:lang w:eastAsia="zh-CN"/>
        </w:rPr>
        <w:t>3</w:t>
      </w:r>
      <w:r>
        <w:rPr>
          <w:rFonts w:hint="eastAsia" w:ascii="Times New Roman" w:hAnsi="Times New Roman" w:cs="Times New Roman" w:eastAsiaTheme="minorEastAsia"/>
          <w:color w:val="auto"/>
          <w:kern w:val="2"/>
          <w:sz w:val="24"/>
          <w:lang w:eastAsia="zh-CN"/>
        </w:rPr>
        <w:t>/d，污水产生量约占用水量的 80%，即</w:t>
      </w:r>
      <w:r>
        <w:rPr>
          <w:rFonts w:hint="eastAsia" w:ascii="Times New Roman" w:hAnsi="Times New Roman" w:cs="Times New Roman"/>
          <w:color w:val="auto"/>
          <w:kern w:val="2"/>
          <w:sz w:val="24"/>
          <w:lang w:val="en-US" w:eastAsia="zh-CN"/>
        </w:rPr>
        <w:t>0.64</w:t>
      </w:r>
      <w:r>
        <w:rPr>
          <w:rFonts w:hint="eastAsia" w:ascii="Times New Roman" w:hAnsi="Times New Roman" w:cs="Times New Roman" w:eastAsiaTheme="minorEastAsia"/>
          <w:color w:val="auto"/>
          <w:kern w:val="2"/>
          <w:sz w:val="24"/>
          <w:lang w:eastAsia="zh-CN"/>
        </w:rPr>
        <w:t>m</w:t>
      </w:r>
      <w:r>
        <w:rPr>
          <w:rFonts w:hint="eastAsia" w:ascii="Times New Roman" w:hAnsi="Times New Roman" w:cs="Times New Roman" w:eastAsiaTheme="minorEastAsia"/>
          <w:color w:val="auto"/>
          <w:kern w:val="2"/>
          <w:sz w:val="24"/>
          <w:vertAlign w:val="superscript"/>
          <w:lang w:eastAsia="zh-CN"/>
        </w:rPr>
        <w:t>3</w:t>
      </w:r>
      <w:r>
        <w:rPr>
          <w:rFonts w:hint="eastAsia" w:ascii="Times New Roman" w:hAnsi="Times New Roman" w:cs="Times New Roman" w:eastAsiaTheme="minorEastAsia"/>
          <w:color w:val="auto"/>
          <w:kern w:val="2"/>
          <w:sz w:val="24"/>
          <w:lang w:eastAsia="zh-CN"/>
        </w:rPr>
        <w:t>/d。根据同类工程调查，施工生活污水主要污染物的产生浓度为： COD</w:t>
      </w:r>
      <w:r>
        <w:rPr>
          <w:rFonts w:hint="eastAsia" w:ascii="Times New Roman" w:hAnsi="Times New Roman" w:cs="Times New Roman" w:eastAsiaTheme="minorEastAsia"/>
          <w:color w:val="auto"/>
          <w:kern w:val="2"/>
          <w:sz w:val="24"/>
          <w:vertAlign w:val="subscript"/>
          <w:lang w:eastAsia="zh-CN"/>
        </w:rPr>
        <w:t>Cr</w:t>
      </w:r>
      <w:r>
        <w:rPr>
          <w:rFonts w:hint="eastAsia" w:ascii="Times New Roman" w:hAnsi="Times New Roman" w:cs="Times New Roman" w:eastAsiaTheme="minorEastAsia"/>
          <w:color w:val="auto"/>
          <w:kern w:val="2"/>
          <w:sz w:val="24"/>
          <w:lang w:eastAsia="zh-CN"/>
        </w:rPr>
        <w:t>：350mg/L、NH</w:t>
      </w:r>
      <w:r>
        <w:rPr>
          <w:rFonts w:hint="eastAsia" w:ascii="Times New Roman" w:hAnsi="Times New Roman" w:cs="Times New Roman" w:eastAsiaTheme="minorEastAsia"/>
          <w:color w:val="auto"/>
          <w:kern w:val="2"/>
          <w:sz w:val="24"/>
          <w:vertAlign w:val="subscript"/>
          <w:lang w:eastAsia="zh-CN"/>
        </w:rPr>
        <w:t>3</w:t>
      </w:r>
      <w:r>
        <w:rPr>
          <w:rFonts w:hint="eastAsia" w:ascii="Times New Roman" w:hAnsi="Times New Roman" w:cs="Times New Roman" w:eastAsiaTheme="minorEastAsia"/>
          <w:color w:val="auto"/>
          <w:kern w:val="2"/>
          <w:sz w:val="24"/>
          <w:lang w:eastAsia="zh-CN"/>
        </w:rPr>
        <w:t>-N：35mg/L。</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防治措施：</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施工营地内设置临时化粪池，经收集处理后用作周边农田施肥。</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Chars="200" w:right="0" w:rightChars="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color w:val="auto"/>
          <w:kern w:val="2"/>
          <w:sz w:val="24"/>
          <w:lang w:eastAsia="zh-CN"/>
        </w:rPr>
        <w:t>（</w:t>
      </w:r>
      <w:r>
        <w:rPr>
          <w:rFonts w:hint="eastAsia" w:ascii="Times New Roman" w:hAnsi="Times New Roman" w:cs="Times New Roman"/>
          <w:color w:val="auto"/>
          <w:kern w:val="2"/>
          <w:sz w:val="24"/>
          <w:lang w:val="en-US" w:eastAsia="zh-CN"/>
        </w:rPr>
        <w:t>2</w:t>
      </w:r>
      <w:r>
        <w:rPr>
          <w:rFonts w:hint="eastAsia" w:ascii="Times New Roman" w:hAnsi="Times New Roman" w:cs="Times New Roman"/>
          <w:color w:val="auto"/>
          <w:kern w:val="2"/>
          <w:sz w:val="24"/>
          <w:lang w:eastAsia="zh-CN"/>
        </w:rPr>
        <w:t>）</w:t>
      </w:r>
      <w:r>
        <w:rPr>
          <w:rFonts w:hint="eastAsia" w:ascii="Times New Roman" w:hAnsi="Times New Roman" w:cs="Times New Roman" w:eastAsiaTheme="minorEastAsia"/>
          <w:color w:val="auto"/>
          <w:kern w:val="2"/>
          <w:sz w:val="24"/>
          <w:lang w:eastAsia="zh-CN"/>
        </w:rPr>
        <w:t>施工作业废水</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施工作业主要采用商品混凝土，废水主要为混凝土养护水及施工冲洗废水，产生量约 6m</w:t>
      </w:r>
      <w:r>
        <w:rPr>
          <w:rFonts w:hint="eastAsia" w:ascii="Times New Roman" w:hAnsi="Times New Roman" w:cs="Times New Roman" w:eastAsiaTheme="minorEastAsia"/>
          <w:color w:val="auto"/>
          <w:kern w:val="2"/>
          <w:sz w:val="24"/>
          <w:vertAlign w:val="superscript"/>
          <w:lang w:eastAsia="zh-CN"/>
        </w:rPr>
        <w:t>3</w:t>
      </w:r>
      <w:r>
        <w:rPr>
          <w:rFonts w:hint="eastAsia" w:ascii="Times New Roman" w:hAnsi="Times New Roman" w:cs="Times New Roman" w:eastAsiaTheme="minorEastAsia"/>
          <w:color w:val="auto"/>
          <w:kern w:val="2"/>
          <w:sz w:val="24"/>
          <w:lang w:eastAsia="zh-CN"/>
        </w:rPr>
        <w:t>/d，主要污染物是悬浮物等。</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eastAsia" w:ascii="Times New Roman" w:hAnsi="Times New Roman" w:cs="Times New Roman" w:eastAsiaTheme="minorEastAsia"/>
          <w:b/>
          <w:bCs/>
          <w:color w:val="auto"/>
          <w:kern w:val="2"/>
          <w:sz w:val="24"/>
          <w:lang w:eastAsia="zh-CN"/>
        </w:rPr>
      </w:pPr>
      <w:r>
        <w:rPr>
          <w:rFonts w:hint="eastAsia" w:ascii="Times New Roman" w:hAnsi="Times New Roman" w:cs="Times New Roman" w:eastAsiaTheme="minorEastAsia"/>
          <w:b/>
          <w:bCs/>
          <w:color w:val="auto"/>
          <w:kern w:val="2"/>
          <w:sz w:val="24"/>
          <w:lang w:eastAsia="zh-CN"/>
        </w:rPr>
        <w:t>防治措施：</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施工场地修建临时沉淀池，含 SS 生产废水排入沉淀池进行处理后用于场内降尘用水。</w:t>
      </w: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hint="eastAsia" w:ascii="Times New Roman" w:hAnsi="Times New Roman" w:eastAsia="宋体"/>
          <w:b/>
          <w:color w:val="auto"/>
          <w:szCs w:val="21"/>
        </w:rPr>
      </w:pPr>
      <w:r>
        <w:rPr>
          <w:rFonts w:ascii="Times New Roman" w:hAnsi="Times New Roman" w:eastAsia="宋体"/>
          <w:b/>
          <w:color w:val="auto"/>
          <w:szCs w:val="21"/>
        </w:rPr>
        <w:t>表</w:t>
      </w:r>
      <w:r>
        <w:rPr>
          <w:rFonts w:hint="eastAsia" w:ascii="Times New Roman" w:hAnsi="Times New Roman" w:eastAsia="宋体"/>
          <w:b/>
          <w:color w:val="auto"/>
          <w:szCs w:val="21"/>
          <w:lang w:val="en-US" w:eastAsia="zh-CN"/>
        </w:rPr>
        <w:t>3.4</w:t>
      </w:r>
      <w:r>
        <w:rPr>
          <w:rFonts w:hint="eastAsia" w:ascii="Times New Roman" w:hAnsi="Times New Roman" w:eastAsia="宋体"/>
          <w:b/>
          <w:color w:val="auto"/>
          <w:szCs w:val="21"/>
        </w:rPr>
        <w:t>-</w:t>
      </w:r>
      <w:r>
        <w:rPr>
          <w:rFonts w:hint="eastAsia" w:ascii="Times New Roman" w:hAnsi="Times New Roman" w:eastAsia="宋体"/>
          <w:b/>
          <w:color w:val="auto"/>
          <w:szCs w:val="21"/>
          <w:lang w:val="en-US" w:eastAsia="zh-CN"/>
        </w:rPr>
        <w:t xml:space="preserve">3 </w:t>
      </w:r>
      <w:r>
        <w:rPr>
          <w:rFonts w:ascii="Times New Roman" w:hAnsi="Times New Roman" w:eastAsia="宋体"/>
          <w:b/>
          <w:color w:val="auto"/>
          <w:szCs w:val="21"/>
        </w:rPr>
        <w:t xml:space="preserve"> </w:t>
      </w:r>
      <w:r>
        <w:rPr>
          <w:rFonts w:hint="eastAsia" w:ascii="Times New Roman" w:hAnsi="Times New Roman" w:eastAsia="宋体"/>
          <w:b/>
          <w:color w:val="auto"/>
          <w:szCs w:val="21"/>
        </w:rPr>
        <w:t>施工期废水产排情况</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6"/>
        <w:gridCol w:w="1536"/>
        <w:gridCol w:w="1537"/>
        <w:gridCol w:w="1537"/>
        <w:gridCol w:w="1537"/>
        <w:gridCol w:w="15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2" w:type="dxa"/>
            <w:gridSpan w:val="2"/>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污染物名称</w:t>
            </w:r>
          </w:p>
        </w:tc>
        <w:tc>
          <w:tcPr>
            <w:tcW w:w="1537"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产生浓度及产生量</w:t>
            </w:r>
          </w:p>
        </w:tc>
        <w:tc>
          <w:tcPr>
            <w:tcW w:w="1537"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处理措施</w:t>
            </w:r>
          </w:p>
        </w:tc>
        <w:tc>
          <w:tcPr>
            <w:tcW w:w="1537"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排放浓度及排放量</w:t>
            </w:r>
          </w:p>
        </w:tc>
        <w:tc>
          <w:tcPr>
            <w:tcW w:w="1537"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vMerge w:val="restart"/>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生活污水（0.64m</w:t>
            </w:r>
            <w:r>
              <w:rPr>
                <w:rFonts w:hint="eastAsia" w:ascii="Times New Roman" w:hAnsi="Times New Roman" w:cs="Times New Roman"/>
                <w:color w:val="auto"/>
                <w:szCs w:val="21"/>
                <w:vertAlign w:val="superscript"/>
                <w:lang w:val="en-US" w:eastAsia="zh-CN"/>
              </w:rPr>
              <w:t>3</w:t>
            </w:r>
            <w:r>
              <w:rPr>
                <w:rFonts w:hint="eastAsia" w:ascii="Times New Roman" w:hAnsi="Times New Roman" w:cs="Times New Roman"/>
                <w:color w:val="auto"/>
                <w:szCs w:val="21"/>
                <w:lang w:val="en-US" w:eastAsia="zh-CN"/>
              </w:rPr>
              <w:t>/d）</w:t>
            </w:r>
          </w:p>
        </w:tc>
        <w:tc>
          <w:tcPr>
            <w:tcW w:w="1536"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COD</w:t>
            </w:r>
            <w:r>
              <w:rPr>
                <w:rFonts w:hint="eastAsia" w:ascii="Times New Roman" w:hAnsi="Times New Roman" w:cs="Times New Roman"/>
                <w:color w:val="auto"/>
                <w:szCs w:val="21"/>
                <w:vertAlign w:val="subscript"/>
                <w:lang w:val="en-US" w:eastAsia="zh-CN"/>
              </w:rPr>
              <w:t>Cr</w:t>
            </w:r>
          </w:p>
        </w:tc>
        <w:tc>
          <w:tcPr>
            <w:tcW w:w="1537"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350mg/L，0.224kg/d</w:t>
            </w:r>
          </w:p>
        </w:tc>
        <w:tc>
          <w:tcPr>
            <w:tcW w:w="1537" w:type="dxa"/>
            <w:vMerge w:val="restart"/>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排入场地内临时化粪池</w:t>
            </w:r>
          </w:p>
        </w:tc>
        <w:tc>
          <w:tcPr>
            <w:tcW w:w="1537"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w:t>
            </w:r>
          </w:p>
        </w:tc>
        <w:tc>
          <w:tcPr>
            <w:tcW w:w="1537" w:type="dxa"/>
            <w:vMerge w:val="restart"/>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果园施肥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vMerge w:val="continue"/>
            <w:vAlign w:val="center"/>
          </w:tcPr>
          <w:p>
            <w:pPr>
              <w:pStyle w:val="98"/>
              <w:jc w:val="center"/>
              <w:rPr>
                <w:rFonts w:hint="eastAsia" w:ascii="Times New Roman" w:hAnsi="Times New Roman" w:cs="Times New Roman"/>
                <w:color w:val="auto"/>
                <w:szCs w:val="21"/>
                <w:lang w:val="en-US" w:eastAsia="zh-CN"/>
              </w:rPr>
            </w:pPr>
          </w:p>
        </w:tc>
        <w:tc>
          <w:tcPr>
            <w:tcW w:w="1536"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NH</w:t>
            </w:r>
            <w:r>
              <w:rPr>
                <w:rFonts w:hint="eastAsia" w:ascii="Times New Roman" w:hAnsi="Times New Roman" w:cs="Times New Roman"/>
                <w:color w:val="auto"/>
                <w:szCs w:val="21"/>
                <w:vertAlign w:val="subscript"/>
                <w:lang w:val="en-US" w:eastAsia="zh-CN"/>
              </w:rPr>
              <w:t>3</w:t>
            </w:r>
            <w:r>
              <w:rPr>
                <w:rFonts w:hint="eastAsia" w:ascii="Times New Roman" w:hAnsi="Times New Roman" w:cs="Times New Roman"/>
                <w:color w:val="auto"/>
                <w:szCs w:val="21"/>
                <w:lang w:val="en-US" w:eastAsia="zh-CN"/>
              </w:rPr>
              <w:t>-N</w:t>
            </w:r>
          </w:p>
        </w:tc>
        <w:tc>
          <w:tcPr>
            <w:tcW w:w="1537"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35mg/L，0.0224kg/d</w:t>
            </w:r>
          </w:p>
        </w:tc>
        <w:tc>
          <w:tcPr>
            <w:tcW w:w="1537" w:type="dxa"/>
            <w:vMerge w:val="continue"/>
            <w:vAlign w:val="center"/>
          </w:tcPr>
          <w:p>
            <w:pPr>
              <w:pStyle w:val="98"/>
              <w:jc w:val="center"/>
              <w:rPr>
                <w:rFonts w:hint="eastAsia" w:ascii="Times New Roman" w:hAnsi="Times New Roman" w:cs="Times New Roman"/>
                <w:color w:val="auto"/>
                <w:szCs w:val="21"/>
                <w:lang w:val="en-US" w:eastAsia="zh-CN"/>
              </w:rPr>
            </w:pPr>
          </w:p>
        </w:tc>
        <w:tc>
          <w:tcPr>
            <w:tcW w:w="1537"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w:t>
            </w:r>
          </w:p>
        </w:tc>
        <w:tc>
          <w:tcPr>
            <w:tcW w:w="1537" w:type="dxa"/>
            <w:vMerge w:val="continue"/>
            <w:vAlign w:val="center"/>
          </w:tcPr>
          <w:p>
            <w:pPr>
              <w:pStyle w:val="98"/>
              <w:jc w:val="center"/>
              <w:rPr>
                <w:rFonts w:hint="eastAsia" w:ascii="Times New Roman" w:hAnsi="Times New Roman" w:cs="Times New Roman"/>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2" w:type="dxa"/>
            <w:gridSpan w:val="2"/>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施工机械作业废水</w:t>
            </w:r>
          </w:p>
        </w:tc>
        <w:tc>
          <w:tcPr>
            <w:tcW w:w="1537"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6m</w:t>
            </w:r>
            <w:r>
              <w:rPr>
                <w:rFonts w:hint="eastAsia" w:ascii="Times New Roman" w:hAnsi="Times New Roman" w:cs="Times New Roman"/>
                <w:color w:val="auto"/>
                <w:szCs w:val="21"/>
                <w:vertAlign w:val="superscript"/>
                <w:lang w:val="en-US" w:eastAsia="zh-CN"/>
              </w:rPr>
              <w:t>3</w:t>
            </w:r>
            <w:r>
              <w:rPr>
                <w:rFonts w:hint="eastAsia" w:ascii="Times New Roman" w:hAnsi="Times New Roman" w:cs="Times New Roman"/>
                <w:color w:val="auto"/>
                <w:szCs w:val="21"/>
                <w:lang w:val="en-US" w:eastAsia="zh-CN"/>
              </w:rPr>
              <w:t>/d</w:t>
            </w:r>
          </w:p>
        </w:tc>
        <w:tc>
          <w:tcPr>
            <w:tcW w:w="1537"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沉淀池处理</w:t>
            </w:r>
          </w:p>
        </w:tc>
        <w:tc>
          <w:tcPr>
            <w:tcW w:w="1537"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w:t>
            </w:r>
          </w:p>
        </w:tc>
        <w:tc>
          <w:tcPr>
            <w:tcW w:w="1537"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场内降尘</w:t>
            </w:r>
          </w:p>
        </w:tc>
      </w:tr>
    </w:tbl>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textAlignment w:val="auto"/>
        <w:outlineLvl w:val="2"/>
        <w:rPr>
          <w:rFonts w:hint="eastAsia" w:ascii="Times New Roman" w:hAnsi="Times New Roman" w:eastAsia="宋体"/>
          <w:b/>
          <w:bCs/>
          <w:color w:val="auto"/>
          <w:sz w:val="28"/>
          <w:szCs w:val="28"/>
          <w:lang w:val="en-US" w:eastAsia="zh-CN"/>
        </w:rPr>
      </w:pPr>
      <w:r>
        <w:rPr>
          <w:rFonts w:hint="eastAsia" w:ascii="Times New Roman" w:hAnsi="Times New Roman" w:eastAsia="宋体"/>
          <w:b/>
          <w:bCs/>
          <w:color w:val="auto"/>
          <w:sz w:val="28"/>
          <w:szCs w:val="28"/>
        </w:rPr>
        <w:t>3.</w:t>
      </w:r>
      <w:r>
        <w:rPr>
          <w:rFonts w:hint="eastAsia" w:ascii="Times New Roman" w:hAnsi="Times New Roman" w:eastAsia="宋体"/>
          <w:b/>
          <w:bCs/>
          <w:color w:val="auto"/>
          <w:sz w:val="28"/>
          <w:szCs w:val="28"/>
          <w:lang w:val="en-US" w:eastAsia="zh-CN"/>
        </w:rPr>
        <w:t>4.3</w:t>
      </w:r>
      <w:r>
        <w:rPr>
          <w:rFonts w:hint="eastAsia" w:ascii="Times New Roman" w:hAnsi="Times New Roman" w:eastAsia="宋体"/>
          <w:b/>
          <w:bCs/>
          <w:color w:val="auto"/>
          <w:sz w:val="28"/>
          <w:szCs w:val="28"/>
          <w:lang w:eastAsia="zh-CN"/>
        </w:rPr>
        <w:t>施工噪声</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主要来源包括施工现场的各类机械设备和物料运输的交通噪声。《环境噪声与振动控制工程技术导则》附录中给出的常见施工机械设备噪声源情况详见表 3</w:t>
      </w:r>
      <w:r>
        <w:rPr>
          <w:rFonts w:hint="eastAsia" w:ascii="Times New Roman" w:hAnsi="Times New Roman" w:cs="Times New Roman"/>
          <w:color w:val="auto"/>
          <w:kern w:val="2"/>
          <w:sz w:val="24"/>
          <w:lang w:val="en-US" w:eastAsia="zh-CN"/>
        </w:rPr>
        <w:t>.4-4</w:t>
      </w:r>
      <w:r>
        <w:rPr>
          <w:rFonts w:hint="eastAsia" w:ascii="Times New Roman" w:hAnsi="Times New Roman" w:cs="Times New Roman" w:eastAsiaTheme="minorEastAsia"/>
          <w:color w:val="auto"/>
          <w:kern w:val="2"/>
          <w:sz w:val="24"/>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hint="eastAsia" w:ascii="Times New Roman" w:hAnsi="Times New Roman" w:eastAsia="宋体"/>
          <w:b/>
          <w:color w:val="auto"/>
          <w:szCs w:val="21"/>
        </w:rPr>
      </w:pPr>
      <w:r>
        <w:rPr>
          <w:rFonts w:ascii="Times New Roman" w:hAnsi="Times New Roman" w:eastAsia="宋体"/>
          <w:b/>
          <w:color w:val="auto"/>
          <w:szCs w:val="21"/>
        </w:rPr>
        <w:t>表</w:t>
      </w:r>
      <w:r>
        <w:rPr>
          <w:rFonts w:hint="eastAsia" w:ascii="Times New Roman" w:hAnsi="Times New Roman" w:eastAsia="宋体"/>
          <w:b/>
          <w:color w:val="auto"/>
          <w:szCs w:val="21"/>
          <w:lang w:val="en-US" w:eastAsia="zh-CN"/>
        </w:rPr>
        <w:t>3.4</w:t>
      </w:r>
      <w:r>
        <w:rPr>
          <w:rFonts w:hint="eastAsia" w:ascii="Times New Roman" w:hAnsi="Times New Roman" w:eastAsia="宋体"/>
          <w:b/>
          <w:color w:val="auto"/>
          <w:szCs w:val="21"/>
        </w:rPr>
        <w:t>-</w:t>
      </w:r>
      <w:r>
        <w:rPr>
          <w:rFonts w:hint="eastAsia" w:ascii="Times New Roman" w:hAnsi="Times New Roman" w:eastAsia="宋体"/>
          <w:b/>
          <w:color w:val="auto"/>
          <w:szCs w:val="21"/>
          <w:lang w:val="en-US" w:eastAsia="zh-CN"/>
        </w:rPr>
        <w:t xml:space="preserve">4 </w:t>
      </w:r>
      <w:r>
        <w:rPr>
          <w:rFonts w:ascii="Times New Roman" w:hAnsi="Times New Roman" w:eastAsia="宋体"/>
          <w:b/>
          <w:color w:val="auto"/>
          <w:szCs w:val="21"/>
        </w:rPr>
        <w:t xml:space="preserve"> </w:t>
      </w:r>
      <w:r>
        <w:rPr>
          <w:rFonts w:hint="eastAsia" w:ascii="Times New Roman" w:hAnsi="Times New Roman" w:eastAsia="宋体"/>
          <w:b/>
          <w:color w:val="auto"/>
          <w:szCs w:val="21"/>
        </w:rPr>
        <w:t>部分施工机械设备噪声声压级</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5"/>
        <w:gridCol w:w="2305"/>
        <w:gridCol w:w="2305"/>
        <w:gridCol w:w="2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序号</w:t>
            </w:r>
          </w:p>
        </w:tc>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设备名称</w:t>
            </w:r>
          </w:p>
        </w:tc>
        <w:tc>
          <w:tcPr>
            <w:tcW w:w="230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距离声源5m</w:t>
            </w:r>
          </w:p>
        </w:tc>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发声特性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w:t>
            </w:r>
          </w:p>
        </w:tc>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挖掘机</w:t>
            </w:r>
          </w:p>
        </w:tc>
        <w:tc>
          <w:tcPr>
            <w:tcW w:w="230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82~90</w:t>
            </w:r>
          </w:p>
        </w:tc>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间歇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w:t>
            </w:r>
          </w:p>
        </w:tc>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装载机</w:t>
            </w:r>
          </w:p>
        </w:tc>
        <w:tc>
          <w:tcPr>
            <w:tcW w:w="230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90~95</w:t>
            </w:r>
          </w:p>
        </w:tc>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间歇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w:t>
            </w:r>
          </w:p>
        </w:tc>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推土机</w:t>
            </w:r>
          </w:p>
        </w:tc>
        <w:tc>
          <w:tcPr>
            <w:tcW w:w="230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83~88</w:t>
            </w:r>
          </w:p>
        </w:tc>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间歇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4</w:t>
            </w:r>
          </w:p>
        </w:tc>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各类压路机</w:t>
            </w:r>
          </w:p>
        </w:tc>
        <w:tc>
          <w:tcPr>
            <w:tcW w:w="230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80~90</w:t>
            </w:r>
          </w:p>
        </w:tc>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间歇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5</w:t>
            </w:r>
          </w:p>
        </w:tc>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重型运输车</w:t>
            </w:r>
          </w:p>
        </w:tc>
        <w:tc>
          <w:tcPr>
            <w:tcW w:w="230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82~90</w:t>
            </w:r>
          </w:p>
        </w:tc>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间歇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6</w:t>
            </w:r>
          </w:p>
        </w:tc>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木工电锯</w:t>
            </w:r>
          </w:p>
        </w:tc>
        <w:tc>
          <w:tcPr>
            <w:tcW w:w="230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93~99</w:t>
            </w:r>
          </w:p>
        </w:tc>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间歇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7</w:t>
            </w:r>
          </w:p>
        </w:tc>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电锤</w:t>
            </w:r>
          </w:p>
        </w:tc>
        <w:tc>
          <w:tcPr>
            <w:tcW w:w="230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95~100</w:t>
            </w:r>
          </w:p>
        </w:tc>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间歇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8</w:t>
            </w:r>
          </w:p>
        </w:tc>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振动夯锤</w:t>
            </w:r>
          </w:p>
        </w:tc>
        <w:tc>
          <w:tcPr>
            <w:tcW w:w="230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92~100</w:t>
            </w:r>
          </w:p>
        </w:tc>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间歇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9</w:t>
            </w:r>
          </w:p>
        </w:tc>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静力压桩机</w:t>
            </w:r>
          </w:p>
        </w:tc>
        <w:tc>
          <w:tcPr>
            <w:tcW w:w="230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70~75</w:t>
            </w:r>
          </w:p>
        </w:tc>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间歇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10</w:t>
            </w:r>
          </w:p>
        </w:tc>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混凝土输送泵</w:t>
            </w:r>
          </w:p>
        </w:tc>
        <w:tc>
          <w:tcPr>
            <w:tcW w:w="230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88~95</w:t>
            </w:r>
          </w:p>
        </w:tc>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间歇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11</w:t>
            </w:r>
          </w:p>
        </w:tc>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商砼搅拌车</w:t>
            </w:r>
          </w:p>
        </w:tc>
        <w:tc>
          <w:tcPr>
            <w:tcW w:w="230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95~90</w:t>
            </w:r>
          </w:p>
        </w:tc>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间歇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12</w:t>
            </w:r>
          </w:p>
        </w:tc>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混凝土振捣器</w:t>
            </w:r>
          </w:p>
        </w:tc>
        <w:tc>
          <w:tcPr>
            <w:tcW w:w="230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80~88</w:t>
            </w:r>
          </w:p>
        </w:tc>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间歇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13</w:t>
            </w:r>
          </w:p>
        </w:tc>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空压机</w:t>
            </w:r>
          </w:p>
        </w:tc>
        <w:tc>
          <w:tcPr>
            <w:tcW w:w="230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88~92</w:t>
            </w:r>
          </w:p>
        </w:tc>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连续</w:t>
            </w:r>
          </w:p>
        </w:tc>
      </w:tr>
    </w:tbl>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eastAsia" w:ascii="Times New Roman" w:hAnsi="Times New Roman" w:cs="Times New Roman" w:eastAsiaTheme="minorEastAsia"/>
          <w:b/>
          <w:bCs/>
          <w:color w:val="auto"/>
          <w:kern w:val="2"/>
          <w:sz w:val="24"/>
          <w:lang w:eastAsia="zh-CN"/>
        </w:rPr>
      </w:pPr>
      <w:r>
        <w:rPr>
          <w:rFonts w:hint="eastAsia" w:ascii="Times New Roman" w:hAnsi="Times New Roman" w:cs="Times New Roman" w:eastAsiaTheme="minorEastAsia"/>
          <w:b/>
          <w:bCs/>
          <w:color w:val="auto"/>
          <w:kern w:val="2"/>
          <w:sz w:val="24"/>
          <w:lang w:eastAsia="zh-CN"/>
        </w:rPr>
        <w:t>防治措施：</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①首先从噪声源强进行控制：建设单位在与施工</w:t>
      </w:r>
      <w:r>
        <w:rPr>
          <w:rFonts w:hint="eastAsia" w:ascii="Times New Roman" w:hAnsi="Times New Roman" w:cs="Times New Roman"/>
          <w:color w:val="auto"/>
          <w:kern w:val="2"/>
          <w:sz w:val="24"/>
          <w:lang w:eastAsia="zh-CN"/>
        </w:rPr>
        <w:t>方</w:t>
      </w:r>
      <w:r>
        <w:rPr>
          <w:rFonts w:hint="eastAsia" w:ascii="Times New Roman" w:hAnsi="Times New Roman" w:cs="Times New Roman" w:eastAsiaTheme="minorEastAsia"/>
          <w:color w:val="auto"/>
          <w:kern w:val="2"/>
          <w:sz w:val="24"/>
          <w:lang w:eastAsia="zh-CN"/>
        </w:rPr>
        <w:t>签订合同时，应要求其使用的主要机械设备为低噪设备。尽量选低噪声液压施工机械替代气压机械；不使用汽锤打桩机，采用长螺旋钻机；尽可能使用商品混凝土，不使用混凝土搅拌机。同时在施工过程中施工单位应设专人对设备进行定期保养和维护，并负责对现场工作人员进行培训，严格按操作规范使用各类机械。</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②作业时在高噪声设备周围设置屏蔽，不低于 1.8m。</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③合理安排施工进度和作业时间，尽量避免高噪声设备同时作业，夜间（晚 22 点到次日早晨 6 点）禁止施工。</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④对人为的施工噪声应有管理制度和降噪措施，并进行严格控制：承担材料运输的车辆，进入施工现场避免鸣笛，并要减速慢行，装卸材料应做到轻拿轻放，最大限度地减少噪声影响。</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⑤建设管理部门应加强对施工场地的噪声管理，施工企业也应对施工噪声进行自律，文明施工，避免因施工噪声产生纠纷。</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textAlignment w:val="auto"/>
        <w:outlineLvl w:val="2"/>
        <w:rPr>
          <w:rFonts w:hint="eastAsia" w:ascii="Times New Roman" w:hAnsi="Times New Roman" w:eastAsia="宋体"/>
          <w:b/>
          <w:bCs/>
          <w:color w:val="auto"/>
          <w:sz w:val="28"/>
          <w:szCs w:val="28"/>
          <w:lang w:val="en-US" w:eastAsia="zh-CN"/>
        </w:rPr>
      </w:pPr>
      <w:r>
        <w:rPr>
          <w:rFonts w:hint="eastAsia" w:ascii="Times New Roman" w:hAnsi="Times New Roman" w:eastAsia="宋体"/>
          <w:b/>
          <w:bCs/>
          <w:color w:val="auto"/>
          <w:sz w:val="28"/>
          <w:szCs w:val="28"/>
        </w:rPr>
        <w:t>3.</w:t>
      </w:r>
      <w:r>
        <w:rPr>
          <w:rFonts w:hint="eastAsia" w:ascii="Times New Roman" w:hAnsi="Times New Roman" w:eastAsia="宋体"/>
          <w:b/>
          <w:bCs/>
          <w:color w:val="auto"/>
          <w:sz w:val="28"/>
          <w:szCs w:val="28"/>
          <w:lang w:val="en-US" w:eastAsia="zh-CN"/>
        </w:rPr>
        <w:t>4.4固体废物</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施工期的固废主要有施工人员产生的生活垃圾和各种弃土弃渣等。</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color w:val="auto"/>
          <w:kern w:val="2"/>
          <w:sz w:val="24"/>
          <w:lang w:eastAsia="zh-CN"/>
        </w:rPr>
        <w:t>（</w:t>
      </w:r>
      <w:r>
        <w:rPr>
          <w:rFonts w:hint="eastAsia" w:ascii="Times New Roman" w:hAnsi="Times New Roman" w:cs="Times New Roman"/>
          <w:color w:val="auto"/>
          <w:kern w:val="2"/>
          <w:sz w:val="24"/>
          <w:lang w:val="en-US" w:eastAsia="zh-CN"/>
        </w:rPr>
        <w:t>1</w:t>
      </w:r>
      <w:r>
        <w:rPr>
          <w:rFonts w:hint="eastAsia" w:ascii="Times New Roman" w:hAnsi="Times New Roman" w:cs="Times New Roman"/>
          <w:color w:val="auto"/>
          <w:kern w:val="2"/>
          <w:sz w:val="24"/>
          <w:lang w:eastAsia="zh-CN"/>
        </w:rPr>
        <w:t>）</w:t>
      </w:r>
      <w:r>
        <w:rPr>
          <w:rFonts w:hint="eastAsia" w:ascii="Times New Roman" w:hAnsi="Times New Roman" w:cs="Times New Roman" w:eastAsiaTheme="minorEastAsia"/>
          <w:color w:val="auto"/>
          <w:kern w:val="2"/>
          <w:sz w:val="24"/>
          <w:lang w:eastAsia="zh-CN"/>
        </w:rPr>
        <w:t>生活垃圾</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生活垃圾以人均每天产生0.5kg 计算，平均每天施工人数40人，施工期以</w:t>
      </w:r>
      <w:r>
        <w:rPr>
          <w:rFonts w:hint="eastAsia" w:ascii="Times New Roman" w:hAnsi="Times New Roman" w:cs="Times New Roman"/>
          <w:color w:val="auto"/>
          <w:kern w:val="2"/>
          <w:sz w:val="24"/>
          <w:lang w:val="en-US" w:eastAsia="zh-CN"/>
        </w:rPr>
        <w:t>300</w:t>
      </w:r>
      <w:r>
        <w:rPr>
          <w:rFonts w:hint="eastAsia" w:ascii="Times New Roman" w:hAnsi="Times New Roman" w:cs="Times New Roman" w:eastAsiaTheme="minorEastAsia"/>
          <w:color w:val="auto"/>
          <w:kern w:val="2"/>
          <w:sz w:val="24"/>
          <w:lang w:eastAsia="zh-CN"/>
        </w:rPr>
        <w:t>d 计，则施工期产生的生活垃圾约</w:t>
      </w:r>
      <w:r>
        <w:rPr>
          <w:rFonts w:hint="eastAsia" w:ascii="Times New Roman" w:hAnsi="Times New Roman" w:cs="Times New Roman"/>
          <w:color w:val="auto"/>
          <w:kern w:val="2"/>
          <w:sz w:val="24"/>
          <w:lang w:val="en-US" w:eastAsia="zh-CN"/>
        </w:rPr>
        <w:t>6</w:t>
      </w:r>
      <w:r>
        <w:rPr>
          <w:rFonts w:hint="eastAsia" w:ascii="Times New Roman" w:hAnsi="Times New Roman" w:cs="Times New Roman" w:eastAsiaTheme="minorEastAsia"/>
          <w:color w:val="auto"/>
          <w:kern w:val="2"/>
          <w:sz w:val="24"/>
          <w:lang w:eastAsia="zh-CN"/>
        </w:rPr>
        <w:t>t（20kg/d）。</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eastAsia" w:ascii="Times New Roman" w:hAnsi="Times New Roman" w:cs="Times New Roman" w:eastAsiaTheme="minorEastAsia"/>
          <w:b/>
          <w:bCs/>
          <w:color w:val="auto"/>
          <w:kern w:val="2"/>
          <w:sz w:val="24"/>
          <w:lang w:eastAsia="zh-CN"/>
        </w:rPr>
      </w:pPr>
      <w:r>
        <w:rPr>
          <w:rFonts w:hint="eastAsia" w:ascii="Times New Roman" w:hAnsi="Times New Roman" w:cs="Times New Roman" w:eastAsiaTheme="minorEastAsia"/>
          <w:b/>
          <w:bCs/>
          <w:color w:val="auto"/>
          <w:kern w:val="2"/>
          <w:sz w:val="24"/>
          <w:lang w:eastAsia="zh-CN"/>
        </w:rPr>
        <w:t>防治措施：</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生活垃圾由场地内垃圾桶收集，日产日清，送至村垃圾集中收集点，由环卫部门 统一清运处理。</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Chars="200" w:right="0" w:rightChars="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color w:val="auto"/>
          <w:kern w:val="2"/>
          <w:sz w:val="24"/>
          <w:lang w:eastAsia="zh-CN"/>
        </w:rPr>
        <w:t>（</w:t>
      </w:r>
      <w:r>
        <w:rPr>
          <w:rFonts w:hint="eastAsia" w:ascii="Times New Roman" w:hAnsi="Times New Roman" w:cs="Times New Roman"/>
          <w:color w:val="auto"/>
          <w:kern w:val="2"/>
          <w:sz w:val="24"/>
          <w:lang w:val="en-US" w:eastAsia="zh-CN"/>
        </w:rPr>
        <w:t>2</w:t>
      </w:r>
      <w:r>
        <w:rPr>
          <w:rFonts w:hint="eastAsia" w:ascii="Times New Roman" w:hAnsi="Times New Roman" w:cs="Times New Roman"/>
          <w:color w:val="auto"/>
          <w:kern w:val="2"/>
          <w:sz w:val="24"/>
          <w:lang w:eastAsia="zh-CN"/>
        </w:rPr>
        <w:t>）</w:t>
      </w:r>
      <w:r>
        <w:rPr>
          <w:rFonts w:hint="eastAsia" w:ascii="Times New Roman" w:hAnsi="Times New Roman" w:cs="Times New Roman" w:eastAsiaTheme="minorEastAsia"/>
          <w:color w:val="auto"/>
          <w:kern w:val="2"/>
          <w:sz w:val="24"/>
          <w:lang w:eastAsia="zh-CN"/>
        </w:rPr>
        <w:t>挖方填方</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施工期基础工程包括开挖土方量与回填土方量，工程弃土在流转场地内周转，除就地平衡、用于绿地和道路等建设。项目挖方量</w:t>
      </w:r>
      <w:r>
        <w:rPr>
          <w:rFonts w:hint="eastAsia" w:ascii="Times New Roman" w:hAnsi="Times New Roman" w:cs="Times New Roman"/>
          <w:color w:val="auto"/>
          <w:kern w:val="2"/>
          <w:sz w:val="24"/>
          <w:lang w:val="en-US" w:eastAsia="zh-CN"/>
        </w:rPr>
        <w:t>8.60</w:t>
      </w:r>
      <w:r>
        <w:rPr>
          <w:rFonts w:hint="eastAsia" w:ascii="Times New Roman" w:hAnsi="Times New Roman" w:cs="Times New Roman" w:eastAsiaTheme="minorEastAsia"/>
          <w:color w:val="auto"/>
          <w:kern w:val="2"/>
          <w:sz w:val="24"/>
          <w:lang w:eastAsia="zh-CN"/>
        </w:rPr>
        <w:t>万m</w:t>
      </w:r>
      <w:r>
        <w:rPr>
          <w:rFonts w:hint="eastAsia" w:ascii="Times New Roman" w:hAnsi="Times New Roman" w:cs="Times New Roman" w:eastAsiaTheme="minorEastAsia"/>
          <w:color w:val="auto"/>
          <w:kern w:val="2"/>
          <w:sz w:val="24"/>
          <w:vertAlign w:val="superscript"/>
          <w:lang w:eastAsia="zh-CN"/>
        </w:rPr>
        <w:t>3</w:t>
      </w:r>
      <w:r>
        <w:rPr>
          <w:rFonts w:hint="eastAsia" w:ascii="Times New Roman" w:hAnsi="Times New Roman" w:cs="Times New Roman" w:eastAsiaTheme="minorEastAsia"/>
          <w:color w:val="auto"/>
          <w:kern w:val="2"/>
          <w:sz w:val="24"/>
          <w:lang w:eastAsia="zh-CN"/>
        </w:rPr>
        <w:t>，填方量</w:t>
      </w:r>
      <w:r>
        <w:rPr>
          <w:rFonts w:hint="eastAsia" w:ascii="Times New Roman" w:hAnsi="Times New Roman" w:cs="Times New Roman"/>
          <w:color w:val="auto"/>
          <w:kern w:val="2"/>
          <w:sz w:val="24"/>
          <w:lang w:val="en-US" w:eastAsia="zh-CN"/>
        </w:rPr>
        <w:t>8.60</w:t>
      </w:r>
      <w:r>
        <w:rPr>
          <w:rFonts w:hint="eastAsia" w:ascii="Times New Roman" w:hAnsi="Times New Roman" w:cs="Times New Roman" w:eastAsiaTheme="minorEastAsia"/>
          <w:color w:val="auto"/>
          <w:kern w:val="2"/>
          <w:sz w:val="24"/>
          <w:lang w:eastAsia="zh-CN"/>
        </w:rPr>
        <w:t>万m</w:t>
      </w:r>
      <w:r>
        <w:rPr>
          <w:rFonts w:hint="eastAsia" w:ascii="Times New Roman" w:hAnsi="Times New Roman" w:cs="Times New Roman" w:eastAsiaTheme="minorEastAsia"/>
          <w:color w:val="auto"/>
          <w:kern w:val="2"/>
          <w:sz w:val="24"/>
          <w:vertAlign w:val="superscript"/>
          <w:lang w:eastAsia="zh-CN"/>
        </w:rPr>
        <w:t>3</w:t>
      </w:r>
      <w:r>
        <w:rPr>
          <w:rFonts w:hint="eastAsia" w:ascii="Times New Roman" w:hAnsi="Times New Roman" w:cs="Times New Roman" w:eastAsiaTheme="minorEastAsia"/>
          <w:color w:val="auto"/>
          <w:kern w:val="2"/>
          <w:sz w:val="24"/>
          <w:lang w:eastAsia="zh-CN"/>
        </w:rPr>
        <w:t>，不存在弃土弃渣，项目填方区域主要为周边的</w:t>
      </w:r>
      <w:r>
        <w:rPr>
          <w:rFonts w:hint="eastAsia" w:ascii="Times New Roman" w:hAnsi="Times New Roman" w:cs="Times New Roman"/>
          <w:color w:val="auto"/>
          <w:kern w:val="2"/>
          <w:sz w:val="24"/>
          <w:lang w:eastAsia="zh-CN"/>
        </w:rPr>
        <w:t>园地</w:t>
      </w:r>
      <w:r>
        <w:rPr>
          <w:rFonts w:hint="eastAsia" w:ascii="Times New Roman" w:hAnsi="Times New Roman" w:cs="Times New Roman" w:eastAsiaTheme="minorEastAsia"/>
          <w:color w:val="auto"/>
          <w:kern w:val="2"/>
          <w:sz w:val="24"/>
          <w:lang w:eastAsia="zh-CN"/>
        </w:rPr>
        <w:t>、以及项目建设区域低于平均建设区域的地方，填方量与挖方量相同。</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Chars="200" w:right="0" w:rightChars="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color w:val="auto"/>
          <w:kern w:val="2"/>
          <w:sz w:val="24"/>
          <w:lang w:eastAsia="zh-CN"/>
        </w:rPr>
        <w:t>（</w:t>
      </w:r>
      <w:r>
        <w:rPr>
          <w:rFonts w:hint="eastAsia" w:ascii="Times New Roman" w:hAnsi="Times New Roman" w:cs="Times New Roman"/>
          <w:color w:val="auto"/>
          <w:kern w:val="2"/>
          <w:sz w:val="24"/>
          <w:lang w:val="en-US" w:eastAsia="zh-CN"/>
        </w:rPr>
        <w:t>3</w:t>
      </w:r>
      <w:r>
        <w:rPr>
          <w:rFonts w:hint="eastAsia" w:ascii="Times New Roman" w:hAnsi="Times New Roman" w:cs="Times New Roman"/>
          <w:color w:val="auto"/>
          <w:kern w:val="2"/>
          <w:sz w:val="24"/>
          <w:lang w:eastAsia="zh-CN"/>
        </w:rPr>
        <w:t>）</w:t>
      </w:r>
      <w:r>
        <w:rPr>
          <w:rFonts w:hint="eastAsia" w:ascii="Times New Roman" w:hAnsi="Times New Roman" w:cs="Times New Roman" w:eastAsiaTheme="minorEastAsia"/>
          <w:color w:val="auto"/>
          <w:kern w:val="2"/>
          <w:sz w:val="24"/>
          <w:lang w:eastAsia="zh-CN"/>
        </w:rPr>
        <w:t>建筑垃圾</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项目在建设基础设施时候，会产生一部分的建筑垃圾，建筑垃圾统一收集，送至当地政府指定的倾倒点。</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textAlignment w:val="auto"/>
        <w:outlineLvl w:val="2"/>
        <w:rPr>
          <w:rFonts w:hint="eastAsia" w:ascii="Times New Roman" w:hAnsi="Times New Roman" w:eastAsia="宋体"/>
          <w:b/>
          <w:bCs/>
          <w:color w:val="auto"/>
          <w:sz w:val="28"/>
          <w:szCs w:val="28"/>
          <w:lang w:val="en-US" w:eastAsia="zh-CN"/>
        </w:rPr>
      </w:pPr>
      <w:r>
        <w:rPr>
          <w:rFonts w:hint="eastAsia" w:ascii="Times New Roman" w:hAnsi="Times New Roman" w:eastAsia="宋体"/>
          <w:b/>
          <w:bCs/>
          <w:color w:val="auto"/>
          <w:sz w:val="28"/>
          <w:szCs w:val="28"/>
        </w:rPr>
        <w:t>3.</w:t>
      </w:r>
      <w:r>
        <w:rPr>
          <w:rFonts w:hint="eastAsia" w:ascii="Times New Roman" w:hAnsi="Times New Roman" w:eastAsia="宋体"/>
          <w:b/>
          <w:bCs/>
          <w:color w:val="auto"/>
          <w:sz w:val="28"/>
          <w:szCs w:val="28"/>
          <w:lang w:val="en-US" w:eastAsia="zh-CN"/>
        </w:rPr>
        <w:t>4.5生态环境</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项目养殖用地面积为</w:t>
      </w:r>
      <w:r>
        <w:rPr>
          <w:rFonts w:hint="eastAsia" w:ascii="Times New Roman" w:hAnsi="Times New Roman" w:cs="Times New Roman"/>
          <w:color w:val="auto"/>
          <w:kern w:val="2"/>
          <w:sz w:val="24"/>
          <w:lang w:val="en-US" w:eastAsia="zh-CN"/>
        </w:rPr>
        <w:t>90亩</w:t>
      </w:r>
      <w:r>
        <w:rPr>
          <w:rFonts w:hint="eastAsia" w:ascii="Times New Roman" w:hAnsi="Times New Roman" w:cs="Times New Roman" w:eastAsiaTheme="minorEastAsia"/>
          <w:color w:val="auto"/>
          <w:kern w:val="2"/>
          <w:sz w:val="24"/>
          <w:lang w:eastAsia="zh-CN"/>
        </w:rPr>
        <w:t>，租用的地的类型</w:t>
      </w:r>
      <w:r>
        <w:rPr>
          <w:rFonts w:hint="eastAsia" w:ascii="Times New Roman" w:hAnsi="Times New Roman" w:cs="Times New Roman"/>
          <w:color w:val="auto"/>
          <w:kern w:val="2"/>
          <w:sz w:val="24"/>
          <w:lang w:eastAsia="zh-CN"/>
        </w:rPr>
        <w:t>主要</w:t>
      </w:r>
      <w:r>
        <w:rPr>
          <w:rFonts w:hint="eastAsia" w:ascii="Times New Roman" w:hAnsi="Times New Roman" w:cs="Times New Roman" w:eastAsiaTheme="minorEastAsia"/>
          <w:color w:val="auto"/>
          <w:kern w:val="2"/>
          <w:sz w:val="24"/>
          <w:lang w:eastAsia="zh-CN"/>
        </w:rPr>
        <w:t>为</w:t>
      </w:r>
      <w:r>
        <w:rPr>
          <w:rFonts w:hint="eastAsia" w:ascii="Times New Roman" w:hAnsi="Times New Roman" w:cs="Times New Roman"/>
          <w:color w:val="auto"/>
          <w:kern w:val="2"/>
          <w:sz w:val="24"/>
          <w:lang w:eastAsia="zh-CN"/>
        </w:rPr>
        <w:t>林地</w:t>
      </w:r>
      <w:r>
        <w:rPr>
          <w:rFonts w:hint="eastAsia" w:ascii="Times New Roman" w:hAnsi="Times New Roman" w:cs="Times New Roman"/>
          <w:color w:val="auto"/>
          <w:kern w:val="2"/>
          <w:sz w:val="24"/>
          <w:lang w:val="en-US" w:eastAsia="zh-CN"/>
        </w:rPr>
        <w:t>及耕地</w:t>
      </w:r>
      <w:r>
        <w:rPr>
          <w:rFonts w:hint="eastAsia" w:ascii="Times New Roman" w:hAnsi="Times New Roman" w:cs="Times New Roman" w:eastAsiaTheme="minorEastAsia"/>
          <w:color w:val="auto"/>
          <w:kern w:val="2"/>
          <w:sz w:val="24"/>
          <w:lang w:eastAsia="zh-CN"/>
        </w:rPr>
        <w:t>，施工会改变原有土地性质，施工过程中可能会对周围的植被产生影响。本次工程施工期为</w:t>
      </w:r>
      <w:r>
        <w:rPr>
          <w:rFonts w:hint="eastAsia" w:ascii="Times New Roman" w:hAnsi="Times New Roman" w:cs="Times New Roman"/>
          <w:color w:val="auto"/>
          <w:kern w:val="2"/>
          <w:sz w:val="24"/>
          <w:lang w:val="en-US" w:eastAsia="zh-CN"/>
        </w:rPr>
        <w:t>10</w:t>
      </w:r>
      <w:r>
        <w:rPr>
          <w:rFonts w:hint="eastAsia" w:ascii="Times New Roman" w:hAnsi="Times New Roman" w:cs="Times New Roman" w:eastAsiaTheme="minorEastAsia"/>
          <w:color w:val="auto"/>
          <w:kern w:val="2"/>
          <w:sz w:val="24"/>
          <w:lang w:eastAsia="zh-CN"/>
        </w:rPr>
        <w:t>个月，在此期间进行基础施工及局部场地平整将会造成一定程度的水土流失，主要体现在：</w:t>
      </w:r>
    </w:p>
    <w:p>
      <w:pPr>
        <w:keepNext w:val="0"/>
        <w:keepLines w:val="0"/>
        <w:pageBreakBefore w:val="0"/>
        <w:widowControl w:val="0"/>
        <w:numPr>
          <w:ilvl w:val="0"/>
          <w:numId w:val="12"/>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裸露地表：该项目在施工过程中，将进行较大面积的开挖，使地表土壤裸露，造成水土流失。如果再配合长时间的降雨天气，造成的水土流失量将会加重。</w:t>
      </w:r>
    </w:p>
    <w:p>
      <w:pPr>
        <w:keepNext w:val="0"/>
        <w:keepLines w:val="0"/>
        <w:pageBreakBefore w:val="0"/>
        <w:widowControl w:val="0"/>
        <w:numPr>
          <w:ilvl w:val="0"/>
          <w:numId w:val="12"/>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施工过程中的挖填方临时土堆：项目施工会产生开挖与填方，中间过程会产生土方的临时堆存，土堆的斜坡坡面因种种原因通常不进行碾压处理，土质疏松，容易造成水土流失。</w:t>
      </w:r>
    </w:p>
    <w:p>
      <w:pPr>
        <w:keepNext w:val="0"/>
        <w:keepLines w:val="0"/>
        <w:pageBreakBefore w:val="0"/>
        <w:widowControl w:val="0"/>
        <w:numPr>
          <w:ilvl w:val="0"/>
          <w:numId w:val="12"/>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由于占用大量农地将减少区域农作物产量及生物量。</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在项目建设期间，地表裸露、挖填方、机械碾轧等都会加大水土流失量。</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防治措施：</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针对本项目的实际情况，要求采取以下生态减缓措补偿施、水土流失保持措施。</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施工前做好土石方平衡，严格控制施工线路，施工范围，避免对施工区外的生态环境造成破坏，减少土石方的开挖。</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①建设所需物料尽量堆放在场区，减少对土地的占用，减少对生态的影响。</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②禁止建筑垃圾乱堆乱放，占压施工场地以外土地。在加快施工进度的前提下，施工完毕后进行覆土绿化，破坏的植被进行及时恢复。</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③设置导流系统：及时做好排水导流工作，减轻水流对裸露地表的冲刷。</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④施工时间选择：项目应合理安排施工，尽量将土石方开挖期避开大规模的降雨天气，并尽量缩短挖方时间，尽量在雨季到来之前完成挖方工程。</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kern w:val="2"/>
          <w:sz w:val="24"/>
          <w:lang w:eastAsia="zh-CN"/>
        </w:rPr>
      </w:pPr>
      <w:r>
        <w:rPr>
          <w:rFonts w:hint="eastAsia" w:ascii="Times New Roman" w:hAnsi="Times New Roman" w:cs="Times New Roman" w:eastAsiaTheme="minorEastAsia"/>
          <w:color w:val="auto"/>
          <w:kern w:val="2"/>
          <w:sz w:val="24"/>
          <w:lang w:eastAsia="zh-CN"/>
        </w:rPr>
        <w:t>⑤项目所在地挖方、填方应尽量平衡，剥离土石方就地消化为填土石方。对开挖的土壤分层堆放，分层回填，以保护植被生长层，恢复土壤生产力。</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leftChars="0" w:right="0"/>
        <w:jc w:val="both"/>
        <w:textAlignment w:val="auto"/>
        <w:outlineLvl w:val="1"/>
        <w:rPr>
          <w:rFonts w:ascii="Times New Roman" w:hAnsi="Times New Roman" w:eastAsia="宋体"/>
          <w:color w:val="auto"/>
          <w:sz w:val="30"/>
          <w:szCs w:val="30"/>
        </w:rPr>
      </w:pPr>
      <w:bookmarkStart w:id="120" w:name="_Toc25672"/>
      <w:r>
        <w:rPr>
          <w:rFonts w:hint="eastAsia" w:ascii="Times New Roman" w:hAnsi="Times New Roman" w:eastAsia="宋体"/>
          <w:color w:val="auto"/>
          <w:sz w:val="30"/>
          <w:szCs w:val="30"/>
        </w:rPr>
        <w:t>3.5运营期污染物排放及治理</w:t>
      </w:r>
      <w:bookmarkEnd w:id="120"/>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textAlignment w:val="auto"/>
        <w:outlineLvl w:val="2"/>
        <w:rPr>
          <w:rFonts w:hint="eastAsia" w:ascii="Times New Roman" w:hAnsi="Times New Roman" w:eastAsia="宋体"/>
          <w:b/>
          <w:bCs/>
          <w:color w:val="auto"/>
          <w:sz w:val="28"/>
          <w:szCs w:val="28"/>
          <w:lang w:val="en-US" w:eastAsia="zh-CN"/>
        </w:rPr>
      </w:pPr>
      <w:bookmarkStart w:id="121" w:name="_Toc17185"/>
      <w:r>
        <w:rPr>
          <w:rFonts w:hint="eastAsia" w:ascii="Times New Roman" w:hAnsi="Times New Roman" w:eastAsia="宋体"/>
          <w:b/>
          <w:bCs/>
          <w:color w:val="auto"/>
          <w:sz w:val="28"/>
          <w:szCs w:val="28"/>
        </w:rPr>
        <w:t>3.5.1</w:t>
      </w:r>
      <w:bookmarkEnd w:id="121"/>
      <w:r>
        <w:rPr>
          <w:rFonts w:hint="eastAsia" w:ascii="Times New Roman" w:hAnsi="Times New Roman" w:eastAsia="宋体"/>
          <w:b/>
          <w:bCs/>
          <w:color w:val="auto"/>
          <w:sz w:val="28"/>
          <w:szCs w:val="28"/>
        </w:rPr>
        <w:t>大气污染</w:t>
      </w:r>
      <w:r>
        <w:rPr>
          <w:rFonts w:hint="eastAsia" w:ascii="Times New Roman" w:hAnsi="Times New Roman" w:eastAsia="宋体"/>
          <w:b/>
          <w:bCs/>
          <w:color w:val="auto"/>
          <w:sz w:val="28"/>
          <w:szCs w:val="28"/>
          <w:lang w:val="en-US" w:eastAsia="zh-CN"/>
        </w:rPr>
        <w:t>物排放及治理措施</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本项目</w:t>
      </w:r>
      <w:r>
        <w:rPr>
          <w:rFonts w:hint="eastAsia" w:ascii="Times New Roman" w:hAnsi="Times New Roman" w:eastAsia="宋体" w:cs="Times New Roman"/>
          <w:color w:val="auto"/>
          <w:sz w:val="24"/>
          <w:szCs w:val="24"/>
          <w:lang w:eastAsia="zh-CN"/>
        </w:rPr>
        <w:t>粪污经过固液分离，干粪送至堆粪间好氧堆肥，</w:t>
      </w:r>
      <w:r>
        <w:rPr>
          <w:rFonts w:hint="eastAsia" w:ascii="Times New Roman" w:hAnsi="Times New Roman" w:eastAsia="宋体" w:cs="Times New Roman"/>
          <w:color w:val="auto"/>
          <w:sz w:val="24"/>
          <w:szCs w:val="24"/>
        </w:rPr>
        <w:t>废水经</w:t>
      </w:r>
      <w:r>
        <w:rPr>
          <w:rFonts w:hint="eastAsia" w:ascii="Times New Roman" w:hAnsi="Times New Roman" w:eastAsia="宋体" w:cs="Times New Roman"/>
          <w:color w:val="auto"/>
          <w:sz w:val="24"/>
          <w:szCs w:val="24"/>
          <w:lang w:eastAsia="zh-CN"/>
        </w:rPr>
        <w:t>污水处理区</w:t>
      </w:r>
      <w:r>
        <w:rPr>
          <w:rFonts w:hint="eastAsia" w:ascii="Times New Roman" w:hAnsi="Times New Roman" w:eastAsia="宋体" w:cs="Times New Roman"/>
          <w:color w:val="auto"/>
          <w:sz w:val="24"/>
          <w:szCs w:val="24"/>
        </w:rPr>
        <w:t>处理</w:t>
      </w:r>
      <w:r>
        <w:rPr>
          <w:rFonts w:hint="eastAsia" w:ascii="Times New Roman" w:hAnsi="Times New Roman" w:eastAsia="宋体" w:cs="Times New Roman"/>
          <w:color w:val="auto"/>
          <w:sz w:val="24"/>
          <w:szCs w:val="24"/>
          <w:lang w:eastAsia="zh-CN"/>
        </w:rPr>
        <w:t>达标后用作周边消纳地灌溉</w:t>
      </w:r>
      <w:r>
        <w:rPr>
          <w:rFonts w:hint="eastAsia" w:ascii="Times New Roman" w:hAnsi="Times New Roman" w:eastAsia="宋体" w:cs="Times New Roman"/>
          <w:color w:val="auto"/>
          <w:sz w:val="24"/>
          <w:szCs w:val="24"/>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本项目产生的大气污染物主要包括恶臭气体（养殖区猪舍恶臭、</w:t>
      </w:r>
      <w:r>
        <w:rPr>
          <w:rFonts w:hint="eastAsia" w:ascii="Times New Roman" w:hAnsi="Times New Roman" w:eastAsia="宋体" w:cs="Times New Roman"/>
          <w:color w:val="auto"/>
          <w:sz w:val="24"/>
          <w:szCs w:val="24"/>
          <w:lang w:eastAsia="zh-CN"/>
        </w:rPr>
        <w:t>堆粪间、污水处理区</w:t>
      </w:r>
      <w:r>
        <w:rPr>
          <w:rFonts w:hint="eastAsia"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eastAsia="zh-CN"/>
        </w:rPr>
        <w:t>沼气、</w:t>
      </w:r>
      <w:r>
        <w:rPr>
          <w:rFonts w:hint="eastAsia" w:ascii="Times New Roman" w:hAnsi="Times New Roman" w:eastAsia="宋体" w:cs="Times New Roman"/>
          <w:color w:val="auto"/>
          <w:sz w:val="24"/>
          <w:szCs w:val="24"/>
        </w:rPr>
        <w:t>备用柴油发电机尾气和食堂油烟废气等。</w:t>
      </w: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hint="eastAsia" w:ascii="Times New Roman" w:hAnsi="Times New Roman" w:eastAsia="宋体"/>
          <w:b/>
          <w:color w:val="auto"/>
          <w:szCs w:val="21"/>
          <w:lang w:eastAsia="zh-CN"/>
        </w:rPr>
      </w:pPr>
      <w:r>
        <w:rPr>
          <w:rFonts w:ascii="Times New Roman" w:hAnsi="Times New Roman" w:eastAsia="宋体"/>
          <w:b/>
          <w:color w:val="auto"/>
          <w:szCs w:val="21"/>
        </w:rPr>
        <w:t>表</w:t>
      </w:r>
      <w:r>
        <w:rPr>
          <w:rFonts w:hint="eastAsia" w:ascii="Times New Roman" w:hAnsi="Times New Roman" w:eastAsia="宋体"/>
          <w:b/>
          <w:color w:val="auto"/>
          <w:szCs w:val="21"/>
          <w:lang w:val="en-US" w:eastAsia="zh-CN"/>
        </w:rPr>
        <w:t>3.5</w:t>
      </w:r>
      <w:r>
        <w:rPr>
          <w:rFonts w:hint="eastAsia" w:ascii="Times New Roman" w:hAnsi="Times New Roman" w:eastAsia="宋体"/>
          <w:b/>
          <w:color w:val="auto"/>
          <w:szCs w:val="21"/>
        </w:rPr>
        <w:t>-</w:t>
      </w:r>
      <w:r>
        <w:rPr>
          <w:rFonts w:hint="eastAsia" w:ascii="Times New Roman" w:hAnsi="Times New Roman" w:eastAsia="宋体"/>
          <w:b/>
          <w:color w:val="auto"/>
          <w:szCs w:val="21"/>
          <w:lang w:val="en-US" w:eastAsia="zh-CN"/>
        </w:rPr>
        <w:t xml:space="preserve">1 </w:t>
      </w:r>
      <w:r>
        <w:rPr>
          <w:rFonts w:ascii="Times New Roman" w:hAnsi="Times New Roman" w:eastAsia="宋体"/>
          <w:b/>
          <w:color w:val="auto"/>
          <w:szCs w:val="21"/>
        </w:rPr>
        <w:t xml:space="preserve"> </w:t>
      </w:r>
      <w:r>
        <w:rPr>
          <w:rFonts w:hint="eastAsia" w:ascii="Times New Roman" w:hAnsi="Times New Roman" w:eastAsia="宋体"/>
          <w:b/>
          <w:color w:val="auto"/>
          <w:szCs w:val="21"/>
          <w:lang w:eastAsia="zh-CN"/>
        </w:rPr>
        <w:t>废气产生环节</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73"/>
        <w:gridCol w:w="3073"/>
        <w:gridCol w:w="3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3"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序号</w:t>
            </w:r>
          </w:p>
        </w:tc>
        <w:tc>
          <w:tcPr>
            <w:tcW w:w="3073"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污染源名称</w:t>
            </w:r>
          </w:p>
        </w:tc>
        <w:tc>
          <w:tcPr>
            <w:tcW w:w="3074"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主要污染物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3"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w:t>
            </w:r>
          </w:p>
        </w:tc>
        <w:tc>
          <w:tcPr>
            <w:tcW w:w="3073"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猪舍</w:t>
            </w:r>
          </w:p>
        </w:tc>
        <w:tc>
          <w:tcPr>
            <w:tcW w:w="3074"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NH</w:t>
            </w:r>
            <w:r>
              <w:rPr>
                <w:rFonts w:hint="eastAsia" w:ascii="Times New Roman" w:hAnsi="Times New Roman" w:cs="Times New Roman"/>
                <w:color w:val="auto"/>
                <w:szCs w:val="21"/>
                <w:vertAlign w:val="subscript"/>
                <w:lang w:val="en-US" w:eastAsia="zh-CN"/>
              </w:rPr>
              <w:t>3</w:t>
            </w:r>
            <w:r>
              <w:rPr>
                <w:rFonts w:hint="eastAsia" w:ascii="Times New Roman" w:hAnsi="Times New Roman" w:cs="Times New Roman"/>
                <w:color w:val="auto"/>
                <w:szCs w:val="21"/>
                <w:lang w:val="en-US" w:eastAsia="zh-CN"/>
              </w:rPr>
              <w:t>、H</w:t>
            </w:r>
            <w:r>
              <w:rPr>
                <w:rFonts w:hint="eastAsia" w:ascii="Times New Roman" w:hAnsi="Times New Roman" w:cs="Times New Roman"/>
                <w:color w:val="auto"/>
                <w:szCs w:val="21"/>
                <w:vertAlign w:val="subscript"/>
                <w:lang w:val="en-US" w:eastAsia="zh-CN"/>
              </w:rPr>
              <w:t>2</w:t>
            </w:r>
            <w:r>
              <w:rPr>
                <w:rFonts w:hint="eastAsia" w:ascii="Times New Roman" w:hAnsi="Times New Roman" w:cs="Times New Roman"/>
                <w:color w:val="auto"/>
                <w:szCs w:val="21"/>
                <w:lang w:val="en-US" w:eastAsia="zh-CN"/>
              </w:rPr>
              <w: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3" w:type="dxa"/>
            <w:vAlign w:val="center"/>
          </w:tcPr>
          <w:p>
            <w:pPr>
              <w:pStyle w:val="98"/>
              <w:jc w:val="center"/>
              <w:rPr>
                <w:rFonts w:hint="default"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kern w:val="2"/>
                <w:sz w:val="21"/>
                <w:szCs w:val="21"/>
                <w:lang w:val="en-US" w:eastAsia="zh-CN" w:bidi="zh-CN"/>
              </w:rPr>
              <w:t>2</w:t>
            </w:r>
          </w:p>
        </w:tc>
        <w:tc>
          <w:tcPr>
            <w:tcW w:w="3073"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堆粪间</w:t>
            </w:r>
          </w:p>
        </w:tc>
        <w:tc>
          <w:tcPr>
            <w:tcW w:w="3074"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NH</w:t>
            </w:r>
            <w:r>
              <w:rPr>
                <w:rFonts w:hint="eastAsia" w:ascii="Times New Roman" w:hAnsi="Times New Roman" w:cs="Times New Roman"/>
                <w:color w:val="auto"/>
                <w:szCs w:val="21"/>
                <w:vertAlign w:val="subscript"/>
                <w:lang w:val="en-US" w:eastAsia="zh-CN"/>
              </w:rPr>
              <w:t>3</w:t>
            </w:r>
            <w:r>
              <w:rPr>
                <w:rFonts w:hint="eastAsia" w:ascii="Times New Roman" w:hAnsi="Times New Roman" w:cs="Times New Roman"/>
                <w:color w:val="auto"/>
                <w:szCs w:val="21"/>
                <w:lang w:val="en-US" w:eastAsia="zh-CN"/>
              </w:rPr>
              <w:t>、H</w:t>
            </w:r>
            <w:r>
              <w:rPr>
                <w:rFonts w:hint="eastAsia" w:ascii="Times New Roman" w:hAnsi="Times New Roman" w:cs="Times New Roman"/>
                <w:color w:val="auto"/>
                <w:szCs w:val="21"/>
                <w:vertAlign w:val="subscript"/>
                <w:lang w:val="en-US" w:eastAsia="zh-CN"/>
              </w:rPr>
              <w:t>2</w:t>
            </w:r>
            <w:r>
              <w:rPr>
                <w:rFonts w:hint="eastAsia" w:ascii="Times New Roman" w:hAnsi="Times New Roman" w:cs="Times New Roman"/>
                <w:color w:val="auto"/>
                <w:szCs w:val="21"/>
                <w:lang w:val="en-US" w:eastAsia="zh-CN"/>
              </w:rPr>
              <w: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3" w:type="dxa"/>
            <w:vAlign w:val="center"/>
          </w:tcPr>
          <w:p>
            <w:pPr>
              <w:pStyle w:val="98"/>
              <w:jc w:val="center"/>
              <w:rPr>
                <w:rFonts w:hint="default"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kern w:val="2"/>
                <w:sz w:val="21"/>
                <w:szCs w:val="21"/>
                <w:lang w:val="en-US" w:eastAsia="zh-CN" w:bidi="zh-CN"/>
              </w:rPr>
              <w:t>3</w:t>
            </w:r>
          </w:p>
        </w:tc>
        <w:tc>
          <w:tcPr>
            <w:tcW w:w="3073"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污水处理区</w:t>
            </w:r>
          </w:p>
        </w:tc>
        <w:tc>
          <w:tcPr>
            <w:tcW w:w="3074"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NH</w:t>
            </w:r>
            <w:r>
              <w:rPr>
                <w:rFonts w:hint="eastAsia" w:ascii="Times New Roman" w:hAnsi="Times New Roman" w:cs="Times New Roman"/>
                <w:color w:val="auto"/>
                <w:szCs w:val="21"/>
                <w:vertAlign w:val="subscript"/>
                <w:lang w:val="en-US" w:eastAsia="zh-CN"/>
              </w:rPr>
              <w:t>3</w:t>
            </w:r>
            <w:r>
              <w:rPr>
                <w:rFonts w:hint="eastAsia" w:ascii="Times New Roman" w:hAnsi="Times New Roman" w:cs="Times New Roman"/>
                <w:color w:val="auto"/>
                <w:szCs w:val="21"/>
                <w:lang w:val="en-US" w:eastAsia="zh-CN"/>
              </w:rPr>
              <w:t>、H</w:t>
            </w:r>
            <w:r>
              <w:rPr>
                <w:rFonts w:hint="eastAsia" w:ascii="Times New Roman" w:hAnsi="Times New Roman" w:cs="Times New Roman"/>
                <w:color w:val="auto"/>
                <w:szCs w:val="21"/>
                <w:vertAlign w:val="subscript"/>
                <w:lang w:val="en-US" w:eastAsia="zh-CN"/>
              </w:rPr>
              <w:t>2</w:t>
            </w:r>
            <w:r>
              <w:rPr>
                <w:rFonts w:hint="eastAsia" w:ascii="Times New Roman" w:hAnsi="Times New Roman" w:cs="Times New Roman"/>
                <w:color w:val="auto"/>
                <w:szCs w:val="21"/>
                <w:lang w:val="en-US" w:eastAsia="zh-CN"/>
              </w:rPr>
              <w:t>S、沼气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3" w:type="dxa"/>
            <w:vAlign w:val="center"/>
          </w:tcPr>
          <w:p>
            <w:pPr>
              <w:pStyle w:val="98"/>
              <w:jc w:val="center"/>
              <w:rPr>
                <w:rFonts w:hint="default"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kern w:val="2"/>
                <w:sz w:val="21"/>
                <w:szCs w:val="21"/>
                <w:lang w:val="en-US" w:eastAsia="zh-CN" w:bidi="zh-CN"/>
              </w:rPr>
              <w:t>4</w:t>
            </w:r>
          </w:p>
        </w:tc>
        <w:tc>
          <w:tcPr>
            <w:tcW w:w="3073"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柴油发电机尾气</w:t>
            </w:r>
          </w:p>
        </w:tc>
        <w:tc>
          <w:tcPr>
            <w:tcW w:w="3074"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SO</w:t>
            </w:r>
            <w:r>
              <w:rPr>
                <w:rFonts w:hint="eastAsia" w:ascii="Times New Roman" w:hAnsi="Times New Roman" w:cs="Times New Roman"/>
                <w:color w:val="auto"/>
                <w:szCs w:val="21"/>
                <w:vertAlign w:val="subscript"/>
                <w:lang w:val="en-US" w:eastAsia="zh-CN"/>
              </w:rPr>
              <w:t>2</w:t>
            </w:r>
            <w:r>
              <w:rPr>
                <w:rFonts w:hint="eastAsia" w:ascii="Times New Roman" w:hAnsi="Times New Roman" w:cs="Times New Roman"/>
                <w:color w:val="auto"/>
                <w:szCs w:val="21"/>
                <w:lang w:val="en-US" w:eastAsia="zh-CN"/>
              </w:rPr>
              <w:t>、NOx、烟尘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3"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5</w:t>
            </w:r>
          </w:p>
        </w:tc>
        <w:tc>
          <w:tcPr>
            <w:tcW w:w="3073"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食堂油烟</w:t>
            </w:r>
          </w:p>
        </w:tc>
        <w:tc>
          <w:tcPr>
            <w:tcW w:w="3074"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油烟</w:t>
            </w:r>
          </w:p>
        </w:tc>
      </w:tr>
    </w:tbl>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textAlignment w:val="auto"/>
        <w:rPr>
          <w:rFonts w:ascii="Times New Roman" w:hAnsi="Times New Roman" w:eastAsia="宋体" w:cs="Times New Roman"/>
          <w:b/>
          <w:bCs/>
          <w:color w:val="auto"/>
          <w:sz w:val="24"/>
          <w:szCs w:val="24"/>
        </w:rPr>
      </w:pPr>
      <w:r>
        <w:rPr>
          <w:rFonts w:hint="eastAsia" w:ascii="Times New Roman" w:hAnsi="Times New Roman" w:eastAsia="宋体" w:cs="Times New Roman"/>
          <w:b/>
          <w:bCs/>
          <w:color w:val="auto"/>
          <w:sz w:val="24"/>
          <w:szCs w:val="24"/>
        </w:rPr>
        <w:t>（1）</w:t>
      </w:r>
      <w:r>
        <w:rPr>
          <w:rFonts w:hint="eastAsia" w:ascii="Times New Roman" w:hAnsi="Times New Roman" w:eastAsia="宋体" w:cs="Times New Roman"/>
          <w:b/>
          <w:bCs/>
          <w:color w:val="auto"/>
          <w:sz w:val="24"/>
          <w:szCs w:val="24"/>
          <w:lang w:val="en-US" w:eastAsia="zh-CN"/>
        </w:rPr>
        <w:t>恶臭气体</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产生情况：本项目恶臭气体主要来自猪舍、</w:t>
      </w:r>
      <w:r>
        <w:rPr>
          <w:rFonts w:hint="eastAsia" w:ascii="Times New Roman" w:hAnsi="Times New Roman" w:eastAsia="宋体" w:cs="Times New Roman"/>
          <w:color w:val="auto"/>
          <w:sz w:val="24"/>
          <w:szCs w:val="24"/>
          <w:lang w:eastAsia="zh-CN"/>
        </w:rPr>
        <w:t>集粪池、堆粪间</w:t>
      </w:r>
      <w:r>
        <w:rPr>
          <w:rFonts w:hint="eastAsia"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eastAsia="zh-CN"/>
        </w:rPr>
        <w:t>污水处理区（沼液储蓄池）</w:t>
      </w:r>
      <w:r>
        <w:rPr>
          <w:rFonts w:hint="eastAsia" w:ascii="Times New Roman" w:hAnsi="Times New Roman" w:eastAsia="宋体" w:cs="Times New Roman"/>
          <w:color w:val="auto"/>
          <w:sz w:val="24"/>
          <w:szCs w:val="24"/>
          <w:lang w:eastAsia="zh-CN"/>
        </w:rPr>
        <w:t>，均为钢筋混凝土框架，猪舍、堆粪间全密闭，集粪池和格栅池加盖密闭</w:t>
      </w:r>
      <w:r>
        <w:rPr>
          <w:rFonts w:hint="eastAsia" w:ascii="Times New Roman" w:hAnsi="Times New Roman" w:eastAsia="宋体" w:cs="Times New Roman"/>
          <w:color w:val="auto"/>
          <w:sz w:val="24"/>
          <w:szCs w:val="24"/>
        </w:rPr>
        <w:t>。恶臭臭气是许多单一臭气物质相互作用的产物。目前，已鉴定出在猪粪尿中有恶臭成分220 种，这些物质都是产生生化反应的中间产物或终端产物，其中包括了多种挥发性有机酸、醇类物质、醛类物质、不流动气体、酯类物质、胺类物质、硫化物、硫醇以及含氮杂环类物质。在粪尿中还发现 80 多种含氮化合物，其中有 10 种与恶臭味有关。其中主要恶臭物质有三甲基胺、氨气、硫化氢以及类臭基硫酸等。其中危害较大的是 NH</w:t>
      </w:r>
      <w:r>
        <w:rPr>
          <w:rFonts w:hint="eastAsia" w:ascii="Times New Roman" w:hAnsi="Times New Roman" w:eastAsia="宋体" w:cs="Times New Roman"/>
          <w:color w:val="auto"/>
          <w:sz w:val="24"/>
          <w:szCs w:val="24"/>
          <w:vertAlign w:val="subscript"/>
        </w:rPr>
        <w:t>3</w:t>
      </w:r>
      <w:r>
        <w:rPr>
          <w:rFonts w:hint="eastAsia" w:ascii="Times New Roman" w:hAnsi="Times New Roman" w:eastAsia="宋体" w:cs="Times New Roman"/>
          <w:color w:val="auto"/>
          <w:sz w:val="24"/>
          <w:szCs w:val="24"/>
        </w:rPr>
        <w:t>和 H</w:t>
      </w:r>
      <w:r>
        <w:rPr>
          <w:rFonts w:hint="eastAsia" w:ascii="Times New Roman" w:hAnsi="Times New Roman" w:eastAsia="宋体" w:cs="Times New Roman"/>
          <w:color w:val="auto"/>
          <w:sz w:val="24"/>
          <w:szCs w:val="24"/>
          <w:vertAlign w:val="subscript"/>
        </w:rPr>
        <w:t>2</w:t>
      </w:r>
      <w:r>
        <w:rPr>
          <w:rFonts w:hint="eastAsia" w:ascii="Times New Roman" w:hAnsi="Times New Roman" w:eastAsia="宋体" w:cs="Times New Roman"/>
          <w:color w:val="auto"/>
          <w:sz w:val="24"/>
          <w:szCs w:val="24"/>
        </w:rPr>
        <w:t>S。</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①动物本身：包括猪只皮脂腺和汗腺的分泌物、猪只体外激素、黏附在体表的污物、呼出气中的 CO</w:t>
      </w:r>
      <w:r>
        <w:rPr>
          <w:rFonts w:hint="eastAsia" w:ascii="Times New Roman" w:hAnsi="Times New Roman" w:eastAsia="宋体" w:cs="Times New Roman"/>
          <w:color w:val="auto"/>
          <w:sz w:val="24"/>
          <w:szCs w:val="24"/>
          <w:vertAlign w:val="subscript"/>
        </w:rPr>
        <w:t>2</w:t>
      </w:r>
      <w:r>
        <w:rPr>
          <w:rFonts w:hint="eastAsia" w:ascii="Times New Roman" w:hAnsi="Times New Roman" w:eastAsia="宋体" w:cs="Times New Roman"/>
          <w:color w:val="auto"/>
          <w:sz w:val="24"/>
          <w:szCs w:val="24"/>
        </w:rPr>
        <w:t>（含量比大气约高 100 倍）等都会散发出难闻的气味等；</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②饲料：饲料中纤维分解时产生的甲烷、饲料在猪只消化道内经过各种消化酶、肠道细菌的作用，会产生吲哚、粪臭素、硫化氢等使粪有臭味的气体；</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③粪尿的臭味：猪舍中刚排泄出的粪尿中有氨、硫化氢、胺等有害气体，进而产生甲硫醇、多胺、脂肪酸、吲哚等，在高温季节尤为明显；此外，粪尿在猪舍地下的</w:t>
      </w:r>
      <w:r>
        <w:rPr>
          <w:rFonts w:hint="eastAsia" w:ascii="Times New Roman" w:hAnsi="Times New Roman" w:eastAsia="宋体" w:cs="Times New Roman"/>
          <w:color w:val="auto"/>
          <w:sz w:val="24"/>
          <w:szCs w:val="24"/>
          <w:lang w:eastAsia="zh-CN"/>
        </w:rPr>
        <w:t>氧化塘（储蓄池）</w:t>
      </w:r>
      <w:r>
        <w:rPr>
          <w:rFonts w:hint="eastAsia" w:ascii="Times New Roman" w:hAnsi="Times New Roman" w:eastAsia="宋体" w:cs="Times New Roman"/>
          <w:color w:val="auto"/>
          <w:sz w:val="24"/>
          <w:szCs w:val="24"/>
        </w:rPr>
        <w:t>内停留，形成厌氧发酵，产生大量的有害气体，如NH</w:t>
      </w:r>
      <w:r>
        <w:rPr>
          <w:rFonts w:hint="eastAsia" w:ascii="Times New Roman" w:hAnsi="Times New Roman" w:eastAsia="宋体" w:cs="Times New Roman"/>
          <w:color w:val="auto"/>
          <w:sz w:val="24"/>
          <w:szCs w:val="24"/>
          <w:vertAlign w:val="subscript"/>
        </w:rPr>
        <w:t>3</w:t>
      </w:r>
      <w:r>
        <w:rPr>
          <w:rFonts w:hint="eastAsia" w:ascii="Times New Roman" w:hAnsi="Times New Roman" w:eastAsia="宋体" w:cs="Times New Roman"/>
          <w:color w:val="auto"/>
          <w:sz w:val="24"/>
          <w:szCs w:val="24"/>
        </w:rPr>
        <w:t>、H</w:t>
      </w:r>
      <w:r>
        <w:rPr>
          <w:rFonts w:hint="eastAsia" w:ascii="Times New Roman" w:hAnsi="Times New Roman" w:eastAsia="宋体" w:cs="Times New Roman"/>
          <w:color w:val="auto"/>
          <w:sz w:val="24"/>
          <w:szCs w:val="24"/>
          <w:vertAlign w:val="subscript"/>
        </w:rPr>
        <w:t>2</w:t>
      </w:r>
      <w:r>
        <w:rPr>
          <w:rFonts w:hint="eastAsia" w:ascii="Times New Roman" w:hAnsi="Times New Roman" w:eastAsia="宋体" w:cs="Times New Roman"/>
          <w:color w:val="auto"/>
          <w:sz w:val="24"/>
          <w:szCs w:val="24"/>
        </w:rPr>
        <w:t>S、CH</w:t>
      </w:r>
      <w:r>
        <w:rPr>
          <w:rFonts w:hint="eastAsia" w:ascii="Times New Roman" w:hAnsi="Times New Roman" w:eastAsia="宋体" w:cs="Times New Roman"/>
          <w:color w:val="auto"/>
          <w:sz w:val="24"/>
          <w:szCs w:val="24"/>
          <w:vertAlign w:val="subscript"/>
        </w:rPr>
        <w:t>4</w:t>
      </w:r>
      <w:r>
        <w:rPr>
          <w:rFonts w:hint="eastAsia" w:ascii="Times New Roman" w:hAnsi="Times New Roman" w:eastAsia="宋体" w:cs="Times New Roman"/>
          <w:color w:val="auto"/>
          <w:sz w:val="24"/>
          <w:szCs w:val="24"/>
        </w:rPr>
        <w:t>等恶化室内空气环境；</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④</w:t>
      </w:r>
      <w:r>
        <w:rPr>
          <w:rFonts w:hint="eastAsia" w:ascii="Times New Roman" w:hAnsi="Times New Roman" w:eastAsia="宋体" w:cs="Times New Roman"/>
          <w:color w:val="auto"/>
          <w:sz w:val="24"/>
          <w:szCs w:val="24"/>
          <w:lang w:eastAsia="zh-CN"/>
        </w:rPr>
        <w:t>堆粪间</w:t>
      </w:r>
      <w:r>
        <w:rPr>
          <w:rFonts w:hint="eastAsia" w:ascii="Times New Roman" w:hAnsi="Times New Roman" w:eastAsia="宋体" w:cs="Times New Roman"/>
          <w:color w:val="auto"/>
          <w:sz w:val="24"/>
          <w:szCs w:val="24"/>
        </w:rPr>
        <w:t>恶臭：项目内设置</w:t>
      </w:r>
      <w:r>
        <w:rPr>
          <w:rFonts w:hint="eastAsia" w:ascii="Times New Roman" w:hAnsi="Times New Roman" w:eastAsia="宋体" w:cs="Times New Roman"/>
          <w:color w:val="auto"/>
          <w:sz w:val="24"/>
          <w:szCs w:val="24"/>
          <w:lang w:eastAsia="zh-CN"/>
        </w:rPr>
        <w:t>堆粪间</w:t>
      </w:r>
      <w:r>
        <w:rPr>
          <w:rFonts w:hint="eastAsia" w:ascii="Times New Roman" w:hAnsi="Times New Roman" w:eastAsia="宋体" w:cs="Times New Roman"/>
          <w:color w:val="auto"/>
          <w:sz w:val="24"/>
          <w:szCs w:val="24"/>
        </w:rPr>
        <w:t>1个，用于存放</w:t>
      </w:r>
      <w:r>
        <w:rPr>
          <w:rFonts w:hint="eastAsia" w:ascii="Times New Roman" w:hAnsi="Times New Roman" w:eastAsia="宋体" w:cs="Times New Roman"/>
          <w:color w:val="auto"/>
          <w:sz w:val="24"/>
          <w:szCs w:val="24"/>
          <w:lang w:eastAsia="zh-CN"/>
        </w:rPr>
        <w:t>干粪、沼渣并进行好氧堆肥</w:t>
      </w:r>
      <w:r>
        <w:rPr>
          <w:rFonts w:hint="eastAsia" w:ascii="Times New Roman" w:hAnsi="Times New Roman" w:eastAsia="宋体" w:cs="Times New Roman"/>
          <w:color w:val="auto"/>
          <w:sz w:val="24"/>
          <w:szCs w:val="24"/>
        </w:rPr>
        <w:t>，在粪便</w:t>
      </w:r>
      <w:r>
        <w:rPr>
          <w:rFonts w:hint="eastAsia" w:ascii="Times New Roman" w:hAnsi="Times New Roman" w:eastAsia="宋体" w:cs="Times New Roman"/>
          <w:color w:val="auto"/>
          <w:sz w:val="24"/>
          <w:szCs w:val="24"/>
          <w:lang w:eastAsia="zh-CN"/>
        </w:rPr>
        <w:t>、沼渣</w:t>
      </w:r>
      <w:r>
        <w:rPr>
          <w:rFonts w:hint="eastAsia" w:ascii="Times New Roman" w:hAnsi="Times New Roman" w:eastAsia="宋体" w:cs="Times New Roman"/>
          <w:color w:val="auto"/>
          <w:sz w:val="24"/>
          <w:szCs w:val="24"/>
        </w:rPr>
        <w:t>收集过程中会产生恶臭气体。</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rPr>
        <w:t>⑤</w:t>
      </w:r>
      <w:r>
        <w:rPr>
          <w:rFonts w:hint="eastAsia" w:ascii="Times New Roman" w:hAnsi="Times New Roman" w:eastAsia="宋体" w:cs="Times New Roman"/>
          <w:color w:val="auto"/>
          <w:sz w:val="24"/>
          <w:szCs w:val="24"/>
          <w:lang w:eastAsia="zh-CN"/>
        </w:rPr>
        <w:t>污水处理区（</w:t>
      </w:r>
      <w:r>
        <w:rPr>
          <w:rFonts w:hint="eastAsia" w:ascii="Times New Roman" w:hAnsi="Times New Roman" w:eastAsia="宋体" w:cs="Times New Roman"/>
          <w:color w:val="auto"/>
          <w:sz w:val="24"/>
          <w:szCs w:val="24"/>
          <w:lang w:val="en-US" w:eastAsia="zh-CN"/>
        </w:rPr>
        <w:t>沼液储蓄池</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rPr>
        <w:t>：本项目</w:t>
      </w:r>
      <w:r>
        <w:rPr>
          <w:rFonts w:hint="eastAsia" w:ascii="Times New Roman" w:hAnsi="Times New Roman" w:eastAsia="宋体" w:cs="Times New Roman"/>
          <w:color w:val="auto"/>
          <w:sz w:val="24"/>
          <w:szCs w:val="24"/>
          <w:lang w:eastAsia="zh-CN"/>
        </w:rPr>
        <w:t>污水处理区</w:t>
      </w:r>
      <w:r>
        <w:rPr>
          <w:rFonts w:hint="eastAsia" w:ascii="Times New Roman" w:hAnsi="Times New Roman" w:eastAsia="宋体" w:cs="Times New Roman"/>
          <w:color w:val="auto"/>
          <w:sz w:val="24"/>
          <w:szCs w:val="24"/>
        </w:rPr>
        <w:t>包括</w:t>
      </w:r>
      <w:r>
        <w:rPr>
          <w:rFonts w:hint="eastAsia" w:ascii="Times New Roman" w:hAnsi="Times New Roman" w:eastAsia="宋体" w:cs="Times New Roman"/>
          <w:color w:val="auto"/>
          <w:sz w:val="24"/>
          <w:szCs w:val="24"/>
          <w:lang w:eastAsia="zh-CN"/>
        </w:rPr>
        <w:t>集粪池</w:t>
      </w:r>
      <w:r>
        <w:rPr>
          <w:rFonts w:hint="eastAsia" w:ascii="Times New Roman" w:hAnsi="Times New Roman" w:eastAsia="宋体" w:cs="Times New Roman"/>
          <w:color w:val="auto"/>
          <w:sz w:val="24"/>
          <w:szCs w:val="24"/>
        </w:rPr>
        <w:t>、固液分离设施、</w:t>
      </w:r>
      <w:r>
        <w:rPr>
          <w:rFonts w:hint="eastAsia" w:ascii="Times New Roman" w:hAnsi="Times New Roman" w:eastAsia="宋体" w:cs="Times New Roman"/>
          <w:color w:val="auto"/>
          <w:sz w:val="24"/>
          <w:szCs w:val="24"/>
          <w:lang w:val="en-US" w:eastAsia="zh-CN"/>
        </w:rPr>
        <w:t>污泥池、预沉池、缺氧池、好氧池、二沉池和深度反应池</w:t>
      </w:r>
      <w:r>
        <w:rPr>
          <w:rFonts w:hint="eastAsia" w:ascii="Times New Roman" w:hAnsi="Times New Roman" w:eastAsia="宋体" w:cs="Times New Roman"/>
          <w:color w:val="auto"/>
          <w:sz w:val="24"/>
          <w:szCs w:val="24"/>
        </w:rPr>
        <w:t>等，在粪污处理过程中会蓄积挥发性脂肪酸、酚类、吲哚、粪臭素等，使恶臭增强。</w:t>
      </w:r>
      <w:r>
        <w:rPr>
          <w:rFonts w:hint="eastAsia" w:ascii="Times New Roman" w:hAnsi="Times New Roman" w:eastAsia="宋体" w:cs="Times New Roman"/>
          <w:color w:val="auto"/>
          <w:sz w:val="24"/>
          <w:szCs w:val="24"/>
          <w:lang w:val="en-US" w:eastAsia="zh-CN"/>
        </w:rPr>
        <w:t>本项目主要考虑废水处理后在沼液储存区产生的恶臭。</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根据本项目特点，恶臭气体发生源主要分布于猪舍</w:t>
      </w:r>
      <w:r>
        <w:rPr>
          <w:rFonts w:hint="eastAsia" w:ascii="Times New Roman" w:hAnsi="Times New Roman" w:eastAsia="宋体" w:cs="Times New Roman"/>
          <w:color w:val="auto"/>
          <w:sz w:val="24"/>
          <w:szCs w:val="24"/>
          <w:lang w:eastAsia="zh-CN"/>
        </w:rPr>
        <w:t>、堆粪间和污水处理区</w:t>
      </w:r>
      <w:r>
        <w:rPr>
          <w:rFonts w:hint="eastAsia" w:ascii="Times New Roman" w:hAnsi="Times New Roman" w:eastAsia="宋体" w:cs="Times New Roman"/>
          <w:color w:val="auto"/>
          <w:sz w:val="24"/>
          <w:szCs w:val="24"/>
        </w:rPr>
        <w:t>，其产生源在场区分布面较广，并以低矮面源形式排放，猪舍、</w:t>
      </w:r>
      <w:r>
        <w:rPr>
          <w:rFonts w:hint="eastAsia" w:ascii="Times New Roman" w:hAnsi="Times New Roman" w:eastAsia="宋体" w:cs="Times New Roman"/>
          <w:color w:val="auto"/>
          <w:sz w:val="24"/>
          <w:szCs w:val="24"/>
          <w:lang w:eastAsia="zh-CN"/>
        </w:rPr>
        <w:t>污水处理区</w:t>
      </w:r>
      <w:r>
        <w:rPr>
          <w:rFonts w:hint="eastAsia" w:ascii="Times New Roman" w:hAnsi="Times New Roman" w:eastAsia="宋体" w:cs="Times New Roman"/>
          <w:color w:val="auto"/>
          <w:sz w:val="24"/>
          <w:szCs w:val="24"/>
        </w:rPr>
        <w:t>产生的恶臭目前从经济上和技术上均无成熟的收集处置措施，属无组织排放。以上有害气体及生产中产生的微生物等排入大气，刺激人、畜呼吸道，可引起呼吸道疾病；恶臭气体使人产生不愉快的感觉，影响人的工作效率，可引起母猪生产力下降。此外，猪场内空气中的粉尘与猪场臭气产生的关系密切；粉尘是微生物的载体，并吸附大量的挥发性臭气（不饱和醛、粪臭素），随风传播，可引起疫病蔓延，场区孳生大量蚊蝇也易传播疫病、污染环境。</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鉴于目前的环境标准和监测手段，此次评价仅以其中的 H</w:t>
      </w:r>
      <w:r>
        <w:rPr>
          <w:rFonts w:hint="eastAsia" w:ascii="Times New Roman" w:hAnsi="Times New Roman" w:eastAsia="宋体" w:cs="Times New Roman"/>
          <w:color w:val="auto"/>
          <w:sz w:val="24"/>
          <w:szCs w:val="24"/>
          <w:vertAlign w:val="subscript"/>
        </w:rPr>
        <w:t>2</w:t>
      </w:r>
      <w:r>
        <w:rPr>
          <w:rFonts w:hint="eastAsia" w:ascii="Times New Roman" w:hAnsi="Times New Roman" w:eastAsia="宋体" w:cs="Times New Roman"/>
          <w:color w:val="auto"/>
          <w:sz w:val="24"/>
          <w:szCs w:val="24"/>
        </w:rPr>
        <w:t>S 和 NH</w:t>
      </w:r>
      <w:r>
        <w:rPr>
          <w:rFonts w:hint="eastAsia" w:ascii="Times New Roman" w:hAnsi="Times New Roman" w:eastAsia="宋体" w:cs="Times New Roman"/>
          <w:color w:val="auto"/>
          <w:sz w:val="24"/>
          <w:szCs w:val="24"/>
          <w:vertAlign w:val="subscript"/>
        </w:rPr>
        <w:t>3</w:t>
      </w:r>
      <w:r>
        <w:rPr>
          <w:rFonts w:hint="eastAsia" w:ascii="Times New Roman" w:hAnsi="Times New Roman" w:eastAsia="宋体" w:cs="Times New Roman"/>
          <w:color w:val="auto"/>
          <w:sz w:val="24"/>
          <w:szCs w:val="24"/>
        </w:rPr>
        <w:t xml:space="preserve">进行计算和分析。猪粪主要恶臭物质特征及排放浓度见表 </w:t>
      </w:r>
      <w:r>
        <w:rPr>
          <w:rFonts w:hint="eastAsia" w:ascii="Times New Roman" w:hAnsi="Times New Roman" w:eastAsia="宋体" w:cs="Times New Roman"/>
          <w:color w:val="auto"/>
          <w:sz w:val="24"/>
          <w:szCs w:val="24"/>
          <w:lang w:val="en-US" w:eastAsia="zh-CN"/>
        </w:rPr>
        <w:t>3.5-2</w:t>
      </w:r>
      <w:r>
        <w:rPr>
          <w:rFonts w:hint="eastAsia" w:ascii="Times New Roman" w:hAnsi="Times New Roman" w:eastAsia="宋体" w:cs="Times New Roman"/>
          <w:color w:val="auto"/>
          <w:sz w:val="24"/>
          <w:szCs w:val="24"/>
        </w:rPr>
        <w:t>。</w:t>
      </w: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hint="eastAsia" w:ascii="Times New Roman" w:hAnsi="Times New Roman" w:eastAsia="宋体"/>
          <w:b/>
          <w:color w:val="auto"/>
          <w:szCs w:val="21"/>
          <w:lang w:eastAsia="zh-CN"/>
        </w:rPr>
      </w:pPr>
      <w:r>
        <w:rPr>
          <w:rFonts w:ascii="Times New Roman" w:hAnsi="Times New Roman" w:eastAsia="宋体"/>
          <w:b/>
          <w:color w:val="auto"/>
          <w:szCs w:val="21"/>
        </w:rPr>
        <w:t>表</w:t>
      </w:r>
      <w:r>
        <w:rPr>
          <w:rFonts w:hint="eastAsia" w:ascii="Times New Roman" w:hAnsi="Times New Roman" w:eastAsia="宋体"/>
          <w:b/>
          <w:color w:val="auto"/>
          <w:szCs w:val="21"/>
          <w:lang w:val="en-US" w:eastAsia="zh-CN"/>
        </w:rPr>
        <w:t>3.5</w:t>
      </w:r>
      <w:r>
        <w:rPr>
          <w:rFonts w:hint="eastAsia" w:ascii="Times New Roman" w:hAnsi="Times New Roman" w:eastAsia="宋体"/>
          <w:b/>
          <w:color w:val="auto"/>
          <w:szCs w:val="21"/>
        </w:rPr>
        <w:t>-</w:t>
      </w:r>
      <w:r>
        <w:rPr>
          <w:rFonts w:hint="eastAsia" w:ascii="Times New Roman" w:hAnsi="Times New Roman" w:eastAsia="宋体"/>
          <w:b/>
          <w:color w:val="auto"/>
          <w:szCs w:val="21"/>
          <w:lang w:val="en-US" w:eastAsia="zh-CN"/>
        </w:rPr>
        <w:t xml:space="preserve">2 </w:t>
      </w:r>
      <w:r>
        <w:rPr>
          <w:rFonts w:ascii="Times New Roman" w:hAnsi="Times New Roman" w:eastAsia="宋体"/>
          <w:b/>
          <w:color w:val="auto"/>
          <w:szCs w:val="21"/>
        </w:rPr>
        <w:t xml:space="preserve"> </w:t>
      </w:r>
      <w:r>
        <w:rPr>
          <w:rFonts w:hint="eastAsia" w:ascii="Times New Roman" w:hAnsi="Times New Roman" w:eastAsia="宋体"/>
          <w:b/>
          <w:color w:val="auto"/>
          <w:szCs w:val="21"/>
          <w:lang w:eastAsia="zh-CN"/>
        </w:rPr>
        <w:t>恶臭物质理化特征表</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5"/>
        <w:gridCol w:w="2305"/>
        <w:gridCol w:w="2305"/>
        <w:gridCol w:w="2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5"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恶臭物质</w:t>
            </w:r>
          </w:p>
        </w:tc>
        <w:tc>
          <w:tcPr>
            <w:tcW w:w="2305"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分子式</w:t>
            </w:r>
          </w:p>
        </w:tc>
        <w:tc>
          <w:tcPr>
            <w:tcW w:w="2305"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嗅阈值（ppm）</w:t>
            </w:r>
          </w:p>
        </w:tc>
        <w:tc>
          <w:tcPr>
            <w:tcW w:w="2305"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臭气特征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三甲基胺</w:t>
            </w:r>
          </w:p>
        </w:tc>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（COH</w:t>
            </w:r>
            <w:r>
              <w:rPr>
                <w:rFonts w:hint="eastAsia" w:ascii="Times New Roman" w:hAnsi="Times New Roman" w:cs="Times New Roman"/>
                <w:color w:val="auto"/>
                <w:szCs w:val="21"/>
                <w:vertAlign w:val="subscript"/>
                <w:lang w:val="en-US" w:eastAsia="zh-CN"/>
              </w:rPr>
              <w:t>3</w:t>
            </w:r>
            <w:r>
              <w:rPr>
                <w:rFonts w:hint="eastAsia" w:ascii="Times New Roman" w:hAnsi="Times New Roman" w:cs="Times New Roman"/>
                <w:color w:val="auto"/>
                <w:szCs w:val="21"/>
                <w:lang w:val="en-US" w:eastAsia="zh-CN"/>
              </w:rPr>
              <w:t>）N</w:t>
            </w:r>
          </w:p>
        </w:tc>
        <w:tc>
          <w:tcPr>
            <w:tcW w:w="230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0.000027</w:t>
            </w:r>
          </w:p>
        </w:tc>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臭鱼味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氨</w:t>
            </w:r>
          </w:p>
        </w:tc>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NH</w:t>
            </w:r>
            <w:r>
              <w:rPr>
                <w:rFonts w:hint="eastAsia" w:ascii="Times New Roman" w:hAnsi="Times New Roman" w:cs="Times New Roman"/>
                <w:color w:val="auto"/>
                <w:szCs w:val="21"/>
                <w:vertAlign w:val="subscript"/>
                <w:lang w:val="en-US" w:eastAsia="zh-CN"/>
              </w:rPr>
              <w:t>3</w:t>
            </w:r>
          </w:p>
        </w:tc>
        <w:tc>
          <w:tcPr>
            <w:tcW w:w="230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1.54</w:t>
            </w:r>
          </w:p>
        </w:tc>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刺激味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硫化氢</w:t>
            </w:r>
          </w:p>
        </w:tc>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H</w:t>
            </w:r>
            <w:r>
              <w:rPr>
                <w:rFonts w:hint="eastAsia" w:ascii="Times New Roman" w:hAnsi="Times New Roman" w:cs="Times New Roman"/>
                <w:color w:val="auto"/>
                <w:szCs w:val="21"/>
                <w:vertAlign w:val="subscript"/>
                <w:lang w:val="en-US" w:eastAsia="zh-CN"/>
              </w:rPr>
              <w:t>2</w:t>
            </w:r>
            <w:r>
              <w:rPr>
                <w:rFonts w:hint="eastAsia" w:ascii="Times New Roman" w:hAnsi="Times New Roman" w:cs="Times New Roman"/>
                <w:color w:val="auto"/>
                <w:szCs w:val="21"/>
                <w:lang w:val="en-US" w:eastAsia="zh-CN"/>
              </w:rPr>
              <w:t>S</w:t>
            </w:r>
          </w:p>
        </w:tc>
        <w:tc>
          <w:tcPr>
            <w:tcW w:w="230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0.0041</w:t>
            </w:r>
          </w:p>
        </w:tc>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臭蛋味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粪臭基硫酸</w:t>
            </w:r>
          </w:p>
        </w:tc>
        <w:tc>
          <w:tcPr>
            <w:tcW w:w="230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c>
          <w:tcPr>
            <w:tcW w:w="230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0.0000056</w:t>
            </w:r>
          </w:p>
        </w:tc>
        <w:tc>
          <w:tcPr>
            <w:tcW w:w="2305"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粪便臭</w:t>
            </w:r>
          </w:p>
        </w:tc>
      </w:tr>
    </w:tbl>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2" w:firstLineChars="200"/>
        <w:textAlignment w:val="auto"/>
        <w:rPr>
          <w:rFonts w:hint="eastAsia" w:ascii="Times New Roman" w:hAnsi="Times New Roman" w:eastAsia="宋体" w:cs="Times New Roman"/>
          <w:b/>
          <w:bCs/>
          <w:color w:val="auto"/>
          <w:sz w:val="24"/>
          <w:szCs w:val="24"/>
        </w:rPr>
      </w:pPr>
      <w:r>
        <w:rPr>
          <w:rFonts w:hint="eastAsia" w:ascii="Times New Roman" w:hAnsi="Times New Roman" w:eastAsia="宋体" w:cs="Times New Roman"/>
          <w:b/>
          <w:bCs/>
          <w:color w:val="auto"/>
          <w:sz w:val="24"/>
          <w:szCs w:val="24"/>
          <w:lang w:val="en-US" w:eastAsia="zh-CN"/>
        </w:rPr>
        <w:t>A、</w:t>
      </w:r>
      <w:r>
        <w:rPr>
          <w:rFonts w:hint="eastAsia" w:ascii="Times New Roman" w:hAnsi="Times New Roman" w:eastAsia="宋体" w:cs="Times New Roman"/>
          <w:b/>
          <w:bCs/>
          <w:color w:val="auto"/>
          <w:sz w:val="24"/>
          <w:szCs w:val="24"/>
        </w:rPr>
        <w:t>猪舍恶臭气体</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猪只饲养过程会释放出一些无组织排放的恶臭气体，这些恶臭气体主要来自猪粪</w:t>
      </w:r>
    </w:p>
    <w:p>
      <w:pPr>
        <w:keepNext w:val="0"/>
        <w:keepLines w:val="0"/>
        <w:pageBreakBefore w:val="0"/>
        <w:widowControl w:val="0"/>
        <w:kinsoku/>
        <w:wordWrap/>
        <w:overflowPunct/>
        <w:topLinePunct w:val="0"/>
        <w:autoSpaceDE/>
        <w:autoSpaceDN/>
        <w:bidi w:val="0"/>
        <w:adjustRightInd w:val="0"/>
        <w:snapToGrid w:val="0"/>
        <w:spacing w:line="360" w:lineRule="auto"/>
        <w:ind w:right="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尿、毛发、废饲料等的厌氧分解，其中有 10 种与恶臭味有关，主要成分包括氨、硫化氢、一氧化碳、甲烷、粪臭素、胺及氨基酸衍生物等，以NH</w:t>
      </w:r>
      <w:r>
        <w:rPr>
          <w:rFonts w:hint="eastAsia" w:ascii="Times New Roman" w:hAnsi="Times New Roman" w:eastAsia="宋体" w:cs="Times New Roman"/>
          <w:color w:val="auto"/>
          <w:sz w:val="24"/>
          <w:szCs w:val="24"/>
          <w:vertAlign w:val="subscript"/>
        </w:rPr>
        <w:t>3</w:t>
      </w:r>
      <w:r>
        <w:rPr>
          <w:rFonts w:hint="eastAsia" w:ascii="Times New Roman" w:hAnsi="Times New Roman" w:eastAsia="宋体" w:cs="Times New Roman"/>
          <w:color w:val="auto"/>
          <w:sz w:val="24"/>
          <w:szCs w:val="24"/>
        </w:rPr>
        <w:t>为主，夹杂少量H</w:t>
      </w:r>
      <w:r>
        <w:rPr>
          <w:rFonts w:hint="eastAsia" w:ascii="Times New Roman" w:hAnsi="Times New Roman" w:eastAsia="宋体" w:cs="Times New Roman"/>
          <w:color w:val="auto"/>
          <w:sz w:val="24"/>
          <w:szCs w:val="24"/>
          <w:vertAlign w:val="subscript"/>
        </w:rPr>
        <w:t>2</w:t>
      </w:r>
      <w:r>
        <w:rPr>
          <w:rFonts w:hint="eastAsia" w:ascii="Times New Roman" w:hAnsi="Times New Roman" w:eastAsia="宋体" w:cs="Times New Roman"/>
          <w:color w:val="auto"/>
          <w:sz w:val="24"/>
          <w:szCs w:val="24"/>
        </w:rPr>
        <w:t>S。根据《养猪场恶臭影响量化分析及控制对策研究》（孙艳青、张潞、李万庆，天津市环境影响评价中心，2010）的研究资料，其数据来源于对其他采用干清粪工艺的养猪场猪舍监测的类比调查，养猪场猪舍 NH</w:t>
      </w:r>
      <w:r>
        <w:rPr>
          <w:rFonts w:hint="eastAsia" w:ascii="Times New Roman" w:hAnsi="Times New Roman" w:eastAsia="宋体" w:cs="Times New Roman"/>
          <w:color w:val="auto"/>
          <w:sz w:val="24"/>
          <w:szCs w:val="24"/>
          <w:vertAlign w:val="subscript"/>
        </w:rPr>
        <w:t>3</w:t>
      </w:r>
      <w:r>
        <w:rPr>
          <w:rFonts w:hint="eastAsia" w:ascii="Times New Roman" w:hAnsi="Times New Roman" w:eastAsia="宋体" w:cs="Times New Roman"/>
          <w:color w:val="auto"/>
          <w:sz w:val="24"/>
          <w:szCs w:val="24"/>
        </w:rPr>
        <w:t>、H</w:t>
      </w:r>
      <w:r>
        <w:rPr>
          <w:rFonts w:hint="eastAsia" w:ascii="Times New Roman" w:hAnsi="Times New Roman" w:eastAsia="宋体" w:cs="Times New Roman"/>
          <w:color w:val="auto"/>
          <w:sz w:val="24"/>
          <w:szCs w:val="24"/>
          <w:vertAlign w:val="subscript"/>
        </w:rPr>
        <w:t>2</w:t>
      </w:r>
      <w:r>
        <w:rPr>
          <w:rFonts w:hint="eastAsia" w:ascii="Times New Roman" w:hAnsi="Times New Roman" w:eastAsia="宋体" w:cs="Times New Roman"/>
          <w:color w:val="auto"/>
          <w:sz w:val="24"/>
          <w:szCs w:val="24"/>
        </w:rPr>
        <w:t>S 浓度分布特征是：厂区内地点浓度差异显著，生产区中心部分高于下风向；不同季节的氨气浓度也有所不同，春季显著高于冬、夏季节。根据《养猪场恶臭影响量化分析及控制对策研究》（中国环境科学学会学术年会论文集第八章，环境污染防治技术研究与开发）以及类比同类型猪场，猪舍废气污染物具体排放源强见下表</w:t>
      </w:r>
      <w:r>
        <w:rPr>
          <w:rFonts w:hint="eastAsia" w:ascii="Times New Roman" w:hAnsi="Times New Roman" w:eastAsia="宋体" w:cs="Times New Roman"/>
          <w:color w:val="auto"/>
          <w:sz w:val="24"/>
          <w:szCs w:val="24"/>
          <w:lang w:eastAsia="zh-CN"/>
        </w:rPr>
        <w:t>。</w:t>
      </w:r>
    </w:p>
    <w:p>
      <w:pPr>
        <w:pStyle w:val="132"/>
        <w:adjustRightInd/>
        <w:spacing w:line="360" w:lineRule="auto"/>
        <w:ind w:left="0" w:leftChars="0" w:right="0" w:firstLine="0" w:firstLineChars="0"/>
        <w:jc w:val="center"/>
        <w:rPr>
          <w:rFonts w:hint="default" w:ascii="Times New Roman" w:hAnsi="Times New Roman" w:eastAsia="宋体" w:cs="Times New Roman"/>
          <w:color w:val="auto"/>
          <w:kern w:val="2"/>
          <w:highlight w:val="none"/>
          <w:vertAlign w:val="baseline"/>
          <w:lang w:val="en-US" w:eastAsia="zh-CN"/>
        </w:rPr>
      </w:pPr>
      <w:r>
        <w:rPr>
          <w:rFonts w:hint="default" w:ascii="Times New Roman" w:hAnsi="Times New Roman" w:cs="Times New Roman"/>
          <w:b/>
          <w:bCs/>
          <w:color w:val="auto"/>
          <w:sz w:val="21"/>
          <w:szCs w:val="21"/>
        </w:rPr>
        <w:t>表3.</w:t>
      </w:r>
      <w:r>
        <w:rPr>
          <w:rFonts w:hint="eastAsia" w:ascii="Times New Roman" w:hAnsi="Times New Roman" w:cs="Times New Roman"/>
          <w:b/>
          <w:bCs/>
          <w:color w:val="auto"/>
          <w:sz w:val="21"/>
          <w:szCs w:val="21"/>
          <w:lang w:val="en-US" w:eastAsia="zh-CN"/>
        </w:rPr>
        <w:t>5</w:t>
      </w:r>
      <w:r>
        <w:rPr>
          <w:rFonts w:hint="default" w:ascii="Times New Roman" w:hAnsi="Times New Roman" w:cs="Times New Roman"/>
          <w:b/>
          <w:bCs/>
          <w:color w:val="auto"/>
          <w:sz w:val="21"/>
          <w:szCs w:val="21"/>
        </w:rPr>
        <w:t>-</w:t>
      </w:r>
      <w:r>
        <w:rPr>
          <w:rFonts w:hint="eastAsia" w:ascii="Times New Roman" w:hAnsi="Times New Roman" w:cs="Times New Roman"/>
          <w:b/>
          <w:bCs/>
          <w:color w:val="auto"/>
          <w:sz w:val="21"/>
          <w:szCs w:val="21"/>
          <w:lang w:val="en-US" w:eastAsia="zh-CN"/>
        </w:rPr>
        <w:t>3</w:t>
      </w:r>
      <w:r>
        <w:rPr>
          <w:rFonts w:hint="default" w:ascii="Times New Roman" w:hAnsi="Times New Roman" w:cs="Times New Roman"/>
          <w:b/>
          <w:bCs/>
          <w:color w:val="auto"/>
          <w:sz w:val="21"/>
          <w:szCs w:val="21"/>
        </w:rPr>
        <w:t xml:space="preserve">  </w:t>
      </w:r>
      <w:r>
        <w:rPr>
          <w:rFonts w:hint="default" w:ascii="Times New Roman" w:hAnsi="Times New Roman" w:cs="Times New Roman"/>
          <w:b/>
          <w:bCs/>
          <w:color w:val="auto"/>
          <w:sz w:val="21"/>
          <w:szCs w:val="21"/>
          <w:lang w:val="en-US" w:eastAsia="zh-CN"/>
        </w:rPr>
        <w:t>NH</w:t>
      </w:r>
      <w:r>
        <w:rPr>
          <w:rFonts w:hint="default" w:ascii="Times New Roman" w:hAnsi="Times New Roman" w:cs="Times New Roman"/>
          <w:b/>
          <w:bCs/>
          <w:color w:val="auto"/>
          <w:sz w:val="21"/>
          <w:szCs w:val="21"/>
          <w:vertAlign w:val="subscript"/>
          <w:lang w:val="en-US" w:eastAsia="zh-CN"/>
        </w:rPr>
        <w:t>3</w:t>
      </w:r>
      <w:r>
        <w:rPr>
          <w:rFonts w:hint="default" w:ascii="Times New Roman" w:hAnsi="Times New Roman" w:cs="Times New Roman"/>
          <w:b/>
          <w:bCs/>
          <w:color w:val="auto"/>
          <w:sz w:val="21"/>
          <w:szCs w:val="21"/>
          <w:vertAlign w:val="baseline"/>
          <w:lang w:val="en-US" w:eastAsia="zh-CN"/>
        </w:rPr>
        <w:t>、H</w:t>
      </w:r>
      <w:r>
        <w:rPr>
          <w:rFonts w:hint="default" w:ascii="Times New Roman" w:hAnsi="Times New Roman" w:cs="Times New Roman"/>
          <w:b/>
          <w:bCs/>
          <w:color w:val="auto"/>
          <w:sz w:val="21"/>
          <w:szCs w:val="21"/>
          <w:vertAlign w:val="subscript"/>
          <w:lang w:val="en-US" w:eastAsia="zh-CN"/>
        </w:rPr>
        <w:t>2</w:t>
      </w:r>
      <w:r>
        <w:rPr>
          <w:rFonts w:hint="default" w:ascii="Times New Roman" w:hAnsi="Times New Roman" w:cs="Times New Roman"/>
          <w:b/>
          <w:bCs/>
          <w:color w:val="auto"/>
          <w:sz w:val="21"/>
          <w:szCs w:val="21"/>
          <w:vertAlign w:val="baseline"/>
          <w:lang w:val="en-US" w:eastAsia="zh-CN"/>
        </w:rPr>
        <w:t>S源强统计  单位：g/头/d</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73"/>
        <w:gridCol w:w="3073"/>
        <w:gridCol w:w="3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0" w:type="dxa"/>
            <w:noWrap w:val="0"/>
            <w:vAlign w:val="top"/>
          </w:tcPr>
          <w:p>
            <w:pPr>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猪舍</w:t>
            </w:r>
          </w:p>
        </w:tc>
        <w:tc>
          <w:tcPr>
            <w:tcW w:w="3081" w:type="dxa"/>
            <w:noWrap w:val="0"/>
            <w:vAlign w:val="top"/>
          </w:tcPr>
          <w:p>
            <w:pPr>
              <w:spacing w:line="240" w:lineRule="auto"/>
              <w:ind w:firstLine="0" w:firstLineChars="0"/>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cs="Times New Roman"/>
                <w:color w:val="auto"/>
                <w:sz w:val="21"/>
                <w:szCs w:val="21"/>
              </w:rPr>
              <w:t>NH</w:t>
            </w:r>
            <w:r>
              <w:rPr>
                <w:rFonts w:hint="default" w:ascii="Times New Roman" w:hAnsi="Times New Roman" w:cs="Times New Roman"/>
                <w:color w:val="auto"/>
                <w:sz w:val="21"/>
                <w:szCs w:val="21"/>
                <w:vertAlign w:val="subscript"/>
              </w:rPr>
              <w:t>3</w:t>
            </w:r>
            <w:r>
              <w:rPr>
                <w:rFonts w:hint="default" w:ascii="Times New Roman" w:hAnsi="Times New Roman" w:cs="Times New Roman"/>
                <w:color w:val="auto"/>
                <w:sz w:val="21"/>
                <w:szCs w:val="21"/>
                <w:vertAlign w:val="baseline"/>
                <w:lang w:eastAsia="zh-CN"/>
              </w:rPr>
              <w:t>排放</w:t>
            </w:r>
          </w:p>
        </w:tc>
        <w:tc>
          <w:tcPr>
            <w:tcW w:w="3081" w:type="dxa"/>
            <w:noWrap w:val="0"/>
            <w:vAlign w:val="top"/>
          </w:tcPr>
          <w:p>
            <w:pPr>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H</w:t>
            </w:r>
            <w:r>
              <w:rPr>
                <w:rFonts w:hint="default" w:ascii="Times New Roman" w:hAnsi="Times New Roman" w:cs="Times New Roman"/>
                <w:color w:val="auto"/>
                <w:sz w:val="21"/>
                <w:szCs w:val="21"/>
                <w:vertAlign w:val="subscript"/>
              </w:rPr>
              <w:t>2</w:t>
            </w:r>
            <w:r>
              <w:rPr>
                <w:rFonts w:hint="default" w:ascii="Times New Roman" w:hAnsi="Times New Roman" w:cs="Times New Roman"/>
                <w:color w:val="auto"/>
                <w:sz w:val="21"/>
                <w:szCs w:val="21"/>
              </w:rPr>
              <w:t>S</w:t>
            </w:r>
            <w:r>
              <w:rPr>
                <w:rFonts w:hint="default" w:ascii="Times New Roman" w:hAnsi="Times New Roman" w:cs="Times New Roman"/>
                <w:color w:val="auto"/>
                <w:sz w:val="21"/>
                <w:szCs w:val="21"/>
                <w:lang w:eastAsia="zh-CN"/>
              </w:rPr>
              <w:t>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0" w:type="dxa"/>
            <w:noWrap w:val="0"/>
            <w:vAlign w:val="top"/>
          </w:tcPr>
          <w:p>
            <w:pPr>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保育猪（3-4 月龄）</w:t>
            </w:r>
          </w:p>
        </w:tc>
        <w:tc>
          <w:tcPr>
            <w:tcW w:w="3081" w:type="dxa"/>
            <w:noWrap w:val="0"/>
            <w:vAlign w:val="top"/>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0.95</w:t>
            </w:r>
          </w:p>
        </w:tc>
        <w:tc>
          <w:tcPr>
            <w:tcW w:w="3081" w:type="dxa"/>
            <w:noWrap w:val="0"/>
            <w:vAlign w:val="top"/>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0" w:type="dxa"/>
            <w:noWrap w:val="0"/>
            <w:vAlign w:val="top"/>
          </w:tcPr>
          <w:p>
            <w:pPr>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中猪（5~12 月龄）</w:t>
            </w:r>
          </w:p>
        </w:tc>
        <w:tc>
          <w:tcPr>
            <w:tcW w:w="3081" w:type="dxa"/>
            <w:noWrap w:val="0"/>
            <w:vAlign w:val="top"/>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w:t>
            </w:r>
          </w:p>
        </w:tc>
        <w:tc>
          <w:tcPr>
            <w:tcW w:w="3081" w:type="dxa"/>
            <w:noWrap w:val="0"/>
            <w:vAlign w:val="top"/>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0" w:type="dxa"/>
            <w:noWrap w:val="0"/>
            <w:vAlign w:val="top"/>
          </w:tcPr>
          <w:p>
            <w:pPr>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大猪（1~6 岁）</w:t>
            </w:r>
          </w:p>
        </w:tc>
        <w:tc>
          <w:tcPr>
            <w:tcW w:w="3081" w:type="dxa"/>
            <w:noWrap w:val="0"/>
            <w:vAlign w:val="top"/>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5.65</w:t>
            </w:r>
          </w:p>
        </w:tc>
        <w:tc>
          <w:tcPr>
            <w:tcW w:w="3081" w:type="dxa"/>
            <w:noWrap w:val="0"/>
            <w:vAlign w:val="top"/>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0.5</w:t>
            </w:r>
          </w:p>
        </w:tc>
      </w:tr>
    </w:tbl>
    <w:p>
      <w:pPr>
        <w:pStyle w:val="132"/>
        <w:keepNext w:val="0"/>
        <w:keepLines w:val="0"/>
        <w:pageBreakBefore w:val="0"/>
        <w:widowControl w:val="0"/>
        <w:kinsoku/>
        <w:wordWrap/>
        <w:overflowPunct/>
        <w:topLinePunct w:val="0"/>
        <w:autoSpaceDE/>
        <w:autoSpaceDN/>
        <w:bidi w:val="0"/>
        <w:adjustRightInd/>
        <w:snapToGrid/>
        <w:spacing w:line="360" w:lineRule="auto"/>
        <w:ind w:left="0" w:leftChars="0" w:right="0" w:firstLine="480" w:firstLineChars="200"/>
        <w:textAlignment w:val="baseline"/>
        <w:rPr>
          <w:rFonts w:hint="default" w:ascii="Times New Roman" w:hAnsi="Times New Roman"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eastAsia="zh-CN"/>
        </w:rPr>
        <w:t>本项目出栏周期为半年，</w:t>
      </w:r>
      <w:r>
        <w:rPr>
          <w:rFonts w:hint="default" w:ascii="Times New Roman" w:hAnsi="Times New Roman" w:eastAsia="宋体" w:cs="Times New Roman"/>
          <w:color w:val="auto"/>
          <w:kern w:val="2"/>
          <w:sz w:val="24"/>
          <w:szCs w:val="24"/>
          <w:highlight w:val="none"/>
        </w:rPr>
        <w:t>根据以上污染物排放源强，并结合本项目猪舍养殖规模，可推</w:t>
      </w:r>
      <w:r>
        <w:rPr>
          <w:rFonts w:hint="default" w:ascii="Times New Roman" w:hAnsi="Times New Roman" w:cs="Times New Roman"/>
          <w:color w:val="auto"/>
          <w:kern w:val="2"/>
          <w:sz w:val="24"/>
          <w:szCs w:val="24"/>
          <w:highlight w:val="none"/>
        </w:rPr>
        <w:t>算出本项目猪舍NH</w:t>
      </w:r>
      <w:r>
        <w:rPr>
          <w:rFonts w:hint="default" w:ascii="Times New Roman" w:hAnsi="Times New Roman" w:cs="Times New Roman"/>
          <w:color w:val="auto"/>
          <w:kern w:val="2"/>
          <w:sz w:val="24"/>
          <w:szCs w:val="24"/>
          <w:highlight w:val="none"/>
          <w:vertAlign w:val="subscript"/>
        </w:rPr>
        <w:t>3</w:t>
      </w:r>
      <w:r>
        <w:rPr>
          <w:rFonts w:hint="default" w:ascii="Times New Roman" w:hAnsi="Times New Roman" w:cs="Times New Roman"/>
          <w:color w:val="auto"/>
          <w:kern w:val="2"/>
          <w:sz w:val="24"/>
          <w:szCs w:val="24"/>
          <w:highlight w:val="none"/>
        </w:rPr>
        <w:t xml:space="preserve"> 和 H</w:t>
      </w:r>
      <w:r>
        <w:rPr>
          <w:rFonts w:hint="default" w:ascii="Times New Roman" w:hAnsi="Times New Roman" w:cs="Times New Roman"/>
          <w:color w:val="auto"/>
          <w:kern w:val="2"/>
          <w:sz w:val="24"/>
          <w:szCs w:val="24"/>
          <w:highlight w:val="none"/>
          <w:vertAlign w:val="subscript"/>
        </w:rPr>
        <w:t>2</w:t>
      </w:r>
      <w:r>
        <w:rPr>
          <w:rFonts w:hint="default" w:ascii="Times New Roman" w:hAnsi="Times New Roman" w:cs="Times New Roman"/>
          <w:color w:val="auto"/>
          <w:kern w:val="2"/>
          <w:sz w:val="24"/>
          <w:szCs w:val="24"/>
          <w:highlight w:val="none"/>
        </w:rPr>
        <w:t>S 的产生源强，根据业主提供的猪群资料（本项目出栏期</w:t>
      </w:r>
      <w:r>
        <w:rPr>
          <w:rFonts w:hint="default" w:ascii="Times New Roman" w:hAnsi="Times New Roman" w:cs="Times New Roman"/>
          <w:color w:val="auto"/>
          <w:kern w:val="2"/>
          <w:sz w:val="24"/>
          <w:szCs w:val="24"/>
          <w:highlight w:val="none"/>
          <w:lang w:eastAsia="zh-CN"/>
        </w:rPr>
        <w:t>为半年</w:t>
      </w:r>
      <w:r>
        <w:rPr>
          <w:rFonts w:hint="default" w:ascii="Times New Roman" w:hAnsi="Times New Roman" w:cs="Times New Roman"/>
          <w:color w:val="auto"/>
          <w:kern w:val="2"/>
          <w:sz w:val="24"/>
          <w:szCs w:val="24"/>
          <w:highlight w:val="none"/>
        </w:rPr>
        <w:t>），</w:t>
      </w:r>
      <w:r>
        <w:rPr>
          <w:rFonts w:hint="default" w:ascii="Times New Roman" w:hAnsi="Times New Roman" w:cs="Times New Roman"/>
          <w:color w:val="auto"/>
          <w:kern w:val="2"/>
          <w:sz w:val="24"/>
          <w:szCs w:val="24"/>
          <w:highlight w:val="none"/>
          <w:lang w:eastAsia="zh-CN"/>
        </w:rPr>
        <w:t>源强排放浓度取保育猪、中猪的平均值。</w:t>
      </w:r>
      <w:r>
        <w:rPr>
          <w:rFonts w:hint="default" w:ascii="Times New Roman" w:hAnsi="Times New Roman" w:cs="Times New Roman"/>
          <w:color w:val="auto"/>
          <w:kern w:val="2"/>
          <w:sz w:val="24"/>
          <w:szCs w:val="24"/>
          <w:highlight w:val="none"/>
        </w:rPr>
        <w:t>NH</w:t>
      </w:r>
      <w:r>
        <w:rPr>
          <w:rFonts w:hint="default" w:ascii="Times New Roman" w:hAnsi="Times New Roman" w:cs="Times New Roman"/>
          <w:color w:val="auto"/>
          <w:kern w:val="2"/>
          <w:sz w:val="24"/>
          <w:szCs w:val="24"/>
          <w:highlight w:val="none"/>
          <w:vertAlign w:val="subscript"/>
        </w:rPr>
        <w:t>3</w:t>
      </w:r>
      <w:r>
        <w:rPr>
          <w:rFonts w:hint="default" w:ascii="Times New Roman" w:hAnsi="Times New Roman" w:cs="Times New Roman"/>
          <w:color w:val="auto"/>
          <w:kern w:val="2"/>
          <w:sz w:val="24"/>
          <w:szCs w:val="24"/>
          <w:highlight w:val="none"/>
        </w:rPr>
        <w:t xml:space="preserve"> </w:t>
      </w:r>
      <w:r>
        <w:rPr>
          <w:rFonts w:hint="default" w:ascii="Times New Roman" w:hAnsi="Times New Roman" w:cs="Times New Roman"/>
          <w:color w:val="auto"/>
          <w:kern w:val="2"/>
          <w:sz w:val="24"/>
          <w:szCs w:val="24"/>
          <w:highlight w:val="none"/>
          <w:lang w:eastAsia="zh-CN"/>
        </w:rPr>
        <w:t>排放浓度取</w:t>
      </w:r>
      <w:r>
        <w:rPr>
          <w:rFonts w:hint="default" w:ascii="Times New Roman" w:hAnsi="Times New Roman" w:cs="Times New Roman"/>
          <w:color w:val="auto"/>
          <w:kern w:val="2"/>
          <w:sz w:val="24"/>
          <w:szCs w:val="24"/>
          <w:highlight w:val="none"/>
          <w:lang w:val="en-US" w:eastAsia="zh-CN"/>
        </w:rPr>
        <w:t>1.475g/头/d，</w:t>
      </w:r>
      <w:r>
        <w:rPr>
          <w:rFonts w:hint="default" w:ascii="Times New Roman" w:hAnsi="Times New Roman" w:cs="Times New Roman"/>
          <w:color w:val="auto"/>
          <w:kern w:val="2"/>
          <w:sz w:val="24"/>
          <w:szCs w:val="24"/>
          <w:highlight w:val="none"/>
        </w:rPr>
        <w:t>H</w:t>
      </w:r>
      <w:r>
        <w:rPr>
          <w:rFonts w:hint="default" w:ascii="Times New Roman" w:hAnsi="Times New Roman" w:cs="Times New Roman"/>
          <w:color w:val="auto"/>
          <w:kern w:val="2"/>
          <w:sz w:val="24"/>
          <w:szCs w:val="24"/>
          <w:highlight w:val="none"/>
          <w:vertAlign w:val="subscript"/>
        </w:rPr>
        <w:t>2</w:t>
      </w:r>
      <w:r>
        <w:rPr>
          <w:rFonts w:hint="default" w:ascii="Times New Roman" w:hAnsi="Times New Roman" w:cs="Times New Roman"/>
          <w:color w:val="auto"/>
          <w:kern w:val="2"/>
          <w:sz w:val="24"/>
          <w:szCs w:val="24"/>
          <w:highlight w:val="none"/>
        </w:rPr>
        <w:t xml:space="preserve">S </w:t>
      </w:r>
      <w:r>
        <w:rPr>
          <w:rFonts w:hint="default" w:ascii="Times New Roman" w:hAnsi="Times New Roman" w:cs="Times New Roman"/>
          <w:color w:val="auto"/>
          <w:kern w:val="2"/>
          <w:sz w:val="24"/>
          <w:szCs w:val="24"/>
          <w:highlight w:val="none"/>
          <w:lang w:eastAsia="zh-CN"/>
        </w:rPr>
        <w:t>排放浓度取</w:t>
      </w:r>
      <w:r>
        <w:rPr>
          <w:rFonts w:hint="default" w:ascii="Times New Roman" w:hAnsi="Times New Roman" w:cs="Times New Roman"/>
          <w:color w:val="auto"/>
          <w:kern w:val="2"/>
          <w:sz w:val="24"/>
          <w:szCs w:val="24"/>
          <w:highlight w:val="none"/>
          <w:lang w:val="en-US" w:eastAsia="zh-CN"/>
        </w:rPr>
        <w:t>0.275g/头/d，</w:t>
      </w:r>
      <w:r>
        <w:rPr>
          <w:rFonts w:hint="default" w:ascii="Times New Roman" w:hAnsi="Times New Roman" w:cs="Times New Roman"/>
          <w:color w:val="auto"/>
          <w:kern w:val="2"/>
          <w:sz w:val="24"/>
          <w:szCs w:val="24"/>
          <w:highlight w:val="none"/>
          <w:lang w:eastAsia="zh-CN"/>
        </w:rPr>
        <w:t>则本项目猪舍</w:t>
      </w:r>
      <w:r>
        <w:rPr>
          <w:rFonts w:hint="default" w:ascii="Times New Roman" w:hAnsi="Times New Roman" w:cs="Times New Roman"/>
          <w:color w:val="auto"/>
          <w:kern w:val="2"/>
          <w:sz w:val="24"/>
          <w:szCs w:val="24"/>
          <w:highlight w:val="none"/>
        </w:rPr>
        <w:t>污染物产生源强结果</w:t>
      </w:r>
      <w:r>
        <w:rPr>
          <w:rFonts w:hint="default" w:ascii="Times New Roman" w:hAnsi="Times New Roman" w:cs="Times New Roman"/>
          <w:color w:val="auto"/>
          <w:kern w:val="2"/>
          <w:sz w:val="24"/>
          <w:szCs w:val="24"/>
          <w:highlight w:val="none"/>
          <w:lang w:eastAsia="zh-CN"/>
        </w:rPr>
        <w:t>如下</w:t>
      </w:r>
      <w:r>
        <w:rPr>
          <w:rFonts w:hint="default" w:ascii="Times New Roman" w:hAnsi="Times New Roman" w:cs="Times New Roman"/>
          <w:color w:val="auto"/>
          <w:kern w:val="2"/>
          <w:sz w:val="24"/>
          <w:szCs w:val="24"/>
          <w:highlight w:val="none"/>
        </w:rPr>
        <w:t>。</w:t>
      </w:r>
    </w:p>
    <w:p>
      <w:pPr>
        <w:pStyle w:val="132"/>
        <w:adjustRightInd/>
        <w:spacing w:line="360" w:lineRule="auto"/>
        <w:ind w:left="0" w:leftChars="0" w:right="0" w:firstLine="0" w:firstLineChars="0"/>
        <w:jc w:val="center"/>
        <w:rPr>
          <w:rFonts w:hint="default" w:ascii="Times New Roman" w:hAnsi="Times New Roman" w:eastAsia="宋体" w:cs="Times New Roman"/>
          <w:color w:val="auto"/>
          <w:kern w:val="2"/>
          <w:highlight w:val="none"/>
          <w:vertAlign w:val="baseline"/>
          <w:lang w:val="en-US" w:eastAsia="zh-CN"/>
        </w:rPr>
      </w:pPr>
      <w:r>
        <w:rPr>
          <w:rFonts w:hint="default" w:ascii="Times New Roman" w:hAnsi="Times New Roman" w:cs="Times New Roman"/>
          <w:b/>
          <w:bCs/>
          <w:color w:val="auto"/>
          <w:sz w:val="21"/>
          <w:szCs w:val="21"/>
        </w:rPr>
        <w:t>表3.</w:t>
      </w:r>
      <w:r>
        <w:rPr>
          <w:rFonts w:hint="eastAsia" w:ascii="Times New Roman" w:hAnsi="Times New Roman" w:cs="Times New Roman"/>
          <w:b/>
          <w:bCs/>
          <w:color w:val="auto"/>
          <w:sz w:val="21"/>
          <w:szCs w:val="21"/>
          <w:lang w:val="en-US" w:eastAsia="zh-CN"/>
        </w:rPr>
        <w:t>5</w:t>
      </w:r>
      <w:r>
        <w:rPr>
          <w:rFonts w:hint="default" w:ascii="Times New Roman" w:hAnsi="Times New Roman" w:cs="Times New Roman"/>
          <w:b/>
          <w:bCs/>
          <w:color w:val="auto"/>
          <w:sz w:val="21"/>
          <w:szCs w:val="21"/>
        </w:rPr>
        <w:t>-</w:t>
      </w:r>
      <w:r>
        <w:rPr>
          <w:rFonts w:hint="eastAsia" w:ascii="Times New Roman" w:hAnsi="Times New Roman" w:cs="Times New Roman"/>
          <w:b/>
          <w:bCs/>
          <w:color w:val="auto"/>
          <w:sz w:val="21"/>
          <w:szCs w:val="21"/>
          <w:lang w:val="en-US" w:eastAsia="zh-CN"/>
        </w:rPr>
        <w:t>4</w:t>
      </w:r>
      <w:r>
        <w:rPr>
          <w:rFonts w:hint="default" w:ascii="Times New Roman" w:hAnsi="Times New Roman" w:cs="Times New Roman"/>
          <w:b/>
          <w:bCs/>
          <w:color w:val="auto"/>
          <w:sz w:val="21"/>
          <w:szCs w:val="21"/>
        </w:rPr>
        <w:t xml:space="preserve">  项目养殖过程猪舍氨、硫化氢排放强度统计</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3"/>
        <w:gridCol w:w="1644"/>
        <w:gridCol w:w="1880"/>
        <w:gridCol w:w="1537"/>
        <w:gridCol w:w="1538"/>
        <w:gridCol w:w="15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4" w:type="dxa"/>
            <w:noWrap w:val="0"/>
            <w:vAlign w:val="top"/>
          </w:tcPr>
          <w:p>
            <w:pPr>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数量</w:t>
            </w:r>
            <w:r>
              <w:rPr>
                <w:rFonts w:hint="eastAsia" w:ascii="Times New Roman" w:hAnsi="Times New Roman" w:eastAsia="宋体" w:cs="Times New Roman"/>
                <w:color w:val="auto"/>
                <w:sz w:val="21"/>
                <w:szCs w:val="21"/>
                <w:lang w:eastAsia="zh-CN"/>
              </w:rPr>
              <w:t>（头）</w:t>
            </w:r>
          </w:p>
        </w:tc>
        <w:tc>
          <w:tcPr>
            <w:tcW w:w="1650" w:type="dxa"/>
            <w:noWrap w:val="0"/>
            <w:vAlign w:val="top"/>
          </w:tcPr>
          <w:p>
            <w:pPr>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污染物名称</w:t>
            </w:r>
          </w:p>
        </w:tc>
        <w:tc>
          <w:tcPr>
            <w:tcW w:w="1886" w:type="dxa"/>
            <w:noWrap w:val="0"/>
            <w:vAlign w:val="top"/>
          </w:tcPr>
          <w:p>
            <w:pPr>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产污系数（</w:t>
            </w:r>
            <w:r>
              <w:rPr>
                <w:rFonts w:hint="default" w:ascii="Times New Roman" w:hAnsi="Times New Roman" w:eastAsia="宋体" w:cs="Times New Roman"/>
                <w:color w:val="auto"/>
                <w:sz w:val="21"/>
                <w:szCs w:val="21"/>
                <w:lang w:val="en-US" w:eastAsia="zh-CN"/>
              </w:rPr>
              <w:t>g/头/d</w:t>
            </w:r>
            <w:r>
              <w:rPr>
                <w:rFonts w:hint="default" w:ascii="Times New Roman" w:hAnsi="Times New Roman" w:eastAsia="宋体" w:cs="Times New Roman"/>
                <w:color w:val="auto"/>
                <w:sz w:val="21"/>
                <w:szCs w:val="21"/>
                <w:lang w:eastAsia="zh-CN"/>
              </w:rPr>
              <w:t>）</w:t>
            </w:r>
          </w:p>
        </w:tc>
        <w:tc>
          <w:tcPr>
            <w:tcW w:w="1540" w:type="dxa"/>
            <w:noWrap w:val="0"/>
            <w:vAlign w:val="top"/>
          </w:tcPr>
          <w:p>
            <w:pPr>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产生量（</w:t>
            </w:r>
            <w:r>
              <w:rPr>
                <w:rFonts w:hint="default" w:ascii="Times New Roman" w:hAnsi="Times New Roman" w:eastAsia="宋体" w:cs="Times New Roman"/>
                <w:color w:val="auto"/>
                <w:sz w:val="21"/>
                <w:szCs w:val="21"/>
                <w:lang w:val="en-US" w:eastAsia="zh-CN"/>
              </w:rPr>
              <w:t>kg/d</w:t>
            </w:r>
            <w:r>
              <w:rPr>
                <w:rFonts w:hint="default" w:ascii="Times New Roman" w:hAnsi="Times New Roman" w:eastAsia="宋体" w:cs="Times New Roman"/>
                <w:color w:val="auto"/>
                <w:sz w:val="21"/>
                <w:szCs w:val="21"/>
                <w:lang w:eastAsia="zh-CN"/>
              </w:rPr>
              <w:t>）</w:t>
            </w:r>
          </w:p>
        </w:tc>
        <w:tc>
          <w:tcPr>
            <w:tcW w:w="1541" w:type="dxa"/>
            <w:noWrap w:val="0"/>
            <w:vAlign w:val="top"/>
          </w:tcPr>
          <w:p>
            <w:pPr>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产生量（</w:t>
            </w:r>
            <w:r>
              <w:rPr>
                <w:rFonts w:hint="default" w:ascii="Times New Roman" w:hAnsi="Times New Roman" w:eastAsia="宋体" w:cs="Times New Roman"/>
                <w:color w:val="auto"/>
                <w:sz w:val="21"/>
                <w:szCs w:val="21"/>
                <w:lang w:val="en-US" w:eastAsia="zh-CN"/>
              </w:rPr>
              <w:t>kg/h</w:t>
            </w:r>
            <w:r>
              <w:rPr>
                <w:rFonts w:hint="default" w:ascii="Times New Roman" w:hAnsi="Times New Roman" w:eastAsia="宋体" w:cs="Times New Roman"/>
                <w:color w:val="auto"/>
                <w:sz w:val="21"/>
                <w:szCs w:val="21"/>
                <w:lang w:eastAsia="zh-CN"/>
              </w:rPr>
              <w:t>）</w:t>
            </w:r>
          </w:p>
        </w:tc>
        <w:tc>
          <w:tcPr>
            <w:tcW w:w="1541" w:type="dxa"/>
            <w:noWrap w:val="0"/>
            <w:vAlign w:val="top"/>
          </w:tcPr>
          <w:p>
            <w:pPr>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产生量（</w:t>
            </w:r>
            <w:r>
              <w:rPr>
                <w:rFonts w:hint="default" w:ascii="Times New Roman" w:hAnsi="Times New Roman" w:eastAsia="宋体" w:cs="Times New Roman"/>
                <w:color w:val="auto"/>
                <w:sz w:val="21"/>
                <w:szCs w:val="21"/>
                <w:lang w:val="en-US" w:eastAsia="zh-CN"/>
              </w:rPr>
              <w:t>kg/a</w:t>
            </w:r>
            <w:r>
              <w:rPr>
                <w:rFonts w:hint="default" w:ascii="Times New Roman" w:hAnsi="Times New Roman" w:eastAsia="宋体" w:cs="Times New Roman"/>
                <w:color w:val="auto"/>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4" w:type="dxa"/>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15000</w:t>
            </w:r>
          </w:p>
        </w:tc>
        <w:tc>
          <w:tcPr>
            <w:tcW w:w="1650" w:type="dxa"/>
            <w:noWrap w:val="0"/>
            <w:vAlign w:val="top"/>
          </w:tcPr>
          <w:p>
            <w:pPr>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NH</w:t>
            </w:r>
            <w:r>
              <w:rPr>
                <w:rFonts w:hint="default" w:ascii="Times New Roman" w:hAnsi="Times New Roman" w:cs="Times New Roman"/>
                <w:color w:val="auto"/>
                <w:sz w:val="21"/>
                <w:szCs w:val="21"/>
                <w:vertAlign w:val="subscript"/>
              </w:rPr>
              <w:t>3</w:t>
            </w:r>
          </w:p>
        </w:tc>
        <w:tc>
          <w:tcPr>
            <w:tcW w:w="1886" w:type="dxa"/>
            <w:noWrap w:val="0"/>
            <w:vAlign w:val="top"/>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1.475</w:t>
            </w:r>
          </w:p>
        </w:tc>
        <w:tc>
          <w:tcPr>
            <w:tcW w:w="1540" w:type="dxa"/>
            <w:noWrap w:val="0"/>
            <w:vAlign w:val="top"/>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22.125</w:t>
            </w:r>
          </w:p>
        </w:tc>
        <w:tc>
          <w:tcPr>
            <w:tcW w:w="1541" w:type="dxa"/>
            <w:noWrap w:val="0"/>
            <w:vAlign w:val="top"/>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0.92</w:t>
            </w:r>
          </w:p>
        </w:tc>
        <w:tc>
          <w:tcPr>
            <w:tcW w:w="1541" w:type="dxa"/>
            <w:noWrap w:val="0"/>
            <w:vAlign w:val="top"/>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8075.625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4" w:type="dxa"/>
            <w:vMerge w:val="continue"/>
            <w:noWrap w:val="0"/>
            <w:vAlign w:val="top"/>
          </w:tcPr>
          <w:p>
            <w:pPr>
              <w:spacing w:line="240" w:lineRule="auto"/>
              <w:ind w:firstLine="0" w:firstLineChars="0"/>
              <w:jc w:val="center"/>
              <w:rPr>
                <w:rFonts w:hint="default" w:ascii="Times New Roman" w:hAnsi="Times New Roman" w:eastAsia="宋体" w:cs="Times New Roman"/>
                <w:color w:val="auto"/>
                <w:sz w:val="21"/>
                <w:szCs w:val="21"/>
                <w:lang w:eastAsia="zh-CN"/>
              </w:rPr>
            </w:pPr>
          </w:p>
        </w:tc>
        <w:tc>
          <w:tcPr>
            <w:tcW w:w="1650" w:type="dxa"/>
            <w:noWrap w:val="0"/>
            <w:vAlign w:val="top"/>
          </w:tcPr>
          <w:p>
            <w:pPr>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H</w:t>
            </w:r>
            <w:r>
              <w:rPr>
                <w:rFonts w:hint="default" w:ascii="Times New Roman" w:hAnsi="Times New Roman" w:cs="Times New Roman"/>
                <w:color w:val="auto"/>
                <w:sz w:val="21"/>
                <w:szCs w:val="21"/>
                <w:vertAlign w:val="subscript"/>
              </w:rPr>
              <w:t>2</w:t>
            </w:r>
            <w:r>
              <w:rPr>
                <w:rFonts w:hint="default" w:ascii="Times New Roman" w:hAnsi="Times New Roman" w:cs="Times New Roman"/>
                <w:color w:val="auto"/>
                <w:sz w:val="21"/>
                <w:szCs w:val="21"/>
              </w:rPr>
              <w:t>S</w:t>
            </w:r>
          </w:p>
        </w:tc>
        <w:tc>
          <w:tcPr>
            <w:tcW w:w="1886" w:type="dxa"/>
            <w:noWrap w:val="0"/>
            <w:vAlign w:val="top"/>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0.275</w:t>
            </w:r>
          </w:p>
        </w:tc>
        <w:tc>
          <w:tcPr>
            <w:tcW w:w="1540" w:type="dxa"/>
            <w:noWrap w:val="0"/>
            <w:vAlign w:val="top"/>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4.125</w:t>
            </w:r>
          </w:p>
        </w:tc>
        <w:tc>
          <w:tcPr>
            <w:tcW w:w="1541" w:type="dxa"/>
            <w:noWrap w:val="0"/>
            <w:vAlign w:val="top"/>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0.17</w:t>
            </w:r>
          </w:p>
        </w:tc>
        <w:tc>
          <w:tcPr>
            <w:tcW w:w="1541" w:type="dxa"/>
            <w:noWrap w:val="0"/>
            <w:vAlign w:val="top"/>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1505.625</w:t>
            </w:r>
          </w:p>
        </w:tc>
      </w:tr>
    </w:tbl>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 xml:space="preserve">根据上表，本项目猪舍氨气产生量为 </w:t>
      </w:r>
      <w:r>
        <w:rPr>
          <w:rFonts w:hint="eastAsia" w:ascii="Times New Roman" w:hAnsi="Times New Roman" w:eastAsia="宋体" w:cs="Times New Roman"/>
          <w:color w:val="auto"/>
          <w:sz w:val="24"/>
          <w:szCs w:val="24"/>
          <w:lang w:val="en-US" w:eastAsia="zh-CN"/>
        </w:rPr>
        <w:t>0.92</w:t>
      </w:r>
      <w:r>
        <w:rPr>
          <w:rFonts w:hint="eastAsia" w:ascii="Times New Roman" w:hAnsi="Times New Roman" w:eastAsia="宋体" w:cs="Times New Roman"/>
          <w:color w:val="auto"/>
          <w:sz w:val="24"/>
          <w:szCs w:val="24"/>
        </w:rPr>
        <w:t xml:space="preserve">kg/h，合计 </w:t>
      </w:r>
      <w:r>
        <w:rPr>
          <w:rFonts w:hint="eastAsia" w:ascii="Times New Roman" w:hAnsi="Times New Roman" w:eastAsia="宋体" w:cs="Times New Roman"/>
          <w:color w:val="auto"/>
          <w:sz w:val="24"/>
          <w:szCs w:val="24"/>
          <w:lang w:val="en-US" w:eastAsia="zh-CN"/>
        </w:rPr>
        <w:t>8075.625kg</w:t>
      </w:r>
      <w:r>
        <w:rPr>
          <w:rFonts w:hint="eastAsia" w:ascii="Times New Roman" w:hAnsi="Times New Roman" w:eastAsia="宋体" w:cs="Times New Roman"/>
          <w:color w:val="auto"/>
          <w:sz w:val="24"/>
          <w:szCs w:val="24"/>
        </w:rPr>
        <w:t>/a；硫化氢产生量为</w:t>
      </w:r>
      <w:r>
        <w:rPr>
          <w:rFonts w:hint="eastAsia" w:ascii="Times New Roman" w:hAnsi="Times New Roman" w:eastAsia="宋体" w:cs="Times New Roman"/>
          <w:color w:val="auto"/>
          <w:sz w:val="24"/>
          <w:szCs w:val="24"/>
          <w:lang w:val="en-US" w:eastAsia="zh-CN"/>
        </w:rPr>
        <w:t>0.17</w:t>
      </w:r>
      <w:r>
        <w:rPr>
          <w:rFonts w:hint="eastAsia" w:ascii="Times New Roman" w:hAnsi="Times New Roman" w:eastAsia="宋体" w:cs="Times New Roman"/>
          <w:color w:val="auto"/>
          <w:sz w:val="24"/>
          <w:szCs w:val="24"/>
        </w:rPr>
        <w:t>kg/h，合计</w:t>
      </w:r>
      <w:r>
        <w:rPr>
          <w:rFonts w:hint="eastAsia" w:ascii="Times New Roman" w:hAnsi="Times New Roman" w:eastAsia="宋体" w:cs="Times New Roman"/>
          <w:color w:val="auto"/>
          <w:sz w:val="24"/>
          <w:szCs w:val="24"/>
          <w:lang w:val="en-US" w:eastAsia="zh-CN"/>
        </w:rPr>
        <w:t>1505.625kg</w:t>
      </w:r>
      <w:r>
        <w:rPr>
          <w:rFonts w:hint="eastAsia" w:ascii="Times New Roman" w:hAnsi="Times New Roman" w:eastAsia="宋体" w:cs="Times New Roman"/>
          <w:color w:val="auto"/>
          <w:sz w:val="24"/>
          <w:szCs w:val="24"/>
        </w:rPr>
        <w:t>/a，属于无组织面源。由于恶臭气体中含有氨、硫化氢等有毒有害、有刺激性气味的污染物，项目运行过程中如果不加以控制，恶臭污染物会给场区及周围环境空气造成污染，影响猪群的健康成长和场区员工的身体健康。</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2" w:firstLineChars="200"/>
        <w:textAlignment w:val="auto"/>
        <w:rPr>
          <w:rFonts w:hint="eastAsia" w:ascii="Times New Roman" w:hAnsi="Times New Roman" w:eastAsia="宋体" w:cs="Times New Roman"/>
          <w:b/>
          <w:bCs/>
          <w:color w:val="auto"/>
          <w:sz w:val="24"/>
          <w:szCs w:val="24"/>
          <w:lang w:eastAsia="zh-CN"/>
        </w:rPr>
      </w:pPr>
      <w:r>
        <w:rPr>
          <w:rFonts w:hint="eastAsia" w:ascii="Times New Roman" w:hAnsi="Times New Roman" w:eastAsia="宋体" w:cs="Times New Roman"/>
          <w:b/>
          <w:bCs/>
          <w:color w:val="auto"/>
          <w:sz w:val="24"/>
          <w:szCs w:val="24"/>
        </w:rPr>
        <w:t>防治措施</w:t>
      </w:r>
      <w:r>
        <w:rPr>
          <w:rFonts w:hint="eastAsia" w:ascii="Times New Roman" w:hAnsi="Times New Roman" w:eastAsia="宋体" w:cs="Times New Roman"/>
          <w:b/>
          <w:bCs/>
          <w:color w:val="auto"/>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（1）降低源强产生量</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I.借鉴同类型养殖场的饲养管理经验，全面优化养殖工艺，特别是饲料的营养结构及用量减少饲料的浪费及N、S元素的流失，从而从源头上减少恶臭污染物的产生。氨基酸平衡，提高N元素利用率，</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 xml:space="preserve">II.降低日粮蛋白水平，添加合成氨基酸，增加日粮中非淀粉多糖的量。通过降低日粮中蛋白水平，添加氨基酸以调节氨基酸的平衡，可以提高氮的利用率，减少氮的排出。 </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III.通过控制饲养密度，并保持舍内通风，及时清理猪舍；提高饲料利用率，尤其是氮的利用率，同时可降低猪排泄物中氮的含量及恶臭气体的排放；采用漏缝板干清粪工艺，减少舍内污物停留时间；养殖区喷洒除臭剂。</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IV.有效饲料添加剂的应用。使用EM菌、益生素、酶制剂、酸化剂、沸石等有效饲料添加剂，能促进畜禽对营养物质的消化吸收，有效提高对含氮、含硫等的营养物的利用率，减少氨和腐败物质过多生产，减少粪便的排泄量及恶臭气体的产生，可减轻恶臭对环境的污染。据北京市环境保护监测中心对 EM 除臭效果进行测试的结果表明使用 EM一个月后，恶臭浓度下降了97.7%。</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类比同类型项目，同类型项目均在饲料中添加EM菌等饲料添加剂，</w:t>
      </w:r>
      <w:r>
        <w:rPr>
          <w:rFonts w:hint="eastAsia" w:ascii="Times New Roman" w:hAnsi="Times New Roman" w:eastAsia="宋体" w:cs="Times New Roman"/>
          <w:color w:val="auto"/>
          <w:sz w:val="24"/>
          <w:szCs w:val="24"/>
        </w:rPr>
        <w:t>减少氨和腐败物质过多生产，减少粪便的排泄量及恶臭气体的产生</w:t>
      </w:r>
      <w:r>
        <w:rPr>
          <w:rFonts w:hint="eastAsia" w:ascii="Times New Roman" w:hAnsi="Times New Roman" w:eastAsia="宋体" w:cs="Times New Roman"/>
          <w:color w:val="auto"/>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eastAsia="zh-CN"/>
        </w:rPr>
        <w:t>2</w:t>
      </w:r>
      <w:r>
        <w:rPr>
          <w:rFonts w:hint="eastAsia" w:ascii="Times New Roman" w:hAnsi="Times New Roman" w:eastAsia="宋体" w:cs="Times New Roman"/>
          <w:color w:val="auto"/>
          <w:sz w:val="24"/>
          <w:szCs w:val="24"/>
        </w:rPr>
        <w:t>）排放途径</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在猪舍内通过定期喷洒除臭剂、生物菌液等可有效降低猪舍内猪粪猪尿产生的恶臭。对猪舍进行1天2次喷洒除臭剂，</w:t>
      </w:r>
      <w:r>
        <w:rPr>
          <w:rFonts w:hint="eastAsia" w:ascii="Times New Roman" w:hAnsi="Times New Roman" w:eastAsia="宋体" w:cs="Times New Roman"/>
          <w:color w:val="auto"/>
          <w:sz w:val="24"/>
          <w:szCs w:val="24"/>
          <w:lang w:eastAsia="zh-CN"/>
        </w:rPr>
        <w:t>养猪场圈舍自动喷雾消毒除臭设备，设备开启后，由设备以雾化的形式弥漫整个猪舍，水粒子雾化过程中加入除臭的药液，可中和空气中氨气等刺激性气味的气体，达到除臭的目的。</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I.合理选择除臭剂，选择生物无害型除臭剂如微生物除臭剂。利用微生物（除臭液）将臭味气体中的有机污染物降解或者转化为无害或低害类物质的过程，微生物除臭剂主要成分为活菌制剂。</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II.定期对猪舍进行喷洒。对猪舍要定时定期进行喷洒除臭。避免臭气长时间堆积，造成猪舍内臭气浓度增加。本项目要求对猪舍进行一天</w:t>
      </w:r>
      <w:r>
        <w:rPr>
          <w:rFonts w:hint="eastAsia" w:ascii="Times New Roman" w:hAnsi="Times New Roman" w:eastAsia="宋体" w:cs="Times New Roman"/>
          <w:color w:val="auto"/>
          <w:sz w:val="24"/>
          <w:szCs w:val="24"/>
          <w:lang w:val="en-US" w:eastAsia="zh-CN"/>
        </w:rPr>
        <w:t>2</w:t>
      </w:r>
      <w:r>
        <w:rPr>
          <w:rFonts w:hint="eastAsia" w:ascii="Times New Roman" w:hAnsi="Times New Roman" w:eastAsia="宋体" w:cs="Times New Roman"/>
          <w:color w:val="auto"/>
          <w:sz w:val="24"/>
          <w:szCs w:val="24"/>
        </w:rPr>
        <w:t>次的除臭喷洒。</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III.喷洒范围</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对猪舍进行全面积喷洒除臭剂，做到不漏不缺。重点对猪圈漏缝板进行喷洒。</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通过</w:t>
      </w:r>
      <w:r>
        <w:rPr>
          <w:rFonts w:hint="eastAsia" w:ascii="Times New Roman" w:hAnsi="Times New Roman" w:eastAsia="宋体" w:cs="Times New Roman"/>
          <w:color w:val="auto"/>
          <w:sz w:val="24"/>
          <w:szCs w:val="24"/>
          <w:lang w:eastAsia="zh-CN"/>
        </w:rPr>
        <w:t>科学设计日粮降低源强产生量、</w:t>
      </w:r>
      <w:r>
        <w:rPr>
          <w:rFonts w:hint="eastAsia" w:ascii="Times New Roman" w:hAnsi="Times New Roman" w:eastAsia="宋体" w:cs="Times New Roman"/>
          <w:color w:val="auto"/>
          <w:sz w:val="24"/>
          <w:szCs w:val="24"/>
        </w:rPr>
        <w:t>对猪舍进行定期定时全面喷洒除臭剂，并合理选择除臭剂，选择高效除臭剂，能够减少猪舍内的恶臭</w:t>
      </w:r>
      <w:r>
        <w:rPr>
          <w:rFonts w:hint="eastAsia" w:ascii="Times New Roman" w:hAnsi="Times New Roman" w:eastAsia="宋体" w:cs="Times New Roman"/>
          <w:color w:val="auto"/>
          <w:sz w:val="24"/>
          <w:szCs w:val="24"/>
          <w:lang w:eastAsia="zh-CN"/>
        </w:rPr>
        <w:t>。根据类比分析同类型项目，猪舍采取以上措施后能降低</w:t>
      </w:r>
      <w:r>
        <w:rPr>
          <w:rFonts w:hint="eastAsia" w:ascii="Times New Roman" w:hAnsi="Times New Roman" w:eastAsia="宋体" w:cs="Times New Roman"/>
          <w:color w:val="auto"/>
          <w:sz w:val="24"/>
          <w:szCs w:val="24"/>
          <w:lang w:val="en-US" w:eastAsia="zh-CN"/>
        </w:rPr>
        <w:t>95%的恶臭</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rPr>
        <w:t>则相应NH</w:t>
      </w:r>
      <w:r>
        <w:rPr>
          <w:rFonts w:hint="eastAsia" w:ascii="Times New Roman" w:hAnsi="Times New Roman" w:eastAsia="宋体" w:cs="Times New Roman"/>
          <w:color w:val="auto"/>
          <w:sz w:val="24"/>
          <w:szCs w:val="24"/>
          <w:vertAlign w:val="subscript"/>
        </w:rPr>
        <w:t>3</w:t>
      </w:r>
      <w:r>
        <w:rPr>
          <w:rFonts w:hint="eastAsia" w:ascii="Times New Roman" w:hAnsi="Times New Roman" w:eastAsia="宋体" w:cs="Times New Roman"/>
          <w:color w:val="auto"/>
          <w:sz w:val="24"/>
          <w:szCs w:val="24"/>
        </w:rPr>
        <w:t>、H</w:t>
      </w:r>
      <w:r>
        <w:rPr>
          <w:rFonts w:hint="eastAsia" w:ascii="Times New Roman" w:hAnsi="Times New Roman" w:eastAsia="宋体" w:cs="Times New Roman"/>
          <w:color w:val="auto"/>
          <w:sz w:val="24"/>
          <w:szCs w:val="24"/>
          <w:vertAlign w:val="subscript"/>
        </w:rPr>
        <w:t>2</w:t>
      </w:r>
      <w:r>
        <w:rPr>
          <w:rFonts w:hint="eastAsia" w:ascii="Times New Roman" w:hAnsi="Times New Roman" w:eastAsia="宋体" w:cs="Times New Roman"/>
          <w:color w:val="auto"/>
          <w:sz w:val="24"/>
          <w:szCs w:val="24"/>
        </w:rPr>
        <w:t>S的排放量分别为</w:t>
      </w:r>
      <w:r>
        <w:rPr>
          <w:rFonts w:hint="eastAsia" w:ascii="Times New Roman" w:hAnsi="Times New Roman" w:eastAsia="宋体" w:cs="Times New Roman"/>
          <w:color w:val="auto"/>
          <w:sz w:val="24"/>
          <w:szCs w:val="24"/>
          <w:lang w:val="en-US" w:eastAsia="zh-CN"/>
        </w:rPr>
        <w:t>1.11</w:t>
      </w:r>
      <w:r>
        <w:rPr>
          <w:rFonts w:hint="eastAsia" w:ascii="Times New Roman" w:hAnsi="Times New Roman" w:eastAsia="宋体" w:cs="Times New Roman"/>
          <w:color w:val="auto"/>
          <w:sz w:val="24"/>
          <w:szCs w:val="24"/>
        </w:rPr>
        <w:t>kg/d、</w:t>
      </w:r>
      <w:r>
        <w:rPr>
          <w:rFonts w:hint="eastAsia" w:ascii="Times New Roman" w:hAnsi="Times New Roman" w:eastAsia="宋体" w:cs="Times New Roman"/>
          <w:color w:val="auto"/>
          <w:sz w:val="24"/>
          <w:szCs w:val="24"/>
          <w:lang w:val="en-US" w:eastAsia="zh-CN"/>
        </w:rPr>
        <w:t>0.21</w:t>
      </w:r>
      <w:r>
        <w:rPr>
          <w:rFonts w:hint="eastAsia" w:ascii="Times New Roman" w:hAnsi="Times New Roman" w:eastAsia="宋体" w:cs="Times New Roman"/>
          <w:color w:val="auto"/>
          <w:sz w:val="24"/>
          <w:szCs w:val="24"/>
        </w:rPr>
        <w:t>kg/d。</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则项目</w:t>
      </w:r>
      <w:r>
        <w:rPr>
          <w:rFonts w:hint="eastAsia" w:ascii="Times New Roman" w:hAnsi="Times New Roman" w:eastAsia="宋体" w:cs="Times New Roman"/>
          <w:color w:val="auto"/>
          <w:sz w:val="24"/>
          <w:szCs w:val="24"/>
          <w:lang w:eastAsia="zh-CN"/>
        </w:rPr>
        <w:t>采用合理采用饲料、菌种及猪舍内</w:t>
      </w:r>
      <w:r>
        <w:rPr>
          <w:rFonts w:hint="eastAsia" w:ascii="Times New Roman" w:hAnsi="Times New Roman" w:eastAsia="宋体" w:cs="Times New Roman"/>
          <w:color w:val="auto"/>
          <w:sz w:val="24"/>
          <w:szCs w:val="24"/>
        </w:rPr>
        <w:t>喷洒除臭剂后恶臭排放见下表：</w:t>
      </w: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hint="eastAsia" w:ascii="Times New Roman" w:hAnsi="Times New Roman" w:eastAsia="宋体"/>
          <w:b/>
          <w:color w:val="auto"/>
          <w:szCs w:val="21"/>
          <w:lang w:eastAsia="zh-CN"/>
        </w:rPr>
      </w:pPr>
      <w:r>
        <w:rPr>
          <w:rFonts w:ascii="Times New Roman" w:hAnsi="Times New Roman" w:eastAsia="宋体"/>
          <w:b/>
          <w:color w:val="auto"/>
          <w:szCs w:val="21"/>
        </w:rPr>
        <w:t>表</w:t>
      </w:r>
      <w:r>
        <w:rPr>
          <w:rFonts w:hint="eastAsia" w:ascii="Times New Roman" w:hAnsi="Times New Roman" w:eastAsia="宋体"/>
          <w:b/>
          <w:color w:val="auto"/>
          <w:szCs w:val="21"/>
          <w:lang w:val="en-US" w:eastAsia="zh-CN"/>
        </w:rPr>
        <w:t>3.5</w:t>
      </w:r>
      <w:r>
        <w:rPr>
          <w:rFonts w:hint="eastAsia" w:ascii="Times New Roman" w:hAnsi="Times New Roman" w:eastAsia="宋体"/>
          <w:b/>
          <w:color w:val="auto"/>
          <w:szCs w:val="21"/>
        </w:rPr>
        <w:t>-</w:t>
      </w:r>
      <w:r>
        <w:rPr>
          <w:rFonts w:hint="eastAsia" w:ascii="Times New Roman" w:hAnsi="Times New Roman" w:eastAsia="宋体"/>
          <w:b/>
          <w:color w:val="auto"/>
          <w:szCs w:val="21"/>
          <w:lang w:val="en-US" w:eastAsia="zh-CN"/>
        </w:rPr>
        <w:t xml:space="preserve">5 </w:t>
      </w:r>
      <w:r>
        <w:rPr>
          <w:rFonts w:ascii="Times New Roman" w:hAnsi="Times New Roman" w:eastAsia="宋体"/>
          <w:b/>
          <w:color w:val="auto"/>
          <w:szCs w:val="21"/>
        </w:rPr>
        <w:t xml:space="preserve"> </w:t>
      </w:r>
      <w:r>
        <w:rPr>
          <w:rFonts w:hint="eastAsia" w:ascii="Times New Roman" w:hAnsi="Times New Roman" w:eastAsia="宋体"/>
          <w:b/>
          <w:color w:val="auto"/>
          <w:szCs w:val="21"/>
          <w:lang w:eastAsia="zh-CN"/>
        </w:rPr>
        <w:t>猪舍内臭气初步处理情况表</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73"/>
        <w:gridCol w:w="3073"/>
        <w:gridCol w:w="3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3"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恶臭源强</w:t>
            </w:r>
          </w:p>
        </w:tc>
        <w:tc>
          <w:tcPr>
            <w:tcW w:w="3073"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氨</w:t>
            </w:r>
          </w:p>
        </w:tc>
        <w:tc>
          <w:tcPr>
            <w:tcW w:w="3074"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硫化氢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3"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排放量（kg/d）</w:t>
            </w:r>
          </w:p>
        </w:tc>
        <w:tc>
          <w:tcPr>
            <w:tcW w:w="3073"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1.11</w:t>
            </w:r>
          </w:p>
        </w:tc>
        <w:tc>
          <w:tcPr>
            <w:tcW w:w="3074"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trPr>
        <w:tc>
          <w:tcPr>
            <w:tcW w:w="3073"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排放速率（kg/h）</w:t>
            </w:r>
          </w:p>
        </w:tc>
        <w:tc>
          <w:tcPr>
            <w:tcW w:w="3073"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0.046</w:t>
            </w:r>
          </w:p>
        </w:tc>
        <w:tc>
          <w:tcPr>
            <w:tcW w:w="3074"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0.0088</w:t>
            </w:r>
          </w:p>
        </w:tc>
      </w:tr>
    </w:tbl>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根据同类型项目现场调研，同类型养殖场均定期对猪舍喷洒除臭剂进行除臭，除臭频率为</w:t>
      </w:r>
      <w:r>
        <w:rPr>
          <w:rFonts w:hint="eastAsia" w:ascii="Times New Roman" w:hAnsi="Times New Roman" w:eastAsia="宋体" w:cs="Times New Roman"/>
          <w:color w:val="auto"/>
          <w:sz w:val="24"/>
          <w:szCs w:val="24"/>
        </w:rPr>
        <w:t>1天</w:t>
      </w:r>
      <w:r>
        <w:rPr>
          <w:rFonts w:hint="eastAsia" w:ascii="Times New Roman" w:hAnsi="Times New Roman" w:eastAsia="宋体" w:cs="Times New Roman"/>
          <w:color w:val="auto"/>
          <w:sz w:val="24"/>
          <w:szCs w:val="24"/>
          <w:lang w:val="en-US" w:eastAsia="zh-CN"/>
        </w:rPr>
        <w:t>1</w:t>
      </w:r>
      <w:r>
        <w:rPr>
          <w:rFonts w:hint="eastAsia" w:ascii="Times New Roman" w:hAnsi="Times New Roman" w:eastAsia="宋体" w:cs="Times New Roman"/>
          <w:color w:val="auto"/>
          <w:sz w:val="24"/>
          <w:szCs w:val="24"/>
        </w:rPr>
        <w:t>次</w:t>
      </w:r>
      <w:r>
        <w:rPr>
          <w:rFonts w:hint="eastAsia" w:ascii="Times New Roman" w:hAnsi="Times New Roman" w:eastAsia="宋体" w:cs="Times New Roman"/>
          <w:color w:val="auto"/>
          <w:sz w:val="24"/>
          <w:szCs w:val="24"/>
          <w:lang w:eastAsia="zh-CN"/>
        </w:rPr>
        <w:t>或</w:t>
      </w:r>
      <w:r>
        <w:rPr>
          <w:rFonts w:hint="eastAsia" w:ascii="Times New Roman" w:hAnsi="Times New Roman" w:eastAsia="宋体" w:cs="Times New Roman"/>
          <w:color w:val="auto"/>
          <w:sz w:val="24"/>
          <w:szCs w:val="24"/>
          <w:lang w:val="en-US" w:eastAsia="zh-CN"/>
        </w:rPr>
        <w:t>2次</w:t>
      </w:r>
      <w:r>
        <w:rPr>
          <w:rFonts w:hint="eastAsia" w:ascii="Times New Roman" w:hAnsi="Times New Roman" w:eastAsia="宋体" w:cs="Times New Roman"/>
          <w:color w:val="auto"/>
          <w:sz w:val="24"/>
          <w:szCs w:val="24"/>
          <w:lang w:eastAsia="zh-CN"/>
        </w:rPr>
        <w:t>。因此，本项目</w:t>
      </w:r>
      <w:r>
        <w:rPr>
          <w:rFonts w:hint="eastAsia" w:ascii="Times New Roman" w:hAnsi="Times New Roman" w:eastAsia="宋体" w:cs="Times New Roman"/>
          <w:color w:val="auto"/>
          <w:sz w:val="24"/>
          <w:szCs w:val="24"/>
        </w:rPr>
        <w:t>对猪舍进行1天2次喷洒除臭剂</w:t>
      </w:r>
      <w:r>
        <w:rPr>
          <w:rFonts w:hint="eastAsia" w:ascii="Times New Roman" w:hAnsi="Times New Roman" w:eastAsia="宋体" w:cs="Times New Roman"/>
          <w:color w:val="auto"/>
          <w:sz w:val="24"/>
          <w:szCs w:val="24"/>
          <w:lang w:eastAsia="zh-CN"/>
        </w:rPr>
        <w:t>可行。</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eastAsia="zh-CN"/>
        </w:rPr>
        <w:t>3</w:t>
      </w:r>
      <w:r>
        <w:rPr>
          <w:rFonts w:hint="eastAsia" w:ascii="Times New Roman" w:hAnsi="Times New Roman" w:eastAsia="宋体" w:cs="Times New Roman"/>
          <w:color w:val="auto"/>
          <w:sz w:val="24"/>
          <w:szCs w:val="24"/>
        </w:rPr>
        <w:t>）排放</w:t>
      </w:r>
      <w:r>
        <w:rPr>
          <w:rFonts w:hint="eastAsia" w:ascii="Times New Roman" w:hAnsi="Times New Roman" w:eastAsia="宋体" w:cs="Times New Roman"/>
          <w:color w:val="auto"/>
          <w:sz w:val="24"/>
          <w:szCs w:val="24"/>
          <w:lang w:eastAsia="zh-CN"/>
        </w:rPr>
        <w:t>口</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本项目臭气最终通过风机口排出。参考当地同类型企业，</w:t>
      </w:r>
      <w:r>
        <w:rPr>
          <w:rFonts w:hint="eastAsia" w:ascii="Times New Roman" w:hAnsi="Times New Roman" w:eastAsia="宋体" w:cs="Times New Roman"/>
          <w:color w:val="auto"/>
          <w:sz w:val="24"/>
          <w:szCs w:val="24"/>
        </w:rPr>
        <w:t>在猪舍排风</w:t>
      </w:r>
      <w:r>
        <w:rPr>
          <w:rFonts w:hint="eastAsia" w:ascii="Times New Roman" w:hAnsi="Times New Roman" w:eastAsia="宋体" w:cs="Times New Roman"/>
          <w:color w:val="auto"/>
          <w:sz w:val="24"/>
          <w:szCs w:val="24"/>
          <w:lang w:eastAsia="zh-CN"/>
        </w:rPr>
        <w:t>风机口</w:t>
      </w:r>
      <w:r>
        <w:rPr>
          <w:rFonts w:hint="eastAsia" w:ascii="Times New Roman" w:hAnsi="Times New Roman" w:eastAsia="宋体" w:cs="Times New Roman"/>
          <w:color w:val="auto"/>
          <w:sz w:val="24"/>
          <w:szCs w:val="24"/>
        </w:rPr>
        <w:t>处</w:t>
      </w:r>
      <w:r>
        <w:rPr>
          <w:rFonts w:hint="eastAsia" w:ascii="Times New Roman" w:hAnsi="Times New Roman" w:eastAsia="宋体" w:cs="Times New Roman"/>
          <w:color w:val="auto"/>
          <w:sz w:val="24"/>
          <w:szCs w:val="24"/>
          <w:lang w:eastAsia="zh-CN"/>
        </w:rPr>
        <w:t>设置多层密目网，在密目网上</w:t>
      </w:r>
      <w:r>
        <w:rPr>
          <w:rFonts w:hint="eastAsia" w:ascii="Times New Roman" w:hAnsi="Times New Roman" w:eastAsia="宋体" w:cs="Times New Roman"/>
          <w:color w:val="auto"/>
          <w:sz w:val="24"/>
          <w:szCs w:val="24"/>
        </w:rPr>
        <w:t>喷洒除臭剂可有效降低猪舍的臭气排放，去除效率</w:t>
      </w:r>
      <w:r>
        <w:rPr>
          <w:rFonts w:hint="eastAsia" w:ascii="Times New Roman" w:hAnsi="Times New Roman" w:eastAsia="宋体" w:cs="Times New Roman"/>
          <w:color w:val="auto"/>
          <w:sz w:val="24"/>
          <w:szCs w:val="24"/>
          <w:lang w:eastAsia="zh-CN"/>
        </w:rPr>
        <w:t>按</w:t>
      </w:r>
      <w:r>
        <w:rPr>
          <w:rFonts w:hint="eastAsia" w:ascii="Times New Roman" w:hAnsi="Times New Roman" w:eastAsia="宋体" w:cs="Times New Roman"/>
          <w:color w:val="auto"/>
          <w:sz w:val="24"/>
          <w:szCs w:val="24"/>
          <w:lang w:val="en-US" w:eastAsia="zh-CN"/>
        </w:rPr>
        <w:t>50</w:t>
      </w:r>
      <w:r>
        <w:rPr>
          <w:rFonts w:hint="eastAsia" w:ascii="Times New Roman" w:hAnsi="Times New Roman" w:eastAsia="宋体" w:cs="Times New Roman"/>
          <w:color w:val="auto"/>
          <w:sz w:val="24"/>
          <w:szCs w:val="24"/>
        </w:rPr>
        <w:t>%，相应NH</w:t>
      </w:r>
      <w:r>
        <w:rPr>
          <w:rFonts w:hint="eastAsia" w:ascii="Times New Roman" w:hAnsi="Times New Roman" w:eastAsia="宋体" w:cs="Times New Roman"/>
          <w:color w:val="auto"/>
          <w:sz w:val="24"/>
          <w:szCs w:val="24"/>
          <w:vertAlign w:val="subscript"/>
        </w:rPr>
        <w:t>3</w:t>
      </w:r>
      <w:r>
        <w:rPr>
          <w:rFonts w:hint="eastAsia" w:ascii="Times New Roman" w:hAnsi="Times New Roman" w:eastAsia="宋体" w:cs="Times New Roman"/>
          <w:color w:val="auto"/>
          <w:sz w:val="24"/>
          <w:szCs w:val="24"/>
        </w:rPr>
        <w:t>、H</w:t>
      </w:r>
      <w:r>
        <w:rPr>
          <w:rFonts w:hint="eastAsia" w:ascii="Times New Roman" w:hAnsi="Times New Roman" w:eastAsia="宋体" w:cs="Times New Roman"/>
          <w:color w:val="auto"/>
          <w:sz w:val="24"/>
          <w:szCs w:val="24"/>
          <w:vertAlign w:val="subscript"/>
        </w:rPr>
        <w:t>2</w:t>
      </w:r>
      <w:r>
        <w:rPr>
          <w:rFonts w:hint="eastAsia" w:ascii="Times New Roman" w:hAnsi="Times New Roman" w:eastAsia="宋体" w:cs="Times New Roman"/>
          <w:color w:val="auto"/>
          <w:sz w:val="24"/>
          <w:szCs w:val="24"/>
        </w:rPr>
        <w:t>S的排放量分别为</w:t>
      </w:r>
      <w:r>
        <w:rPr>
          <w:rFonts w:hint="eastAsia" w:ascii="Times New Roman" w:hAnsi="Times New Roman" w:eastAsia="宋体" w:cs="Times New Roman"/>
          <w:color w:val="auto"/>
          <w:sz w:val="24"/>
          <w:szCs w:val="24"/>
          <w:lang w:val="en-US" w:eastAsia="zh-CN"/>
        </w:rPr>
        <w:t>0.555</w:t>
      </w:r>
      <w:r>
        <w:rPr>
          <w:rFonts w:hint="eastAsia" w:ascii="Times New Roman" w:hAnsi="Times New Roman" w:eastAsia="宋体" w:cs="Times New Roman"/>
          <w:color w:val="auto"/>
          <w:sz w:val="24"/>
          <w:szCs w:val="24"/>
        </w:rPr>
        <w:t>kg/d</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0.20t/a</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eastAsia="zh-CN"/>
        </w:rPr>
        <w:t>0.105</w:t>
      </w:r>
      <w:r>
        <w:rPr>
          <w:rFonts w:hint="eastAsia" w:ascii="Times New Roman" w:hAnsi="Times New Roman" w:eastAsia="宋体" w:cs="Times New Roman"/>
          <w:color w:val="auto"/>
          <w:sz w:val="24"/>
          <w:szCs w:val="24"/>
        </w:rPr>
        <w:t>kg/d</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0.038t/a</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rPr>
        <w:t>NH</w:t>
      </w:r>
      <w:r>
        <w:rPr>
          <w:rFonts w:hint="eastAsia" w:ascii="Times New Roman" w:hAnsi="Times New Roman" w:eastAsia="宋体" w:cs="Times New Roman"/>
          <w:color w:val="auto"/>
          <w:sz w:val="24"/>
          <w:szCs w:val="24"/>
          <w:vertAlign w:val="subscript"/>
        </w:rPr>
        <w:t>3</w:t>
      </w:r>
      <w:r>
        <w:rPr>
          <w:rFonts w:hint="eastAsia" w:ascii="Times New Roman" w:hAnsi="Times New Roman" w:eastAsia="宋体" w:cs="Times New Roman"/>
          <w:color w:val="auto"/>
          <w:sz w:val="24"/>
          <w:szCs w:val="24"/>
        </w:rPr>
        <w:t>和H</w:t>
      </w:r>
      <w:r>
        <w:rPr>
          <w:rFonts w:hint="eastAsia" w:ascii="Times New Roman" w:hAnsi="Times New Roman" w:eastAsia="宋体" w:cs="Times New Roman"/>
          <w:color w:val="auto"/>
          <w:sz w:val="24"/>
          <w:szCs w:val="24"/>
          <w:vertAlign w:val="subscript"/>
        </w:rPr>
        <w:t>2</w:t>
      </w:r>
      <w:r>
        <w:rPr>
          <w:rFonts w:hint="eastAsia" w:ascii="Times New Roman" w:hAnsi="Times New Roman" w:eastAsia="宋体" w:cs="Times New Roman"/>
          <w:color w:val="auto"/>
          <w:sz w:val="24"/>
          <w:szCs w:val="24"/>
        </w:rPr>
        <w:t>S</w:t>
      </w:r>
      <w:r>
        <w:rPr>
          <w:rFonts w:hint="eastAsia" w:ascii="Times New Roman" w:hAnsi="Times New Roman" w:eastAsia="宋体" w:cs="Times New Roman"/>
          <w:color w:val="auto"/>
          <w:sz w:val="24"/>
          <w:szCs w:val="24"/>
          <w:lang w:eastAsia="zh-CN"/>
        </w:rPr>
        <w:t>排放</w:t>
      </w:r>
      <w:r>
        <w:rPr>
          <w:rFonts w:hint="eastAsia" w:ascii="Times New Roman" w:hAnsi="Times New Roman" w:eastAsia="宋体" w:cs="Times New Roman"/>
          <w:color w:val="auto"/>
          <w:sz w:val="24"/>
          <w:szCs w:val="24"/>
        </w:rPr>
        <w:t>速率分别为</w:t>
      </w:r>
      <w:r>
        <w:rPr>
          <w:rFonts w:hint="eastAsia" w:ascii="Times New Roman" w:hAnsi="Times New Roman" w:eastAsia="宋体" w:cs="Times New Roman"/>
          <w:color w:val="auto"/>
          <w:sz w:val="24"/>
          <w:szCs w:val="24"/>
          <w:lang w:val="en-US" w:eastAsia="zh-CN"/>
        </w:rPr>
        <w:t>0.023</w:t>
      </w:r>
      <w:r>
        <w:rPr>
          <w:rFonts w:hint="eastAsia" w:ascii="Times New Roman" w:hAnsi="Times New Roman" w:eastAsia="宋体" w:cs="Times New Roman"/>
          <w:color w:val="auto"/>
          <w:sz w:val="24"/>
          <w:szCs w:val="24"/>
        </w:rPr>
        <w:t>kg/h 和</w:t>
      </w:r>
      <w:r>
        <w:rPr>
          <w:rFonts w:hint="eastAsia" w:ascii="Times New Roman" w:hAnsi="Times New Roman" w:eastAsia="宋体" w:cs="Times New Roman"/>
          <w:color w:val="auto"/>
          <w:sz w:val="24"/>
          <w:szCs w:val="24"/>
          <w:lang w:val="en-US" w:eastAsia="zh-CN"/>
        </w:rPr>
        <w:t>0.0044</w:t>
      </w:r>
      <w:r>
        <w:rPr>
          <w:rFonts w:hint="eastAsia" w:ascii="Times New Roman" w:hAnsi="Times New Roman" w:eastAsia="宋体" w:cs="Times New Roman"/>
          <w:color w:val="auto"/>
          <w:sz w:val="24"/>
          <w:szCs w:val="24"/>
        </w:rPr>
        <w:t>kg/h。</w:t>
      </w: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hint="eastAsia" w:ascii="Times New Roman" w:hAnsi="Times New Roman" w:eastAsia="宋体"/>
          <w:b/>
          <w:color w:val="auto"/>
          <w:szCs w:val="21"/>
          <w:lang w:eastAsia="zh-CN"/>
        </w:rPr>
      </w:pPr>
      <w:r>
        <w:rPr>
          <w:rFonts w:ascii="Times New Roman" w:hAnsi="Times New Roman" w:eastAsia="宋体"/>
          <w:b/>
          <w:color w:val="auto"/>
          <w:szCs w:val="21"/>
        </w:rPr>
        <w:t>表</w:t>
      </w:r>
      <w:r>
        <w:rPr>
          <w:rFonts w:hint="eastAsia" w:ascii="Times New Roman" w:hAnsi="Times New Roman" w:eastAsia="宋体"/>
          <w:b/>
          <w:color w:val="auto"/>
          <w:szCs w:val="21"/>
          <w:lang w:val="en-US" w:eastAsia="zh-CN"/>
        </w:rPr>
        <w:t>3.5</w:t>
      </w:r>
      <w:r>
        <w:rPr>
          <w:rFonts w:hint="eastAsia" w:ascii="Times New Roman" w:hAnsi="Times New Roman" w:eastAsia="宋体"/>
          <w:b/>
          <w:color w:val="auto"/>
          <w:szCs w:val="21"/>
        </w:rPr>
        <w:t>-</w:t>
      </w:r>
      <w:r>
        <w:rPr>
          <w:rFonts w:hint="eastAsia" w:ascii="Times New Roman" w:hAnsi="Times New Roman" w:eastAsia="宋体"/>
          <w:b/>
          <w:color w:val="auto"/>
          <w:szCs w:val="21"/>
          <w:lang w:val="en-US" w:eastAsia="zh-CN"/>
        </w:rPr>
        <w:t xml:space="preserve">6 </w:t>
      </w:r>
      <w:r>
        <w:rPr>
          <w:rFonts w:ascii="Times New Roman" w:hAnsi="Times New Roman" w:eastAsia="宋体"/>
          <w:b/>
          <w:color w:val="auto"/>
          <w:szCs w:val="21"/>
        </w:rPr>
        <w:t xml:space="preserve"> </w:t>
      </w:r>
      <w:r>
        <w:rPr>
          <w:rFonts w:hint="eastAsia" w:ascii="Times New Roman" w:hAnsi="Times New Roman" w:eastAsia="宋体"/>
          <w:b/>
          <w:color w:val="auto"/>
          <w:szCs w:val="21"/>
          <w:lang w:eastAsia="zh-CN"/>
        </w:rPr>
        <w:t>猪舍外臭气处理情况表</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73"/>
        <w:gridCol w:w="3073"/>
        <w:gridCol w:w="3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073"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恶臭源强</w:t>
            </w:r>
          </w:p>
        </w:tc>
        <w:tc>
          <w:tcPr>
            <w:tcW w:w="3073"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氨</w:t>
            </w:r>
          </w:p>
        </w:tc>
        <w:tc>
          <w:tcPr>
            <w:tcW w:w="3074"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硫化氢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3"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排放量（kg/d）</w:t>
            </w:r>
          </w:p>
        </w:tc>
        <w:tc>
          <w:tcPr>
            <w:tcW w:w="3073"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0.555</w:t>
            </w:r>
          </w:p>
        </w:tc>
        <w:tc>
          <w:tcPr>
            <w:tcW w:w="3074"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trPr>
        <w:tc>
          <w:tcPr>
            <w:tcW w:w="3073"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排放速率（kg/h）</w:t>
            </w:r>
          </w:p>
        </w:tc>
        <w:tc>
          <w:tcPr>
            <w:tcW w:w="3073"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0.023</w:t>
            </w:r>
          </w:p>
        </w:tc>
        <w:tc>
          <w:tcPr>
            <w:tcW w:w="3074"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0.0044</w:t>
            </w:r>
          </w:p>
        </w:tc>
      </w:tr>
    </w:tbl>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综上，本项目猪舍通过采取合理采用饲料、菌种及猪舍内</w:t>
      </w:r>
      <w:r>
        <w:rPr>
          <w:rFonts w:hint="eastAsia" w:ascii="Times New Roman" w:hAnsi="Times New Roman" w:eastAsia="宋体" w:cs="Times New Roman"/>
          <w:color w:val="auto"/>
          <w:sz w:val="24"/>
          <w:szCs w:val="24"/>
        </w:rPr>
        <w:t>喷洒除臭剂</w:t>
      </w:r>
      <w:r>
        <w:rPr>
          <w:rFonts w:hint="eastAsia" w:ascii="Times New Roman" w:hAnsi="Times New Roman" w:eastAsia="宋体" w:cs="Times New Roman"/>
          <w:color w:val="auto"/>
          <w:sz w:val="24"/>
          <w:szCs w:val="24"/>
          <w:lang w:eastAsia="zh-CN"/>
        </w:rPr>
        <w:t>、排风口设置除臭网</w:t>
      </w:r>
      <w:r>
        <w:rPr>
          <w:rFonts w:hint="eastAsia" w:ascii="Times New Roman" w:hAnsi="Times New Roman" w:eastAsia="宋体" w:cs="Times New Roman"/>
          <w:color w:val="auto"/>
          <w:sz w:val="24"/>
          <w:szCs w:val="24"/>
        </w:rPr>
        <w:t>后</w:t>
      </w:r>
      <w:r>
        <w:rPr>
          <w:rFonts w:hint="eastAsia" w:ascii="Times New Roman" w:hAnsi="Times New Roman" w:eastAsia="宋体" w:cs="Times New Roman"/>
          <w:color w:val="auto"/>
          <w:sz w:val="24"/>
          <w:szCs w:val="24"/>
          <w:lang w:eastAsia="zh-CN"/>
        </w:rPr>
        <w:t>猪舍</w:t>
      </w:r>
      <w:r>
        <w:rPr>
          <w:rFonts w:hint="eastAsia" w:ascii="Times New Roman" w:hAnsi="Times New Roman" w:eastAsia="宋体" w:cs="Times New Roman"/>
          <w:color w:val="auto"/>
          <w:sz w:val="24"/>
          <w:szCs w:val="24"/>
        </w:rPr>
        <w:t>恶臭排放见下表：</w:t>
      </w: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ascii="Times New Roman" w:hAnsi="Times New Roman" w:eastAsia="宋体"/>
          <w:b/>
          <w:color w:val="auto"/>
          <w:szCs w:val="21"/>
        </w:rPr>
      </w:pP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ascii="Times New Roman" w:hAnsi="Times New Roman" w:eastAsia="宋体"/>
          <w:b/>
          <w:color w:val="auto"/>
          <w:szCs w:val="21"/>
        </w:rPr>
      </w:pP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ascii="Times New Roman" w:hAnsi="Times New Roman" w:eastAsia="宋体"/>
          <w:b/>
          <w:color w:val="auto"/>
          <w:szCs w:val="21"/>
        </w:rPr>
      </w:pP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ascii="Times New Roman" w:hAnsi="Times New Roman" w:eastAsia="宋体"/>
          <w:b/>
          <w:color w:val="auto"/>
          <w:szCs w:val="21"/>
        </w:rPr>
      </w:pP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hint="eastAsia" w:ascii="Times New Roman" w:hAnsi="Times New Roman" w:eastAsia="宋体"/>
          <w:b/>
          <w:color w:val="auto"/>
          <w:szCs w:val="21"/>
          <w:lang w:eastAsia="zh-CN"/>
        </w:rPr>
      </w:pPr>
      <w:r>
        <w:rPr>
          <w:rFonts w:ascii="Times New Roman" w:hAnsi="Times New Roman" w:eastAsia="宋体"/>
          <w:b/>
          <w:color w:val="auto"/>
          <w:szCs w:val="21"/>
        </w:rPr>
        <w:t>表</w:t>
      </w:r>
      <w:r>
        <w:rPr>
          <w:rFonts w:hint="eastAsia" w:ascii="Times New Roman" w:hAnsi="Times New Roman" w:eastAsia="宋体"/>
          <w:b/>
          <w:color w:val="auto"/>
          <w:szCs w:val="21"/>
          <w:lang w:val="en-US" w:eastAsia="zh-CN"/>
        </w:rPr>
        <w:t>3.5</w:t>
      </w:r>
      <w:r>
        <w:rPr>
          <w:rFonts w:hint="eastAsia" w:ascii="Times New Roman" w:hAnsi="Times New Roman" w:eastAsia="宋体"/>
          <w:b/>
          <w:color w:val="auto"/>
          <w:szCs w:val="21"/>
        </w:rPr>
        <w:t>-</w:t>
      </w:r>
      <w:r>
        <w:rPr>
          <w:rFonts w:hint="eastAsia" w:ascii="Times New Roman" w:hAnsi="Times New Roman" w:eastAsia="宋体"/>
          <w:b/>
          <w:color w:val="auto"/>
          <w:szCs w:val="21"/>
          <w:lang w:val="en-US" w:eastAsia="zh-CN"/>
        </w:rPr>
        <w:t xml:space="preserve">7 </w:t>
      </w:r>
      <w:r>
        <w:rPr>
          <w:rFonts w:ascii="Times New Roman" w:hAnsi="Times New Roman" w:eastAsia="宋体"/>
          <w:b/>
          <w:color w:val="auto"/>
          <w:szCs w:val="21"/>
        </w:rPr>
        <w:t xml:space="preserve"> </w:t>
      </w:r>
      <w:r>
        <w:rPr>
          <w:rFonts w:hint="default" w:ascii="Times New Roman" w:hAnsi="Times New Roman" w:cs="Times New Roman"/>
          <w:b/>
          <w:bCs/>
          <w:color w:val="auto"/>
          <w:sz w:val="21"/>
          <w:szCs w:val="21"/>
        </w:rPr>
        <w:t>猪舍无组织废气排放情况表</w:t>
      </w:r>
    </w:p>
    <w:tbl>
      <w:tblPr>
        <w:tblStyle w:val="34"/>
        <w:tblW w:w="4996"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40"/>
        <w:gridCol w:w="865"/>
        <w:gridCol w:w="4625"/>
        <w:gridCol w:w="1025"/>
        <w:gridCol w:w="1112"/>
        <w:gridCol w:w="94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347" w:type="pct"/>
            <w:noWrap w:val="0"/>
            <w:vAlign w:val="center"/>
          </w:tcPr>
          <w:p>
            <w:pPr>
              <w:pStyle w:val="48"/>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项目</w:t>
            </w:r>
          </w:p>
        </w:tc>
        <w:tc>
          <w:tcPr>
            <w:tcW w:w="469" w:type="pct"/>
            <w:noWrap w:val="0"/>
            <w:vAlign w:val="center"/>
          </w:tcPr>
          <w:p>
            <w:pPr>
              <w:pStyle w:val="48"/>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污染物</w:t>
            </w:r>
          </w:p>
        </w:tc>
        <w:tc>
          <w:tcPr>
            <w:tcW w:w="2510" w:type="pct"/>
            <w:noWrap w:val="0"/>
            <w:vAlign w:val="center"/>
          </w:tcPr>
          <w:p>
            <w:pPr>
              <w:pStyle w:val="48"/>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处理措施</w:t>
            </w:r>
          </w:p>
        </w:tc>
        <w:tc>
          <w:tcPr>
            <w:tcW w:w="556" w:type="pct"/>
            <w:noWrap w:val="0"/>
            <w:vAlign w:val="center"/>
          </w:tcPr>
          <w:p>
            <w:pPr>
              <w:pStyle w:val="48"/>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处理前（kg/</w:t>
            </w:r>
            <w:r>
              <w:rPr>
                <w:rFonts w:hint="default" w:ascii="Times New Roman" w:hAnsi="Times New Roman" w:eastAsia="宋体" w:cs="Times New Roman"/>
                <w:color w:val="auto"/>
                <w:sz w:val="21"/>
                <w:szCs w:val="21"/>
                <w:lang w:val="en-US" w:eastAsia="zh-CN"/>
              </w:rPr>
              <w:t>d</w:t>
            </w:r>
            <w:r>
              <w:rPr>
                <w:rFonts w:hint="default" w:ascii="Times New Roman" w:hAnsi="Times New Roman" w:eastAsia="宋体" w:cs="Times New Roman"/>
                <w:color w:val="auto"/>
                <w:sz w:val="21"/>
                <w:szCs w:val="21"/>
              </w:rPr>
              <w:t>）</w:t>
            </w:r>
          </w:p>
        </w:tc>
        <w:tc>
          <w:tcPr>
            <w:tcW w:w="603" w:type="pct"/>
            <w:noWrap w:val="0"/>
            <w:vAlign w:val="center"/>
          </w:tcPr>
          <w:p>
            <w:pPr>
              <w:pStyle w:val="48"/>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处理后（kg/</w:t>
            </w:r>
            <w:r>
              <w:rPr>
                <w:rFonts w:hint="default" w:ascii="Times New Roman" w:hAnsi="Times New Roman" w:eastAsia="宋体" w:cs="Times New Roman"/>
                <w:color w:val="auto"/>
                <w:sz w:val="21"/>
                <w:szCs w:val="21"/>
                <w:lang w:val="en-US" w:eastAsia="zh-CN"/>
              </w:rPr>
              <w:t>d</w:t>
            </w:r>
            <w:r>
              <w:rPr>
                <w:rFonts w:hint="default" w:ascii="Times New Roman" w:hAnsi="Times New Roman" w:eastAsia="宋体" w:cs="Times New Roman"/>
                <w:color w:val="auto"/>
                <w:sz w:val="21"/>
                <w:szCs w:val="21"/>
              </w:rPr>
              <w:t>）</w:t>
            </w:r>
          </w:p>
        </w:tc>
        <w:tc>
          <w:tcPr>
            <w:tcW w:w="513" w:type="pct"/>
            <w:noWrap w:val="0"/>
            <w:vAlign w:val="center"/>
          </w:tcPr>
          <w:p>
            <w:pPr>
              <w:pStyle w:val="48"/>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备注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347" w:type="pct"/>
            <w:vMerge w:val="restart"/>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cs="Times New Roman"/>
                <w:bCs/>
                <w:color w:val="auto"/>
                <w:sz w:val="21"/>
                <w:szCs w:val="21"/>
                <w:highlight w:val="none"/>
                <w:vertAlign w:val="baseline"/>
                <w:lang w:val="en-US" w:eastAsia="zh-CN"/>
              </w:rPr>
              <w:t>育肥舍1</w:t>
            </w:r>
          </w:p>
        </w:tc>
        <w:tc>
          <w:tcPr>
            <w:tcW w:w="469" w:type="pct"/>
            <w:noWrap w:val="0"/>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NH</w:t>
            </w:r>
            <w:r>
              <w:rPr>
                <w:rFonts w:hint="default" w:ascii="Times New Roman" w:hAnsi="Times New Roman" w:cs="Times New Roman"/>
                <w:color w:val="auto"/>
                <w:sz w:val="21"/>
                <w:szCs w:val="21"/>
                <w:vertAlign w:val="subscript"/>
              </w:rPr>
              <w:t>3</w:t>
            </w:r>
          </w:p>
        </w:tc>
        <w:tc>
          <w:tcPr>
            <w:tcW w:w="2510" w:type="pct"/>
            <w:vMerge w:val="restart"/>
            <w:noWrap w:val="0"/>
            <w:vAlign w:val="center"/>
          </w:tcPr>
          <w:p>
            <w:pPr>
              <w:pStyle w:val="48"/>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采用干清粪工艺，保持猪舍的温度和湿度达到适度水平，加强猪舍通风并合理科学优化猪饲料，合理使用添加剂，使用环境友好型消毒除臭剂，</w:t>
            </w:r>
            <w:r>
              <w:rPr>
                <w:rFonts w:hint="eastAsia" w:ascii="Times New Roman" w:hAnsi="Times New Roman" w:eastAsia="宋体" w:cs="Times New Roman"/>
                <w:color w:val="auto"/>
                <w:sz w:val="21"/>
                <w:szCs w:val="21"/>
                <w:lang w:eastAsia="zh-CN"/>
              </w:rPr>
              <w:t>猪舍内</w:t>
            </w:r>
            <w:r>
              <w:rPr>
                <w:rFonts w:hint="default" w:ascii="Times New Roman" w:hAnsi="Times New Roman" w:eastAsia="宋体" w:cs="Times New Roman"/>
                <w:color w:val="auto"/>
                <w:sz w:val="21"/>
                <w:szCs w:val="21"/>
              </w:rPr>
              <w:t xml:space="preserve">除臭措施效率可达到 </w:t>
            </w:r>
            <w:r>
              <w:rPr>
                <w:rFonts w:hint="eastAsia" w:ascii="Times New Roman" w:hAnsi="Times New Roman" w:cs="Times New Roman"/>
                <w:color w:val="auto"/>
                <w:sz w:val="21"/>
                <w:szCs w:val="21"/>
                <w:lang w:val="en-US" w:eastAsia="zh-CN"/>
              </w:rPr>
              <w:t>95</w:t>
            </w: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eastAsia="zh-CN"/>
              </w:rPr>
              <w:t>。在排风口设置除臭网</w:t>
            </w:r>
            <w:r>
              <w:rPr>
                <w:rFonts w:hint="default" w:ascii="Times New Roman" w:hAnsi="Times New Roman" w:eastAsia="宋体" w:cs="Times New Roman"/>
                <w:color w:val="auto"/>
                <w:sz w:val="21"/>
                <w:szCs w:val="21"/>
              </w:rPr>
              <w:t xml:space="preserve">除臭措施效率可达到 </w:t>
            </w:r>
            <w:r>
              <w:rPr>
                <w:rFonts w:hint="eastAsia" w:ascii="Times New Roman" w:hAnsi="Times New Roman" w:cs="Times New Roman"/>
                <w:color w:val="auto"/>
                <w:sz w:val="21"/>
                <w:szCs w:val="21"/>
                <w:lang w:val="en-US" w:eastAsia="zh-CN"/>
              </w:rPr>
              <w:t>50</w:t>
            </w:r>
            <w:r>
              <w:rPr>
                <w:rFonts w:hint="default" w:ascii="Times New Roman" w:hAnsi="Times New Roman" w:eastAsia="宋体" w:cs="Times New Roman"/>
                <w:color w:val="auto"/>
                <w:sz w:val="21"/>
                <w:szCs w:val="21"/>
              </w:rPr>
              <w:t>%</w:t>
            </w:r>
          </w:p>
        </w:tc>
        <w:tc>
          <w:tcPr>
            <w:tcW w:w="1025"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eastAsia" w:cs="Times New Roman"/>
                <w:bCs/>
                <w:color w:val="auto"/>
                <w:sz w:val="21"/>
                <w:szCs w:val="21"/>
                <w:highlight w:val="none"/>
                <w:vertAlign w:val="baseline"/>
                <w:lang w:val="en-US" w:eastAsia="zh-CN"/>
              </w:rPr>
              <w:t>11.0625</w:t>
            </w:r>
          </w:p>
        </w:tc>
        <w:tc>
          <w:tcPr>
            <w:tcW w:w="1112"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eastAsia" w:cs="Times New Roman"/>
                <w:bCs/>
                <w:color w:val="auto"/>
                <w:sz w:val="21"/>
                <w:szCs w:val="21"/>
                <w:highlight w:val="none"/>
                <w:vertAlign w:val="baseline"/>
                <w:lang w:val="en-US" w:eastAsia="zh-CN"/>
              </w:rPr>
              <w:t>0.2775</w:t>
            </w:r>
          </w:p>
        </w:tc>
        <w:tc>
          <w:tcPr>
            <w:tcW w:w="513" w:type="pct"/>
            <w:vMerge w:val="restart"/>
            <w:noWrap w:val="0"/>
            <w:vAlign w:val="center"/>
          </w:tcPr>
          <w:p>
            <w:pPr>
              <w:pStyle w:val="48"/>
              <w:jc w:val="center"/>
              <w:rPr>
                <w:rFonts w:hint="default" w:ascii="Times New Roman" w:hAnsi="Times New Roman" w:eastAsia="宋体" w:cs="Times New Roman"/>
                <w:color w:val="auto"/>
                <w:sz w:val="21"/>
                <w:szCs w:val="21"/>
              </w:rPr>
            </w:pPr>
            <w:r>
              <w:rPr>
                <w:rFonts w:hint="eastAsia" w:ascii="Times New Roman" w:hAnsi="Times New Roman" w:cs="Times New Roman"/>
                <w:color w:val="auto"/>
                <w:sz w:val="21"/>
                <w:szCs w:val="21"/>
                <w:lang w:val="en-US" w:eastAsia="zh-CN"/>
              </w:rPr>
              <w:t>2</w:t>
            </w:r>
            <w:r>
              <w:rPr>
                <w:rFonts w:hint="default" w:ascii="Times New Roman" w:hAnsi="Times New Roman" w:eastAsia="宋体" w:cs="Times New Roman"/>
                <w:color w:val="auto"/>
                <w:sz w:val="21"/>
                <w:szCs w:val="21"/>
              </w:rPr>
              <w:t>个猪舍建筑面积大小一致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7" w:type="pct"/>
            <w:vMerge w:val="continue"/>
            <w:noWrap w:val="0"/>
            <w:vAlign w:val="center"/>
          </w:tcPr>
          <w:p>
            <w:pPr>
              <w:pStyle w:val="48"/>
              <w:jc w:val="center"/>
              <w:rPr>
                <w:rFonts w:hint="default" w:ascii="Times New Roman" w:hAnsi="Times New Roman" w:eastAsia="宋体" w:cs="Times New Roman"/>
                <w:color w:val="auto"/>
                <w:sz w:val="21"/>
                <w:szCs w:val="21"/>
              </w:rPr>
            </w:pPr>
          </w:p>
        </w:tc>
        <w:tc>
          <w:tcPr>
            <w:tcW w:w="469" w:type="pct"/>
            <w:noWrap w:val="0"/>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H</w:t>
            </w:r>
            <w:r>
              <w:rPr>
                <w:rFonts w:hint="default" w:ascii="Times New Roman" w:hAnsi="Times New Roman" w:cs="Times New Roman"/>
                <w:color w:val="auto"/>
                <w:sz w:val="21"/>
                <w:szCs w:val="21"/>
                <w:vertAlign w:val="subscript"/>
              </w:rPr>
              <w:t>2</w:t>
            </w:r>
            <w:r>
              <w:rPr>
                <w:rFonts w:hint="default" w:ascii="Times New Roman" w:hAnsi="Times New Roman" w:cs="Times New Roman"/>
                <w:color w:val="auto"/>
                <w:sz w:val="21"/>
                <w:szCs w:val="21"/>
              </w:rPr>
              <w:t>S</w:t>
            </w:r>
          </w:p>
        </w:tc>
        <w:tc>
          <w:tcPr>
            <w:tcW w:w="2510" w:type="pct"/>
            <w:vMerge w:val="continue"/>
            <w:noWrap w:val="0"/>
            <w:vAlign w:val="center"/>
          </w:tcPr>
          <w:p>
            <w:pPr>
              <w:pStyle w:val="48"/>
              <w:jc w:val="center"/>
              <w:rPr>
                <w:rFonts w:hint="default" w:ascii="Times New Roman" w:hAnsi="Times New Roman" w:eastAsia="宋体" w:cs="Times New Roman"/>
                <w:color w:val="auto"/>
                <w:sz w:val="21"/>
                <w:szCs w:val="21"/>
              </w:rPr>
            </w:pPr>
          </w:p>
        </w:tc>
        <w:tc>
          <w:tcPr>
            <w:tcW w:w="1025"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eastAsia" w:cs="Times New Roman"/>
                <w:bCs/>
                <w:color w:val="auto"/>
                <w:sz w:val="21"/>
                <w:szCs w:val="21"/>
                <w:highlight w:val="none"/>
                <w:vertAlign w:val="baseline"/>
                <w:lang w:val="en-US" w:eastAsia="zh-CN"/>
              </w:rPr>
              <w:t>2.0625</w:t>
            </w:r>
          </w:p>
        </w:tc>
        <w:tc>
          <w:tcPr>
            <w:tcW w:w="1112"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eastAsia" w:cs="Times New Roman"/>
                <w:bCs/>
                <w:color w:val="auto"/>
                <w:sz w:val="21"/>
                <w:szCs w:val="21"/>
                <w:highlight w:val="none"/>
                <w:vertAlign w:val="baseline"/>
                <w:lang w:val="en-US" w:eastAsia="zh-CN"/>
              </w:rPr>
              <w:t>0.0525</w:t>
            </w:r>
          </w:p>
        </w:tc>
        <w:tc>
          <w:tcPr>
            <w:tcW w:w="513" w:type="pct"/>
            <w:vMerge w:val="continue"/>
            <w:noWrap w:val="0"/>
            <w:vAlign w:val="center"/>
          </w:tcPr>
          <w:p>
            <w:pPr>
              <w:pStyle w:val="48"/>
              <w:jc w:val="center"/>
              <w:rPr>
                <w:rFonts w:hint="default" w:ascii="Times New Roman" w:hAnsi="Times New Roman" w:eastAsia="宋体" w:cs="Times New Roman"/>
                <w:color w:val="auto"/>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347" w:type="pct"/>
            <w:vMerge w:val="restart"/>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highlight w:val="none"/>
                <w:vertAlign w:val="baseline"/>
                <w:lang w:val="en-US" w:eastAsia="zh-CN"/>
              </w:rPr>
              <w:t>育肥舍</w:t>
            </w:r>
            <w:r>
              <w:rPr>
                <w:rFonts w:hint="eastAsia" w:ascii="Times New Roman" w:hAnsi="Times New Roman" w:eastAsia="宋体" w:cs="Times New Roman"/>
                <w:bCs/>
                <w:color w:val="auto"/>
                <w:sz w:val="21"/>
                <w:szCs w:val="21"/>
                <w:highlight w:val="none"/>
                <w:vertAlign w:val="baseline"/>
                <w:lang w:val="en-US" w:eastAsia="zh-CN"/>
              </w:rPr>
              <w:t>2</w:t>
            </w:r>
          </w:p>
        </w:tc>
        <w:tc>
          <w:tcPr>
            <w:tcW w:w="469" w:type="pct"/>
            <w:noWrap w:val="0"/>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NH</w:t>
            </w:r>
            <w:r>
              <w:rPr>
                <w:rFonts w:hint="default" w:ascii="Times New Roman" w:hAnsi="Times New Roman" w:cs="Times New Roman"/>
                <w:color w:val="auto"/>
                <w:sz w:val="21"/>
                <w:szCs w:val="21"/>
                <w:vertAlign w:val="subscript"/>
              </w:rPr>
              <w:t>3</w:t>
            </w:r>
          </w:p>
        </w:tc>
        <w:tc>
          <w:tcPr>
            <w:tcW w:w="2510" w:type="pct"/>
            <w:vMerge w:val="continue"/>
            <w:noWrap w:val="0"/>
            <w:vAlign w:val="center"/>
          </w:tcPr>
          <w:p>
            <w:pPr>
              <w:pStyle w:val="48"/>
              <w:jc w:val="center"/>
              <w:rPr>
                <w:rFonts w:hint="default" w:ascii="Times New Roman" w:hAnsi="Times New Roman" w:eastAsia="宋体" w:cs="Times New Roman"/>
                <w:color w:val="auto"/>
                <w:sz w:val="21"/>
                <w:szCs w:val="21"/>
              </w:rPr>
            </w:pPr>
          </w:p>
        </w:tc>
        <w:tc>
          <w:tcPr>
            <w:tcW w:w="1025"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eastAsia" w:cs="Times New Roman"/>
                <w:bCs/>
                <w:color w:val="auto"/>
                <w:sz w:val="21"/>
                <w:szCs w:val="21"/>
                <w:highlight w:val="none"/>
                <w:vertAlign w:val="baseline"/>
                <w:lang w:val="en-US" w:eastAsia="zh-CN"/>
              </w:rPr>
              <w:t>11.0625</w:t>
            </w:r>
          </w:p>
        </w:tc>
        <w:tc>
          <w:tcPr>
            <w:tcW w:w="1112"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eastAsia" w:cs="Times New Roman"/>
                <w:bCs/>
                <w:color w:val="auto"/>
                <w:sz w:val="21"/>
                <w:szCs w:val="21"/>
                <w:highlight w:val="none"/>
                <w:vertAlign w:val="baseline"/>
                <w:lang w:val="en-US" w:eastAsia="zh-CN"/>
              </w:rPr>
              <w:t>0.2775</w:t>
            </w:r>
          </w:p>
        </w:tc>
        <w:tc>
          <w:tcPr>
            <w:tcW w:w="513" w:type="pct"/>
            <w:vMerge w:val="continue"/>
            <w:noWrap w:val="0"/>
            <w:vAlign w:val="center"/>
          </w:tcPr>
          <w:p>
            <w:pPr>
              <w:pStyle w:val="48"/>
              <w:jc w:val="center"/>
              <w:rPr>
                <w:rFonts w:hint="default" w:ascii="Times New Roman" w:hAnsi="Times New Roman" w:eastAsia="宋体" w:cs="Times New Roman"/>
                <w:color w:val="auto"/>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7" w:type="pct"/>
            <w:vMerge w:val="continue"/>
            <w:noWrap w:val="0"/>
            <w:vAlign w:val="center"/>
          </w:tcPr>
          <w:p>
            <w:pPr>
              <w:pStyle w:val="48"/>
              <w:jc w:val="center"/>
              <w:rPr>
                <w:rFonts w:hint="default" w:ascii="Times New Roman" w:hAnsi="Times New Roman" w:eastAsia="宋体" w:cs="Times New Roman"/>
                <w:color w:val="auto"/>
                <w:sz w:val="21"/>
                <w:szCs w:val="21"/>
              </w:rPr>
            </w:pPr>
          </w:p>
        </w:tc>
        <w:tc>
          <w:tcPr>
            <w:tcW w:w="469" w:type="pct"/>
            <w:noWrap w:val="0"/>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H</w:t>
            </w:r>
            <w:r>
              <w:rPr>
                <w:rFonts w:hint="default" w:ascii="Times New Roman" w:hAnsi="Times New Roman" w:cs="Times New Roman"/>
                <w:color w:val="auto"/>
                <w:sz w:val="21"/>
                <w:szCs w:val="21"/>
                <w:vertAlign w:val="subscript"/>
              </w:rPr>
              <w:t>2</w:t>
            </w:r>
            <w:r>
              <w:rPr>
                <w:rFonts w:hint="default" w:ascii="Times New Roman" w:hAnsi="Times New Roman" w:cs="Times New Roman"/>
                <w:color w:val="auto"/>
                <w:sz w:val="21"/>
                <w:szCs w:val="21"/>
              </w:rPr>
              <w:t>S</w:t>
            </w:r>
          </w:p>
        </w:tc>
        <w:tc>
          <w:tcPr>
            <w:tcW w:w="2510" w:type="pct"/>
            <w:vMerge w:val="continue"/>
            <w:noWrap w:val="0"/>
            <w:vAlign w:val="center"/>
          </w:tcPr>
          <w:p>
            <w:pPr>
              <w:pStyle w:val="48"/>
              <w:jc w:val="center"/>
              <w:rPr>
                <w:rFonts w:hint="default" w:ascii="Times New Roman" w:hAnsi="Times New Roman" w:eastAsia="宋体" w:cs="Times New Roman"/>
                <w:color w:val="auto"/>
                <w:sz w:val="21"/>
                <w:szCs w:val="21"/>
              </w:rPr>
            </w:pPr>
          </w:p>
        </w:tc>
        <w:tc>
          <w:tcPr>
            <w:tcW w:w="1025"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eastAsia" w:cs="Times New Roman"/>
                <w:bCs/>
                <w:color w:val="auto"/>
                <w:sz w:val="21"/>
                <w:szCs w:val="21"/>
                <w:highlight w:val="none"/>
                <w:vertAlign w:val="baseline"/>
                <w:lang w:val="en-US" w:eastAsia="zh-CN"/>
              </w:rPr>
              <w:t>2.0625</w:t>
            </w:r>
          </w:p>
        </w:tc>
        <w:tc>
          <w:tcPr>
            <w:tcW w:w="1112"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Cs/>
                <w:color w:val="auto"/>
                <w:sz w:val="21"/>
                <w:szCs w:val="21"/>
                <w:highlight w:val="none"/>
                <w:vertAlign w:val="baseline"/>
                <w:lang w:val="en-US" w:eastAsia="zh-CN"/>
              </w:rPr>
            </w:pPr>
            <w:r>
              <w:rPr>
                <w:rFonts w:hint="eastAsia" w:cs="Times New Roman"/>
                <w:bCs/>
                <w:color w:val="auto"/>
                <w:sz w:val="21"/>
                <w:szCs w:val="21"/>
                <w:highlight w:val="none"/>
                <w:vertAlign w:val="baseline"/>
                <w:lang w:val="en-US" w:eastAsia="zh-CN"/>
              </w:rPr>
              <w:t>0.0525</w:t>
            </w:r>
          </w:p>
        </w:tc>
        <w:tc>
          <w:tcPr>
            <w:tcW w:w="513" w:type="pct"/>
            <w:vMerge w:val="continue"/>
            <w:noWrap w:val="0"/>
            <w:vAlign w:val="center"/>
          </w:tcPr>
          <w:p>
            <w:pPr>
              <w:pStyle w:val="48"/>
              <w:jc w:val="center"/>
              <w:rPr>
                <w:rFonts w:hint="default" w:ascii="Times New Roman" w:hAnsi="Times New Roman" w:eastAsia="宋体" w:cs="Times New Roman"/>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通过实地调研眉山地区同类型养猪场，参考四川省眉山万家好种猪繁育有限公司养殖场，该公司在风机口设置</w:t>
      </w:r>
      <w:r>
        <w:rPr>
          <w:rFonts w:hint="eastAsia" w:ascii="Times New Roman" w:hAnsi="Times New Roman" w:eastAsia="宋体" w:cs="Times New Roman"/>
          <w:color w:val="auto"/>
          <w:sz w:val="24"/>
          <w:szCs w:val="24"/>
          <w:lang w:eastAsia="zh-CN"/>
        </w:rPr>
        <w:t>多层密目网，并在密目网上</w:t>
      </w:r>
      <w:r>
        <w:rPr>
          <w:rFonts w:hint="eastAsia" w:ascii="Times New Roman" w:hAnsi="Times New Roman" w:eastAsia="宋体" w:cs="Times New Roman"/>
          <w:color w:val="auto"/>
          <w:sz w:val="24"/>
          <w:szCs w:val="24"/>
        </w:rPr>
        <w:t>喷洒除臭剂</w:t>
      </w:r>
      <w:r>
        <w:rPr>
          <w:rFonts w:hint="eastAsia" w:ascii="Times New Roman" w:hAnsi="Times New Roman" w:eastAsia="宋体" w:cs="Times New Roman"/>
          <w:color w:val="auto"/>
          <w:sz w:val="24"/>
          <w:szCs w:val="24"/>
          <w:lang w:eastAsia="zh-CN"/>
        </w:rPr>
        <w:t>，除臭效果较好。现场图片如下</w:t>
      </w:r>
      <w:r>
        <w:rPr>
          <w:rFonts w:hint="eastAsia" w:ascii="Times New Roman" w:hAnsi="Times New Roman" w:eastAsia="宋体" w:cs="Times New Roman"/>
          <w:color w:val="auto"/>
          <w:sz w:val="24"/>
          <w:szCs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right="0"/>
        <w:jc w:val="center"/>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drawing>
          <wp:inline distT="0" distB="0" distL="114300" distR="114300">
            <wp:extent cx="2484120" cy="2621915"/>
            <wp:effectExtent l="0" t="0" r="11430" b="6985"/>
            <wp:docPr id="13" name="图片 13" descr="546613cab157473ce278716bdaece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546613cab157473ce278716bdaece67"/>
                    <pic:cNvPicPr>
                      <a:picLocks noChangeAspect="1"/>
                    </pic:cNvPicPr>
                  </pic:nvPicPr>
                  <pic:blipFill>
                    <a:blip r:embed="rId32"/>
                    <a:srcRect b="20862"/>
                    <a:stretch>
                      <a:fillRect/>
                    </a:stretch>
                  </pic:blipFill>
                  <pic:spPr>
                    <a:xfrm>
                      <a:off x="0" y="0"/>
                      <a:ext cx="2484120" cy="26219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hint="eastAsia" w:ascii="Times New Roman" w:hAnsi="Times New Roman" w:eastAsia="宋体"/>
          <w:b/>
          <w:color w:val="auto"/>
          <w:szCs w:val="21"/>
          <w:lang w:eastAsia="zh-CN"/>
        </w:rPr>
      </w:pPr>
      <w:r>
        <w:rPr>
          <w:rFonts w:hint="eastAsia" w:ascii="Times New Roman" w:hAnsi="Times New Roman" w:eastAsia="宋体"/>
          <w:b/>
          <w:color w:val="auto"/>
          <w:szCs w:val="21"/>
          <w:lang w:val="en-US" w:eastAsia="zh-CN"/>
        </w:rPr>
        <w:t>图3.5</w:t>
      </w:r>
      <w:r>
        <w:rPr>
          <w:rFonts w:hint="eastAsia" w:ascii="Times New Roman" w:hAnsi="Times New Roman" w:eastAsia="宋体"/>
          <w:b/>
          <w:color w:val="auto"/>
          <w:szCs w:val="21"/>
        </w:rPr>
        <w:t>-</w:t>
      </w:r>
      <w:r>
        <w:rPr>
          <w:rFonts w:hint="eastAsia" w:ascii="Times New Roman" w:hAnsi="Times New Roman" w:eastAsia="宋体"/>
          <w:b/>
          <w:color w:val="auto"/>
          <w:szCs w:val="21"/>
          <w:lang w:val="en-US" w:eastAsia="zh-CN"/>
        </w:rPr>
        <w:t xml:space="preserve">1 </w:t>
      </w:r>
      <w:r>
        <w:rPr>
          <w:rFonts w:ascii="Times New Roman" w:hAnsi="Times New Roman" w:eastAsia="宋体"/>
          <w:b/>
          <w:color w:val="auto"/>
          <w:szCs w:val="21"/>
        </w:rPr>
        <w:t xml:space="preserve"> </w:t>
      </w:r>
      <w:r>
        <w:rPr>
          <w:rFonts w:hint="eastAsia" w:ascii="Times New Roman" w:hAnsi="Times New Roman" w:eastAsia="宋体"/>
          <w:b/>
          <w:color w:val="auto"/>
          <w:szCs w:val="21"/>
          <w:lang w:eastAsia="zh-CN"/>
        </w:rPr>
        <w:t>风机口除臭网</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2" w:firstLineChars="200"/>
        <w:textAlignment w:val="auto"/>
        <w:rPr>
          <w:rFonts w:hint="eastAsia" w:ascii="Times New Roman" w:hAnsi="Times New Roman" w:eastAsia="宋体" w:cs="Times New Roman"/>
          <w:b/>
          <w:bCs/>
          <w:color w:val="auto"/>
          <w:sz w:val="24"/>
          <w:szCs w:val="24"/>
        </w:rPr>
      </w:pPr>
      <w:r>
        <w:rPr>
          <w:rFonts w:hint="eastAsia" w:ascii="Times New Roman" w:hAnsi="Times New Roman" w:eastAsia="宋体" w:cs="Times New Roman"/>
          <w:b/>
          <w:bCs/>
          <w:color w:val="auto"/>
          <w:sz w:val="24"/>
          <w:szCs w:val="24"/>
          <w:lang w:val="en-US" w:eastAsia="zh-CN"/>
        </w:rPr>
        <w:t>B、</w:t>
      </w:r>
      <w:r>
        <w:rPr>
          <w:rFonts w:hint="eastAsia" w:ascii="Times New Roman" w:hAnsi="Times New Roman" w:eastAsia="宋体" w:cs="Times New Roman"/>
          <w:b/>
          <w:bCs/>
          <w:color w:val="auto"/>
          <w:sz w:val="24"/>
          <w:szCs w:val="24"/>
          <w:lang w:eastAsia="zh-CN"/>
        </w:rPr>
        <w:t>污水处理区（</w:t>
      </w:r>
      <w:r>
        <w:rPr>
          <w:rFonts w:hint="eastAsia" w:ascii="Times New Roman" w:hAnsi="Times New Roman" w:eastAsia="宋体" w:cs="Times New Roman"/>
          <w:b/>
          <w:bCs/>
          <w:color w:val="auto"/>
          <w:sz w:val="24"/>
          <w:szCs w:val="24"/>
          <w:lang w:val="en-US" w:eastAsia="zh-CN"/>
        </w:rPr>
        <w:t>沼液储蓄池</w:t>
      </w:r>
      <w:r>
        <w:rPr>
          <w:rFonts w:hint="eastAsia" w:ascii="Times New Roman" w:hAnsi="Times New Roman" w:eastAsia="宋体" w:cs="Times New Roman"/>
          <w:b/>
          <w:bCs/>
          <w:color w:val="auto"/>
          <w:sz w:val="24"/>
          <w:szCs w:val="24"/>
          <w:lang w:eastAsia="zh-CN"/>
        </w:rPr>
        <w:t>）</w:t>
      </w:r>
      <w:r>
        <w:rPr>
          <w:rFonts w:hint="eastAsia" w:ascii="Times New Roman" w:hAnsi="Times New Roman" w:eastAsia="宋体" w:cs="Times New Roman"/>
          <w:b/>
          <w:bCs/>
          <w:color w:val="auto"/>
          <w:sz w:val="24"/>
          <w:szCs w:val="24"/>
        </w:rPr>
        <w:t>恶臭</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本项目污水处理区主要包括集粪池、固液分离设施、污泥池、预沉池、缺氧池、好氧池、二沉池和深度反应池等。污水处理区集粪池、</w:t>
      </w:r>
      <w:r>
        <w:rPr>
          <w:rFonts w:hint="eastAsia" w:ascii="Times New Roman" w:hAnsi="Times New Roman" w:eastAsia="宋体" w:cs="Times New Roman"/>
          <w:color w:val="auto"/>
          <w:sz w:val="24"/>
          <w:szCs w:val="24"/>
          <w:lang w:val="en-US" w:eastAsia="zh-CN"/>
        </w:rPr>
        <w:t>格栅</w:t>
      </w:r>
      <w:r>
        <w:rPr>
          <w:rFonts w:hint="eastAsia" w:ascii="Times New Roman" w:hAnsi="Times New Roman" w:eastAsia="宋体" w:cs="Times New Roman"/>
          <w:color w:val="auto"/>
          <w:sz w:val="24"/>
          <w:szCs w:val="24"/>
          <w:lang w:eastAsia="zh-CN"/>
        </w:rPr>
        <w:t>池、</w:t>
      </w:r>
      <w:r>
        <w:rPr>
          <w:rFonts w:hint="eastAsia" w:ascii="Times New Roman" w:hAnsi="Times New Roman" w:eastAsia="宋体" w:cs="Times New Roman"/>
          <w:color w:val="auto"/>
          <w:sz w:val="24"/>
          <w:szCs w:val="24"/>
          <w:lang w:val="en-US" w:eastAsia="zh-CN"/>
        </w:rPr>
        <w:t>污泥池（调节池）</w:t>
      </w:r>
      <w:r>
        <w:rPr>
          <w:rFonts w:hint="eastAsia" w:ascii="Times New Roman" w:hAnsi="Times New Roman" w:eastAsia="宋体" w:cs="Times New Roman"/>
          <w:color w:val="auto"/>
          <w:sz w:val="24"/>
          <w:szCs w:val="24"/>
          <w:lang w:eastAsia="zh-CN"/>
        </w:rPr>
        <w:t>均为密闭式，根据类比同类型项目，污水处理区</w:t>
      </w:r>
      <w:r>
        <w:rPr>
          <w:rFonts w:hint="eastAsia" w:ascii="Times New Roman" w:hAnsi="Times New Roman" w:eastAsia="宋体" w:cs="Times New Roman"/>
          <w:color w:val="auto"/>
          <w:sz w:val="24"/>
          <w:szCs w:val="24"/>
        </w:rPr>
        <w:t>恶臭主要来自污水系统中的</w:t>
      </w:r>
      <w:r>
        <w:rPr>
          <w:rFonts w:hint="eastAsia" w:ascii="Times New Roman" w:hAnsi="Times New Roman" w:eastAsia="宋体" w:cs="Times New Roman"/>
          <w:color w:val="auto"/>
          <w:sz w:val="24"/>
          <w:szCs w:val="24"/>
          <w:lang w:eastAsia="zh-CN"/>
        </w:rPr>
        <w:t>氧化塘（储蓄池）</w:t>
      </w:r>
      <w:r>
        <w:rPr>
          <w:rFonts w:hint="eastAsia" w:ascii="Times New Roman" w:hAnsi="Times New Roman" w:eastAsia="宋体" w:cs="Times New Roman"/>
          <w:color w:val="auto"/>
          <w:sz w:val="24"/>
          <w:szCs w:val="24"/>
        </w:rPr>
        <w:t>。其主要恶臭物质有氨气（NH</w:t>
      </w:r>
      <w:r>
        <w:rPr>
          <w:rFonts w:hint="eastAsia" w:ascii="Times New Roman" w:hAnsi="Times New Roman" w:eastAsia="宋体" w:cs="Times New Roman"/>
          <w:color w:val="auto"/>
          <w:sz w:val="24"/>
          <w:szCs w:val="24"/>
          <w:vertAlign w:val="subscript"/>
        </w:rPr>
        <w:t>3</w:t>
      </w:r>
      <w:r>
        <w:rPr>
          <w:rFonts w:hint="eastAsia" w:ascii="Times New Roman" w:hAnsi="Times New Roman" w:eastAsia="宋体" w:cs="Times New Roman"/>
          <w:color w:val="auto"/>
          <w:sz w:val="24"/>
          <w:szCs w:val="24"/>
        </w:rPr>
        <w:t>）和硫化氢（H</w:t>
      </w:r>
      <w:r>
        <w:rPr>
          <w:rFonts w:hint="eastAsia" w:ascii="Times New Roman" w:hAnsi="Times New Roman" w:eastAsia="宋体" w:cs="Times New Roman"/>
          <w:color w:val="auto"/>
          <w:sz w:val="24"/>
          <w:szCs w:val="24"/>
          <w:vertAlign w:val="subscript"/>
        </w:rPr>
        <w:t>2</w:t>
      </w:r>
      <w:r>
        <w:rPr>
          <w:rFonts w:hint="eastAsia" w:ascii="Times New Roman" w:hAnsi="Times New Roman" w:eastAsia="宋体" w:cs="Times New Roman"/>
          <w:color w:val="auto"/>
          <w:sz w:val="24"/>
          <w:szCs w:val="24"/>
        </w:rPr>
        <w:t>S）</w:t>
      </w:r>
      <w:r>
        <w:rPr>
          <w:rFonts w:hint="eastAsia" w:ascii="Times New Roman" w:hAnsi="Times New Roman" w:eastAsia="宋体" w:cs="Times New Roman"/>
          <w:color w:val="auto"/>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 xml:space="preserve">参考浙江大学硕士学位论文《猪场沼液储存中的气体排放研究》，确定沼液NH </w:t>
      </w:r>
      <w:r>
        <w:rPr>
          <w:rFonts w:hint="eastAsia" w:ascii="Times New Roman" w:hAnsi="Times New Roman" w:eastAsia="宋体" w:cs="Times New Roman"/>
          <w:color w:val="auto"/>
          <w:sz w:val="24"/>
          <w:szCs w:val="24"/>
          <w:vertAlign w:val="subscript"/>
          <w:lang w:eastAsia="zh-CN"/>
        </w:rPr>
        <w:t>3</w:t>
      </w:r>
      <w:r>
        <w:rPr>
          <w:rFonts w:hint="eastAsia" w:ascii="Times New Roman" w:hAnsi="Times New Roman" w:eastAsia="宋体" w:cs="Times New Roman"/>
          <w:color w:val="auto"/>
          <w:sz w:val="24"/>
          <w:szCs w:val="24"/>
          <w:lang w:eastAsia="zh-CN"/>
        </w:rPr>
        <w:t>、H</w:t>
      </w:r>
      <w:r>
        <w:rPr>
          <w:rFonts w:hint="eastAsia" w:ascii="Times New Roman" w:hAnsi="Times New Roman" w:eastAsia="宋体" w:cs="Times New Roman"/>
          <w:color w:val="auto"/>
          <w:sz w:val="24"/>
          <w:szCs w:val="24"/>
          <w:vertAlign w:val="subscript"/>
          <w:lang w:eastAsia="zh-CN"/>
        </w:rPr>
        <w:t>2</w:t>
      </w:r>
      <w:r>
        <w:rPr>
          <w:rFonts w:hint="eastAsia" w:ascii="Times New Roman" w:hAnsi="Times New Roman" w:eastAsia="宋体" w:cs="Times New Roman"/>
          <w:color w:val="auto"/>
          <w:sz w:val="24"/>
          <w:szCs w:val="24"/>
          <w:lang w:eastAsia="zh-CN"/>
        </w:rPr>
        <w:t>S稳定排放浓度分别为</w:t>
      </w:r>
      <w:r>
        <w:rPr>
          <w:rFonts w:hint="eastAsia" w:ascii="Times New Roman" w:hAnsi="Times New Roman" w:eastAsia="宋体" w:cs="Times New Roman"/>
          <w:color w:val="auto"/>
          <w:sz w:val="24"/>
          <w:szCs w:val="24"/>
          <w:lang w:val="en-US" w:eastAsia="zh-CN"/>
        </w:rPr>
        <w:t>0.12mg/ m</w:t>
      </w:r>
      <w:r>
        <w:rPr>
          <w:rFonts w:hint="eastAsia" w:ascii="Times New Roman" w:hAnsi="Times New Roman" w:eastAsia="宋体" w:cs="Times New Roman"/>
          <w:color w:val="auto"/>
          <w:sz w:val="24"/>
          <w:szCs w:val="24"/>
          <w:vertAlign w:val="superscript"/>
          <w:lang w:val="en-US" w:eastAsia="zh-CN"/>
        </w:rPr>
        <w:t>2</w:t>
      </w:r>
      <w:r>
        <w:rPr>
          <w:rFonts w:hint="eastAsia" w:ascii="Times New Roman" w:hAnsi="Times New Roman" w:eastAsia="宋体" w:cs="Times New Roman"/>
          <w:color w:val="auto"/>
          <w:sz w:val="24"/>
          <w:szCs w:val="24"/>
          <w:lang w:val="en-US" w:eastAsia="zh-CN"/>
        </w:rPr>
        <w:t>/ min、0.35ug/m</w:t>
      </w:r>
      <w:r>
        <w:rPr>
          <w:rFonts w:hint="eastAsia" w:ascii="Times New Roman" w:hAnsi="Times New Roman" w:eastAsia="宋体" w:cs="Times New Roman"/>
          <w:color w:val="auto"/>
          <w:sz w:val="24"/>
          <w:szCs w:val="24"/>
          <w:vertAlign w:val="superscript"/>
          <w:lang w:val="en-US" w:eastAsia="zh-CN"/>
        </w:rPr>
        <w:t>2</w:t>
      </w:r>
      <w:r>
        <w:rPr>
          <w:rFonts w:hint="eastAsia" w:ascii="Times New Roman" w:hAnsi="Times New Roman" w:eastAsia="宋体" w:cs="Times New Roman"/>
          <w:color w:val="auto"/>
          <w:sz w:val="24"/>
          <w:szCs w:val="24"/>
          <w:lang w:val="en-US" w:eastAsia="zh-CN"/>
        </w:rPr>
        <w:t>/ min。本项目储蓄池面积为1180m</w:t>
      </w:r>
      <w:r>
        <w:rPr>
          <w:rFonts w:hint="eastAsia" w:ascii="Times New Roman" w:hAnsi="Times New Roman" w:eastAsia="宋体" w:cs="Times New Roman"/>
          <w:color w:val="auto"/>
          <w:sz w:val="24"/>
          <w:szCs w:val="24"/>
          <w:vertAlign w:val="superscript"/>
          <w:lang w:val="en-US" w:eastAsia="zh-CN"/>
        </w:rPr>
        <w:t>2</w:t>
      </w:r>
      <w:r>
        <w:rPr>
          <w:rFonts w:hint="eastAsia" w:ascii="Times New Roman" w:hAnsi="Times New Roman" w:eastAsia="宋体" w:cs="Times New Roman"/>
          <w:color w:val="auto"/>
          <w:sz w:val="24"/>
          <w:szCs w:val="24"/>
          <w:lang w:val="en-US" w:eastAsia="zh-CN"/>
        </w:rPr>
        <w:t>，则储蓄池</w:t>
      </w:r>
      <w:r>
        <w:rPr>
          <w:rFonts w:hint="eastAsia" w:ascii="Times New Roman" w:hAnsi="Times New Roman" w:eastAsia="宋体" w:cs="Times New Roman"/>
          <w:color w:val="auto"/>
          <w:sz w:val="24"/>
          <w:szCs w:val="24"/>
          <w:lang w:eastAsia="zh-CN"/>
        </w:rPr>
        <w:t>NH</w:t>
      </w:r>
      <w:r>
        <w:rPr>
          <w:rFonts w:hint="eastAsia" w:ascii="Times New Roman" w:hAnsi="Times New Roman" w:eastAsia="宋体" w:cs="Times New Roman"/>
          <w:color w:val="auto"/>
          <w:sz w:val="24"/>
          <w:szCs w:val="24"/>
          <w:vertAlign w:val="subscript"/>
          <w:lang w:eastAsia="zh-CN"/>
        </w:rPr>
        <w:t>3</w:t>
      </w:r>
      <w:r>
        <w:rPr>
          <w:rFonts w:hint="eastAsia" w:ascii="Times New Roman" w:hAnsi="Times New Roman" w:eastAsia="宋体" w:cs="Times New Roman"/>
          <w:color w:val="auto"/>
          <w:sz w:val="24"/>
          <w:szCs w:val="24"/>
          <w:lang w:eastAsia="zh-CN"/>
        </w:rPr>
        <w:t>排放速率为</w:t>
      </w:r>
      <w:r>
        <w:rPr>
          <w:rFonts w:hint="eastAsia" w:ascii="Times New Roman" w:hAnsi="Times New Roman" w:eastAsia="宋体" w:cs="Times New Roman"/>
          <w:color w:val="auto"/>
          <w:sz w:val="24"/>
          <w:szCs w:val="24"/>
          <w:lang w:val="en-US" w:eastAsia="zh-CN"/>
        </w:rPr>
        <w:t>141.60mg/min，排放量为74.42kg/a；</w:t>
      </w:r>
      <w:r>
        <w:rPr>
          <w:rFonts w:hint="eastAsia" w:ascii="Times New Roman" w:hAnsi="Times New Roman" w:eastAsia="宋体" w:cs="Times New Roman"/>
          <w:color w:val="auto"/>
          <w:sz w:val="24"/>
          <w:szCs w:val="24"/>
          <w:lang w:eastAsia="zh-CN"/>
        </w:rPr>
        <w:t>H</w:t>
      </w:r>
      <w:r>
        <w:rPr>
          <w:rFonts w:hint="eastAsia" w:ascii="Times New Roman" w:hAnsi="Times New Roman" w:eastAsia="宋体" w:cs="Times New Roman"/>
          <w:color w:val="auto"/>
          <w:sz w:val="24"/>
          <w:szCs w:val="24"/>
          <w:vertAlign w:val="subscript"/>
          <w:lang w:eastAsia="zh-CN"/>
        </w:rPr>
        <w:t>2</w:t>
      </w:r>
      <w:r>
        <w:rPr>
          <w:rFonts w:hint="eastAsia" w:ascii="Times New Roman" w:hAnsi="Times New Roman" w:eastAsia="宋体" w:cs="Times New Roman"/>
          <w:color w:val="auto"/>
          <w:sz w:val="24"/>
          <w:szCs w:val="24"/>
          <w:lang w:eastAsia="zh-CN"/>
        </w:rPr>
        <w:t>S排放速率为</w:t>
      </w:r>
      <w:r>
        <w:rPr>
          <w:rFonts w:hint="eastAsia" w:ascii="Times New Roman" w:hAnsi="Times New Roman" w:eastAsia="宋体" w:cs="Times New Roman"/>
          <w:color w:val="auto"/>
          <w:sz w:val="24"/>
          <w:szCs w:val="24"/>
          <w:lang w:val="en-US" w:eastAsia="zh-CN"/>
        </w:rPr>
        <w:t>0.41mg/min，排放量为0.22kg/a</w:t>
      </w:r>
      <w:r>
        <w:rPr>
          <w:rFonts w:hint="eastAsia" w:ascii="Times New Roman" w:hAnsi="Times New Roman" w:eastAsia="宋体" w:cs="Times New Roman"/>
          <w:color w:val="auto"/>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2" w:firstLineChars="200"/>
        <w:textAlignment w:val="auto"/>
        <w:rPr>
          <w:rFonts w:hint="eastAsia" w:ascii="Times New Roman" w:hAnsi="Times New Roman" w:eastAsia="宋体" w:cs="Times New Roman"/>
          <w:b/>
          <w:bCs/>
          <w:color w:val="auto"/>
          <w:sz w:val="24"/>
          <w:szCs w:val="24"/>
          <w:lang w:eastAsia="zh-CN"/>
        </w:rPr>
      </w:pPr>
      <w:r>
        <w:rPr>
          <w:rFonts w:hint="eastAsia" w:ascii="Times New Roman" w:hAnsi="Times New Roman" w:eastAsia="宋体" w:cs="Times New Roman"/>
          <w:b/>
          <w:bCs/>
          <w:color w:val="auto"/>
          <w:sz w:val="24"/>
          <w:szCs w:val="24"/>
          <w:lang w:eastAsia="zh-CN"/>
        </w:rPr>
        <w:t>治理措施：</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本项目在</w:t>
      </w:r>
      <w:r>
        <w:rPr>
          <w:rFonts w:hint="eastAsia" w:ascii="Times New Roman" w:hAnsi="Times New Roman" w:eastAsia="宋体" w:cs="Times New Roman"/>
          <w:color w:val="auto"/>
          <w:sz w:val="24"/>
          <w:szCs w:val="24"/>
          <w:lang w:val="en-US" w:eastAsia="zh-CN"/>
        </w:rPr>
        <w:t>氧化塘（储蓄池）</w:t>
      </w:r>
      <w:r>
        <w:rPr>
          <w:rFonts w:hint="default" w:ascii="Times New Roman" w:hAnsi="Times New Roman" w:eastAsia="宋体" w:cs="Times New Roman"/>
          <w:color w:val="auto"/>
          <w:sz w:val="24"/>
          <w:szCs w:val="24"/>
          <w:lang w:val="en-US" w:eastAsia="zh-CN"/>
        </w:rPr>
        <w:t>周围加强绿化措施，利用植物吸收臭气，减小</w:t>
      </w:r>
      <w:r>
        <w:rPr>
          <w:rFonts w:hint="eastAsia" w:ascii="Times New Roman" w:hAnsi="Times New Roman" w:eastAsia="宋体" w:cs="Times New Roman"/>
          <w:color w:val="auto"/>
          <w:sz w:val="24"/>
          <w:szCs w:val="24"/>
          <w:lang w:val="en-US" w:eastAsia="zh-CN"/>
        </w:rPr>
        <w:t>储蓄池</w:t>
      </w:r>
      <w:r>
        <w:rPr>
          <w:rFonts w:hint="default" w:ascii="Times New Roman" w:hAnsi="Times New Roman" w:eastAsia="宋体" w:cs="Times New Roman"/>
          <w:color w:val="auto"/>
          <w:sz w:val="24"/>
          <w:szCs w:val="24"/>
          <w:lang w:val="en-US" w:eastAsia="zh-CN"/>
        </w:rPr>
        <w:t>的臭气排放。</w:t>
      </w:r>
      <w:r>
        <w:rPr>
          <w:rFonts w:hint="eastAsia" w:ascii="Times New Roman" w:hAnsi="Times New Roman" w:eastAsia="宋体" w:cs="Times New Roman"/>
          <w:color w:val="auto"/>
          <w:sz w:val="24"/>
          <w:szCs w:val="24"/>
          <w:lang w:val="en-US" w:eastAsia="zh-CN"/>
        </w:rPr>
        <w:t>环评要求，定期氧化塘（储蓄池）对喷洒除臭剂进行脱臭。污水处理区臭气经植物吸收，喷洒除臭剂处理除臭效率按20%计算。则经处理后</w:t>
      </w:r>
      <w:r>
        <w:rPr>
          <w:rFonts w:hint="eastAsia" w:ascii="Times New Roman" w:hAnsi="Times New Roman" w:eastAsia="宋体" w:cs="Times New Roman"/>
          <w:color w:val="auto"/>
          <w:sz w:val="24"/>
          <w:szCs w:val="24"/>
          <w:lang w:eastAsia="zh-CN"/>
        </w:rPr>
        <w:t>NH</w:t>
      </w:r>
      <w:r>
        <w:rPr>
          <w:rFonts w:hint="eastAsia" w:ascii="Times New Roman" w:hAnsi="Times New Roman" w:eastAsia="宋体" w:cs="Times New Roman"/>
          <w:color w:val="auto"/>
          <w:sz w:val="24"/>
          <w:szCs w:val="24"/>
          <w:vertAlign w:val="subscript"/>
          <w:lang w:eastAsia="zh-CN"/>
        </w:rPr>
        <w:t>3</w:t>
      </w:r>
      <w:r>
        <w:rPr>
          <w:rFonts w:hint="eastAsia" w:ascii="Times New Roman" w:hAnsi="Times New Roman" w:eastAsia="宋体" w:cs="Times New Roman"/>
          <w:color w:val="auto"/>
          <w:sz w:val="24"/>
          <w:szCs w:val="24"/>
          <w:lang w:eastAsia="zh-CN"/>
        </w:rPr>
        <w:t>排放速率为</w:t>
      </w:r>
      <w:r>
        <w:rPr>
          <w:rFonts w:hint="eastAsia" w:ascii="Times New Roman" w:hAnsi="Times New Roman" w:eastAsia="宋体" w:cs="Times New Roman"/>
          <w:color w:val="auto"/>
          <w:sz w:val="24"/>
          <w:szCs w:val="24"/>
          <w:lang w:val="en-US" w:eastAsia="zh-CN"/>
        </w:rPr>
        <w:t>113.28mg/min，排放量为59.78kg/a；</w:t>
      </w:r>
      <w:r>
        <w:rPr>
          <w:rFonts w:hint="eastAsia" w:ascii="Times New Roman" w:hAnsi="Times New Roman" w:eastAsia="宋体" w:cs="Times New Roman"/>
          <w:color w:val="auto"/>
          <w:sz w:val="24"/>
          <w:szCs w:val="24"/>
          <w:lang w:eastAsia="zh-CN"/>
        </w:rPr>
        <w:t>H</w:t>
      </w:r>
      <w:r>
        <w:rPr>
          <w:rFonts w:hint="eastAsia" w:ascii="Times New Roman" w:hAnsi="Times New Roman" w:eastAsia="宋体" w:cs="Times New Roman"/>
          <w:color w:val="auto"/>
          <w:sz w:val="24"/>
          <w:szCs w:val="24"/>
          <w:vertAlign w:val="subscript"/>
          <w:lang w:eastAsia="zh-CN"/>
        </w:rPr>
        <w:t>2</w:t>
      </w:r>
      <w:r>
        <w:rPr>
          <w:rFonts w:hint="eastAsia" w:ascii="Times New Roman" w:hAnsi="Times New Roman" w:eastAsia="宋体" w:cs="Times New Roman"/>
          <w:color w:val="auto"/>
          <w:sz w:val="24"/>
          <w:szCs w:val="24"/>
          <w:lang w:eastAsia="zh-CN"/>
        </w:rPr>
        <w:t>S排放速率为</w:t>
      </w:r>
      <w:r>
        <w:rPr>
          <w:rFonts w:hint="eastAsia" w:ascii="Times New Roman" w:hAnsi="Times New Roman" w:eastAsia="宋体" w:cs="Times New Roman"/>
          <w:color w:val="auto"/>
          <w:sz w:val="24"/>
          <w:szCs w:val="24"/>
          <w:lang w:val="en-US" w:eastAsia="zh-CN"/>
        </w:rPr>
        <w:t>0.33mg/min，排放量为0.18kg/a</w:t>
      </w:r>
      <w:r>
        <w:rPr>
          <w:rFonts w:hint="eastAsia" w:ascii="Times New Roman" w:hAnsi="Times New Roman" w:eastAsia="宋体" w:cs="Times New Roman"/>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hint="eastAsia"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rPr>
        <w:t>表</w:t>
      </w:r>
      <w:r>
        <w:rPr>
          <w:rFonts w:hint="eastAsia" w:ascii="Times New Roman" w:hAnsi="Times New Roman" w:cs="Times New Roman"/>
          <w:b/>
          <w:bCs/>
          <w:color w:val="auto"/>
          <w:sz w:val="21"/>
          <w:szCs w:val="21"/>
          <w:lang w:val="en-US" w:eastAsia="zh-CN"/>
        </w:rPr>
        <w:t>3.5</w:t>
      </w:r>
      <w:r>
        <w:rPr>
          <w:rFonts w:hint="eastAsia" w:ascii="Times New Roman" w:hAnsi="Times New Roman" w:cs="Times New Roman"/>
          <w:b/>
          <w:bCs/>
          <w:color w:val="auto"/>
          <w:sz w:val="21"/>
          <w:szCs w:val="21"/>
        </w:rPr>
        <w:t>-</w:t>
      </w:r>
      <w:r>
        <w:rPr>
          <w:rFonts w:hint="eastAsia" w:ascii="Times New Roman" w:hAnsi="Times New Roman" w:cs="Times New Roman"/>
          <w:b/>
          <w:bCs/>
          <w:color w:val="auto"/>
          <w:sz w:val="21"/>
          <w:szCs w:val="21"/>
          <w:lang w:val="en-US" w:eastAsia="zh-CN"/>
        </w:rPr>
        <w:t xml:space="preserve">8 </w:t>
      </w:r>
      <w:r>
        <w:rPr>
          <w:rFonts w:hint="default" w:ascii="Times New Roman" w:hAnsi="Times New Roman" w:cs="Times New Roman"/>
          <w:b/>
          <w:bCs/>
          <w:color w:val="auto"/>
          <w:sz w:val="21"/>
          <w:szCs w:val="21"/>
        </w:rPr>
        <w:t xml:space="preserve"> </w:t>
      </w:r>
      <w:r>
        <w:rPr>
          <w:rFonts w:hint="eastAsia" w:ascii="Times New Roman" w:hAnsi="Times New Roman" w:cs="Times New Roman"/>
          <w:b/>
          <w:bCs/>
          <w:color w:val="auto"/>
          <w:sz w:val="21"/>
          <w:szCs w:val="21"/>
          <w:lang w:eastAsia="zh-CN"/>
        </w:rPr>
        <w:t>项目污水处理区（</w:t>
      </w:r>
      <w:r>
        <w:rPr>
          <w:rFonts w:hint="eastAsia" w:ascii="Times New Roman" w:hAnsi="Times New Roman" w:cs="Times New Roman"/>
          <w:b/>
          <w:bCs/>
          <w:color w:val="auto"/>
          <w:sz w:val="21"/>
          <w:szCs w:val="21"/>
          <w:lang w:val="en-US" w:eastAsia="zh-CN"/>
        </w:rPr>
        <w:t>沼液储蓄池</w:t>
      </w:r>
      <w:r>
        <w:rPr>
          <w:rFonts w:hint="eastAsia" w:ascii="Times New Roman" w:hAnsi="Times New Roman" w:cs="Times New Roman"/>
          <w:b/>
          <w:bCs/>
          <w:color w:val="auto"/>
          <w:sz w:val="21"/>
          <w:szCs w:val="21"/>
          <w:lang w:eastAsia="zh-CN"/>
        </w:rPr>
        <w:t>）恶臭气体排放情况一览表</w:t>
      </w:r>
    </w:p>
    <w:tbl>
      <w:tblPr>
        <w:tblStyle w:val="34"/>
        <w:tblW w:w="4997" w:type="pct"/>
        <w:tblInd w:w="0" w:type="dxa"/>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fixed"/>
        <w:tblCellMar>
          <w:top w:w="0" w:type="dxa"/>
          <w:left w:w="28" w:type="dxa"/>
          <w:bottom w:w="0" w:type="dxa"/>
          <w:right w:w="28" w:type="dxa"/>
        </w:tblCellMar>
      </w:tblPr>
      <w:tblGrid>
        <w:gridCol w:w="1624"/>
        <w:gridCol w:w="1150"/>
        <w:gridCol w:w="1175"/>
        <w:gridCol w:w="2064"/>
        <w:gridCol w:w="1177"/>
        <w:gridCol w:w="945"/>
        <w:gridCol w:w="920"/>
      </w:tblGrid>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28" w:type="dxa"/>
            <w:bottom w:w="0" w:type="dxa"/>
            <w:right w:w="28" w:type="dxa"/>
          </w:tblCellMar>
        </w:tblPrEx>
        <w:trPr>
          <w:trHeight w:val="474" w:hRule="atLeast"/>
        </w:trPr>
        <w:tc>
          <w:tcPr>
            <w:tcW w:w="896" w:type="pct"/>
            <w:vMerge w:val="restart"/>
            <w:noWrap w:val="0"/>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污染源</w:t>
            </w:r>
          </w:p>
        </w:tc>
        <w:tc>
          <w:tcPr>
            <w:tcW w:w="1283" w:type="pct"/>
            <w:gridSpan w:val="2"/>
            <w:noWrap w:val="0"/>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污染物产生源强</w:t>
            </w:r>
          </w:p>
        </w:tc>
        <w:tc>
          <w:tcPr>
            <w:tcW w:w="1139" w:type="pct"/>
            <w:vMerge w:val="restart"/>
            <w:noWrap w:val="0"/>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拟采取措施</w:t>
            </w:r>
          </w:p>
        </w:tc>
        <w:tc>
          <w:tcPr>
            <w:tcW w:w="1171" w:type="pct"/>
            <w:gridSpan w:val="2"/>
            <w:noWrap w:val="0"/>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污染物排放情况数</w:t>
            </w:r>
          </w:p>
        </w:tc>
        <w:tc>
          <w:tcPr>
            <w:tcW w:w="508" w:type="pct"/>
            <w:vMerge w:val="restart"/>
            <w:noWrap w:val="0"/>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排放方式</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28" w:type="dxa"/>
            <w:bottom w:w="0" w:type="dxa"/>
            <w:right w:w="28" w:type="dxa"/>
          </w:tblCellMar>
        </w:tblPrEx>
        <w:trPr>
          <w:trHeight w:val="298" w:hRule="atLeast"/>
        </w:trPr>
        <w:tc>
          <w:tcPr>
            <w:tcW w:w="896" w:type="pct"/>
            <w:vMerge w:val="continue"/>
            <w:noWrap w:val="0"/>
            <w:vAlign w:val="center"/>
          </w:tcPr>
          <w:p>
            <w:pPr>
              <w:pStyle w:val="98"/>
              <w:jc w:val="center"/>
              <w:rPr>
                <w:rFonts w:hint="eastAsia" w:ascii="Times New Roman" w:hAnsi="Times New Roman" w:cs="Times New Roman"/>
                <w:color w:val="auto"/>
                <w:szCs w:val="21"/>
                <w:lang w:val="en-US" w:eastAsia="zh-CN"/>
              </w:rPr>
            </w:pPr>
          </w:p>
        </w:tc>
        <w:tc>
          <w:tcPr>
            <w:tcW w:w="635" w:type="pct"/>
            <w:noWrap w:val="0"/>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NH</w:t>
            </w:r>
            <w:r>
              <w:rPr>
                <w:rFonts w:hint="eastAsia" w:ascii="Times New Roman" w:hAnsi="Times New Roman" w:cs="Times New Roman"/>
                <w:b/>
                <w:bCs/>
                <w:color w:val="auto"/>
                <w:szCs w:val="21"/>
                <w:vertAlign w:val="subscript"/>
                <w:lang w:val="en-US" w:eastAsia="zh-CN"/>
              </w:rPr>
              <w:t>3</w:t>
            </w:r>
            <w:r>
              <w:rPr>
                <w:rFonts w:hint="eastAsia" w:ascii="Times New Roman" w:hAnsi="Times New Roman" w:cs="Times New Roman"/>
                <w:b/>
                <w:bCs/>
                <w:color w:val="auto"/>
                <w:szCs w:val="21"/>
                <w:lang w:val="en-US" w:eastAsia="zh-CN"/>
              </w:rPr>
              <w:t>（g/h）</w:t>
            </w:r>
          </w:p>
        </w:tc>
        <w:tc>
          <w:tcPr>
            <w:tcW w:w="648" w:type="pct"/>
            <w:noWrap w:val="0"/>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H</w:t>
            </w:r>
            <w:r>
              <w:rPr>
                <w:rFonts w:hint="eastAsia" w:ascii="Times New Roman" w:hAnsi="Times New Roman" w:cs="Times New Roman"/>
                <w:b/>
                <w:bCs/>
                <w:color w:val="auto"/>
                <w:szCs w:val="21"/>
                <w:vertAlign w:val="subscript"/>
                <w:lang w:val="en-US" w:eastAsia="zh-CN"/>
              </w:rPr>
              <w:t>2</w:t>
            </w:r>
            <w:r>
              <w:rPr>
                <w:rFonts w:hint="eastAsia" w:ascii="Times New Roman" w:hAnsi="Times New Roman" w:cs="Times New Roman"/>
                <w:b/>
                <w:bCs/>
                <w:color w:val="auto"/>
                <w:szCs w:val="21"/>
                <w:lang w:val="en-US" w:eastAsia="zh-CN"/>
              </w:rPr>
              <w:t>S（g/h）</w:t>
            </w:r>
          </w:p>
        </w:tc>
        <w:tc>
          <w:tcPr>
            <w:tcW w:w="1139" w:type="pct"/>
            <w:vMerge w:val="continue"/>
            <w:noWrap w:val="0"/>
            <w:vAlign w:val="center"/>
          </w:tcPr>
          <w:p>
            <w:pPr>
              <w:pStyle w:val="98"/>
              <w:jc w:val="center"/>
              <w:rPr>
                <w:rFonts w:hint="eastAsia" w:ascii="Times New Roman" w:hAnsi="Times New Roman" w:cs="Times New Roman"/>
                <w:color w:val="auto"/>
                <w:szCs w:val="21"/>
                <w:lang w:val="en-US" w:eastAsia="zh-CN"/>
              </w:rPr>
            </w:pPr>
          </w:p>
        </w:tc>
        <w:tc>
          <w:tcPr>
            <w:tcW w:w="649" w:type="pct"/>
            <w:noWrap w:val="0"/>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NH</w:t>
            </w:r>
            <w:r>
              <w:rPr>
                <w:rFonts w:hint="eastAsia" w:ascii="Times New Roman" w:hAnsi="Times New Roman" w:cs="Times New Roman"/>
                <w:b/>
                <w:bCs/>
                <w:color w:val="auto"/>
                <w:szCs w:val="21"/>
                <w:vertAlign w:val="subscript"/>
                <w:lang w:val="en-US" w:eastAsia="zh-CN"/>
              </w:rPr>
              <w:t>3</w:t>
            </w:r>
            <w:r>
              <w:rPr>
                <w:rFonts w:hint="eastAsia" w:ascii="Times New Roman" w:hAnsi="Times New Roman" w:cs="Times New Roman"/>
                <w:b/>
                <w:bCs/>
                <w:color w:val="auto"/>
                <w:szCs w:val="21"/>
                <w:lang w:val="en-US" w:eastAsia="zh-CN"/>
              </w:rPr>
              <w:t>（g/h）</w:t>
            </w:r>
          </w:p>
        </w:tc>
        <w:tc>
          <w:tcPr>
            <w:tcW w:w="521" w:type="pct"/>
            <w:noWrap w:val="0"/>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H</w:t>
            </w:r>
            <w:r>
              <w:rPr>
                <w:rFonts w:hint="eastAsia" w:ascii="Times New Roman" w:hAnsi="Times New Roman" w:cs="Times New Roman"/>
                <w:b/>
                <w:bCs/>
                <w:color w:val="auto"/>
                <w:szCs w:val="21"/>
                <w:vertAlign w:val="subscript"/>
                <w:lang w:val="en-US" w:eastAsia="zh-CN"/>
              </w:rPr>
              <w:t>2</w:t>
            </w:r>
            <w:r>
              <w:rPr>
                <w:rFonts w:hint="eastAsia" w:ascii="Times New Roman" w:hAnsi="Times New Roman" w:cs="Times New Roman"/>
                <w:b/>
                <w:bCs/>
                <w:color w:val="auto"/>
                <w:szCs w:val="21"/>
                <w:lang w:val="en-US" w:eastAsia="zh-CN"/>
              </w:rPr>
              <w:t>S（g/h）</w:t>
            </w:r>
          </w:p>
        </w:tc>
        <w:tc>
          <w:tcPr>
            <w:tcW w:w="508" w:type="pct"/>
            <w:vMerge w:val="continue"/>
            <w:noWrap w:val="0"/>
            <w:vAlign w:val="center"/>
          </w:tcPr>
          <w:p>
            <w:pPr>
              <w:pStyle w:val="98"/>
              <w:jc w:val="center"/>
              <w:rPr>
                <w:rFonts w:hint="eastAsia" w:ascii="Times New Roman" w:hAnsi="Times New Roman" w:cs="Times New Roman"/>
                <w:color w:val="auto"/>
                <w:szCs w:val="21"/>
                <w:lang w:val="en-US" w:eastAsia="zh-CN"/>
              </w:rPr>
            </w:pP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28" w:type="dxa"/>
            <w:bottom w:w="0" w:type="dxa"/>
            <w:right w:w="28" w:type="dxa"/>
          </w:tblCellMar>
        </w:tblPrEx>
        <w:trPr>
          <w:trHeight w:val="170" w:hRule="atLeast"/>
        </w:trPr>
        <w:tc>
          <w:tcPr>
            <w:tcW w:w="896" w:type="pct"/>
            <w:noWrap w:val="0"/>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污水处理区（沼液储蓄池）</w:t>
            </w:r>
          </w:p>
        </w:tc>
        <w:tc>
          <w:tcPr>
            <w:tcW w:w="635" w:type="pct"/>
            <w:noWrap w:val="0"/>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8.50</w:t>
            </w:r>
          </w:p>
        </w:tc>
        <w:tc>
          <w:tcPr>
            <w:tcW w:w="648" w:type="pct"/>
            <w:noWrap w:val="0"/>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0.025</w:t>
            </w:r>
          </w:p>
        </w:tc>
        <w:tc>
          <w:tcPr>
            <w:tcW w:w="1139" w:type="pct"/>
            <w:noWrap w:val="0"/>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定期喷洒除臭剂、周边种植植物吸收</w:t>
            </w:r>
          </w:p>
        </w:tc>
        <w:tc>
          <w:tcPr>
            <w:tcW w:w="649" w:type="pct"/>
            <w:noWrap w:val="0"/>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6.80</w:t>
            </w:r>
          </w:p>
        </w:tc>
        <w:tc>
          <w:tcPr>
            <w:tcW w:w="521" w:type="pct"/>
            <w:noWrap w:val="0"/>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0.02</w:t>
            </w:r>
          </w:p>
        </w:tc>
        <w:tc>
          <w:tcPr>
            <w:tcW w:w="508" w:type="pct"/>
            <w:noWrap w:val="0"/>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无组织</w:t>
            </w:r>
          </w:p>
        </w:tc>
      </w:tr>
    </w:tbl>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2" w:firstLineChars="200"/>
        <w:textAlignment w:val="auto"/>
        <w:rPr>
          <w:rFonts w:hint="eastAsia" w:ascii="Times New Roman" w:hAnsi="Times New Roman" w:eastAsia="宋体" w:cs="Times New Roman"/>
          <w:b/>
          <w:bCs/>
          <w:color w:val="auto"/>
          <w:sz w:val="24"/>
          <w:szCs w:val="24"/>
        </w:rPr>
      </w:pPr>
      <w:r>
        <w:rPr>
          <w:rFonts w:hint="eastAsia" w:ascii="Times New Roman" w:hAnsi="Times New Roman" w:eastAsia="宋体" w:cs="Times New Roman"/>
          <w:b/>
          <w:bCs/>
          <w:color w:val="auto"/>
          <w:sz w:val="24"/>
          <w:szCs w:val="24"/>
          <w:lang w:val="en-US" w:eastAsia="zh-CN"/>
        </w:rPr>
        <w:t>C、</w:t>
      </w:r>
      <w:r>
        <w:rPr>
          <w:rFonts w:hint="eastAsia" w:ascii="Times New Roman" w:hAnsi="Times New Roman" w:eastAsia="宋体" w:cs="Times New Roman"/>
          <w:b/>
          <w:bCs/>
          <w:color w:val="auto"/>
          <w:sz w:val="24"/>
          <w:szCs w:val="24"/>
          <w:lang w:eastAsia="zh-CN"/>
        </w:rPr>
        <w:t>堆粪间</w:t>
      </w:r>
      <w:r>
        <w:rPr>
          <w:rFonts w:hint="eastAsia" w:ascii="Times New Roman" w:hAnsi="Times New Roman" w:eastAsia="宋体" w:cs="Times New Roman"/>
          <w:b/>
          <w:bCs/>
          <w:color w:val="auto"/>
          <w:sz w:val="24"/>
          <w:szCs w:val="24"/>
        </w:rPr>
        <w:t>恶臭</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根据中国环境科学学会学术年会论文集（2010）中的《养猪场恶臭影响量化分析及控制对策研究》（天津市环境影响评价中心，孙艳青、张潞、李万庆）资料及调研同规模项目等资料：依据养殖场猪粪堆场监测的相关统计资料，NH</w:t>
      </w:r>
      <w:r>
        <w:rPr>
          <w:rFonts w:hint="eastAsia" w:ascii="Times New Roman" w:hAnsi="Times New Roman" w:eastAsia="宋体" w:cs="Times New Roman"/>
          <w:color w:val="auto"/>
          <w:sz w:val="24"/>
          <w:szCs w:val="24"/>
          <w:vertAlign w:val="subscript"/>
          <w:lang w:eastAsia="zh-CN"/>
        </w:rPr>
        <w:t>3</w:t>
      </w:r>
      <w:r>
        <w:rPr>
          <w:rFonts w:hint="eastAsia" w:ascii="Times New Roman" w:hAnsi="Times New Roman" w:eastAsia="宋体" w:cs="Times New Roman"/>
          <w:color w:val="auto"/>
          <w:sz w:val="24"/>
          <w:szCs w:val="24"/>
          <w:lang w:eastAsia="zh-CN"/>
        </w:rPr>
        <w:t>的平均排放量是4.35g/（m</w:t>
      </w:r>
      <w:r>
        <w:rPr>
          <w:rFonts w:hint="eastAsia" w:ascii="Times New Roman" w:hAnsi="Times New Roman" w:eastAsia="宋体" w:cs="Times New Roman"/>
          <w:color w:val="auto"/>
          <w:sz w:val="24"/>
          <w:szCs w:val="24"/>
          <w:vertAlign w:val="superscript"/>
          <w:lang w:eastAsia="zh-CN"/>
        </w:rPr>
        <w:t>2</w:t>
      </w:r>
      <w:r>
        <w:rPr>
          <w:rFonts w:hint="eastAsia" w:ascii="Times New Roman" w:hAnsi="Times New Roman" w:eastAsia="宋体" w:cs="Times New Roman"/>
          <w:color w:val="auto"/>
          <w:sz w:val="24"/>
          <w:szCs w:val="24"/>
          <w:lang w:eastAsia="zh-CN"/>
        </w:rPr>
        <w:t>·d），恶臭排放量随着处置方式的改变而改变，在没有任何掩盖以及猪粪没有结皮的情况下，NH</w:t>
      </w:r>
      <w:r>
        <w:rPr>
          <w:rFonts w:hint="eastAsia" w:ascii="Times New Roman" w:hAnsi="Times New Roman" w:eastAsia="宋体" w:cs="Times New Roman"/>
          <w:color w:val="auto"/>
          <w:sz w:val="24"/>
          <w:szCs w:val="24"/>
          <w:vertAlign w:val="subscript"/>
          <w:lang w:eastAsia="zh-CN"/>
        </w:rPr>
        <w:t>3</w:t>
      </w:r>
      <w:r>
        <w:rPr>
          <w:rFonts w:hint="eastAsia" w:ascii="Times New Roman" w:hAnsi="Times New Roman" w:eastAsia="宋体" w:cs="Times New Roman"/>
          <w:color w:val="auto"/>
          <w:sz w:val="24"/>
          <w:szCs w:val="24"/>
          <w:lang w:eastAsia="zh-CN"/>
        </w:rPr>
        <w:t>排放强度为5.2g/（m</w:t>
      </w:r>
      <w:r>
        <w:rPr>
          <w:rFonts w:hint="eastAsia" w:ascii="Times New Roman" w:hAnsi="Times New Roman" w:eastAsia="宋体" w:cs="Times New Roman"/>
          <w:color w:val="auto"/>
          <w:sz w:val="24"/>
          <w:szCs w:val="24"/>
          <w:vertAlign w:val="superscript"/>
          <w:lang w:eastAsia="zh-CN"/>
        </w:rPr>
        <w:t>2</w:t>
      </w:r>
      <w:r>
        <w:rPr>
          <w:rFonts w:hint="eastAsia" w:ascii="Times New Roman" w:hAnsi="Times New Roman" w:eastAsia="宋体" w:cs="Times New Roman"/>
          <w:color w:val="auto"/>
          <w:sz w:val="24"/>
          <w:szCs w:val="24"/>
          <w:lang w:eastAsia="zh-CN"/>
        </w:rPr>
        <w:t>·d），H</w:t>
      </w:r>
      <w:r>
        <w:rPr>
          <w:rFonts w:hint="eastAsia" w:ascii="Times New Roman" w:hAnsi="Times New Roman" w:eastAsia="宋体" w:cs="Times New Roman"/>
          <w:color w:val="auto"/>
          <w:sz w:val="24"/>
          <w:szCs w:val="24"/>
          <w:vertAlign w:val="subscript"/>
          <w:lang w:eastAsia="zh-CN"/>
        </w:rPr>
        <w:t>2</w:t>
      </w:r>
      <w:r>
        <w:rPr>
          <w:rFonts w:hint="eastAsia" w:ascii="Times New Roman" w:hAnsi="Times New Roman" w:eastAsia="宋体" w:cs="Times New Roman"/>
          <w:color w:val="auto"/>
          <w:sz w:val="24"/>
          <w:szCs w:val="24"/>
          <w:lang w:eastAsia="zh-CN"/>
        </w:rPr>
        <w:t>S排放强度为 0.3g/（m</w:t>
      </w:r>
      <w:r>
        <w:rPr>
          <w:rFonts w:hint="eastAsia" w:ascii="Times New Roman" w:hAnsi="Times New Roman" w:eastAsia="宋体" w:cs="Times New Roman"/>
          <w:color w:val="auto"/>
          <w:sz w:val="24"/>
          <w:szCs w:val="24"/>
          <w:vertAlign w:val="superscript"/>
          <w:lang w:eastAsia="zh-CN"/>
        </w:rPr>
        <w:t>2</w:t>
      </w:r>
      <w:r>
        <w:rPr>
          <w:rFonts w:hint="eastAsia" w:ascii="Times New Roman" w:hAnsi="Times New Roman" w:eastAsia="宋体" w:cs="Times New Roman"/>
          <w:color w:val="auto"/>
          <w:sz w:val="24"/>
          <w:szCs w:val="24"/>
          <w:lang w:eastAsia="zh-CN"/>
        </w:rPr>
        <w:t>·d），本项目按最不利因素考虑，NH</w:t>
      </w:r>
      <w:r>
        <w:rPr>
          <w:rFonts w:hint="eastAsia" w:ascii="Times New Roman" w:hAnsi="Times New Roman" w:eastAsia="宋体" w:cs="Times New Roman"/>
          <w:color w:val="auto"/>
          <w:sz w:val="24"/>
          <w:szCs w:val="24"/>
          <w:vertAlign w:val="subscript"/>
          <w:lang w:eastAsia="zh-CN"/>
        </w:rPr>
        <w:t>3</w:t>
      </w:r>
      <w:r>
        <w:rPr>
          <w:rFonts w:hint="eastAsia" w:ascii="Times New Roman" w:hAnsi="Times New Roman" w:eastAsia="宋体" w:cs="Times New Roman"/>
          <w:color w:val="auto"/>
          <w:sz w:val="24"/>
          <w:szCs w:val="24"/>
          <w:lang w:eastAsia="zh-CN"/>
        </w:rPr>
        <w:t>排放强度按 5.2g/（m</w:t>
      </w:r>
      <w:r>
        <w:rPr>
          <w:rFonts w:hint="eastAsia" w:ascii="Times New Roman" w:hAnsi="Times New Roman" w:eastAsia="宋体" w:cs="Times New Roman"/>
          <w:color w:val="auto"/>
          <w:sz w:val="24"/>
          <w:szCs w:val="24"/>
          <w:vertAlign w:val="superscript"/>
          <w:lang w:eastAsia="zh-CN"/>
        </w:rPr>
        <w:t>2</w:t>
      </w:r>
      <w:r>
        <w:rPr>
          <w:rFonts w:hint="eastAsia" w:ascii="Times New Roman" w:hAnsi="Times New Roman" w:eastAsia="宋体" w:cs="Times New Roman"/>
          <w:color w:val="auto"/>
          <w:sz w:val="24"/>
          <w:szCs w:val="24"/>
          <w:lang w:eastAsia="zh-CN"/>
        </w:rPr>
        <w:t>·d），H</w:t>
      </w:r>
      <w:r>
        <w:rPr>
          <w:rFonts w:hint="eastAsia" w:ascii="Times New Roman" w:hAnsi="Times New Roman" w:eastAsia="宋体" w:cs="Times New Roman"/>
          <w:color w:val="auto"/>
          <w:sz w:val="24"/>
          <w:szCs w:val="24"/>
          <w:vertAlign w:val="subscript"/>
          <w:lang w:eastAsia="zh-CN"/>
        </w:rPr>
        <w:t>2</w:t>
      </w:r>
      <w:r>
        <w:rPr>
          <w:rFonts w:hint="eastAsia" w:ascii="Times New Roman" w:hAnsi="Times New Roman" w:eastAsia="宋体" w:cs="Times New Roman"/>
          <w:color w:val="auto"/>
          <w:sz w:val="24"/>
          <w:szCs w:val="24"/>
          <w:lang w:eastAsia="zh-CN"/>
        </w:rPr>
        <w:t>S排放强度按 0.3g/（m</w:t>
      </w:r>
      <w:r>
        <w:rPr>
          <w:rFonts w:hint="eastAsia" w:ascii="Times New Roman" w:hAnsi="Times New Roman" w:eastAsia="宋体" w:cs="Times New Roman"/>
          <w:color w:val="auto"/>
          <w:sz w:val="24"/>
          <w:szCs w:val="24"/>
          <w:vertAlign w:val="superscript"/>
          <w:lang w:eastAsia="zh-CN"/>
        </w:rPr>
        <w:t>2</w:t>
      </w:r>
      <w:r>
        <w:rPr>
          <w:rFonts w:hint="eastAsia" w:ascii="Times New Roman" w:hAnsi="Times New Roman" w:eastAsia="宋体" w:cs="Times New Roman"/>
          <w:color w:val="auto"/>
          <w:sz w:val="24"/>
          <w:szCs w:val="24"/>
          <w:lang w:eastAsia="zh-CN"/>
        </w:rPr>
        <w:t>·d）计。</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本项目</w:t>
      </w:r>
      <w:r>
        <w:rPr>
          <w:rFonts w:hint="eastAsia" w:ascii="Times New Roman" w:hAnsi="Times New Roman" w:eastAsia="宋体" w:cs="Times New Roman"/>
          <w:color w:val="auto"/>
          <w:sz w:val="24"/>
          <w:szCs w:val="24"/>
          <w:highlight w:val="none"/>
          <w:lang w:eastAsia="zh-CN"/>
        </w:rPr>
        <w:t>堆粪间</w:t>
      </w:r>
      <w:r>
        <w:rPr>
          <w:rFonts w:hint="eastAsia" w:ascii="Times New Roman" w:hAnsi="Times New Roman" w:eastAsia="宋体" w:cs="Times New Roman"/>
          <w:color w:val="auto"/>
          <w:sz w:val="24"/>
          <w:szCs w:val="24"/>
          <w:highlight w:val="none"/>
        </w:rPr>
        <w:t>面积为</w:t>
      </w:r>
      <w:r>
        <w:rPr>
          <w:rFonts w:hint="eastAsia" w:ascii="Times New Roman" w:hAnsi="Times New Roman" w:eastAsia="宋体" w:cs="Times New Roman"/>
          <w:color w:val="auto"/>
          <w:sz w:val="24"/>
          <w:szCs w:val="24"/>
          <w:highlight w:val="none"/>
          <w:lang w:val="en-US" w:eastAsia="zh-CN"/>
        </w:rPr>
        <w:t>300</w:t>
      </w:r>
      <w:r>
        <w:rPr>
          <w:rFonts w:hint="eastAsia" w:ascii="Times New Roman" w:hAnsi="Times New Roman" w:eastAsia="宋体" w:cs="Times New Roman"/>
          <w:color w:val="auto"/>
          <w:sz w:val="24"/>
          <w:szCs w:val="24"/>
          <w:highlight w:val="none"/>
        </w:rPr>
        <w:t>m</w:t>
      </w:r>
      <w:r>
        <w:rPr>
          <w:rFonts w:hint="eastAsia" w:ascii="Times New Roman" w:hAnsi="Times New Roman" w:eastAsia="宋体" w:cs="Times New Roman"/>
          <w:color w:val="auto"/>
          <w:sz w:val="24"/>
          <w:szCs w:val="24"/>
          <w:highlight w:val="none"/>
          <w:vertAlign w:val="superscript"/>
        </w:rPr>
        <w:t>2</w:t>
      </w:r>
      <w:r>
        <w:rPr>
          <w:rFonts w:hint="eastAsia" w:ascii="Times New Roman" w:hAnsi="Times New Roman" w:eastAsia="宋体" w:cs="Times New Roman"/>
          <w:color w:val="auto"/>
          <w:sz w:val="24"/>
          <w:szCs w:val="24"/>
          <w:highlight w:val="none"/>
        </w:rPr>
        <w:t>，故其NH</w:t>
      </w:r>
      <w:r>
        <w:rPr>
          <w:rFonts w:hint="eastAsia" w:ascii="Times New Roman" w:hAnsi="Times New Roman" w:eastAsia="宋体" w:cs="Times New Roman"/>
          <w:color w:val="auto"/>
          <w:sz w:val="24"/>
          <w:szCs w:val="24"/>
          <w:highlight w:val="none"/>
          <w:vertAlign w:val="subscript"/>
        </w:rPr>
        <w:t>3</w:t>
      </w:r>
      <w:r>
        <w:rPr>
          <w:rFonts w:hint="eastAsia" w:ascii="Times New Roman" w:hAnsi="Times New Roman" w:eastAsia="宋体" w:cs="Times New Roman"/>
          <w:color w:val="auto"/>
          <w:sz w:val="24"/>
          <w:szCs w:val="24"/>
          <w:highlight w:val="none"/>
        </w:rPr>
        <w:t>产生量为</w:t>
      </w:r>
      <w:r>
        <w:rPr>
          <w:rFonts w:hint="eastAsia" w:ascii="Times New Roman" w:hAnsi="Times New Roman" w:eastAsia="宋体" w:cs="Times New Roman"/>
          <w:color w:val="auto"/>
          <w:sz w:val="24"/>
          <w:szCs w:val="24"/>
          <w:highlight w:val="none"/>
          <w:lang w:val="en-US" w:eastAsia="zh-CN"/>
        </w:rPr>
        <w:t>1.56</w:t>
      </w:r>
      <w:r>
        <w:rPr>
          <w:rFonts w:hint="eastAsia" w:ascii="Times New Roman" w:hAnsi="Times New Roman" w:eastAsia="宋体" w:cs="Times New Roman"/>
          <w:color w:val="auto"/>
          <w:sz w:val="24"/>
          <w:szCs w:val="24"/>
          <w:highlight w:val="none"/>
        </w:rPr>
        <w:t>kg/d（</w:t>
      </w:r>
      <w:r>
        <w:rPr>
          <w:rFonts w:hint="eastAsia" w:ascii="Times New Roman" w:hAnsi="Times New Roman" w:eastAsia="宋体" w:cs="Times New Roman"/>
          <w:color w:val="auto"/>
          <w:sz w:val="24"/>
          <w:szCs w:val="24"/>
          <w:highlight w:val="none"/>
          <w:lang w:val="en-US" w:eastAsia="zh-CN"/>
        </w:rPr>
        <w:t>569.40</w:t>
      </w:r>
      <w:r>
        <w:rPr>
          <w:rFonts w:hint="eastAsia" w:ascii="Times New Roman" w:hAnsi="Times New Roman" w:eastAsia="宋体" w:cs="Times New Roman"/>
          <w:color w:val="auto"/>
          <w:sz w:val="24"/>
          <w:szCs w:val="24"/>
          <w:highlight w:val="none"/>
        </w:rPr>
        <w:t>kg/a）；H</w:t>
      </w:r>
      <w:r>
        <w:rPr>
          <w:rFonts w:hint="eastAsia" w:ascii="Times New Roman" w:hAnsi="Times New Roman" w:eastAsia="宋体" w:cs="Times New Roman"/>
          <w:color w:val="auto"/>
          <w:sz w:val="24"/>
          <w:szCs w:val="24"/>
          <w:highlight w:val="none"/>
          <w:vertAlign w:val="subscript"/>
        </w:rPr>
        <w:t>2</w:t>
      </w:r>
      <w:r>
        <w:rPr>
          <w:rFonts w:hint="eastAsia" w:ascii="Times New Roman" w:hAnsi="Times New Roman" w:eastAsia="宋体" w:cs="Times New Roman"/>
          <w:color w:val="auto"/>
          <w:sz w:val="24"/>
          <w:szCs w:val="24"/>
          <w:highlight w:val="none"/>
        </w:rPr>
        <w:t>S产生量为</w:t>
      </w:r>
      <w:r>
        <w:rPr>
          <w:rFonts w:hint="eastAsia" w:ascii="Times New Roman" w:hAnsi="Times New Roman" w:eastAsia="宋体" w:cs="Times New Roman"/>
          <w:color w:val="auto"/>
          <w:sz w:val="24"/>
          <w:szCs w:val="24"/>
          <w:highlight w:val="none"/>
          <w:lang w:val="en-US" w:eastAsia="zh-CN"/>
        </w:rPr>
        <w:t>0.09</w:t>
      </w:r>
      <w:r>
        <w:rPr>
          <w:rFonts w:hint="eastAsia" w:ascii="Times New Roman" w:hAnsi="Times New Roman" w:eastAsia="宋体" w:cs="Times New Roman"/>
          <w:color w:val="auto"/>
          <w:sz w:val="24"/>
          <w:szCs w:val="24"/>
          <w:highlight w:val="none"/>
        </w:rPr>
        <w:t>kg/d（</w:t>
      </w:r>
      <w:r>
        <w:rPr>
          <w:rFonts w:hint="eastAsia" w:ascii="Times New Roman" w:hAnsi="Times New Roman" w:eastAsia="宋体" w:cs="Times New Roman"/>
          <w:color w:val="auto"/>
          <w:sz w:val="24"/>
          <w:szCs w:val="24"/>
          <w:highlight w:val="none"/>
          <w:lang w:val="en-US" w:eastAsia="zh-CN"/>
        </w:rPr>
        <w:t>32.85</w:t>
      </w:r>
      <w:r>
        <w:rPr>
          <w:rFonts w:hint="eastAsia" w:ascii="Times New Roman" w:hAnsi="Times New Roman" w:eastAsia="宋体" w:cs="Times New Roman"/>
          <w:color w:val="auto"/>
          <w:sz w:val="24"/>
          <w:szCs w:val="24"/>
          <w:highlight w:val="none"/>
        </w:rPr>
        <w:t>kg/a）。</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2" w:firstLineChars="200"/>
        <w:textAlignment w:val="auto"/>
        <w:rPr>
          <w:rFonts w:hint="eastAsia" w:ascii="Times New Roman" w:hAnsi="Times New Roman" w:eastAsia="宋体" w:cs="Times New Roman"/>
          <w:b/>
          <w:bCs/>
          <w:color w:val="auto"/>
          <w:sz w:val="24"/>
          <w:szCs w:val="24"/>
          <w:highlight w:val="none"/>
          <w:lang w:eastAsia="zh-CN"/>
        </w:rPr>
      </w:pPr>
      <w:r>
        <w:rPr>
          <w:rFonts w:hint="eastAsia" w:ascii="Times New Roman" w:hAnsi="Times New Roman" w:eastAsia="宋体" w:cs="Times New Roman"/>
          <w:b/>
          <w:bCs/>
          <w:color w:val="auto"/>
          <w:sz w:val="24"/>
          <w:szCs w:val="24"/>
          <w:highlight w:val="none"/>
        </w:rPr>
        <w:t>治理措施</w:t>
      </w:r>
      <w:r>
        <w:rPr>
          <w:rFonts w:hint="eastAsia" w:ascii="Times New Roman" w:hAnsi="Times New Roman" w:eastAsia="宋体" w:cs="Times New Roman"/>
          <w:b/>
          <w:bCs/>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为减小项目恶臭对周围环境及居民的影响，环评要求对</w:t>
      </w:r>
      <w:r>
        <w:rPr>
          <w:rFonts w:hint="eastAsia" w:ascii="Times New Roman" w:hAnsi="Times New Roman" w:eastAsia="宋体" w:cs="Times New Roman"/>
          <w:color w:val="auto"/>
          <w:sz w:val="24"/>
          <w:szCs w:val="24"/>
          <w:lang w:eastAsia="zh-CN"/>
        </w:rPr>
        <w:t>堆粪间</w:t>
      </w:r>
      <w:r>
        <w:rPr>
          <w:rFonts w:hint="eastAsia" w:ascii="Times New Roman" w:hAnsi="Times New Roman" w:eastAsia="宋体" w:cs="Times New Roman"/>
          <w:color w:val="auto"/>
          <w:sz w:val="24"/>
          <w:szCs w:val="24"/>
        </w:rPr>
        <w:t>进行封闭处理，并设置风机进行负压抽风，恶臭气体通过风机引入</w:t>
      </w:r>
      <w:r>
        <w:rPr>
          <w:rFonts w:hint="eastAsia" w:ascii="Times New Roman" w:hAnsi="Times New Roman" w:eastAsia="宋体" w:cs="Times New Roman"/>
          <w:color w:val="auto"/>
          <w:sz w:val="24"/>
          <w:szCs w:val="24"/>
          <w:lang w:eastAsia="zh-CN"/>
        </w:rPr>
        <w:t>喷淋洗涤吸收塔</w:t>
      </w:r>
      <w:r>
        <w:rPr>
          <w:rFonts w:hint="eastAsia" w:ascii="Times New Roman" w:hAnsi="Times New Roman" w:eastAsia="宋体" w:cs="Times New Roman"/>
          <w:color w:val="auto"/>
          <w:sz w:val="24"/>
          <w:szCs w:val="24"/>
        </w:rPr>
        <w:t>进行除臭处理，然后通过15</w:t>
      </w:r>
      <w:r>
        <w:rPr>
          <w:rFonts w:hint="eastAsia" w:ascii="Times New Roman" w:hAnsi="Times New Roman" w:eastAsia="宋体" w:cs="Times New Roman"/>
          <w:color w:val="auto"/>
          <w:sz w:val="24"/>
          <w:szCs w:val="24"/>
          <w:lang w:val="en-US" w:eastAsia="zh-CN"/>
        </w:rPr>
        <w:t>m</w:t>
      </w:r>
      <w:r>
        <w:rPr>
          <w:rFonts w:hint="eastAsia" w:ascii="Times New Roman" w:hAnsi="Times New Roman" w:eastAsia="宋体" w:cs="Times New Roman"/>
          <w:color w:val="auto"/>
          <w:sz w:val="24"/>
          <w:szCs w:val="24"/>
        </w:rPr>
        <w:t>高的排气筒有组织排放除臭设施的设计处理总规模风量Q=</w:t>
      </w:r>
      <w:r>
        <w:rPr>
          <w:rFonts w:hint="eastAsia" w:ascii="Times New Roman" w:hAnsi="Times New Roman" w:eastAsia="宋体" w:cs="Times New Roman"/>
          <w:color w:val="auto"/>
          <w:sz w:val="24"/>
          <w:szCs w:val="24"/>
          <w:lang w:val="en-US" w:eastAsia="zh-CN"/>
        </w:rPr>
        <w:t>10</w:t>
      </w:r>
      <w:r>
        <w:rPr>
          <w:rFonts w:hint="eastAsia" w:ascii="Times New Roman" w:hAnsi="Times New Roman" w:eastAsia="宋体" w:cs="Times New Roman"/>
          <w:color w:val="auto"/>
          <w:sz w:val="24"/>
          <w:szCs w:val="24"/>
        </w:rPr>
        <w:t>000m</w:t>
      </w:r>
      <w:r>
        <w:rPr>
          <w:rFonts w:hint="eastAsia" w:ascii="Times New Roman" w:hAnsi="Times New Roman" w:eastAsia="宋体" w:cs="Times New Roman"/>
          <w:color w:val="auto"/>
          <w:sz w:val="24"/>
          <w:szCs w:val="24"/>
          <w:vertAlign w:val="superscript"/>
        </w:rPr>
        <w:t>3</w:t>
      </w:r>
      <w:r>
        <w:rPr>
          <w:rFonts w:hint="eastAsia" w:ascii="Times New Roman" w:hAnsi="Times New Roman" w:eastAsia="宋体" w:cs="Times New Roman"/>
          <w:color w:val="auto"/>
          <w:sz w:val="24"/>
          <w:szCs w:val="24"/>
        </w:rPr>
        <w:t>/h。除臭的具体工艺流程为：臭气收集→风管输送→抽风机→预洗池加湿→</w:t>
      </w:r>
      <w:r>
        <w:rPr>
          <w:rFonts w:hint="eastAsia" w:ascii="Times New Roman" w:hAnsi="Times New Roman" w:eastAsia="宋体" w:cs="Times New Roman"/>
          <w:color w:val="auto"/>
          <w:sz w:val="24"/>
          <w:szCs w:val="24"/>
          <w:lang w:eastAsia="zh-CN"/>
        </w:rPr>
        <w:t>喷淋洗涤吸收塔</w:t>
      </w:r>
      <w:r>
        <w:rPr>
          <w:rFonts w:hint="eastAsia" w:ascii="Times New Roman" w:hAnsi="Times New Roman" w:eastAsia="宋体" w:cs="Times New Roman"/>
          <w:color w:val="auto"/>
          <w:sz w:val="24"/>
          <w:szCs w:val="24"/>
        </w:rPr>
        <w:t>→排气。经</w:t>
      </w:r>
      <w:r>
        <w:rPr>
          <w:rFonts w:hint="eastAsia" w:ascii="Times New Roman" w:hAnsi="Times New Roman" w:eastAsia="宋体" w:cs="Times New Roman"/>
          <w:color w:val="auto"/>
          <w:sz w:val="24"/>
          <w:szCs w:val="24"/>
          <w:lang w:eastAsia="zh-CN"/>
        </w:rPr>
        <w:t>喷淋洗涤吸收塔</w:t>
      </w:r>
      <w:r>
        <w:rPr>
          <w:rFonts w:hint="eastAsia" w:ascii="Times New Roman" w:hAnsi="Times New Roman" w:eastAsia="宋体" w:cs="Times New Roman"/>
          <w:color w:val="auto"/>
          <w:sz w:val="24"/>
          <w:szCs w:val="24"/>
        </w:rPr>
        <w:t>处理后的废气集中到15m高的废气排气筒排放，其收集效率98%，处理效率不低于90%。具体污染物排放情况见表3.</w:t>
      </w:r>
      <w:r>
        <w:rPr>
          <w:rFonts w:hint="eastAsia" w:ascii="Times New Roman" w:hAnsi="Times New Roman" w:eastAsia="宋体" w:cs="Times New Roman"/>
          <w:color w:val="auto"/>
          <w:sz w:val="24"/>
          <w:szCs w:val="24"/>
          <w:lang w:val="en-US" w:eastAsia="zh-CN"/>
        </w:rPr>
        <w:t>5-9</w:t>
      </w:r>
      <w:r>
        <w:rPr>
          <w:rFonts w:hint="eastAsia" w:ascii="Times New Roman" w:hAnsi="Times New Roman" w:eastAsia="宋体" w:cs="Times New Roman"/>
          <w:color w:val="auto"/>
          <w:sz w:val="24"/>
          <w:szCs w:val="24"/>
        </w:rPr>
        <w:t>。</w:t>
      </w: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ascii="Times New Roman" w:hAnsi="Times New Roman" w:eastAsia="宋体"/>
          <w:b/>
          <w:color w:val="auto"/>
          <w:szCs w:val="21"/>
        </w:rPr>
      </w:pP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ascii="Times New Roman" w:hAnsi="Times New Roman" w:eastAsia="宋体"/>
          <w:b/>
          <w:color w:val="auto"/>
          <w:szCs w:val="21"/>
        </w:rPr>
      </w:pP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ascii="Times New Roman" w:hAnsi="Times New Roman" w:eastAsia="宋体"/>
          <w:b/>
          <w:color w:val="auto"/>
          <w:szCs w:val="21"/>
        </w:rPr>
      </w:pP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ascii="Times New Roman" w:hAnsi="Times New Roman" w:eastAsia="宋体"/>
          <w:b/>
          <w:color w:val="auto"/>
          <w:szCs w:val="21"/>
        </w:rPr>
      </w:pP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ascii="Times New Roman" w:hAnsi="Times New Roman" w:eastAsia="宋体"/>
          <w:b/>
          <w:color w:val="auto"/>
          <w:szCs w:val="21"/>
        </w:rPr>
      </w:pP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ascii="Times New Roman" w:hAnsi="Times New Roman" w:eastAsia="宋体"/>
          <w:b/>
          <w:color w:val="auto"/>
          <w:szCs w:val="21"/>
        </w:rPr>
      </w:pP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ascii="Times New Roman" w:hAnsi="Times New Roman" w:eastAsia="宋体"/>
          <w:b/>
          <w:color w:val="auto"/>
          <w:szCs w:val="21"/>
        </w:rPr>
      </w:pP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ascii="Times New Roman" w:hAnsi="Times New Roman" w:eastAsia="宋体"/>
          <w:b/>
          <w:color w:val="auto"/>
          <w:szCs w:val="21"/>
        </w:rPr>
      </w:pP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hint="eastAsia" w:ascii="Times New Roman" w:hAnsi="Times New Roman" w:eastAsia="宋体"/>
          <w:b/>
          <w:color w:val="auto"/>
          <w:szCs w:val="21"/>
          <w:lang w:eastAsia="zh-CN"/>
        </w:rPr>
      </w:pPr>
      <w:r>
        <w:rPr>
          <w:rFonts w:ascii="Times New Roman" w:hAnsi="Times New Roman" w:eastAsia="宋体"/>
          <w:b/>
          <w:color w:val="auto"/>
          <w:szCs w:val="21"/>
        </w:rPr>
        <w:t>表</w:t>
      </w:r>
      <w:r>
        <w:rPr>
          <w:rFonts w:hint="eastAsia" w:ascii="Times New Roman" w:hAnsi="Times New Roman" w:eastAsia="宋体"/>
          <w:b/>
          <w:color w:val="auto"/>
          <w:szCs w:val="21"/>
          <w:lang w:val="en-US" w:eastAsia="zh-CN"/>
        </w:rPr>
        <w:t>3.5</w:t>
      </w:r>
      <w:r>
        <w:rPr>
          <w:rFonts w:hint="eastAsia" w:ascii="Times New Roman" w:hAnsi="Times New Roman" w:eastAsia="宋体"/>
          <w:b/>
          <w:color w:val="auto"/>
          <w:szCs w:val="21"/>
        </w:rPr>
        <w:t>-</w:t>
      </w:r>
      <w:r>
        <w:rPr>
          <w:rFonts w:hint="eastAsia" w:ascii="Times New Roman" w:hAnsi="Times New Roman" w:eastAsia="宋体"/>
          <w:b/>
          <w:color w:val="auto"/>
          <w:szCs w:val="21"/>
          <w:lang w:val="en-US" w:eastAsia="zh-CN"/>
        </w:rPr>
        <w:t xml:space="preserve">9 </w:t>
      </w:r>
      <w:r>
        <w:rPr>
          <w:rFonts w:ascii="Times New Roman" w:hAnsi="Times New Roman" w:eastAsia="宋体"/>
          <w:b/>
          <w:color w:val="auto"/>
          <w:szCs w:val="21"/>
        </w:rPr>
        <w:t xml:space="preserve"> </w:t>
      </w:r>
      <w:r>
        <w:rPr>
          <w:rFonts w:hint="eastAsia" w:ascii="Times New Roman" w:hAnsi="Times New Roman" w:eastAsia="宋体"/>
          <w:b/>
          <w:color w:val="auto"/>
          <w:szCs w:val="21"/>
          <w:lang w:eastAsia="zh-CN"/>
        </w:rPr>
        <w:t>项目堆粪间恶臭气体产排情况一览表</w:t>
      </w:r>
    </w:p>
    <w:tbl>
      <w:tblPr>
        <w:tblStyle w:val="34"/>
        <w:tblW w:w="4997" w:type="pct"/>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445"/>
        <w:gridCol w:w="920"/>
        <w:gridCol w:w="876"/>
        <w:gridCol w:w="878"/>
        <w:gridCol w:w="1635"/>
        <w:gridCol w:w="995"/>
        <w:gridCol w:w="901"/>
        <w:gridCol w:w="1113"/>
        <w:gridCol w:w="1069"/>
        <w:gridCol w:w="28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244" w:type="pct"/>
            <w:vMerge w:val="restart"/>
            <w:tcBorders>
              <w:tl2br w:val="nil"/>
              <w:tr2bl w:val="nil"/>
            </w:tcBorders>
            <w:noWrap w:val="0"/>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污染源</w:t>
            </w:r>
          </w:p>
        </w:tc>
        <w:tc>
          <w:tcPr>
            <w:tcW w:w="504" w:type="pct"/>
            <w:vMerge w:val="restart"/>
            <w:tcBorders>
              <w:tl2br w:val="nil"/>
              <w:tr2bl w:val="nil"/>
            </w:tcBorders>
            <w:noWrap w:val="0"/>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源面积</w:t>
            </w:r>
          </w:p>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（m</w:t>
            </w:r>
            <w:r>
              <w:rPr>
                <w:rFonts w:hint="eastAsia" w:ascii="Times New Roman" w:hAnsi="Times New Roman" w:cs="Times New Roman"/>
                <w:b/>
                <w:bCs/>
                <w:color w:val="auto"/>
                <w:szCs w:val="21"/>
                <w:vertAlign w:val="superscript"/>
                <w:lang w:val="en-US" w:eastAsia="zh-CN"/>
              </w:rPr>
              <w:t>2</w:t>
            </w:r>
            <w:r>
              <w:rPr>
                <w:rFonts w:hint="eastAsia" w:ascii="Times New Roman" w:hAnsi="Times New Roman" w:cs="Times New Roman"/>
                <w:b/>
                <w:bCs/>
                <w:color w:val="auto"/>
                <w:szCs w:val="21"/>
                <w:lang w:val="en-US" w:eastAsia="zh-CN"/>
              </w:rPr>
              <w:t>）</w:t>
            </w:r>
          </w:p>
        </w:tc>
        <w:tc>
          <w:tcPr>
            <w:tcW w:w="961" w:type="pct"/>
            <w:gridSpan w:val="2"/>
            <w:tcBorders>
              <w:tl2br w:val="nil"/>
              <w:tr2bl w:val="nil"/>
            </w:tcBorders>
            <w:noWrap w:val="0"/>
            <w:tcMar>
              <w:left w:w="0" w:type="dxa"/>
              <w:right w:w="0" w:type="dxa"/>
            </w:tcMar>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污染物产生情况</w:t>
            </w:r>
          </w:p>
        </w:tc>
        <w:tc>
          <w:tcPr>
            <w:tcW w:w="896" w:type="pct"/>
            <w:vMerge w:val="restart"/>
            <w:tcBorders>
              <w:tl2br w:val="nil"/>
              <w:tr2bl w:val="nil"/>
            </w:tcBorders>
            <w:noWrap w:val="0"/>
            <w:tcMar>
              <w:left w:w="0" w:type="dxa"/>
              <w:right w:w="0" w:type="dxa"/>
            </w:tcMar>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拟处理措施</w:t>
            </w:r>
          </w:p>
        </w:tc>
        <w:tc>
          <w:tcPr>
            <w:tcW w:w="1039" w:type="pct"/>
            <w:gridSpan w:val="2"/>
            <w:tcBorders>
              <w:tl2br w:val="nil"/>
              <w:tr2bl w:val="nil"/>
            </w:tcBorders>
            <w:noWrap w:val="0"/>
            <w:tcMar>
              <w:left w:w="0" w:type="dxa"/>
              <w:right w:w="0" w:type="dxa"/>
            </w:tcMar>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污染物排放情况</w:t>
            </w:r>
          </w:p>
        </w:tc>
        <w:tc>
          <w:tcPr>
            <w:tcW w:w="1196" w:type="pct"/>
            <w:gridSpan w:val="2"/>
            <w:tcBorders>
              <w:tl2br w:val="nil"/>
              <w:tr2bl w:val="nil"/>
            </w:tcBorders>
            <w:noWrap w:val="0"/>
            <w:tcMar>
              <w:left w:w="0" w:type="dxa"/>
              <w:right w:w="0" w:type="dxa"/>
            </w:tcMar>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排放浓度</w:t>
            </w:r>
          </w:p>
        </w:tc>
        <w:tc>
          <w:tcPr>
            <w:tcW w:w="156" w:type="pct"/>
            <w:vMerge w:val="restart"/>
            <w:tcBorders>
              <w:tl2br w:val="nil"/>
              <w:tr2bl w:val="nil"/>
            </w:tcBorders>
            <w:noWrap w:val="0"/>
            <w:tcMar>
              <w:left w:w="0" w:type="dxa"/>
              <w:right w:w="0" w:type="dxa"/>
            </w:tcMar>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排放方式</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54" w:hRule="atLeast"/>
        </w:trPr>
        <w:tc>
          <w:tcPr>
            <w:tcW w:w="244" w:type="pct"/>
            <w:vMerge w:val="continue"/>
            <w:tcBorders>
              <w:tl2br w:val="nil"/>
              <w:tr2bl w:val="nil"/>
            </w:tcBorders>
            <w:noWrap w:val="0"/>
            <w:vAlign w:val="center"/>
          </w:tcPr>
          <w:p>
            <w:pPr>
              <w:pStyle w:val="98"/>
              <w:jc w:val="center"/>
              <w:rPr>
                <w:rFonts w:hint="eastAsia" w:ascii="Times New Roman" w:hAnsi="Times New Roman" w:cs="Times New Roman"/>
                <w:color w:val="auto"/>
                <w:szCs w:val="21"/>
                <w:lang w:val="en-US" w:eastAsia="zh-CN"/>
              </w:rPr>
            </w:pPr>
          </w:p>
        </w:tc>
        <w:tc>
          <w:tcPr>
            <w:tcW w:w="504" w:type="pct"/>
            <w:vMerge w:val="continue"/>
            <w:tcBorders>
              <w:tl2br w:val="nil"/>
              <w:tr2bl w:val="nil"/>
            </w:tcBorders>
            <w:noWrap w:val="0"/>
            <w:vAlign w:val="center"/>
          </w:tcPr>
          <w:p>
            <w:pPr>
              <w:pStyle w:val="98"/>
              <w:jc w:val="center"/>
              <w:rPr>
                <w:rFonts w:hint="eastAsia" w:ascii="Times New Roman" w:hAnsi="Times New Roman" w:cs="Times New Roman"/>
                <w:color w:val="auto"/>
                <w:szCs w:val="21"/>
                <w:lang w:val="en-US" w:eastAsia="zh-CN"/>
              </w:rPr>
            </w:pPr>
          </w:p>
        </w:tc>
        <w:tc>
          <w:tcPr>
            <w:tcW w:w="480" w:type="pct"/>
            <w:tcBorders>
              <w:tl2br w:val="nil"/>
              <w:tr2bl w:val="nil"/>
            </w:tcBorders>
            <w:noWrap w:val="0"/>
            <w:tcMar>
              <w:left w:w="0" w:type="dxa"/>
              <w:right w:w="0" w:type="dxa"/>
            </w:tcMar>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NH</w:t>
            </w:r>
            <w:r>
              <w:rPr>
                <w:rFonts w:hint="eastAsia" w:ascii="Times New Roman" w:hAnsi="Times New Roman" w:cs="Times New Roman"/>
                <w:b/>
                <w:bCs/>
                <w:color w:val="auto"/>
                <w:szCs w:val="21"/>
                <w:vertAlign w:val="subscript"/>
                <w:lang w:val="en-US" w:eastAsia="zh-CN"/>
              </w:rPr>
              <w:t>3</w:t>
            </w:r>
          </w:p>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（kg/h）</w:t>
            </w:r>
          </w:p>
        </w:tc>
        <w:tc>
          <w:tcPr>
            <w:tcW w:w="481" w:type="pct"/>
            <w:tcBorders>
              <w:tl2br w:val="nil"/>
              <w:tr2bl w:val="nil"/>
            </w:tcBorders>
            <w:noWrap w:val="0"/>
            <w:tcMar>
              <w:left w:w="0" w:type="dxa"/>
              <w:right w:w="0" w:type="dxa"/>
            </w:tcMar>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H</w:t>
            </w:r>
            <w:r>
              <w:rPr>
                <w:rFonts w:hint="eastAsia" w:ascii="Times New Roman" w:hAnsi="Times New Roman" w:cs="Times New Roman"/>
                <w:b/>
                <w:bCs/>
                <w:color w:val="auto"/>
                <w:szCs w:val="21"/>
                <w:vertAlign w:val="subscript"/>
                <w:lang w:val="en-US" w:eastAsia="zh-CN"/>
              </w:rPr>
              <w:t>2</w:t>
            </w:r>
            <w:r>
              <w:rPr>
                <w:rFonts w:hint="eastAsia" w:ascii="Times New Roman" w:hAnsi="Times New Roman" w:cs="Times New Roman"/>
                <w:b/>
                <w:bCs/>
                <w:color w:val="auto"/>
                <w:szCs w:val="21"/>
                <w:lang w:val="en-US" w:eastAsia="zh-CN"/>
              </w:rPr>
              <w:t>S</w:t>
            </w:r>
          </w:p>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（kg/h）</w:t>
            </w:r>
          </w:p>
        </w:tc>
        <w:tc>
          <w:tcPr>
            <w:tcW w:w="896" w:type="pct"/>
            <w:vMerge w:val="continue"/>
            <w:tcBorders>
              <w:tl2br w:val="nil"/>
              <w:tr2bl w:val="nil"/>
            </w:tcBorders>
            <w:noWrap w:val="0"/>
            <w:tcMar>
              <w:left w:w="0" w:type="dxa"/>
              <w:right w:w="0" w:type="dxa"/>
            </w:tcMar>
            <w:vAlign w:val="center"/>
          </w:tcPr>
          <w:p>
            <w:pPr>
              <w:pStyle w:val="98"/>
              <w:jc w:val="center"/>
              <w:rPr>
                <w:rFonts w:hint="eastAsia" w:ascii="Times New Roman" w:hAnsi="Times New Roman" w:cs="Times New Roman"/>
                <w:b/>
                <w:bCs/>
                <w:color w:val="auto"/>
                <w:szCs w:val="21"/>
                <w:lang w:val="en-US" w:eastAsia="zh-CN"/>
              </w:rPr>
            </w:pPr>
          </w:p>
        </w:tc>
        <w:tc>
          <w:tcPr>
            <w:tcW w:w="545" w:type="pct"/>
            <w:tcBorders>
              <w:tl2br w:val="nil"/>
              <w:tr2bl w:val="nil"/>
            </w:tcBorders>
            <w:noWrap w:val="0"/>
            <w:tcMar>
              <w:left w:w="0" w:type="dxa"/>
              <w:right w:w="0" w:type="dxa"/>
            </w:tcMar>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NH</w:t>
            </w:r>
            <w:r>
              <w:rPr>
                <w:rFonts w:hint="eastAsia" w:ascii="Times New Roman" w:hAnsi="Times New Roman" w:cs="Times New Roman"/>
                <w:b/>
                <w:bCs/>
                <w:color w:val="auto"/>
                <w:szCs w:val="21"/>
                <w:vertAlign w:val="subscript"/>
                <w:lang w:val="en-US" w:eastAsia="zh-CN"/>
              </w:rPr>
              <w:t>3</w:t>
            </w:r>
            <w:r>
              <w:rPr>
                <w:rFonts w:hint="eastAsia" w:ascii="Times New Roman" w:hAnsi="Times New Roman" w:cs="Times New Roman"/>
                <w:b/>
                <w:bCs/>
                <w:color w:val="auto"/>
                <w:szCs w:val="21"/>
                <w:lang w:val="en-US" w:eastAsia="zh-CN"/>
              </w:rPr>
              <w:t>（kg/h）</w:t>
            </w:r>
          </w:p>
        </w:tc>
        <w:tc>
          <w:tcPr>
            <w:tcW w:w="494" w:type="pct"/>
            <w:tcBorders>
              <w:tl2br w:val="nil"/>
              <w:tr2bl w:val="nil"/>
            </w:tcBorders>
            <w:noWrap w:val="0"/>
            <w:tcMar>
              <w:left w:w="0" w:type="dxa"/>
              <w:right w:w="0" w:type="dxa"/>
            </w:tcMar>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H</w:t>
            </w:r>
            <w:r>
              <w:rPr>
                <w:rFonts w:hint="eastAsia" w:ascii="Times New Roman" w:hAnsi="Times New Roman" w:cs="Times New Roman"/>
                <w:b/>
                <w:bCs/>
                <w:color w:val="auto"/>
                <w:szCs w:val="21"/>
                <w:vertAlign w:val="subscript"/>
                <w:lang w:val="en-US" w:eastAsia="zh-CN"/>
              </w:rPr>
              <w:t>2</w:t>
            </w:r>
            <w:r>
              <w:rPr>
                <w:rFonts w:hint="eastAsia" w:ascii="Times New Roman" w:hAnsi="Times New Roman" w:cs="Times New Roman"/>
                <w:b/>
                <w:bCs/>
                <w:color w:val="auto"/>
                <w:szCs w:val="21"/>
                <w:lang w:val="en-US" w:eastAsia="zh-CN"/>
              </w:rPr>
              <w:t>S（kg/h）</w:t>
            </w:r>
          </w:p>
        </w:tc>
        <w:tc>
          <w:tcPr>
            <w:tcW w:w="610" w:type="pct"/>
            <w:tcBorders>
              <w:tl2br w:val="nil"/>
              <w:tr2bl w:val="nil"/>
            </w:tcBorders>
            <w:noWrap w:val="0"/>
            <w:tcMar>
              <w:left w:w="0" w:type="dxa"/>
              <w:right w:w="0" w:type="dxa"/>
            </w:tcMar>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NH</w:t>
            </w:r>
            <w:r>
              <w:rPr>
                <w:rFonts w:hint="eastAsia" w:ascii="Times New Roman" w:hAnsi="Times New Roman" w:cs="Times New Roman"/>
                <w:b/>
                <w:bCs/>
                <w:color w:val="auto"/>
                <w:szCs w:val="21"/>
                <w:vertAlign w:val="subscript"/>
                <w:lang w:val="en-US" w:eastAsia="zh-CN"/>
              </w:rPr>
              <w:t>3</w:t>
            </w:r>
            <w:r>
              <w:rPr>
                <w:rFonts w:hint="eastAsia" w:ascii="Times New Roman" w:hAnsi="Times New Roman" w:cs="Times New Roman"/>
                <w:b/>
                <w:bCs/>
                <w:color w:val="auto"/>
                <w:szCs w:val="21"/>
                <w:lang w:val="en-US" w:eastAsia="zh-CN"/>
              </w:rPr>
              <w:t>（mg/m</w:t>
            </w:r>
            <w:r>
              <w:rPr>
                <w:rFonts w:hint="eastAsia" w:ascii="Times New Roman" w:hAnsi="Times New Roman" w:cs="Times New Roman"/>
                <w:b/>
                <w:bCs/>
                <w:color w:val="auto"/>
                <w:szCs w:val="21"/>
                <w:vertAlign w:val="superscript"/>
                <w:lang w:val="en-US" w:eastAsia="zh-CN"/>
              </w:rPr>
              <w:t>3</w:t>
            </w:r>
            <w:r>
              <w:rPr>
                <w:rFonts w:hint="eastAsia" w:ascii="Times New Roman" w:hAnsi="Times New Roman" w:cs="Times New Roman"/>
                <w:b/>
                <w:bCs/>
                <w:color w:val="auto"/>
                <w:szCs w:val="21"/>
                <w:lang w:val="en-US" w:eastAsia="zh-CN"/>
              </w:rPr>
              <w:t>）</w:t>
            </w:r>
          </w:p>
        </w:tc>
        <w:tc>
          <w:tcPr>
            <w:tcW w:w="586" w:type="pct"/>
            <w:tcBorders>
              <w:tl2br w:val="nil"/>
              <w:tr2bl w:val="nil"/>
            </w:tcBorders>
            <w:noWrap w:val="0"/>
            <w:tcMar>
              <w:left w:w="0" w:type="dxa"/>
              <w:right w:w="0" w:type="dxa"/>
            </w:tcMar>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H</w:t>
            </w:r>
            <w:r>
              <w:rPr>
                <w:rFonts w:hint="eastAsia" w:ascii="Times New Roman" w:hAnsi="Times New Roman" w:cs="Times New Roman"/>
                <w:b/>
                <w:bCs/>
                <w:color w:val="auto"/>
                <w:szCs w:val="21"/>
                <w:vertAlign w:val="subscript"/>
                <w:lang w:val="en-US" w:eastAsia="zh-CN"/>
              </w:rPr>
              <w:t>2</w:t>
            </w:r>
            <w:r>
              <w:rPr>
                <w:rFonts w:hint="eastAsia" w:ascii="Times New Roman" w:hAnsi="Times New Roman" w:cs="Times New Roman"/>
                <w:b/>
                <w:bCs/>
                <w:color w:val="auto"/>
                <w:szCs w:val="21"/>
                <w:lang w:val="en-US" w:eastAsia="zh-CN"/>
              </w:rPr>
              <w:t>S（mg/m</w:t>
            </w:r>
            <w:r>
              <w:rPr>
                <w:rFonts w:hint="eastAsia" w:ascii="Times New Roman" w:hAnsi="Times New Roman" w:cs="Times New Roman"/>
                <w:b/>
                <w:bCs/>
                <w:color w:val="auto"/>
                <w:szCs w:val="21"/>
                <w:vertAlign w:val="superscript"/>
                <w:lang w:val="en-US" w:eastAsia="zh-CN"/>
              </w:rPr>
              <w:t>3</w:t>
            </w:r>
            <w:r>
              <w:rPr>
                <w:rFonts w:hint="eastAsia" w:ascii="Times New Roman" w:hAnsi="Times New Roman" w:cs="Times New Roman"/>
                <w:b/>
                <w:bCs/>
                <w:color w:val="auto"/>
                <w:szCs w:val="21"/>
                <w:lang w:val="en-US" w:eastAsia="zh-CN"/>
              </w:rPr>
              <w:t>）</w:t>
            </w:r>
          </w:p>
        </w:tc>
        <w:tc>
          <w:tcPr>
            <w:tcW w:w="156" w:type="pct"/>
            <w:vMerge w:val="continue"/>
            <w:tcBorders>
              <w:tl2br w:val="nil"/>
              <w:tr2bl w:val="nil"/>
            </w:tcBorders>
            <w:noWrap w:val="0"/>
            <w:tcMar>
              <w:left w:w="0" w:type="dxa"/>
              <w:right w:w="0" w:type="dxa"/>
            </w:tcMar>
            <w:vAlign w:val="center"/>
          </w:tcPr>
          <w:p>
            <w:pPr>
              <w:pStyle w:val="98"/>
              <w:jc w:val="center"/>
              <w:rPr>
                <w:rFonts w:hint="eastAsia" w:ascii="Times New Roman" w:hAnsi="Times New Roman" w:cs="Times New Roman"/>
                <w:color w:val="auto"/>
                <w:szCs w:val="21"/>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671" w:hRule="atLeast"/>
        </w:trPr>
        <w:tc>
          <w:tcPr>
            <w:tcW w:w="244" w:type="pct"/>
            <w:vMerge w:val="restart"/>
            <w:tcBorders>
              <w:tl2br w:val="nil"/>
              <w:tr2bl w:val="nil"/>
            </w:tcBorders>
            <w:noWrap w:val="0"/>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堆粪间</w:t>
            </w:r>
          </w:p>
        </w:tc>
        <w:tc>
          <w:tcPr>
            <w:tcW w:w="504" w:type="pct"/>
            <w:vMerge w:val="restart"/>
            <w:tcBorders>
              <w:tl2br w:val="nil"/>
              <w:tr2bl w:val="nil"/>
            </w:tcBorders>
            <w:noWrap w:val="0"/>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300</w:t>
            </w:r>
          </w:p>
        </w:tc>
        <w:tc>
          <w:tcPr>
            <w:tcW w:w="480" w:type="pct"/>
            <w:vMerge w:val="restart"/>
            <w:tcBorders>
              <w:tl2br w:val="nil"/>
              <w:tr2bl w:val="nil"/>
            </w:tcBorders>
            <w:noWrap w:val="0"/>
            <w:tcMar>
              <w:left w:w="0" w:type="dxa"/>
              <w:right w:w="0" w:type="dxa"/>
            </w:tcMar>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0.065</w:t>
            </w:r>
          </w:p>
        </w:tc>
        <w:tc>
          <w:tcPr>
            <w:tcW w:w="481" w:type="pct"/>
            <w:vMerge w:val="restart"/>
            <w:tcBorders>
              <w:tl2br w:val="nil"/>
              <w:tr2bl w:val="nil"/>
            </w:tcBorders>
            <w:noWrap w:val="0"/>
            <w:tcMar>
              <w:left w:w="0" w:type="dxa"/>
              <w:right w:w="0" w:type="dxa"/>
            </w:tcMar>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0.004</w:t>
            </w:r>
          </w:p>
        </w:tc>
        <w:tc>
          <w:tcPr>
            <w:tcW w:w="896" w:type="pct"/>
            <w:vMerge w:val="restart"/>
            <w:tcBorders>
              <w:tl2br w:val="nil"/>
              <w:tr2bl w:val="nil"/>
            </w:tcBorders>
            <w:noWrap w:val="0"/>
            <w:tcMar>
              <w:left w:w="0" w:type="dxa"/>
              <w:right w:w="0" w:type="dxa"/>
            </w:tcMar>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进行封闭处理，负压收集废气，收集后经喷淋洗涤吸收塔（风量10000m</w:t>
            </w:r>
            <w:r>
              <w:rPr>
                <w:rFonts w:hint="eastAsia" w:ascii="Times New Roman" w:hAnsi="Times New Roman" w:cs="Times New Roman"/>
                <w:color w:val="auto"/>
                <w:szCs w:val="21"/>
                <w:vertAlign w:val="superscript"/>
                <w:lang w:val="en-US" w:eastAsia="zh-CN"/>
              </w:rPr>
              <w:t>3</w:t>
            </w:r>
            <w:r>
              <w:rPr>
                <w:rFonts w:hint="eastAsia" w:ascii="Times New Roman" w:hAnsi="Times New Roman" w:cs="Times New Roman"/>
                <w:color w:val="auto"/>
                <w:szCs w:val="21"/>
                <w:lang w:val="en-US" w:eastAsia="zh-CN"/>
              </w:rPr>
              <w:t>/h）处理后由15m排气筒排放；按照集气效率98%，除臭效率90%计算。</w:t>
            </w:r>
          </w:p>
        </w:tc>
        <w:tc>
          <w:tcPr>
            <w:tcW w:w="545" w:type="pct"/>
            <w:tcBorders>
              <w:tl2br w:val="nil"/>
              <w:tr2bl w:val="nil"/>
            </w:tcBorders>
            <w:noWrap w:val="0"/>
            <w:tcMar>
              <w:left w:w="0" w:type="dxa"/>
              <w:right w:w="0" w:type="dxa"/>
            </w:tcMar>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0.00637</w:t>
            </w:r>
          </w:p>
        </w:tc>
        <w:tc>
          <w:tcPr>
            <w:tcW w:w="494" w:type="pct"/>
            <w:tcBorders>
              <w:tl2br w:val="nil"/>
              <w:tr2bl w:val="nil"/>
            </w:tcBorders>
            <w:noWrap w:val="0"/>
            <w:tcMar>
              <w:left w:w="0" w:type="dxa"/>
              <w:right w:w="0" w:type="dxa"/>
            </w:tcMar>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0.00040</w:t>
            </w:r>
          </w:p>
        </w:tc>
        <w:tc>
          <w:tcPr>
            <w:tcW w:w="610" w:type="pct"/>
            <w:tcBorders>
              <w:tl2br w:val="nil"/>
              <w:tr2bl w:val="nil"/>
            </w:tcBorders>
            <w:noWrap w:val="0"/>
            <w:tcMar>
              <w:left w:w="0" w:type="dxa"/>
              <w:right w:w="0" w:type="dxa"/>
            </w:tcMar>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0.637</w:t>
            </w:r>
          </w:p>
        </w:tc>
        <w:tc>
          <w:tcPr>
            <w:tcW w:w="586" w:type="pct"/>
            <w:tcBorders>
              <w:tl2br w:val="nil"/>
              <w:tr2bl w:val="nil"/>
            </w:tcBorders>
            <w:noWrap w:val="0"/>
            <w:tcMar>
              <w:left w:w="0" w:type="dxa"/>
              <w:right w:w="0" w:type="dxa"/>
            </w:tcMar>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0.04</w:t>
            </w:r>
          </w:p>
        </w:tc>
        <w:tc>
          <w:tcPr>
            <w:tcW w:w="156" w:type="pct"/>
            <w:tcBorders>
              <w:tl2br w:val="nil"/>
              <w:tr2bl w:val="nil"/>
            </w:tcBorders>
            <w:noWrap w:val="0"/>
            <w:tcMar>
              <w:left w:w="0" w:type="dxa"/>
              <w:right w:w="0" w:type="dxa"/>
            </w:tcMar>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有组织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05" w:hRule="atLeast"/>
        </w:trPr>
        <w:tc>
          <w:tcPr>
            <w:tcW w:w="244" w:type="pct"/>
            <w:vMerge w:val="continue"/>
            <w:tcBorders>
              <w:tl2br w:val="nil"/>
              <w:tr2bl w:val="nil"/>
            </w:tcBorders>
            <w:noWrap w:val="0"/>
            <w:vAlign w:val="center"/>
          </w:tcPr>
          <w:p>
            <w:pPr>
              <w:pStyle w:val="98"/>
              <w:jc w:val="center"/>
              <w:rPr>
                <w:rFonts w:hint="eastAsia" w:ascii="Times New Roman" w:hAnsi="Times New Roman" w:cs="Times New Roman"/>
                <w:color w:val="auto"/>
                <w:szCs w:val="21"/>
                <w:lang w:val="en-US" w:eastAsia="zh-CN"/>
              </w:rPr>
            </w:pPr>
          </w:p>
        </w:tc>
        <w:tc>
          <w:tcPr>
            <w:tcW w:w="504" w:type="pct"/>
            <w:vMerge w:val="continue"/>
            <w:tcBorders>
              <w:tl2br w:val="nil"/>
              <w:tr2bl w:val="nil"/>
            </w:tcBorders>
            <w:noWrap w:val="0"/>
            <w:vAlign w:val="center"/>
          </w:tcPr>
          <w:p>
            <w:pPr>
              <w:pStyle w:val="98"/>
              <w:jc w:val="center"/>
              <w:rPr>
                <w:rFonts w:hint="eastAsia" w:ascii="Times New Roman" w:hAnsi="Times New Roman" w:cs="Times New Roman"/>
                <w:color w:val="auto"/>
                <w:szCs w:val="21"/>
                <w:lang w:val="en-US" w:eastAsia="zh-CN"/>
              </w:rPr>
            </w:pPr>
          </w:p>
        </w:tc>
        <w:tc>
          <w:tcPr>
            <w:tcW w:w="480" w:type="pct"/>
            <w:vMerge w:val="continue"/>
            <w:tcBorders>
              <w:tl2br w:val="nil"/>
              <w:tr2bl w:val="nil"/>
            </w:tcBorders>
            <w:noWrap w:val="0"/>
            <w:tcMar>
              <w:left w:w="0" w:type="dxa"/>
              <w:right w:w="0" w:type="dxa"/>
            </w:tcMar>
            <w:vAlign w:val="center"/>
          </w:tcPr>
          <w:p>
            <w:pPr>
              <w:pStyle w:val="98"/>
              <w:jc w:val="center"/>
              <w:rPr>
                <w:rFonts w:hint="eastAsia" w:ascii="Times New Roman" w:hAnsi="Times New Roman" w:cs="Times New Roman"/>
                <w:color w:val="auto"/>
                <w:szCs w:val="21"/>
                <w:lang w:val="en-US" w:eastAsia="zh-CN"/>
              </w:rPr>
            </w:pPr>
          </w:p>
        </w:tc>
        <w:tc>
          <w:tcPr>
            <w:tcW w:w="481" w:type="pct"/>
            <w:vMerge w:val="continue"/>
            <w:tcBorders>
              <w:tl2br w:val="nil"/>
              <w:tr2bl w:val="nil"/>
            </w:tcBorders>
            <w:noWrap w:val="0"/>
            <w:tcMar>
              <w:left w:w="0" w:type="dxa"/>
              <w:right w:w="0" w:type="dxa"/>
            </w:tcMar>
            <w:vAlign w:val="center"/>
          </w:tcPr>
          <w:p>
            <w:pPr>
              <w:pStyle w:val="98"/>
              <w:jc w:val="center"/>
              <w:rPr>
                <w:rFonts w:hint="eastAsia" w:ascii="Times New Roman" w:hAnsi="Times New Roman" w:cs="Times New Roman"/>
                <w:color w:val="auto"/>
                <w:szCs w:val="21"/>
                <w:lang w:val="en-US" w:eastAsia="zh-CN"/>
              </w:rPr>
            </w:pPr>
          </w:p>
        </w:tc>
        <w:tc>
          <w:tcPr>
            <w:tcW w:w="896" w:type="pct"/>
            <w:vMerge w:val="continue"/>
            <w:tcBorders>
              <w:tl2br w:val="nil"/>
              <w:tr2bl w:val="nil"/>
            </w:tcBorders>
            <w:noWrap w:val="0"/>
            <w:tcMar>
              <w:left w:w="0" w:type="dxa"/>
              <w:right w:w="0" w:type="dxa"/>
            </w:tcMar>
            <w:vAlign w:val="center"/>
          </w:tcPr>
          <w:p>
            <w:pPr>
              <w:pStyle w:val="98"/>
              <w:jc w:val="center"/>
              <w:rPr>
                <w:rFonts w:hint="eastAsia" w:ascii="Times New Roman" w:hAnsi="Times New Roman" w:cs="Times New Roman"/>
                <w:color w:val="auto"/>
                <w:szCs w:val="21"/>
                <w:lang w:val="en-US" w:eastAsia="zh-CN"/>
              </w:rPr>
            </w:pPr>
          </w:p>
        </w:tc>
        <w:tc>
          <w:tcPr>
            <w:tcW w:w="545" w:type="pct"/>
            <w:tcBorders>
              <w:tl2br w:val="nil"/>
              <w:tr2bl w:val="nil"/>
            </w:tcBorders>
            <w:noWrap w:val="0"/>
            <w:tcMar>
              <w:left w:w="0" w:type="dxa"/>
              <w:right w:w="0" w:type="dxa"/>
            </w:tcMar>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0.0013</w:t>
            </w:r>
          </w:p>
        </w:tc>
        <w:tc>
          <w:tcPr>
            <w:tcW w:w="494" w:type="pct"/>
            <w:tcBorders>
              <w:tl2br w:val="nil"/>
              <w:tr2bl w:val="nil"/>
            </w:tcBorders>
            <w:noWrap w:val="0"/>
            <w:tcMar>
              <w:left w:w="0" w:type="dxa"/>
              <w:right w:w="0" w:type="dxa"/>
            </w:tcMar>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0.00008</w:t>
            </w:r>
          </w:p>
        </w:tc>
        <w:tc>
          <w:tcPr>
            <w:tcW w:w="610" w:type="pct"/>
            <w:tcBorders>
              <w:tl2br w:val="nil"/>
              <w:tr2bl w:val="nil"/>
            </w:tcBorders>
            <w:noWrap w:val="0"/>
            <w:tcMar>
              <w:left w:w="0" w:type="dxa"/>
              <w:right w:w="0" w:type="dxa"/>
            </w:tcMar>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c>
          <w:tcPr>
            <w:tcW w:w="586" w:type="pct"/>
            <w:tcBorders>
              <w:tl2br w:val="nil"/>
              <w:tr2bl w:val="nil"/>
            </w:tcBorders>
            <w:noWrap w:val="0"/>
            <w:tcMar>
              <w:left w:w="0" w:type="dxa"/>
              <w:right w:w="0" w:type="dxa"/>
            </w:tcMar>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c>
          <w:tcPr>
            <w:tcW w:w="156" w:type="pct"/>
            <w:tcBorders>
              <w:tl2br w:val="nil"/>
              <w:tr2bl w:val="nil"/>
            </w:tcBorders>
            <w:noWrap w:val="0"/>
            <w:tcMar>
              <w:left w:w="0" w:type="dxa"/>
              <w:right w:w="0" w:type="dxa"/>
            </w:tcMar>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无组织</w:t>
            </w:r>
          </w:p>
        </w:tc>
      </w:tr>
    </w:tbl>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由以上分析可知，本项目采用先进的饲养工艺和清粪工艺，并做到猪舍内勤清扫、保持干燥和防潮、加强通风，场区内加强绿化，粪便在得到及时处理前提下，厂界臭气浓度均能够满足《</w:t>
      </w:r>
      <w:r>
        <w:rPr>
          <w:rFonts w:hint="eastAsia" w:ascii="Times New Roman" w:hAnsi="Times New Roman" w:eastAsia="宋体" w:cs="Times New Roman"/>
          <w:color w:val="auto"/>
          <w:sz w:val="24"/>
          <w:szCs w:val="24"/>
          <w:lang w:eastAsia="zh-CN"/>
        </w:rPr>
        <w:t>畜禽养殖业</w:t>
      </w:r>
      <w:r>
        <w:rPr>
          <w:rFonts w:hint="eastAsia" w:ascii="Times New Roman" w:hAnsi="Times New Roman" w:eastAsia="宋体" w:cs="Times New Roman"/>
          <w:color w:val="auto"/>
          <w:sz w:val="24"/>
          <w:szCs w:val="24"/>
        </w:rPr>
        <w:t>污染物排放标准》（GB1</w:t>
      </w:r>
      <w:r>
        <w:rPr>
          <w:rFonts w:hint="eastAsia" w:ascii="Times New Roman" w:hAnsi="Times New Roman" w:eastAsia="宋体" w:cs="Times New Roman"/>
          <w:color w:val="auto"/>
          <w:sz w:val="24"/>
          <w:szCs w:val="24"/>
          <w:lang w:val="en-US" w:eastAsia="zh-CN"/>
        </w:rPr>
        <w:t>8596</w:t>
      </w:r>
      <w:r>
        <w:rPr>
          <w:rFonts w:hint="eastAsia"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eastAsia="zh-CN"/>
        </w:rPr>
        <w:t>2001</w:t>
      </w:r>
      <w:r>
        <w:rPr>
          <w:rFonts w:hint="eastAsia" w:ascii="Times New Roman" w:hAnsi="Times New Roman" w:eastAsia="宋体" w:cs="Times New Roman"/>
          <w:color w:val="auto"/>
          <w:sz w:val="24"/>
          <w:szCs w:val="24"/>
        </w:rPr>
        <w:t>）中的规定值。</w:t>
      </w: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hint="eastAsia" w:ascii="Times New Roman" w:hAnsi="Times New Roman" w:eastAsia="宋体"/>
          <w:b/>
          <w:color w:val="auto"/>
          <w:szCs w:val="21"/>
          <w:lang w:eastAsia="zh-CN"/>
        </w:rPr>
      </w:pPr>
      <w:r>
        <w:rPr>
          <w:rFonts w:hint="eastAsia" w:ascii="Times New Roman" w:hAnsi="Times New Roman" w:eastAsia="宋体"/>
          <w:b/>
          <w:color w:val="auto"/>
          <w:szCs w:val="21"/>
          <w:lang w:val="en-US" w:eastAsia="zh-CN"/>
        </w:rPr>
        <w:t>表3.5</w:t>
      </w:r>
      <w:r>
        <w:rPr>
          <w:rFonts w:hint="eastAsia" w:ascii="Times New Roman" w:hAnsi="Times New Roman" w:eastAsia="宋体"/>
          <w:b/>
          <w:color w:val="auto"/>
          <w:szCs w:val="21"/>
        </w:rPr>
        <w:t>-</w:t>
      </w:r>
      <w:r>
        <w:rPr>
          <w:rFonts w:hint="eastAsia" w:ascii="Times New Roman" w:hAnsi="Times New Roman" w:eastAsia="宋体"/>
          <w:b/>
          <w:color w:val="auto"/>
          <w:szCs w:val="21"/>
          <w:lang w:val="en-US" w:eastAsia="zh-CN"/>
        </w:rPr>
        <w:t xml:space="preserve">10 </w:t>
      </w:r>
      <w:r>
        <w:rPr>
          <w:rFonts w:ascii="Times New Roman" w:hAnsi="Times New Roman" w:eastAsia="宋体"/>
          <w:b/>
          <w:color w:val="auto"/>
          <w:szCs w:val="21"/>
        </w:rPr>
        <w:t xml:space="preserve"> </w:t>
      </w:r>
      <w:r>
        <w:rPr>
          <w:rFonts w:hint="eastAsia" w:ascii="Times New Roman" w:hAnsi="Times New Roman" w:eastAsia="宋体"/>
          <w:b/>
          <w:color w:val="auto"/>
          <w:szCs w:val="21"/>
          <w:lang w:eastAsia="zh-CN"/>
        </w:rPr>
        <w:t>项目恶臭产生及排放情况一览表</w:t>
      </w:r>
    </w:p>
    <w:tbl>
      <w:tblPr>
        <w:tblStyle w:val="35"/>
        <w:tblW w:w="92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
        <w:gridCol w:w="923"/>
        <w:gridCol w:w="1451"/>
        <w:gridCol w:w="2562"/>
        <w:gridCol w:w="1684"/>
        <w:gridCol w:w="16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2"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污染源</w:t>
            </w:r>
          </w:p>
        </w:tc>
        <w:tc>
          <w:tcPr>
            <w:tcW w:w="923"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污染物</w:t>
            </w:r>
          </w:p>
        </w:tc>
        <w:tc>
          <w:tcPr>
            <w:tcW w:w="1451"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产生情况</w:t>
            </w:r>
          </w:p>
        </w:tc>
        <w:tc>
          <w:tcPr>
            <w:tcW w:w="2562"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治理措施</w:t>
            </w:r>
          </w:p>
        </w:tc>
        <w:tc>
          <w:tcPr>
            <w:tcW w:w="1684"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有组织排放情况</w:t>
            </w:r>
          </w:p>
        </w:tc>
        <w:tc>
          <w:tcPr>
            <w:tcW w:w="1688"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无组织排放情况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2" w:type="dxa"/>
            <w:vMerge w:val="restart"/>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育肥舍1</w:t>
            </w:r>
          </w:p>
        </w:tc>
        <w:tc>
          <w:tcPr>
            <w:tcW w:w="923" w:type="dxa"/>
            <w:vAlign w:val="center"/>
          </w:tcPr>
          <w:p>
            <w:pPr>
              <w:pStyle w:val="98"/>
              <w:jc w:val="center"/>
              <w:rPr>
                <w:rFonts w:hint="eastAsia" w:ascii="Times New Roman" w:hAnsi="Times New Roman" w:cs="Times New Roman"/>
                <w:b w:val="0"/>
                <w:bCs w:val="0"/>
                <w:color w:val="auto"/>
                <w:szCs w:val="21"/>
                <w:lang w:val="en-US" w:eastAsia="zh-CN"/>
              </w:rPr>
            </w:pPr>
            <w:r>
              <w:rPr>
                <w:rFonts w:hint="eastAsia" w:ascii="Times New Roman" w:hAnsi="Times New Roman" w:cs="Times New Roman"/>
                <w:b w:val="0"/>
                <w:bCs w:val="0"/>
                <w:color w:val="auto"/>
                <w:szCs w:val="21"/>
                <w:lang w:val="en-US" w:eastAsia="zh-CN"/>
              </w:rPr>
              <w:t>NH</w:t>
            </w:r>
            <w:r>
              <w:rPr>
                <w:rFonts w:hint="eastAsia" w:ascii="Times New Roman" w:hAnsi="Times New Roman" w:cs="Times New Roman"/>
                <w:b w:val="0"/>
                <w:bCs w:val="0"/>
                <w:color w:val="auto"/>
                <w:szCs w:val="21"/>
                <w:vertAlign w:val="subscript"/>
                <w:lang w:val="en-US" w:eastAsia="zh-CN"/>
              </w:rPr>
              <w:t>3</w:t>
            </w:r>
          </w:p>
        </w:tc>
        <w:tc>
          <w:tcPr>
            <w:tcW w:w="1451" w:type="dxa"/>
            <w:vAlign w:val="top"/>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 w:val="21"/>
                <w:szCs w:val="21"/>
                <w:lang w:val="en-US" w:eastAsia="zh-CN"/>
              </w:rPr>
              <w:t>11.0625</w:t>
            </w:r>
            <w:r>
              <w:rPr>
                <w:rFonts w:hint="eastAsia" w:ascii="Times New Roman" w:hAnsi="Times New Roman" w:cs="Times New Roman"/>
                <w:color w:val="auto"/>
                <w:szCs w:val="21"/>
                <w:lang w:val="en-US" w:eastAsia="zh-CN"/>
              </w:rPr>
              <w:t>kg/d</w:t>
            </w:r>
          </w:p>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0.46kg/h</w:t>
            </w:r>
          </w:p>
        </w:tc>
        <w:tc>
          <w:tcPr>
            <w:tcW w:w="2562" w:type="dxa"/>
            <w:vMerge w:val="restart"/>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封闭式猪舍，加强绿化、除臭剂、绿化、无组织排放</w:t>
            </w:r>
          </w:p>
        </w:tc>
        <w:tc>
          <w:tcPr>
            <w:tcW w:w="1684" w:type="dxa"/>
            <w:vMerge w:val="restart"/>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p>
            <w:pPr>
              <w:pStyle w:val="98"/>
              <w:jc w:val="center"/>
              <w:rPr>
                <w:rFonts w:hint="default" w:ascii="Times New Roman" w:hAnsi="Times New Roman" w:cs="Times New Roman"/>
                <w:color w:val="auto"/>
                <w:szCs w:val="21"/>
                <w:lang w:val="en-US" w:eastAsia="zh-CN"/>
              </w:rPr>
            </w:pPr>
          </w:p>
        </w:tc>
        <w:tc>
          <w:tcPr>
            <w:tcW w:w="1688"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 w:val="21"/>
                <w:szCs w:val="21"/>
                <w:lang w:val="en-US" w:eastAsia="zh-CN"/>
              </w:rPr>
              <w:t>0.2775</w:t>
            </w:r>
            <w:r>
              <w:rPr>
                <w:rFonts w:hint="eastAsia" w:ascii="Times New Roman" w:hAnsi="Times New Roman" w:cs="Times New Roman"/>
                <w:color w:val="auto"/>
                <w:szCs w:val="21"/>
                <w:lang w:val="en-US" w:eastAsia="zh-CN"/>
              </w:rPr>
              <w:t>kg/d</w:t>
            </w:r>
          </w:p>
          <w:p>
            <w:pPr>
              <w:pStyle w:val="48"/>
              <w:jc w:val="center"/>
              <w:rPr>
                <w:rFonts w:hint="default"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kern w:val="2"/>
                <w:sz w:val="21"/>
                <w:szCs w:val="21"/>
                <w:lang w:val="en-US" w:eastAsia="zh-CN" w:bidi="zh-CN"/>
              </w:rPr>
              <w:t>0.01</w:t>
            </w:r>
            <w:r>
              <w:rPr>
                <w:rFonts w:hint="eastAsia" w:ascii="Times New Roman" w:hAnsi="Times New Roman" w:cs="Times New Roman"/>
                <w:color w:val="auto"/>
                <w:szCs w:val="21"/>
                <w:lang w:val="en-US" w:eastAsia="zh-CN"/>
              </w:rPr>
              <w:t>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2" w:type="dxa"/>
            <w:vMerge w:val="continue"/>
            <w:vAlign w:val="center"/>
          </w:tcPr>
          <w:p>
            <w:pPr>
              <w:pStyle w:val="98"/>
              <w:jc w:val="center"/>
              <w:rPr>
                <w:rFonts w:hint="eastAsia" w:ascii="Times New Roman" w:hAnsi="Times New Roman" w:cs="Times New Roman"/>
                <w:color w:val="auto"/>
                <w:szCs w:val="21"/>
                <w:lang w:val="en-US" w:eastAsia="zh-CN"/>
              </w:rPr>
            </w:pPr>
          </w:p>
        </w:tc>
        <w:tc>
          <w:tcPr>
            <w:tcW w:w="923" w:type="dxa"/>
            <w:vAlign w:val="center"/>
          </w:tcPr>
          <w:p>
            <w:pPr>
              <w:pStyle w:val="98"/>
              <w:jc w:val="center"/>
              <w:rPr>
                <w:rFonts w:hint="eastAsia" w:ascii="Times New Roman" w:hAnsi="Times New Roman" w:cs="Times New Roman"/>
                <w:b w:val="0"/>
                <w:bCs w:val="0"/>
                <w:color w:val="auto"/>
                <w:szCs w:val="21"/>
                <w:lang w:val="en-US" w:eastAsia="zh-CN"/>
              </w:rPr>
            </w:pPr>
            <w:r>
              <w:rPr>
                <w:rFonts w:hint="eastAsia" w:ascii="Times New Roman" w:hAnsi="Times New Roman" w:cs="Times New Roman"/>
                <w:b w:val="0"/>
                <w:bCs w:val="0"/>
                <w:color w:val="auto"/>
                <w:szCs w:val="21"/>
                <w:lang w:val="en-US" w:eastAsia="zh-CN"/>
              </w:rPr>
              <w:t>H</w:t>
            </w:r>
            <w:r>
              <w:rPr>
                <w:rFonts w:hint="eastAsia" w:ascii="Times New Roman" w:hAnsi="Times New Roman" w:cs="Times New Roman"/>
                <w:b w:val="0"/>
                <w:bCs w:val="0"/>
                <w:color w:val="auto"/>
                <w:szCs w:val="21"/>
                <w:vertAlign w:val="subscript"/>
                <w:lang w:val="en-US" w:eastAsia="zh-CN"/>
              </w:rPr>
              <w:t>2</w:t>
            </w:r>
            <w:r>
              <w:rPr>
                <w:rFonts w:hint="eastAsia" w:ascii="Times New Roman" w:hAnsi="Times New Roman" w:cs="Times New Roman"/>
                <w:b w:val="0"/>
                <w:bCs w:val="0"/>
                <w:color w:val="auto"/>
                <w:szCs w:val="21"/>
                <w:lang w:val="en-US" w:eastAsia="zh-CN"/>
              </w:rPr>
              <w:t>S</w:t>
            </w:r>
          </w:p>
        </w:tc>
        <w:tc>
          <w:tcPr>
            <w:tcW w:w="1451" w:type="dxa"/>
            <w:vAlign w:val="top"/>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 w:val="21"/>
                <w:szCs w:val="21"/>
                <w:lang w:val="en-US" w:eastAsia="zh-CN"/>
              </w:rPr>
              <w:t>2.0625</w:t>
            </w:r>
            <w:r>
              <w:rPr>
                <w:rFonts w:hint="eastAsia" w:ascii="Times New Roman" w:hAnsi="Times New Roman" w:cs="Times New Roman"/>
                <w:color w:val="auto"/>
                <w:szCs w:val="21"/>
                <w:lang w:val="en-US" w:eastAsia="zh-CN"/>
              </w:rPr>
              <w:t>kg/d</w:t>
            </w:r>
          </w:p>
          <w:p>
            <w:pPr>
              <w:spacing w:line="240" w:lineRule="auto"/>
              <w:ind w:firstLine="0" w:firstLineChars="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0.086kg/h</w:t>
            </w:r>
          </w:p>
        </w:tc>
        <w:tc>
          <w:tcPr>
            <w:tcW w:w="2562" w:type="dxa"/>
            <w:vMerge w:val="continue"/>
            <w:vAlign w:val="center"/>
          </w:tcPr>
          <w:p>
            <w:pPr>
              <w:pStyle w:val="98"/>
              <w:jc w:val="center"/>
              <w:rPr>
                <w:rFonts w:hint="eastAsia" w:ascii="Times New Roman" w:hAnsi="Times New Roman" w:cs="Times New Roman"/>
                <w:color w:val="auto"/>
                <w:szCs w:val="21"/>
                <w:lang w:val="en-US" w:eastAsia="zh-CN"/>
              </w:rPr>
            </w:pPr>
          </w:p>
        </w:tc>
        <w:tc>
          <w:tcPr>
            <w:tcW w:w="1684" w:type="dxa"/>
            <w:vMerge w:val="continue"/>
            <w:vAlign w:val="center"/>
          </w:tcPr>
          <w:p>
            <w:pPr>
              <w:pStyle w:val="98"/>
              <w:jc w:val="center"/>
              <w:rPr>
                <w:rFonts w:hint="default" w:ascii="Times New Roman" w:hAnsi="Times New Roman" w:cs="Times New Roman"/>
                <w:color w:val="auto"/>
                <w:szCs w:val="21"/>
                <w:lang w:val="en-US" w:eastAsia="zh-CN"/>
              </w:rPr>
            </w:pPr>
          </w:p>
        </w:tc>
        <w:tc>
          <w:tcPr>
            <w:tcW w:w="1688"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 w:val="21"/>
                <w:szCs w:val="21"/>
                <w:lang w:val="en-US" w:eastAsia="zh-CN"/>
              </w:rPr>
              <w:t>0.0525</w:t>
            </w:r>
            <w:r>
              <w:rPr>
                <w:rFonts w:hint="eastAsia" w:ascii="Times New Roman" w:hAnsi="Times New Roman" w:cs="Times New Roman"/>
                <w:color w:val="auto"/>
                <w:szCs w:val="21"/>
                <w:lang w:val="en-US" w:eastAsia="zh-CN"/>
              </w:rPr>
              <w:t>kg/d</w:t>
            </w:r>
          </w:p>
          <w:p>
            <w:pPr>
              <w:pStyle w:val="48"/>
              <w:jc w:val="center"/>
              <w:rPr>
                <w:rFonts w:hint="default"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kern w:val="2"/>
                <w:sz w:val="21"/>
                <w:szCs w:val="21"/>
                <w:lang w:val="en-US" w:eastAsia="zh-CN" w:bidi="zh-CN"/>
              </w:rPr>
              <w:t>0.0007</w:t>
            </w:r>
            <w:r>
              <w:rPr>
                <w:rFonts w:hint="eastAsia" w:ascii="Times New Roman" w:hAnsi="Times New Roman" w:cs="Times New Roman"/>
                <w:color w:val="auto"/>
                <w:szCs w:val="21"/>
                <w:lang w:val="en-US" w:eastAsia="zh-CN"/>
              </w:rPr>
              <w:t>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2" w:type="dxa"/>
            <w:vMerge w:val="restart"/>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育肥舍2</w:t>
            </w:r>
          </w:p>
        </w:tc>
        <w:tc>
          <w:tcPr>
            <w:tcW w:w="923" w:type="dxa"/>
            <w:vAlign w:val="center"/>
          </w:tcPr>
          <w:p>
            <w:pPr>
              <w:pStyle w:val="98"/>
              <w:jc w:val="center"/>
              <w:rPr>
                <w:rFonts w:hint="eastAsia" w:ascii="Times New Roman" w:hAnsi="Times New Roman" w:cs="Times New Roman"/>
                <w:b w:val="0"/>
                <w:bCs w:val="0"/>
                <w:color w:val="auto"/>
                <w:szCs w:val="21"/>
                <w:lang w:val="en-US" w:eastAsia="zh-CN"/>
              </w:rPr>
            </w:pPr>
            <w:r>
              <w:rPr>
                <w:rFonts w:hint="eastAsia" w:ascii="Times New Roman" w:hAnsi="Times New Roman" w:cs="Times New Roman"/>
                <w:b w:val="0"/>
                <w:bCs w:val="0"/>
                <w:color w:val="auto"/>
                <w:szCs w:val="21"/>
                <w:lang w:val="en-US" w:eastAsia="zh-CN"/>
              </w:rPr>
              <w:t>NH</w:t>
            </w:r>
            <w:r>
              <w:rPr>
                <w:rFonts w:hint="eastAsia" w:ascii="Times New Roman" w:hAnsi="Times New Roman" w:cs="Times New Roman"/>
                <w:b w:val="0"/>
                <w:bCs w:val="0"/>
                <w:color w:val="auto"/>
                <w:szCs w:val="21"/>
                <w:vertAlign w:val="subscript"/>
                <w:lang w:val="en-US" w:eastAsia="zh-CN"/>
              </w:rPr>
              <w:t>3</w:t>
            </w:r>
          </w:p>
        </w:tc>
        <w:tc>
          <w:tcPr>
            <w:tcW w:w="1451" w:type="dxa"/>
            <w:vAlign w:val="top"/>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 w:val="21"/>
                <w:szCs w:val="21"/>
                <w:lang w:val="en-US" w:eastAsia="zh-CN"/>
              </w:rPr>
              <w:t>11.0625</w:t>
            </w:r>
            <w:r>
              <w:rPr>
                <w:rFonts w:hint="eastAsia" w:ascii="Times New Roman" w:hAnsi="Times New Roman" w:cs="Times New Roman"/>
                <w:color w:val="auto"/>
                <w:szCs w:val="21"/>
                <w:lang w:val="en-US" w:eastAsia="zh-CN"/>
              </w:rPr>
              <w:t>kg/d</w:t>
            </w:r>
          </w:p>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0.46kg/h</w:t>
            </w:r>
          </w:p>
        </w:tc>
        <w:tc>
          <w:tcPr>
            <w:tcW w:w="2562" w:type="dxa"/>
            <w:vMerge w:val="continue"/>
            <w:vAlign w:val="center"/>
          </w:tcPr>
          <w:p>
            <w:pPr>
              <w:pStyle w:val="98"/>
              <w:jc w:val="center"/>
              <w:rPr>
                <w:rFonts w:hint="eastAsia" w:ascii="Times New Roman" w:hAnsi="Times New Roman" w:cs="Times New Roman"/>
                <w:color w:val="auto"/>
                <w:szCs w:val="21"/>
                <w:lang w:val="en-US" w:eastAsia="zh-CN"/>
              </w:rPr>
            </w:pPr>
          </w:p>
        </w:tc>
        <w:tc>
          <w:tcPr>
            <w:tcW w:w="1684" w:type="dxa"/>
            <w:vMerge w:val="continue"/>
            <w:vAlign w:val="center"/>
          </w:tcPr>
          <w:p>
            <w:pPr>
              <w:pStyle w:val="98"/>
              <w:jc w:val="center"/>
              <w:rPr>
                <w:rFonts w:hint="eastAsia" w:ascii="Times New Roman" w:hAnsi="Times New Roman" w:cs="Times New Roman"/>
                <w:color w:val="auto"/>
                <w:szCs w:val="21"/>
                <w:lang w:val="en-US" w:eastAsia="zh-CN"/>
              </w:rPr>
            </w:pPr>
          </w:p>
        </w:tc>
        <w:tc>
          <w:tcPr>
            <w:tcW w:w="1688"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 w:val="21"/>
                <w:szCs w:val="21"/>
                <w:lang w:val="en-US" w:eastAsia="zh-CN"/>
              </w:rPr>
              <w:t>0.2775</w:t>
            </w:r>
            <w:r>
              <w:rPr>
                <w:rFonts w:hint="eastAsia" w:ascii="Times New Roman" w:hAnsi="Times New Roman" w:cs="Times New Roman"/>
                <w:color w:val="auto"/>
                <w:szCs w:val="21"/>
                <w:lang w:val="en-US" w:eastAsia="zh-CN"/>
              </w:rPr>
              <w:t>kg/d</w:t>
            </w:r>
          </w:p>
          <w:p>
            <w:pPr>
              <w:pStyle w:val="4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kern w:val="2"/>
                <w:sz w:val="21"/>
                <w:szCs w:val="21"/>
                <w:lang w:val="en-US" w:eastAsia="zh-CN" w:bidi="zh-CN"/>
              </w:rPr>
              <w:t>0.01</w:t>
            </w:r>
            <w:r>
              <w:rPr>
                <w:rFonts w:hint="eastAsia" w:ascii="Times New Roman" w:hAnsi="Times New Roman" w:cs="Times New Roman"/>
                <w:color w:val="auto"/>
                <w:szCs w:val="21"/>
                <w:lang w:val="en-US" w:eastAsia="zh-CN"/>
              </w:rPr>
              <w:t>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2" w:type="dxa"/>
            <w:vMerge w:val="continue"/>
            <w:vAlign w:val="center"/>
          </w:tcPr>
          <w:p>
            <w:pPr>
              <w:pStyle w:val="98"/>
              <w:jc w:val="center"/>
              <w:rPr>
                <w:rFonts w:hint="eastAsia" w:ascii="Times New Roman" w:hAnsi="Times New Roman" w:cs="Times New Roman"/>
                <w:color w:val="auto"/>
                <w:szCs w:val="21"/>
                <w:lang w:val="en-US" w:eastAsia="zh-CN"/>
              </w:rPr>
            </w:pPr>
          </w:p>
        </w:tc>
        <w:tc>
          <w:tcPr>
            <w:tcW w:w="923" w:type="dxa"/>
            <w:vAlign w:val="center"/>
          </w:tcPr>
          <w:p>
            <w:pPr>
              <w:pStyle w:val="98"/>
              <w:jc w:val="center"/>
              <w:rPr>
                <w:rFonts w:hint="eastAsia" w:ascii="Times New Roman" w:hAnsi="Times New Roman" w:cs="Times New Roman"/>
                <w:b w:val="0"/>
                <w:bCs w:val="0"/>
                <w:color w:val="auto"/>
                <w:szCs w:val="21"/>
                <w:lang w:val="en-US" w:eastAsia="zh-CN"/>
              </w:rPr>
            </w:pPr>
            <w:r>
              <w:rPr>
                <w:rFonts w:hint="eastAsia" w:ascii="Times New Roman" w:hAnsi="Times New Roman" w:cs="Times New Roman"/>
                <w:b w:val="0"/>
                <w:bCs w:val="0"/>
                <w:color w:val="auto"/>
                <w:szCs w:val="21"/>
                <w:lang w:val="en-US" w:eastAsia="zh-CN"/>
              </w:rPr>
              <w:t>H</w:t>
            </w:r>
            <w:r>
              <w:rPr>
                <w:rFonts w:hint="eastAsia" w:ascii="Times New Roman" w:hAnsi="Times New Roman" w:cs="Times New Roman"/>
                <w:b w:val="0"/>
                <w:bCs w:val="0"/>
                <w:color w:val="auto"/>
                <w:szCs w:val="21"/>
                <w:vertAlign w:val="subscript"/>
                <w:lang w:val="en-US" w:eastAsia="zh-CN"/>
              </w:rPr>
              <w:t>2</w:t>
            </w:r>
            <w:r>
              <w:rPr>
                <w:rFonts w:hint="eastAsia" w:ascii="Times New Roman" w:hAnsi="Times New Roman" w:cs="Times New Roman"/>
                <w:b w:val="0"/>
                <w:bCs w:val="0"/>
                <w:color w:val="auto"/>
                <w:szCs w:val="21"/>
                <w:lang w:val="en-US" w:eastAsia="zh-CN"/>
              </w:rPr>
              <w:t>S</w:t>
            </w:r>
          </w:p>
        </w:tc>
        <w:tc>
          <w:tcPr>
            <w:tcW w:w="1451" w:type="dxa"/>
            <w:vAlign w:val="top"/>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 w:val="21"/>
                <w:szCs w:val="21"/>
                <w:lang w:val="en-US" w:eastAsia="zh-CN"/>
              </w:rPr>
              <w:t>2.0625</w:t>
            </w:r>
            <w:r>
              <w:rPr>
                <w:rFonts w:hint="eastAsia" w:ascii="Times New Roman" w:hAnsi="Times New Roman" w:cs="Times New Roman"/>
                <w:color w:val="auto"/>
                <w:szCs w:val="21"/>
                <w:lang w:val="en-US" w:eastAsia="zh-CN"/>
              </w:rPr>
              <w:t>kg/d</w:t>
            </w:r>
          </w:p>
          <w:p>
            <w:pPr>
              <w:spacing w:line="240" w:lineRule="auto"/>
              <w:ind w:firstLine="0" w:firstLineChars="0"/>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0.086kg/h</w:t>
            </w:r>
          </w:p>
        </w:tc>
        <w:tc>
          <w:tcPr>
            <w:tcW w:w="2562" w:type="dxa"/>
            <w:vMerge w:val="continue"/>
            <w:vAlign w:val="center"/>
          </w:tcPr>
          <w:p>
            <w:pPr>
              <w:pStyle w:val="98"/>
              <w:jc w:val="center"/>
              <w:rPr>
                <w:rFonts w:hint="eastAsia" w:ascii="Times New Roman" w:hAnsi="Times New Roman" w:cs="Times New Roman"/>
                <w:color w:val="auto"/>
                <w:szCs w:val="21"/>
                <w:lang w:val="en-US" w:eastAsia="zh-CN"/>
              </w:rPr>
            </w:pPr>
          </w:p>
        </w:tc>
        <w:tc>
          <w:tcPr>
            <w:tcW w:w="1684" w:type="dxa"/>
            <w:vMerge w:val="continue"/>
            <w:vAlign w:val="center"/>
          </w:tcPr>
          <w:p>
            <w:pPr>
              <w:pStyle w:val="98"/>
              <w:jc w:val="center"/>
              <w:rPr>
                <w:rFonts w:hint="eastAsia" w:ascii="Times New Roman" w:hAnsi="Times New Roman" w:cs="Times New Roman"/>
                <w:color w:val="auto"/>
                <w:szCs w:val="21"/>
                <w:lang w:val="en-US" w:eastAsia="zh-CN"/>
              </w:rPr>
            </w:pPr>
          </w:p>
        </w:tc>
        <w:tc>
          <w:tcPr>
            <w:tcW w:w="1688"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 w:val="21"/>
                <w:szCs w:val="21"/>
                <w:lang w:val="en-US" w:eastAsia="zh-CN"/>
              </w:rPr>
              <w:t>0.0525</w:t>
            </w:r>
            <w:r>
              <w:rPr>
                <w:rFonts w:hint="eastAsia" w:ascii="Times New Roman" w:hAnsi="Times New Roman" w:cs="Times New Roman"/>
                <w:color w:val="auto"/>
                <w:szCs w:val="21"/>
                <w:lang w:val="en-US" w:eastAsia="zh-CN"/>
              </w:rPr>
              <w:t>kg/d</w:t>
            </w:r>
          </w:p>
          <w:p>
            <w:pPr>
              <w:pStyle w:val="4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kern w:val="2"/>
                <w:sz w:val="21"/>
                <w:szCs w:val="21"/>
                <w:lang w:val="en-US" w:eastAsia="zh-CN" w:bidi="zh-CN"/>
              </w:rPr>
              <w:t>0.002</w:t>
            </w:r>
            <w:r>
              <w:rPr>
                <w:rFonts w:hint="eastAsia" w:ascii="Times New Roman" w:hAnsi="Times New Roman" w:cs="Times New Roman"/>
                <w:color w:val="auto"/>
                <w:szCs w:val="21"/>
                <w:lang w:val="en-US" w:eastAsia="zh-CN"/>
              </w:rPr>
              <w:t>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912" w:type="dxa"/>
            <w:vMerge w:val="restart"/>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污水处理区</w:t>
            </w:r>
          </w:p>
        </w:tc>
        <w:tc>
          <w:tcPr>
            <w:tcW w:w="923" w:type="dxa"/>
            <w:vAlign w:val="center"/>
          </w:tcPr>
          <w:p>
            <w:pPr>
              <w:pStyle w:val="98"/>
              <w:jc w:val="center"/>
              <w:rPr>
                <w:rFonts w:hint="eastAsia" w:ascii="Times New Roman" w:hAnsi="Times New Roman" w:eastAsia="宋体" w:cs="Times New Roman"/>
                <w:color w:val="auto"/>
                <w:kern w:val="2"/>
                <w:sz w:val="21"/>
                <w:szCs w:val="21"/>
                <w:lang w:val="en-US" w:eastAsia="zh-CN" w:bidi="zh-CN"/>
              </w:rPr>
            </w:pPr>
            <w:r>
              <w:rPr>
                <w:rFonts w:hint="eastAsia" w:ascii="Times New Roman" w:hAnsi="Times New Roman" w:cs="Times New Roman"/>
                <w:b w:val="0"/>
                <w:bCs w:val="0"/>
                <w:color w:val="auto"/>
                <w:szCs w:val="21"/>
                <w:lang w:val="en-US" w:eastAsia="zh-CN"/>
              </w:rPr>
              <w:t>NH</w:t>
            </w:r>
            <w:r>
              <w:rPr>
                <w:rFonts w:hint="eastAsia" w:ascii="Times New Roman" w:hAnsi="Times New Roman" w:cs="Times New Roman"/>
                <w:b w:val="0"/>
                <w:bCs w:val="0"/>
                <w:color w:val="auto"/>
                <w:szCs w:val="21"/>
                <w:vertAlign w:val="subscript"/>
                <w:lang w:val="en-US" w:eastAsia="zh-CN"/>
              </w:rPr>
              <w:t>3</w:t>
            </w:r>
          </w:p>
        </w:tc>
        <w:tc>
          <w:tcPr>
            <w:tcW w:w="1451"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8.50g/h</w:t>
            </w:r>
          </w:p>
        </w:tc>
        <w:tc>
          <w:tcPr>
            <w:tcW w:w="2562" w:type="dxa"/>
            <w:vMerge w:val="restart"/>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加强周边绿化，定期喷洒除臭剂</w:t>
            </w:r>
          </w:p>
        </w:tc>
        <w:tc>
          <w:tcPr>
            <w:tcW w:w="1684" w:type="dxa"/>
            <w:vMerge w:val="restart"/>
            <w:vAlign w:val="center"/>
          </w:tcPr>
          <w:p>
            <w:pPr>
              <w:pStyle w:val="98"/>
              <w:jc w:val="center"/>
              <w:rPr>
                <w:rFonts w:hint="default"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kern w:val="2"/>
                <w:sz w:val="21"/>
                <w:szCs w:val="21"/>
                <w:lang w:val="en-US" w:eastAsia="zh-CN" w:bidi="zh-CN"/>
              </w:rPr>
              <w:t>/</w:t>
            </w:r>
          </w:p>
        </w:tc>
        <w:tc>
          <w:tcPr>
            <w:tcW w:w="1688"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6.80g/h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trPr>
        <w:tc>
          <w:tcPr>
            <w:tcW w:w="912" w:type="dxa"/>
            <w:vMerge w:val="continue"/>
            <w:vAlign w:val="center"/>
          </w:tcPr>
          <w:p>
            <w:pPr>
              <w:pStyle w:val="98"/>
              <w:jc w:val="center"/>
              <w:rPr>
                <w:rFonts w:hint="eastAsia" w:ascii="Times New Roman" w:hAnsi="Times New Roman" w:cs="Times New Roman"/>
                <w:color w:val="auto"/>
                <w:szCs w:val="21"/>
                <w:lang w:val="en-US" w:eastAsia="zh-CN"/>
              </w:rPr>
            </w:pPr>
          </w:p>
        </w:tc>
        <w:tc>
          <w:tcPr>
            <w:tcW w:w="923" w:type="dxa"/>
            <w:vAlign w:val="center"/>
          </w:tcPr>
          <w:p>
            <w:pPr>
              <w:pStyle w:val="98"/>
              <w:jc w:val="center"/>
              <w:rPr>
                <w:rFonts w:hint="eastAsia" w:ascii="Times New Roman" w:hAnsi="Times New Roman" w:eastAsia="宋体" w:cs="Times New Roman"/>
                <w:color w:val="auto"/>
                <w:kern w:val="2"/>
                <w:sz w:val="21"/>
                <w:szCs w:val="21"/>
                <w:lang w:val="en-US" w:eastAsia="zh-CN" w:bidi="zh-CN"/>
              </w:rPr>
            </w:pPr>
            <w:r>
              <w:rPr>
                <w:rFonts w:hint="eastAsia" w:ascii="Times New Roman" w:hAnsi="Times New Roman" w:cs="Times New Roman"/>
                <w:b w:val="0"/>
                <w:bCs w:val="0"/>
                <w:color w:val="auto"/>
                <w:szCs w:val="21"/>
                <w:lang w:val="en-US" w:eastAsia="zh-CN"/>
              </w:rPr>
              <w:t>H</w:t>
            </w:r>
            <w:r>
              <w:rPr>
                <w:rFonts w:hint="eastAsia" w:ascii="Times New Roman" w:hAnsi="Times New Roman" w:cs="Times New Roman"/>
                <w:b w:val="0"/>
                <w:bCs w:val="0"/>
                <w:color w:val="auto"/>
                <w:szCs w:val="21"/>
                <w:vertAlign w:val="subscript"/>
                <w:lang w:val="en-US" w:eastAsia="zh-CN"/>
              </w:rPr>
              <w:t>2</w:t>
            </w:r>
            <w:r>
              <w:rPr>
                <w:rFonts w:hint="eastAsia" w:ascii="Times New Roman" w:hAnsi="Times New Roman" w:cs="Times New Roman"/>
                <w:b w:val="0"/>
                <w:bCs w:val="0"/>
                <w:color w:val="auto"/>
                <w:szCs w:val="21"/>
                <w:lang w:val="en-US" w:eastAsia="zh-CN"/>
              </w:rPr>
              <w:t>S</w:t>
            </w:r>
          </w:p>
        </w:tc>
        <w:tc>
          <w:tcPr>
            <w:tcW w:w="1451"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0.025g/h</w:t>
            </w:r>
          </w:p>
        </w:tc>
        <w:tc>
          <w:tcPr>
            <w:tcW w:w="2562" w:type="dxa"/>
            <w:vMerge w:val="continue"/>
            <w:vAlign w:val="center"/>
          </w:tcPr>
          <w:p>
            <w:pPr>
              <w:pStyle w:val="98"/>
              <w:jc w:val="center"/>
              <w:rPr>
                <w:rFonts w:hint="eastAsia" w:ascii="Times New Roman" w:hAnsi="Times New Roman" w:cs="Times New Roman"/>
                <w:color w:val="auto"/>
                <w:szCs w:val="21"/>
                <w:lang w:val="en-US" w:eastAsia="zh-CN"/>
              </w:rPr>
            </w:pPr>
          </w:p>
        </w:tc>
        <w:tc>
          <w:tcPr>
            <w:tcW w:w="1684" w:type="dxa"/>
            <w:vMerge w:val="continue"/>
            <w:vAlign w:val="center"/>
          </w:tcPr>
          <w:p>
            <w:pPr>
              <w:pStyle w:val="98"/>
              <w:jc w:val="center"/>
              <w:rPr>
                <w:rFonts w:hint="eastAsia" w:ascii="Times New Roman" w:hAnsi="Times New Roman" w:eastAsia="宋体" w:cs="Times New Roman"/>
                <w:color w:val="auto"/>
                <w:kern w:val="2"/>
                <w:sz w:val="21"/>
                <w:szCs w:val="21"/>
                <w:lang w:val="en-US" w:eastAsia="zh-CN" w:bidi="zh-CN"/>
              </w:rPr>
            </w:pPr>
          </w:p>
        </w:tc>
        <w:tc>
          <w:tcPr>
            <w:tcW w:w="1688"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0.02g/h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2" w:type="dxa"/>
            <w:vMerge w:val="restart"/>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堆粪间</w:t>
            </w:r>
          </w:p>
        </w:tc>
        <w:tc>
          <w:tcPr>
            <w:tcW w:w="923" w:type="dxa"/>
            <w:vAlign w:val="center"/>
          </w:tcPr>
          <w:p>
            <w:pPr>
              <w:pStyle w:val="98"/>
              <w:jc w:val="center"/>
              <w:rPr>
                <w:rFonts w:hint="eastAsia" w:ascii="Times New Roman" w:hAnsi="Times New Roman" w:eastAsia="宋体" w:cs="Times New Roman"/>
                <w:color w:val="auto"/>
                <w:kern w:val="2"/>
                <w:sz w:val="21"/>
                <w:szCs w:val="21"/>
                <w:lang w:val="en-US" w:eastAsia="zh-CN" w:bidi="zh-CN"/>
              </w:rPr>
            </w:pPr>
            <w:r>
              <w:rPr>
                <w:rFonts w:hint="eastAsia" w:ascii="Times New Roman" w:hAnsi="Times New Roman" w:cs="Times New Roman"/>
                <w:b w:val="0"/>
                <w:bCs w:val="0"/>
                <w:color w:val="auto"/>
                <w:szCs w:val="21"/>
                <w:lang w:val="en-US" w:eastAsia="zh-CN"/>
              </w:rPr>
              <w:t>NH</w:t>
            </w:r>
            <w:r>
              <w:rPr>
                <w:rFonts w:hint="eastAsia" w:ascii="Times New Roman" w:hAnsi="Times New Roman" w:cs="Times New Roman"/>
                <w:b w:val="0"/>
                <w:bCs w:val="0"/>
                <w:color w:val="auto"/>
                <w:szCs w:val="21"/>
                <w:vertAlign w:val="subscript"/>
                <w:lang w:val="en-US" w:eastAsia="zh-CN"/>
              </w:rPr>
              <w:t>3</w:t>
            </w:r>
          </w:p>
        </w:tc>
        <w:tc>
          <w:tcPr>
            <w:tcW w:w="1451"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 w:val="21"/>
                <w:szCs w:val="21"/>
                <w:lang w:val="en-US" w:eastAsia="zh-CN"/>
              </w:rPr>
              <w:t>1.56</w:t>
            </w:r>
            <w:r>
              <w:rPr>
                <w:rFonts w:hint="eastAsia" w:ascii="Times New Roman" w:hAnsi="Times New Roman" w:cs="Times New Roman"/>
                <w:color w:val="auto"/>
                <w:szCs w:val="21"/>
                <w:lang w:val="en-US" w:eastAsia="zh-CN"/>
              </w:rPr>
              <w:t>kg/d</w:t>
            </w:r>
          </w:p>
          <w:p>
            <w:pPr>
              <w:pStyle w:val="98"/>
              <w:jc w:val="center"/>
              <w:rPr>
                <w:rFonts w:hint="default"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0.065kg/h</w:t>
            </w:r>
          </w:p>
        </w:tc>
        <w:tc>
          <w:tcPr>
            <w:tcW w:w="2562" w:type="dxa"/>
            <w:vMerge w:val="restart"/>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进行封闭处理，负压收集废气，收集后经喷淋洗涤吸收塔（风量10000m</w:t>
            </w:r>
            <w:r>
              <w:rPr>
                <w:rFonts w:hint="eastAsia" w:ascii="Times New Roman" w:hAnsi="Times New Roman" w:cs="Times New Roman"/>
                <w:color w:val="auto"/>
                <w:szCs w:val="21"/>
                <w:vertAlign w:val="superscript"/>
                <w:lang w:val="en-US" w:eastAsia="zh-CN"/>
              </w:rPr>
              <w:t>3</w:t>
            </w:r>
            <w:r>
              <w:rPr>
                <w:rFonts w:hint="eastAsia" w:ascii="Times New Roman" w:hAnsi="Times New Roman" w:cs="Times New Roman"/>
                <w:color w:val="auto"/>
                <w:szCs w:val="21"/>
                <w:lang w:val="en-US" w:eastAsia="zh-CN"/>
              </w:rPr>
              <w:t>/h）处理后由15m排气筒排放</w:t>
            </w:r>
          </w:p>
        </w:tc>
        <w:tc>
          <w:tcPr>
            <w:tcW w:w="1684"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0.00673kg/h</w:t>
            </w:r>
          </w:p>
          <w:p>
            <w:pPr>
              <w:pStyle w:val="98"/>
              <w:jc w:val="center"/>
              <w:rPr>
                <w:rFonts w:hint="default" w:ascii="Times New Roman" w:hAnsi="Times New Roman" w:cs="Times New Roman"/>
                <w:color w:val="auto"/>
                <w:szCs w:val="21"/>
                <w:vertAlign w:val="baseline"/>
                <w:lang w:val="en-US" w:eastAsia="zh-CN"/>
              </w:rPr>
            </w:pPr>
            <w:r>
              <w:rPr>
                <w:rFonts w:hint="eastAsia" w:ascii="Times New Roman" w:hAnsi="Times New Roman" w:cs="Times New Roman"/>
                <w:color w:val="auto"/>
                <w:szCs w:val="21"/>
                <w:lang w:val="en-US" w:eastAsia="zh-CN"/>
              </w:rPr>
              <w:t>0.637mg/m</w:t>
            </w:r>
            <w:r>
              <w:rPr>
                <w:rFonts w:hint="eastAsia" w:ascii="Times New Roman" w:hAnsi="Times New Roman" w:cs="Times New Roman"/>
                <w:color w:val="auto"/>
                <w:szCs w:val="21"/>
                <w:vertAlign w:val="superscript"/>
                <w:lang w:val="en-US" w:eastAsia="zh-CN"/>
              </w:rPr>
              <w:t>3</w:t>
            </w:r>
          </w:p>
        </w:tc>
        <w:tc>
          <w:tcPr>
            <w:tcW w:w="1688" w:type="dxa"/>
            <w:vAlign w:val="center"/>
          </w:tcPr>
          <w:p>
            <w:pPr>
              <w:pStyle w:val="98"/>
              <w:jc w:val="center"/>
              <w:rPr>
                <w:rFonts w:hint="eastAsia"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0.0013kg/h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2" w:type="dxa"/>
            <w:vMerge w:val="continue"/>
            <w:vAlign w:val="center"/>
          </w:tcPr>
          <w:p>
            <w:pPr>
              <w:pStyle w:val="98"/>
              <w:jc w:val="center"/>
              <w:rPr>
                <w:rFonts w:hint="eastAsia" w:ascii="Times New Roman" w:hAnsi="Times New Roman" w:cs="Times New Roman"/>
                <w:color w:val="auto"/>
                <w:szCs w:val="21"/>
                <w:lang w:val="en-US" w:eastAsia="zh-CN"/>
              </w:rPr>
            </w:pPr>
          </w:p>
        </w:tc>
        <w:tc>
          <w:tcPr>
            <w:tcW w:w="923" w:type="dxa"/>
            <w:vAlign w:val="center"/>
          </w:tcPr>
          <w:p>
            <w:pPr>
              <w:pStyle w:val="98"/>
              <w:jc w:val="center"/>
              <w:rPr>
                <w:rFonts w:hint="eastAsia" w:ascii="Times New Roman" w:hAnsi="Times New Roman" w:eastAsia="宋体" w:cs="Times New Roman"/>
                <w:color w:val="auto"/>
                <w:kern w:val="2"/>
                <w:sz w:val="21"/>
                <w:szCs w:val="21"/>
                <w:lang w:val="en-US" w:eastAsia="zh-CN" w:bidi="zh-CN"/>
              </w:rPr>
            </w:pPr>
            <w:r>
              <w:rPr>
                <w:rFonts w:hint="eastAsia" w:ascii="Times New Roman" w:hAnsi="Times New Roman" w:cs="Times New Roman"/>
                <w:b w:val="0"/>
                <w:bCs w:val="0"/>
                <w:color w:val="auto"/>
                <w:szCs w:val="21"/>
                <w:lang w:val="en-US" w:eastAsia="zh-CN"/>
              </w:rPr>
              <w:t>H</w:t>
            </w:r>
            <w:r>
              <w:rPr>
                <w:rFonts w:hint="eastAsia" w:ascii="Times New Roman" w:hAnsi="Times New Roman" w:cs="Times New Roman"/>
                <w:b w:val="0"/>
                <w:bCs w:val="0"/>
                <w:color w:val="auto"/>
                <w:szCs w:val="21"/>
                <w:vertAlign w:val="subscript"/>
                <w:lang w:val="en-US" w:eastAsia="zh-CN"/>
              </w:rPr>
              <w:t>2</w:t>
            </w:r>
            <w:r>
              <w:rPr>
                <w:rFonts w:hint="eastAsia" w:ascii="Times New Roman" w:hAnsi="Times New Roman" w:cs="Times New Roman"/>
                <w:b w:val="0"/>
                <w:bCs w:val="0"/>
                <w:color w:val="auto"/>
                <w:szCs w:val="21"/>
                <w:lang w:val="en-US" w:eastAsia="zh-CN"/>
              </w:rPr>
              <w:t>S</w:t>
            </w:r>
          </w:p>
        </w:tc>
        <w:tc>
          <w:tcPr>
            <w:tcW w:w="1451"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 w:val="21"/>
                <w:szCs w:val="21"/>
                <w:lang w:val="en-US" w:eastAsia="zh-CN"/>
              </w:rPr>
              <w:t>0.09</w:t>
            </w:r>
            <w:r>
              <w:rPr>
                <w:rFonts w:hint="eastAsia" w:ascii="Times New Roman" w:hAnsi="Times New Roman" w:cs="Times New Roman"/>
                <w:color w:val="auto"/>
                <w:szCs w:val="21"/>
                <w:lang w:val="en-US" w:eastAsia="zh-CN"/>
              </w:rPr>
              <w:t>kg/d</w:t>
            </w:r>
          </w:p>
          <w:p>
            <w:pPr>
              <w:pStyle w:val="98"/>
              <w:jc w:val="center"/>
              <w:rPr>
                <w:rFonts w:hint="default"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kern w:val="2"/>
                <w:sz w:val="21"/>
                <w:szCs w:val="21"/>
                <w:lang w:val="en-US" w:eastAsia="zh-CN" w:bidi="zh-CN"/>
              </w:rPr>
              <w:t>0.001</w:t>
            </w:r>
            <w:r>
              <w:rPr>
                <w:rFonts w:hint="eastAsia" w:ascii="Times New Roman" w:hAnsi="Times New Roman" w:cs="Times New Roman"/>
                <w:color w:val="auto"/>
                <w:szCs w:val="21"/>
                <w:lang w:val="en-US" w:eastAsia="zh-CN"/>
              </w:rPr>
              <w:t>kg/h</w:t>
            </w:r>
          </w:p>
        </w:tc>
        <w:tc>
          <w:tcPr>
            <w:tcW w:w="2562" w:type="dxa"/>
            <w:vMerge w:val="continue"/>
            <w:vAlign w:val="center"/>
          </w:tcPr>
          <w:p>
            <w:pPr>
              <w:pStyle w:val="98"/>
              <w:jc w:val="center"/>
              <w:rPr>
                <w:rFonts w:hint="eastAsia" w:ascii="Times New Roman" w:hAnsi="Times New Roman" w:cs="Times New Roman"/>
                <w:color w:val="auto"/>
                <w:szCs w:val="21"/>
                <w:lang w:val="en-US" w:eastAsia="zh-CN"/>
              </w:rPr>
            </w:pPr>
          </w:p>
        </w:tc>
        <w:tc>
          <w:tcPr>
            <w:tcW w:w="1684"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0.0004kg/h</w:t>
            </w:r>
          </w:p>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0.04mg/m</w:t>
            </w:r>
            <w:r>
              <w:rPr>
                <w:rFonts w:hint="eastAsia" w:ascii="Times New Roman" w:hAnsi="Times New Roman" w:cs="Times New Roman"/>
                <w:color w:val="auto"/>
                <w:szCs w:val="21"/>
                <w:vertAlign w:val="superscript"/>
                <w:lang w:val="en-US" w:eastAsia="zh-CN"/>
              </w:rPr>
              <w:t>3</w:t>
            </w:r>
          </w:p>
        </w:tc>
        <w:tc>
          <w:tcPr>
            <w:tcW w:w="1688" w:type="dxa"/>
            <w:vAlign w:val="center"/>
          </w:tcPr>
          <w:p>
            <w:pPr>
              <w:pStyle w:val="98"/>
              <w:jc w:val="center"/>
              <w:rPr>
                <w:rFonts w:hint="eastAsia"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0.00008kg/h</w:t>
            </w:r>
          </w:p>
        </w:tc>
      </w:tr>
    </w:tbl>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2" w:firstLineChars="200"/>
        <w:textAlignment w:val="auto"/>
        <w:rPr>
          <w:rFonts w:hint="eastAsia" w:ascii="Times New Roman" w:hAnsi="Times New Roman" w:eastAsia="宋体" w:cs="Times New Roman"/>
          <w:b/>
          <w:bCs/>
          <w:color w:val="auto"/>
          <w:sz w:val="24"/>
          <w:szCs w:val="24"/>
          <w:lang w:eastAsia="zh-CN"/>
        </w:rPr>
      </w:pPr>
      <w:r>
        <w:rPr>
          <w:rFonts w:hint="eastAsia" w:ascii="Times New Roman" w:hAnsi="Times New Roman" w:eastAsia="宋体" w:cs="Times New Roman"/>
          <w:b/>
          <w:bCs/>
          <w:color w:val="auto"/>
          <w:sz w:val="24"/>
          <w:szCs w:val="24"/>
        </w:rPr>
        <w:t>（</w:t>
      </w:r>
      <w:r>
        <w:rPr>
          <w:rFonts w:hint="eastAsia" w:ascii="Times New Roman" w:hAnsi="Times New Roman" w:eastAsia="宋体" w:cs="Times New Roman"/>
          <w:b/>
          <w:bCs/>
          <w:color w:val="auto"/>
          <w:sz w:val="24"/>
          <w:szCs w:val="24"/>
          <w:lang w:val="en-US" w:eastAsia="zh-CN"/>
        </w:rPr>
        <w:t>2</w:t>
      </w:r>
      <w:r>
        <w:rPr>
          <w:rFonts w:hint="eastAsia" w:ascii="Times New Roman" w:hAnsi="Times New Roman" w:eastAsia="宋体" w:cs="Times New Roman"/>
          <w:b/>
          <w:bCs/>
          <w:color w:val="auto"/>
          <w:sz w:val="24"/>
          <w:szCs w:val="24"/>
        </w:rPr>
        <w:t>）</w:t>
      </w:r>
      <w:r>
        <w:rPr>
          <w:rFonts w:hint="eastAsia" w:ascii="Times New Roman" w:hAnsi="Times New Roman" w:eastAsia="宋体" w:cs="Times New Roman"/>
          <w:b/>
          <w:bCs/>
          <w:color w:val="auto"/>
          <w:sz w:val="24"/>
          <w:szCs w:val="24"/>
          <w:lang w:eastAsia="zh-CN"/>
        </w:rPr>
        <w:t>运输恶臭及尾气</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根据类比调查，</w:t>
      </w:r>
      <w:r>
        <w:rPr>
          <w:rFonts w:hint="eastAsia" w:ascii="Times New Roman" w:hAnsi="Times New Roman" w:eastAsia="宋体" w:cs="Times New Roman"/>
          <w:color w:val="auto"/>
          <w:sz w:val="24"/>
          <w:szCs w:val="24"/>
          <w:lang w:eastAsia="zh-CN"/>
        </w:rPr>
        <w:t>生</w:t>
      </w:r>
      <w:r>
        <w:rPr>
          <w:rFonts w:hint="eastAsia" w:ascii="Times New Roman" w:hAnsi="Times New Roman" w:eastAsia="宋体" w:cs="Times New Roman"/>
          <w:color w:val="auto"/>
          <w:sz w:val="24"/>
          <w:szCs w:val="24"/>
        </w:rPr>
        <w:t>猪外运过程中，猪粪便、尿液等会散发出恶臭，会对公路沿线的环境产生短暂的恶臭污染，待运输车辆远离后影响可消除。车辆运输产生的汽车尾气主要成分为：CO、HC 和 NO</w:t>
      </w:r>
      <w:r>
        <w:rPr>
          <w:rFonts w:hint="eastAsia" w:ascii="Times New Roman" w:hAnsi="Times New Roman" w:eastAsia="宋体" w:cs="Times New Roman"/>
          <w:color w:val="auto"/>
          <w:sz w:val="24"/>
          <w:szCs w:val="24"/>
          <w:vertAlign w:val="subscript"/>
        </w:rPr>
        <w:t>x</w:t>
      </w:r>
      <w:r>
        <w:rPr>
          <w:rFonts w:hint="eastAsia" w:ascii="Times New Roman" w:hAnsi="Times New Roman" w:eastAsia="宋体" w:cs="Times New Roman"/>
          <w:color w:val="auto"/>
          <w:sz w:val="24"/>
          <w:szCs w:val="24"/>
        </w:rPr>
        <w:t>，经过稀释扩散对沿线敏感点影响较小。</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2" w:firstLineChars="200"/>
        <w:textAlignment w:val="auto"/>
        <w:rPr>
          <w:rFonts w:hint="eastAsia" w:ascii="Times New Roman" w:hAnsi="Times New Roman" w:eastAsia="宋体" w:cs="Times New Roman"/>
          <w:b/>
          <w:bCs/>
          <w:color w:val="auto"/>
          <w:sz w:val="24"/>
          <w:szCs w:val="24"/>
          <w:lang w:eastAsia="zh-CN"/>
        </w:rPr>
      </w:pPr>
      <w:bookmarkStart w:id="122" w:name="_Toc6717"/>
      <w:r>
        <w:rPr>
          <w:rFonts w:hint="eastAsia" w:ascii="Times New Roman" w:hAnsi="Times New Roman" w:eastAsia="宋体" w:cs="Times New Roman"/>
          <w:b/>
          <w:bCs/>
          <w:color w:val="auto"/>
          <w:sz w:val="24"/>
          <w:szCs w:val="24"/>
        </w:rPr>
        <w:t>（</w:t>
      </w:r>
      <w:r>
        <w:rPr>
          <w:rFonts w:hint="eastAsia" w:ascii="Times New Roman" w:hAnsi="Times New Roman" w:eastAsia="宋体" w:cs="Times New Roman"/>
          <w:b/>
          <w:bCs/>
          <w:color w:val="auto"/>
          <w:sz w:val="24"/>
          <w:szCs w:val="24"/>
          <w:lang w:val="en-US" w:eastAsia="zh-CN"/>
        </w:rPr>
        <w:t>3</w:t>
      </w:r>
      <w:r>
        <w:rPr>
          <w:rFonts w:hint="eastAsia" w:ascii="Times New Roman" w:hAnsi="Times New Roman" w:eastAsia="宋体" w:cs="Times New Roman"/>
          <w:b/>
          <w:bCs/>
          <w:color w:val="auto"/>
          <w:sz w:val="24"/>
          <w:szCs w:val="24"/>
        </w:rPr>
        <w:t>）</w:t>
      </w:r>
      <w:r>
        <w:rPr>
          <w:rFonts w:hint="eastAsia" w:ascii="Times New Roman" w:hAnsi="Times New Roman" w:eastAsia="宋体" w:cs="Times New Roman"/>
          <w:b/>
          <w:bCs/>
          <w:color w:val="auto"/>
          <w:sz w:val="24"/>
          <w:szCs w:val="24"/>
          <w:lang w:eastAsia="zh-CN"/>
        </w:rPr>
        <w:t>柴油发电机尾气</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jc w:val="both"/>
        <w:textAlignment w:val="auto"/>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本项目拟设置</w:t>
      </w:r>
      <w:r>
        <w:rPr>
          <w:rFonts w:hint="eastAsia" w:ascii="Times New Roman" w:hAnsi="Times New Roman" w:eastAsia="宋体" w:cs="Times New Roman"/>
          <w:b w:val="0"/>
          <w:bCs/>
          <w:color w:val="auto"/>
          <w:sz w:val="24"/>
          <w:szCs w:val="24"/>
          <w:lang w:val="en-US" w:eastAsia="zh-CN"/>
        </w:rPr>
        <w:t>1</w:t>
      </w:r>
      <w:r>
        <w:rPr>
          <w:rFonts w:hint="eastAsia" w:ascii="Times New Roman" w:hAnsi="Times New Roman" w:eastAsia="宋体" w:cs="Times New Roman"/>
          <w:b w:val="0"/>
          <w:bCs/>
          <w:color w:val="auto"/>
          <w:sz w:val="24"/>
          <w:szCs w:val="24"/>
        </w:rPr>
        <w:t>台应急柴油发电机，功率为</w:t>
      </w:r>
      <w:r>
        <w:rPr>
          <w:rFonts w:hint="eastAsia" w:ascii="Times New Roman" w:hAnsi="Times New Roman" w:eastAsia="宋体" w:cs="Times New Roman"/>
          <w:b w:val="0"/>
          <w:bCs/>
          <w:color w:val="auto"/>
          <w:sz w:val="24"/>
          <w:szCs w:val="24"/>
          <w:lang w:val="en-US" w:eastAsia="zh-CN"/>
        </w:rPr>
        <w:t>700</w:t>
      </w:r>
      <w:r>
        <w:rPr>
          <w:rFonts w:hint="eastAsia" w:ascii="Times New Roman" w:hAnsi="Times New Roman" w:eastAsia="宋体" w:cs="Times New Roman"/>
          <w:b w:val="0"/>
          <w:bCs/>
          <w:color w:val="auto"/>
          <w:sz w:val="24"/>
          <w:szCs w:val="24"/>
        </w:rPr>
        <w:t>kw，位于</w:t>
      </w:r>
      <w:r>
        <w:rPr>
          <w:rFonts w:hint="eastAsia" w:ascii="Times New Roman" w:hAnsi="Times New Roman" w:eastAsia="宋体" w:cs="Times New Roman"/>
          <w:b w:val="0"/>
          <w:bCs/>
          <w:color w:val="auto"/>
          <w:sz w:val="24"/>
          <w:szCs w:val="24"/>
          <w:lang w:val="en-US" w:eastAsia="zh-CN"/>
        </w:rPr>
        <w:t>发电机</w:t>
      </w:r>
      <w:r>
        <w:rPr>
          <w:rFonts w:hint="eastAsia" w:ascii="Times New Roman" w:hAnsi="Times New Roman" w:eastAsia="宋体" w:cs="Times New Roman"/>
          <w:b w:val="0"/>
          <w:bCs/>
          <w:color w:val="auto"/>
          <w:sz w:val="24"/>
          <w:szCs w:val="24"/>
        </w:rPr>
        <w:t>房内，供停电时使用。柴油发电机在使用过程中会产生发电机烟气，与汽车尾气相似，其主要成分为CO、HC、NO</w:t>
      </w:r>
      <w:r>
        <w:rPr>
          <w:rFonts w:hint="eastAsia" w:ascii="Times New Roman" w:hAnsi="Times New Roman" w:eastAsia="宋体" w:cs="Times New Roman"/>
          <w:b w:val="0"/>
          <w:bCs/>
          <w:color w:val="auto"/>
          <w:sz w:val="24"/>
          <w:szCs w:val="24"/>
          <w:vertAlign w:val="subscript"/>
        </w:rPr>
        <w:t>2</w:t>
      </w:r>
      <w:r>
        <w:rPr>
          <w:rFonts w:hint="eastAsia" w:ascii="Times New Roman" w:hAnsi="Times New Roman" w:eastAsia="宋体" w:cs="Times New Roman"/>
          <w:b w:val="0"/>
          <w:bCs/>
          <w:color w:val="auto"/>
          <w:sz w:val="24"/>
          <w:szCs w:val="24"/>
        </w:rPr>
        <w:t>，发电机房采用机械送、排风的形式，发电机房内保持着良好的通风性，柴油发电机产生的废气先由自身携带的废气净化装置处理，处理后经抽排风系统抽至配电房顶排放，排风口应朝向绿地，避开猪舍及生活区。由于应急柴油发电机只有在停电时使用，使用的频率很小、排放量少、排放间断性强，采用上述措施后完全能够做到达标排放，对周围环境影响很小。同时，环评建议项目使用0#号柴油，0#柴油属于清洁能源，其燃烧产生的废气污染物较少，可进一步降低对外环境的不良影响。</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2" w:firstLineChars="200"/>
        <w:jc w:val="both"/>
        <w:textAlignment w:val="auto"/>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bCs w:val="0"/>
          <w:color w:val="auto"/>
          <w:sz w:val="24"/>
          <w:szCs w:val="24"/>
        </w:rPr>
        <w:t>治理措施：</w:t>
      </w:r>
      <w:r>
        <w:rPr>
          <w:rFonts w:hint="eastAsia" w:ascii="Times New Roman" w:hAnsi="Times New Roman" w:eastAsia="宋体" w:cs="Times New Roman"/>
          <w:b w:val="0"/>
          <w:bCs/>
          <w:color w:val="auto"/>
          <w:sz w:val="24"/>
          <w:szCs w:val="24"/>
        </w:rPr>
        <w:t>燃烧废气由设备自带除尘装置处理后，引至</w:t>
      </w:r>
      <w:r>
        <w:rPr>
          <w:rFonts w:hint="eastAsia" w:ascii="Times New Roman" w:hAnsi="Times New Roman" w:eastAsia="宋体" w:cs="Times New Roman"/>
          <w:b w:val="0"/>
          <w:bCs/>
          <w:color w:val="auto"/>
          <w:sz w:val="24"/>
          <w:szCs w:val="24"/>
          <w:lang w:eastAsia="zh-CN"/>
        </w:rPr>
        <w:t>屋</w:t>
      </w:r>
      <w:r>
        <w:rPr>
          <w:rFonts w:hint="eastAsia" w:ascii="Times New Roman" w:hAnsi="Times New Roman" w:eastAsia="宋体" w:cs="Times New Roman"/>
          <w:b w:val="0"/>
          <w:bCs/>
          <w:color w:val="auto"/>
          <w:sz w:val="24"/>
          <w:szCs w:val="24"/>
        </w:rPr>
        <w:t>顶高空排放。发电机使用频率较低，只要严格按要求操作，控制好燃烧状况，燃烧废气中的主要污染物烟尘、NOx、SO</w:t>
      </w:r>
      <w:r>
        <w:rPr>
          <w:rFonts w:hint="eastAsia" w:ascii="Times New Roman" w:hAnsi="Times New Roman" w:eastAsia="宋体" w:cs="Times New Roman"/>
          <w:b w:val="0"/>
          <w:bCs/>
          <w:color w:val="auto"/>
          <w:sz w:val="24"/>
          <w:szCs w:val="24"/>
          <w:vertAlign w:val="subscript"/>
        </w:rPr>
        <w:t>2</w:t>
      </w:r>
      <w:r>
        <w:rPr>
          <w:rFonts w:hint="eastAsia" w:ascii="Times New Roman" w:hAnsi="Times New Roman" w:eastAsia="宋体" w:cs="Times New Roman"/>
          <w:b w:val="0"/>
          <w:bCs/>
          <w:color w:val="auto"/>
          <w:sz w:val="24"/>
          <w:szCs w:val="24"/>
        </w:rPr>
        <w:t>均能达标排放。</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2" w:firstLineChars="200"/>
        <w:textAlignment w:val="auto"/>
        <w:rPr>
          <w:rFonts w:hint="eastAsia" w:ascii="Times New Roman" w:hAnsi="Times New Roman" w:eastAsia="宋体" w:cs="Times New Roman"/>
          <w:b/>
          <w:bCs/>
          <w:color w:val="auto"/>
          <w:sz w:val="24"/>
          <w:szCs w:val="24"/>
          <w:lang w:eastAsia="zh-CN"/>
        </w:rPr>
      </w:pPr>
      <w:r>
        <w:rPr>
          <w:rFonts w:hint="eastAsia" w:ascii="Times New Roman" w:hAnsi="Times New Roman" w:eastAsia="宋体" w:cs="Times New Roman"/>
          <w:b/>
          <w:bCs/>
          <w:color w:val="auto"/>
          <w:sz w:val="24"/>
          <w:szCs w:val="24"/>
        </w:rPr>
        <w:t>（</w:t>
      </w:r>
      <w:r>
        <w:rPr>
          <w:rFonts w:hint="eastAsia" w:ascii="Times New Roman" w:hAnsi="Times New Roman" w:eastAsia="宋体" w:cs="Times New Roman"/>
          <w:b/>
          <w:bCs/>
          <w:color w:val="auto"/>
          <w:sz w:val="24"/>
          <w:szCs w:val="24"/>
          <w:lang w:val="en-US" w:eastAsia="zh-CN"/>
        </w:rPr>
        <w:t>4</w:t>
      </w:r>
      <w:r>
        <w:rPr>
          <w:rFonts w:hint="eastAsia" w:ascii="Times New Roman" w:hAnsi="Times New Roman" w:eastAsia="宋体" w:cs="Times New Roman"/>
          <w:b/>
          <w:bCs/>
          <w:color w:val="auto"/>
          <w:sz w:val="24"/>
          <w:szCs w:val="24"/>
        </w:rPr>
        <w:t>）</w:t>
      </w:r>
      <w:r>
        <w:rPr>
          <w:rFonts w:hint="eastAsia" w:ascii="Times New Roman" w:hAnsi="Times New Roman" w:eastAsia="宋体" w:cs="Times New Roman"/>
          <w:b/>
          <w:bCs/>
          <w:color w:val="auto"/>
          <w:sz w:val="24"/>
          <w:szCs w:val="24"/>
          <w:lang w:eastAsia="zh-CN"/>
        </w:rPr>
        <w:t>食堂油烟废气</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jc w:val="both"/>
        <w:textAlignment w:val="auto"/>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本项目设有职工食堂，食堂炊事用能以</w:t>
      </w:r>
      <w:r>
        <w:rPr>
          <w:rFonts w:hint="eastAsia" w:ascii="Times New Roman" w:hAnsi="Times New Roman" w:eastAsia="宋体" w:cs="Times New Roman"/>
          <w:b w:val="0"/>
          <w:bCs/>
          <w:color w:val="auto"/>
          <w:sz w:val="24"/>
          <w:szCs w:val="24"/>
          <w:lang w:eastAsia="zh-CN"/>
        </w:rPr>
        <w:t>沼气</w:t>
      </w:r>
      <w:r>
        <w:rPr>
          <w:rFonts w:hint="eastAsia" w:ascii="Times New Roman" w:hAnsi="Times New Roman" w:eastAsia="宋体" w:cs="Times New Roman"/>
          <w:b w:val="0"/>
          <w:bCs/>
          <w:color w:val="auto"/>
          <w:sz w:val="24"/>
          <w:szCs w:val="24"/>
        </w:rPr>
        <w:t>为燃料，属于清洁能源，燃烧对周围环境空气质量影响小，因此本项目运营过程中食堂产生的废气主要为厨房油烟。油烟指烹调油烟，由水蒸汽和油珠组成，它是食用油加热到 250℃以上，油脂发生氧化、水解、聚合、裂解等反应，随沸腾的油挥发出来的烹调烟气。厨房油烟废气主要成分为动植物油烟，据统计，目前居民人均食用油量为0.03kg/人·d，一般油烟挥发占总耗油量的2-4%，本评价取3%。本项目人工</w:t>
      </w:r>
      <w:r>
        <w:rPr>
          <w:rFonts w:hint="eastAsia" w:ascii="Times New Roman" w:hAnsi="Times New Roman" w:eastAsia="宋体" w:cs="Times New Roman"/>
          <w:b w:val="0"/>
          <w:bCs/>
          <w:color w:val="auto"/>
          <w:sz w:val="24"/>
          <w:szCs w:val="24"/>
          <w:lang w:eastAsia="zh-CN"/>
        </w:rPr>
        <w:t>定员50</w:t>
      </w:r>
      <w:r>
        <w:rPr>
          <w:rFonts w:hint="eastAsia" w:ascii="Times New Roman" w:hAnsi="Times New Roman" w:eastAsia="宋体" w:cs="Times New Roman"/>
          <w:b w:val="0"/>
          <w:bCs/>
          <w:color w:val="auto"/>
          <w:sz w:val="24"/>
          <w:szCs w:val="24"/>
        </w:rPr>
        <w:t>人，全部在厂内就餐，则油烟产生量为</w:t>
      </w:r>
      <w:r>
        <w:rPr>
          <w:rFonts w:hint="eastAsia" w:ascii="Times New Roman" w:hAnsi="Times New Roman" w:eastAsia="宋体" w:cs="Times New Roman"/>
          <w:b w:val="0"/>
          <w:bCs/>
          <w:color w:val="auto"/>
          <w:sz w:val="24"/>
          <w:szCs w:val="24"/>
          <w:lang w:eastAsia="zh-CN"/>
        </w:rPr>
        <w:t>0.045kg</w:t>
      </w:r>
      <w:r>
        <w:rPr>
          <w:rFonts w:hint="eastAsia" w:ascii="Times New Roman" w:hAnsi="Times New Roman" w:eastAsia="宋体" w:cs="Times New Roman"/>
          <w:b w:val="0"/>
          <w:bCs/>
          <w:color w:val="auto"/>
          <w:sz w:val="24"/>
          <w:szCs w:val="24"/>
        </w:rPr>
        <w:t>/d。</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2" w:firstLineChars="200"/>
        <w:jc w:val="both"/>
        <w:textAlignment w:val="auto"/>
        <w:rPr>
          <w:rFonts w:hint="eastAsia" w:ascii="Times New Roman" w:hAnsi="Times New Roman" w:eastAsia="宋体" w:cs="Times New Roman"/>
          <w:b/>
          <w:bCs w:val="0"/>
          <w:color w:val="auto"/>
          <w:sz w:val="24"/>
          <w:szCs w:val="24"/>
        </w:rPr>
      </w:pPr>
      <w:r>
        <w:rPr>
          <w:rFonts w:hint="eastAsia" w:ascii="Times New Roman" w:hAnsi="Times New Roman" w:eastAsia="宋体" w:cs="Times New Roman"/>
          <w:b/>
          <w:bCs w:val="0"/>
          <w:color w:val="auto"/>
          <w:sz w:val="24"/>
          <w:szCs w:val="24"/>
        </w:rPr>
        <w:t>治理措施：</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jc w:val="both"/>
        <w:textAlignment w:val="auto"/>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按国家《饮食行业油烟排放标准试行》（GB18483-2001）标准的要求，本环评要求在食堂安装油烟净化器处理，烟气净化设施（去除率大于75%，风机风量约</w:t>
      </w:r>
      <w:r>
        <w:rPr>
          <w:rFonts w:hint="eastAsia" w:ascii="Times New Roman" w:hAnsi="Times New Roman" w:eastAsia="宋体" w:cs="Times New Roman"/>
          <w:b w:val="0"/>
          <w:bCs/>
          <w:color w:val="auto"/>
          <w:sz w:val="24"/>
          <w:szCs w:val="24"/>
          <w:lang w:val="en-US" w:eastAsia="zh-CN"/>
        </w:rPr>
        <w:t>2</w:t>
      </w:r>
      <w:r>
        <w:rPr>
          <w:rFonts w:hint="eastAsia" w:ascii="Times New Roman" w:hAnsi="Times New Roman" w:eastAsia="宋体" w:cs="Times New Roman"/>
          <w:b w:val="0"/>
          <w:bCs/>
          <w:color w:val="auto"/>
          <w:sz w:val="24"/>
          <w:szCs w:val="24"/>
        </w:rPr>
        <w:t>000m</w:t>
      </w:r>
      <w:r>
        <w:rPr>
          <w:rFonts w:hint="eastAsia" w:ascii="Times New Roman" w:hAnsi="Times New Roman" w:eastAsia="宋体" w:cs="Times New Roman"/>
          <w:b w:val="0"/>
          <w:bCs/>
          <w:color w:val="auto"/>
          <w:sz w:val="24"/>
          <w:szCs w:val="24"/>
          <w:vertAlign w:val="superscript"/>
        </w:rPr>
        <w:t>3</w:t>
      </w:r>
      <w:r>
        <w:rPr>
          <w:rFonts w:hint="eastAsia" w:ascii="Times New Roman" w:hAnsi="Times New Roman" w:eastAsia="宋体" w:cs="Times New Roman"/>
          <w:b w:val="0"/>
          <w:bCs/>
          <w:color w:val="auto"/>
          <w:sz w:val="24"/>
          <w:szCs w:val="24"/>
        </w:rPr>
        <w:t>/h），并由专用烟道至食堂楼顶排放，则食堂油烟污染物排放量为</w:t>
      </w:r>
      <w:r>
        <w:rPr>
          <w:rFonts w:hint="eastAsia" w:ascii="Times New Roman" w:hAnsi="Times New Roman" w:eastAsia="宋体" w:cs="Times New Roman"/>
          <w:b w:val="0"/>
          <w:bCs/>
          <w:color w:val="auto"/>
          <w:sz w:val="24"/>
          <w:szCs w:val="24"/>
          <w:lang w:eastAsia="zh-CN"/>
        </w:rPr>
        <w:t>0.01125kg</w:t>
      </w:r>
      <w:r>
        <w:rPr>
          <w:rFonts w:hint="eastAsia" w:ascii="Times New Roman" w:hAnsi="Times New Roman" w:eastAsia="宋体" w:cs="Times New Roman"/>
          <w:b w:val="0"/>
          <w:bCs/>
          <w:color w:val="auto"/>
          <w:sz w:val="24"/>
          <w:szCs w:val="24"/>
        </w:rPr>
        <w:t>/d，食堂工作时间约6h/d，则排放浓度为</w:t>
      </w:r>
      <w:r>
        <w:rPr>
          <w:rFonts w:hint="eastAsia" w:ascii="Times New Roman" w:hAnsi="Times New Roman" w:eastAsia="宋体" w:cs="Times New Roman"/>
          <w:b w:val="0"/>
          <w:bCs/>
          <w:color w:val="auto"/>
          <w:sz w:val="24"/>
          <w:szCs w:val="24"/>
          <w:lang w:eastAsia="zh-CN"/>
        </w:rPr>
        <w:t>0.9375mg</w:t>
      </w:r>
      <w:r>
        <w:rPr>
          <w:rFonts w:hint="eastAsia" w:ascii="Times New Roman" w:hAnsi="Times New Roman" w:eastAsia="宋体" w:cs="Times New Roman"/>
          <w:b w:val="0"/>
          <w:bCs/>
          <w:color w:val="auto"/>
          <w:sz w:val="24"/>
          <w:szCs w:val="24"/>
        </w:rPr>
        <w:t>/m</w:t>
      </w:r>
      <w:r>
        <w:rPr>
          <w:rFonts w:hint="eastAsia" w:ascii="Times New Roman" w:hAnsi="Times New Roman" w:eastAsia="宋体" w:cs="Times New Roman"/>
          <w:b w:val="0"/>
          <w:bCs/>
          <w:color w:val="auto"/>
          <w:sz w:val="24"/>
          <w:szCs w:val="24"/>
          <w:vertAlign w:val="superscript"/>
        </w:rPr>
        <w:t>3</w:t>
      </w:r>
      <w:r>
        <w:rPr>
          <w:rFonts w:hint="eastAsia" w:ascii="Times New Roman" w:hAnsi="Times New Roman" w:eastAsia="宋体" w:cs="Times New Roman"/>
          <w:b w:val="0"/>
          <w:bCs/>
          <w:color w:val="auto"/>
          <w:sz w:val="24"/>
          <w:szCs w:val="24"/>
        </w:rPr>
        <w:t>。能够满足《饮食业油烟排放标准》（试行）（GB18483-2001）的排放标准油烟最高允许排放浓度（≤2.0mg/m</w:t>
      </w:r>
      <w:r>
        <w:rPr>
          <w:rFonts w:hint="eastAsia" w:ascii="Times New Roman" w:hAnsi="Times New Roman" w:eastAsia="宋体" w:cs="Times New Roman"/>
          <w:b w:val="0"/>
          <w:bCs/>
          <w:color w:val="auto"/>
          <w:sz w:val="24"/>
          <w:szCs w:val="24"/>
          <w:vertAlign w:val="superscript"/>
        </w:rPr>
        <w:t>3</w:t>
      </w:r>
      <w:r>
        <w:rPr>
          <w:rFonts w:hint="eastAsia" w:ascii="Times New Roman" w:hAnsi="Times New Roman" w:eastAsia="宋体" w:cs="Times New Roman"/>
          <w:b w:val="0"/>
          <w:bCs/>
          <w:color w:val="auto"/>
          <w:sz w:val="24"/>
          <w:szCs w:val="24"/>
        </w:rPr>
        <w:t>）要求，对区域环境影响很小。</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jc w:val="both"/>
        <w:textAlignment w:val="auto"/>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综上所述，本项目废气产生及排放情况见下表。</w:t>
      </w: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hint="eastAsia" w:ascii="Times New Roman" w:hAnsi="Times New Roman" w:eastAsia="宋体"/>
          <w:b/>
          <w:color w:val="auto"/>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hint="eastAsia" w:ascii="Times New Roman" w:hAnsi="Times New Roman" w:eastAsia="宋体"/>
          <w:b/>
          <w:color w:val="auto"/>
          <w:szCs w:val="21"/>
          <w:lang w:val="en-US" w:eastAsia="zh-CN"/>
        </w:rPr>
      </w:pPr>
    </w:p>
    <w:p>
      <w:pPr>
        <w:pStyle w:val="2"/>
        <w:rPr>
          <w:rFonts w:hint="eastAsia" w:ascii="Times New Roman" w:hAnsi="Times New Roman" w:eastAsia="宋体"/>
          <w:b/>
          <w:color w:val="auto"/>
          <w:szCs w:val="21"/>
          <w:lang w:val="en-US" w:eastAsia="zh-CN"/>
        </w:rPr>
      </w:pPr>
    </w:p>
    <w:p>
      <w:pPr>
        <w:pStyle w:val="3"/>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hint="eastAsia" w:ascii="Times New Roman" w:hAnsi="Times New Roman" w:eastAsia="宋体"/>
          <w:b/>
          <w:color w:val="auto"/>
          <w:szCs w:val="21"/>
          <w:lang w:eastAsia="zh-CN"/>
        </w:rPr>
      </w:pPr>
      <w:r>
        <w:rPr>
          <w:rFonts w:hint="eastAsia" w:ascii="Times New Roman" w:hAnsi="Times New Roman" w:eastAsia="宋体"/>
          <w:b/>
          <w:color w:val="auto"/>
          <w:szCs w:val="21"/>
          <w:lang w:val="en-US" w:eastAsia="zh-CN"/>
        </w:rPr>
        <w:t>表3.5</w:t>
      </w:r>
      <w:r>
        <w:rPr>
          <w:rFonts w:hint="eastAsia" w:ascii="Times New Roman" w:hAnsi="Times New Roman" w:eastAsia="宋体"/>
          <w:b/>
          <w:color w:val="auto"/>
          <w:szCs w:val="21"/>
        </w:rPr>
        <w:t>-</w:t>
      </w:r>
      <w:r>
        <w:rPr>
          <w:rFonts w:hint="eastAsia" w:ascii="Times New Roman" w:hAnsi="Times New Roman" w:eastAsia="宋体"/>
          <w:b/>
          <w:color w:val="auto"/>
          <w:szCs w:val="21"/>
          <w:lang w:val="en-US" w:eastAsia="zh-CN"/>
        </w:rPr>
        <w:t xml:space="preserve">11 </w:t>
      </w:r>
      <w:r>
        <w:rPr>
          <w:rFonts w:ascii="Times New Roman" w:hAnsi="Times New Roman" w:eastAsia="宋体"/>
          <w:b/>
          <w:color w:val="auto"/>
          <w:szCs w:val="21"/>
        </w:rPr>
        <w:t xml:space="preserve"> </w:t>
      </w:r>
      <w:r>
        <w:rPr>
          <w:rFonts w:hint="eastAsia" w:ascii="Times New Roman" w:hAnsi="Times New Roman" w:eastAsia="宋体"/>
          <w:b/>
          <w:color w:val="auto"/>
          <w:szCs w:val="21"/>
          <w:lang w:eastAsia="zh-CN"/>
        </w:rPr>
        <w:t>本项目废气染物排放情况一览表</w:t>
      </w:r>
    </w:p>
    <w:tbl>
      <w:tblPr>
        <w:tblStyle w:val="35"/>
        <w:tblW w:w="92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2"/>
        <w:gridCol w:w="1535"/>
        <w:gridCol w:w="404"/>
        <w:gridCol w:w="646"/>
        <w:gridCol w:w="958"/>
        <w:gridCol w:w="970"/>
        <w:gridCol w:w="1184"/>
        <w:gridCol w:w="2087"/>
        <w:gridCol w:w="11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trPr>
        <w:tc>
          <w:tcPr>
            <w:tcW w:w="2271" w:type="dxa"/>
            <w:gridSpan w:val="3"/>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污染源</w:t>
            </w:r>
          </w:p>
        </w:tc>
        <w:tc>
          <w:tcPr>
            <w:tcW w:w="646"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污染物</w:t>
            </w:r>
          </w:p>
        </w:tc>
        <w:tc>
          <w:tcPr>
            <w:tcW w:w="958"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产生量（t/a）</w:t>
            </w:r>
          </w:p>
        </w:tc>
        <w:tc>
          <w:tcPr>
            <w:tcW w:w="970"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排放量（t/a）</w:t>
            </w:r>
          </w:p>
        </w:tc>
        <w:tc>
          <w:tcPr>
            <w:tcW w:w="1184"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排放浓度（mg/m</w:t>
            </w:r>
            <w:r>
              <w:rPr>
                <w:rFonts w:hint="eastAsia" w:ascii="Times New Roman" w:hAnsi="Times New Roman" w:cs="Times New Roman"/>
                <w:b/>
                <w:bCs/>
                <w:color w:val="auto"/>
                <w:szCs w:val="21"/>
                <w:vertAlign w:val="superscript"/>
                <w:lang w:val="en-US" w:eastAsia="zh-CN"/>
              </w:rPr>
              <w:t>3</w:t>
            </w:r>
            <w:r>
              <w:rPr>
                <w:rFonts w:hint="eastAsia" w:ascii="Times New Roman" w:hAnsi="Times New Roman" w:cs="Times New Roman"/>
                <w:b/>
                <w:bCs/>
                <w:color w:val="auto"/>
                <w:szCs w:val="21"/>
                <w:lang w:val="en-US" w:eastAsia="zh-CN"/>
              </w:rPr>
              <w:t>）</w:t>
            </w:r>
          </w:p>
        </w:tc>
        <w:tc>
          <w:tcPr>
            <w:tcW w:w="2087"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处理措施</w:t>
            </w:r>
          </w:p>
        </w:tc>
        <w:tc>
          <w:tcPr>
            <w:tcW w:w="1104"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排放方式及去向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2" w:type="dxa"/>
            <w:vMerge w:val="restart"/>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恶臭</w:t>
            </w:r>
          </w:p>
        </w:tc>
        <w:tc>
          <w:tcPr>
            <w:tcW w:w="1535" w:type="dxa"/>
            <w:vMerge w:val="restart"/>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育肥舍1</w:t>
            </w:r>
          </w:p>
        </w:tc>
        <w:tc>
          <w:tcPr>
            <w:tcW w:w="404" w:type="dxa"/>
            <w:vMerge w:val="restart"/>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无组织</w:t>
            </w:r>
          </w:p>
        </w:tc>
        <w:tc>
          <w:tcPr>
            <w:tcW w:w="646"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NH</w:t>
            </w:r>
            <w:r>
              <w:rPr>
                <w:rFonts w:hint="eastAsia" w:ascii="Times New Roman" w:hAnsi="Times New Roman" w:cs="Times New Roman"/>
                <w:color w:val="auto"/>
                <w:szCs w:val="21"/>
                <w:vertAlign w:val="subscript"/>
                <w:lang w:val="en-US" w:eastAsia="zh-CN"/>
              </w:rPr>
              <w:t>3</w:t>
            </w:r>
          </w:p>
        </w:tc>
        <w:tc>
          <w:tcPr>
            <w:tcW w:w="958"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4.04</w:t>
            </w:r>
          </w:p>
        </w:tc>
        <w:tc>
          <w:tcPr>
            <w:tcW w:w="970"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0.10</w:t>
            </w:r>
          </w:p>
        </w:tc>
        <w:tc>
          <w:tcPr>
            <w:tcW w:w="1184"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c>
          <w:tcPr>
            <w:tcW w:w="2087" w:type="dxa"/>
            <w:vMerge w:val="restart"/>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封闭式猪舍，加强绿化、除臭剂、绿化、无组织排放</w:t>
            </w:r>
          </w:p>
        </w:tc>
        <w:tc>
          <w:tcPr>
            <w:tcW w:w="1104" w:type="dxa"/>
            <w:vMerge w:val="restart"/>
            <w:vAlign w:val="center"/>
          </w:tcPr>
          <w:p>
            <w:pPr>
              <w:pStyle w:val="98"/>
              <w:jc w:val="both"/>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2" w:type="dxa"/>
            <w:vMerge w:val="continue"/>
            <w:vAlign w:val="center"/>
          </w:tcPr>
          <w:p>
            <w:pPr>
              <w:pStyle w:val="98"/>
              <w:jc w:val="center"/>
              <w:rPr>
                <w:rFonts w:hint="eastAsia" w:ascii="Times New Roman" w:hAnsi="Times New Roman" w:cs="Times New Roman"/>
                <w:color w:val="auto"/>
                <w:szCs w:val="21"/>
                <w:lang w:val="en-US" w:eastAsia="zh-CN"/>
              </w:rPr>
            </w:pPr>
          </w:p>
        </w:tc>
        <w:tc>
          <w:tcPr>
            <w:tcW w:w="1535" w:type="dxa"/>
            <w:vMerge w:val="continue"/>
            <w:vAlign w:val="center"/>
          </w:tcPr>
          <w:p>
            <w:pPr>
              <w:pStyle w:val="98"/>
              <w:jc w:val="center"/>
              <w:rPr>
                <w:rFonts w:hint="eastAsia" w:ascii="Times New Roman" w:hAnsi="Times New Roman" w:cs="Times New Roman"/>
                <w:color w:val="auto"/>
                <w:szCs w:val="21"/>
                <w:lang w:val="en-US" w:eastAsia="zh-CN"/>
              </w:rPr>
            </w:pPr>
          </w:p>
        </w:tc>
        <w:tc>
          <w:tcPr>
            <w:tcW w:w="404" w:type="dxa"/>
            <w:vMerge w:val="continue"/>
            <w:vAlign w:val="center"/>
          </w:tcPr>
          <w:p>
            <w:pPr>
              <w:pStyle w:val="98"/>
              <w:jc w:val="center"/>
              <w:rPr>
                <w:rFonts w:hint="eastAsia" w:ascii="Times New Roman" w:hAnsi="Times New Roman" w:cs="Times New Roman"/>
                <w:color w:val="auto"/>
                <w:szCs w:val="21"/>
                <w:lang w:val="en-US" w:eastAsia="zh-CN"/>
              </w:rPr>
            </w:pPr>
          </w:p>
        </w:tc>
        <w:tc>
          <w:tcPr>
            <w:tcW w:w="646"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H</w:t>
            </w:r>
            <w:r>
              <w:rPr>
                <w:rFonts w:hint="eastAsia" w:ascii="Times New Roman" w:hAnsi="Times New Roman" w:cs="Times New Roman"/>
                <w:color w:val="auto"/>
                <w:szCs w:val="21"/>
                <w:vertAlign w:val="subscript"/>
                <w:lang w:val="en-US" w:eastAsia="zh-CN"/>
              </w:rPr>
              <w:t>2</w:t>
            </w:r>
            <w:r>
              <w:rPr>
                <w:rFonts w:hint="eastAsia" w:ascii="Times New Roman" w:hAnsi="Times New Roman" w:cs="Times New Roman"/>
                <w:color w:val="auto"/>
                <w:szCs w:val="21"/>
                <w:lang w:val="en-US" w:eastAsia="zh-CN"/>
              </w:rPr>
              <w:t>S</w:t>
            </w:r>
          </w:p>
        </w:tc>
        <w:tc>
          <w:tcPr>
            <w:tcW w:w="958"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0.75</w:t>
            </w:r>
          </w:p>
        </w:tc>
        <w:tc>
          <w:tcPr>
            <w:tcW w:w="970"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0.02</w:t>
            </w:r>
          </w:p>
        </w:tc>
        <w:tc>
          <w:tcPr>
            <w:tcW w:w="1184"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c>
          <w:tcPr>
            <w:tcW w:w="2087" w:type="dxa"/>
            <w:vMerge w:val="continue"/>
            <w:vAlign w:val="center"/>
          </w:tcPr>
          <w:p>
            <w:pPr>
              <w:pStyle w:val="98"/>
              <w:jc w:val="center"/>
              <w:rPr>
                <w:rFonts w:hint="eastAsia" w:ascii="Times New Roman" w:hAnsi="Times New Roman" w:cs="Times New Roman"/>
                <w:color w:val="auto"/>
                <w:szCs w:val="21"/>
                <w:lang w:val="en-US" w:eastAsia="zh-CN"/>
              </w:rPr>
            </w:pPr>
          </w:p>
        </w:tc>
        <w:tc>
          <w:tcPr>
            <w:tcW w:w="1104" w:type="dxa"/>
            <w:vMerge w:val="continue"/>
            <w:vAlign w:val="center"/>
          </w:tcPr>
          <w:p>
            <w:pPr>
              <w:pStyle w:val="98"/>
              <w:jc w:val="center"/>
              <w:rPr>
                <w:rFonts w:hint="eastAsia" w:ascii="Times New Roman" w:hAnsi="Times New Roman" w:cs="Times New Roman"/>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2" w:type="dxa"/>
            <w:vMerge w:val="continue"/>
            <w:vAlign w:val="center"/>
          </w:tcPr>
          <w:p>
            <w:pPr>
              <w:pStyle w:val="98"/>
              <w:jc w:val="center"/>
              <w:rPr>
                <w:rFonts w:hint="eastAsia" w:ascii="Times New Roman" w:hAnsi="Times New Roman" w:cs="Times New Roman"/>
                <w:color w:val="auto"/>
                <w:szCs w:val="21"/>
                <w:lang w:val="en-US" w:eastAsia="zh-CN"/>
              </w:rPr>
            </w:pPr>
          </w:p>
        </w:tc>
        <w:tc>
          <w:tcPr>
            <w:tcW w:w="1535" w:type="dxa"/>
            <w:vMerge w:val="restart"/>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育肥舍2</w:t>
            </w:r>
          </w:p>
        </w:tc>
        <w:tc>
          <w:tcPr>
            <w:tcW w:w="404" w:type="dxa"/>
            <w:vMerge w:val="continue"/>
            <w:vAlign w:val="center"/>
          </w:tcPr>
          <w:p>
            <w:pPr>
              <w:pStyle w:val="98"/>
              <w:jc w:val="center"/>
              <w:rPr>
                <w:rFonts w:hint="eastAsia" w:ascii="Times New Roman" w:hAnsi="Times New Roman" w:cs="Times New Roman"/>
                <w:color w:val="auto"/>
                <w:szCs w:val="21"/>
                <w:lang w:val="en-US" w:eastAsia="zh-CN"/>
              </w:rPr>
            </w:pPr>
          </w:p>
        </w:tc>
        <w:tc>
          <w:tcPr>
            <w:tcW w:w="646"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NH</w:t>
            </w:r>
            <w:r>
              <w:rPr>
                <w:rFonts w:hint="eastAsia" w:ascii="Times New Roman" w:hAnsi="Times New Roman" w:cs="Times New Roman"/>
                <w:color w:val="auto"/>
                <w:szCs w:val="21"/>
                <w:vertAlign w:val="subscript"/>
                <w:lang w:val="en-US" w:eastAsia="zh-CN"/>
              </w:rPr>
              <w:t>3</w:t>
            </w:r>
          </w:p>
        </w:tc>
        <w:tc>
          <w:tcPr>
            <w:tcW w:w="958"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4.04</w:t>
            </w:r>
          </w:p>
        </w:tc>
        <w:tc>
          <w:tcPr>
            <w:tcW w:w="970"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0.10</w:t>
            </w:r>
          </w:p>
        </w:tc>
        <w:tc>
          <w:tcPr>
            <w:tcW w:w="1184"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c>
          <w:tcPr>
            <w:tcW w:w="2087" w:type="dxa"/>
            <w:vMerge w:val="continue"/>
            <w:vAlign w:val="center"/>
          </w:tcPr>
          <w:p>
            <w:pPr>
              <w:pStyle w:val="98"/>
              <w:jc w:val="center"/>
              <w:rPr>
                <w:rFonts w:hint="eastAsia" w:ascii="Times New Roman" w:hAnsi="Times New Roman" w:cs="Times New Roman"/>
                <w:color w:val="auto"/>
                <w:szCs w:val="21"/>
                <w:lang w:val="en-US" w:eastAsia="zh-CN"/>
              </w:rPr>
            </w:pPr>
          </w:p>
        </w:tc>
        <w:tc>
          <w:tcPr>
            <w:tcW w:w="1104" w:type="dxa"/>
            <w:vMerge w:val="continue"/>
            <w:vAlign w:val="center"/>
          </w:tcPr>
          <w:p>
            <w:pPr>
              <w:pStyle w:val="98"/>
              <w:jc w:val="center"/>
              <w:rPr>
                <w:rFonts w:hint="eastAsia" w:ascii="Times New Roman" w:hAnsi="Times New Roman" w:cs="Times New Roman"/>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2" w:type="dxa"/>
            <w:vMerge w:val="continue"/>
            <w:vAlign w:val="center"/>
          </w:tcPr>
          <w:p>
            <w:pPr>
              <w:pStyle w:val="98"/>
              <w:jc w:val="center"/>
              <w:rPr>
                <w:rFonts w:hint="eastAsia" w:ascii="Times New Roman" w:hAnsi="Times New Roman" w:cs="Times New Roman"/>
                <w:color w:val="auto"/>
                <w:szCs w:val="21"/>
                <w:lang w:val="en-US" w:eastAsia="zh-CN"/>
              </w:rPr>
            </w:pPr>
          </w:p>
        </w:tc>
        <w:tc>
          <w:tcPr>
            <w:tcW w:w="1535" w:type="dxa"/>
            <w:vMerge w:val="continue"/>
            <w:vAlign w:val="center"/>
          </w:tcPr>
          <w:p>
            <w:pPr>
              <w:pStyle w:val="98"/>
              <w:jc w:val="center"/>
              <w:rPr>
                <w:rFonts w:hint="eastAsia" w:ascii="Times New Roman" w:hAnsi="Times New Roman" w:cs="Times New Roman"/>
                <w:color w:val="auto"/>
                <w:szCs w:val="21"/>
                <w:lang w:val="en-US" w:eastAsia="zh-CN"/>
              </w:rPr>
            </w:pPr>
          </w:p>
        </w:tc>
        <w:tc>
          <w:tcPr>
            <w:tcW w:w="404" w:type="dxa"/>
            <w:vMerge w:val="continue"/>
            <w:vAlign w:val="center"/>
          </w:tcPr>
          <w:p>
            <w:pPr>
              <w:pStyle w:val="98"/>
              <w:jc w:val="center"/>
              <w:rPr>
                <w:rFonts w:hint="eastAsia" w:ascii="Times New Roman" w:hAnsi="Times New Roman" w:cs="Times New Roman"/>
                <w:color w:val="auto"/>
                <w:szCs w:val="21"/>
                <w:lang w:val="en-US" w:eastAsia="zh-CN"/>
              </w:rPr>
            </w:pPr>
          </w:p>
        </w:tc>
        <w:tc>
          <w:tcPr>
            <w:tcW w:w="646"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H</w:t>
            </w:r>
            <w:r>
              <w:rPr>
                <w:rFonts w:hint="eastAsia" w:ascii="Times New Roman" w:hAnsi="Times New Roman" w:cs="Times New Roman"/>
                <w:color w:val="auto"/>
                <w:szCs w:val="21"/>
                <w:vertAlign w:val="subscript"/>
                <w:lang w:val="en-US" w:eastAsia="zh-CN"/>
              </w:rPr>
              <w:t>2</w:t>
            </w:r>
            <w:r>
              <w:rPr>
                <w:rFonts w:hint="eastAsia" w:ascii="Times New Roman" w:hAnsi="Times New Roman" w:cs="Times New Roman"/>
                <w:color w:val="auto"/>
                <w:szCs w:val="21"/>
                <w:lang w:val="en-US" w:eastAsia="zh-CN"/>
              </w:rPr>
              <w:t>S</w:t>
            </w:r>
          </w:p>
        </w:tc>
        <w:tc>
          <w:tcPr>
            <w:tcW w:w="958"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0.75</w:t>
            </w:r>
          </w:p>
        </w:tc>
        <w:tc>
          <w:tcPr>
            <w:tcW w:w="970"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0.02</w:t>
            </w:r>
          </w:p>
        </w:tc>
        <w:tc>
          <w:tcPr>
            <w:tcW w:w="1184"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c>
          <w:tcPr>
            <w:tcW w:w="2087" w:type="dxa"/>
            <w:vMerge w:val="continue"/>
            <w:vAlign w:val="center"/>
          </w:tcPr>
          <w:p>
            <w:pPr>
              <w:pStyle w:val="98"/>
              <w:jc w:val="center"/>
              <w:rPr>
                <w:rFonts w:hint="eastAsia" w:ascii="Times New Roman" w:hAnsi="Times New Roman" w:cs="Times New Roman"/>
                <w:color w:val="auto"/>
                <w:szCs w:val="21"/>
                <w:lang w:val="en-US" w:eastAsia="zh-CN"/>
              </w:rPr>
            </w:pPr>
          </w:p>
        </w:tc>
        <w:tc>
          <w:tcPr>
            <w:tcW w:w="1104" w:type="dxa"/>
            <w:vMerge w:val="continue"/>
            <w:vAlign w:val="center"/>
          </w:tcPr>
          <w:p>
            <w:pPr>
              <w:pStyle w:val="98"/>
              <w:jc w:val="center"/>
              <w:rPr>
                <w:rFonts w:hint="eastAsia" w:ascii="Times New Roman" w:hAnsi="Times New Roman" w:cs="Times New Roman"/>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32" w:type="dxa"/>
            <w:vMerge w:val="continue"/>
            <w:vAlign w:val="center"/>
          </w:tcPr>
          <w:p>
            <w:pPr>
              <w:pStyle w:val="98"/>
              <w:jc w:val="center"/>
              <w:rPr>
                <w:rFonts w:hint="eastAsia" w:ascii="Times New Roman" w:hAnsi="Times New Roman" w:cs="Times New Roman"/>
                <w:color w:val="auto"/>
                <w:szCs w:val="21"/>
                <w:lang w:val="en-US" w:eastAsia="zh-CN"/>
              </w:rPr>
            </w:pPr>
          </w:p>
        </w:tc>
        <w:tc>
          <w:tcPr>
            <w:tcW w:w="1535" w:type="dxa"/>
            <w:vMerge w:val="restart"/>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污水处理区（沼液储蓄池）</w:t>
            </w:r>
          </w:p>
        </w:tc>
        <w:tc>
          <w:tcPr>
            <w:tcW w:w="404" w:type="dxa"/>
            <w:vMerge w:val="restart"/>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无组织</w:t>
            </w:r>
          </w:p>
        </w:tc>
        <w:tc>
          <w:tcPr>
            <w:tcW w:w="646" w:type="dxa"/>
            <w:vAlign w:val="center"/>
          </w:tcPr>
          <w:p>
            <w:pPr>
              <w:pStyle w:val="98"/>
              <w:jc w:val="center"/>
              <w:rPr>
                <w:rFonts w:hint="eastAsia"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NH</w:t>
            </w:r>
            <w:r>
              <w:rPr>
                <w:rFonts w:hint="eastAsia" w:ascii="Times New Roman" w:hAnsi="Times New Roman" w:cs="Times New Roman"/>
                <w:color w:val="auto"/>
                <w:szCs w:val="21"/>
                <w:vertAlign w:val="subscript"/>
                <w:lang w:val="en-US" w:eastAsia="zh-CN"/>
              </w:rPr>
              <w:t>3</w:t>
            </w:r>
          </w:p>
        </w:tc>
        <w:tc>
          <w:tcPr>
            <w:tcW w:w="958"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0.07</w:t>
            </w:r>
          </w:p>
        </w:tc>
        <w:tc>
          <w:tcPr>
            <w:tcW w:w="970"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0.06</w:t>
            </w:r>
          </w:p>
        </w:tc>
        <w:tc>
          <w:tcPr>
            <w:tcW w:w="1184"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c>
          <w:tcPr>
            <w:tcW w:w="2087" w:type="dxa"/>
            <w:vMerge w:val="restart"/>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定期喷洒除臭剂、周边种植植物吸收</w:t>
            </w:r>
          </w:p>
        </w:tc>
        <w:tc>
          <w:tcPr>
            <w:tcW w:w="1104" w:type="dxa"/>
            <w:vMerge w:val="continue"/>
            <w:vAlign w:val="center"/>
          </w:tcPr>
          <w:p>
            <w:pPr>
              <w:pStyle w:val="98"/>
              <w:jc w:val="center"/>
              <w:rPr>
                <w:rFonts w:hint="eastAsia" w:ascii="Times New Roman" w:hAnsi="Times New Roman" w:cs="Times New Roman"/>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2" w:type="dxa"/>
            <w:vMerge w:val="continue"/>
            <w:vAlign w:val="center"/>
          </w:tcPr>
          <w:p>
            <w:pPr>
              <w:pStyle w:val="98"/>
              <w:jc w:val="center"/>
              <w:rPr>
                <w:rFonts w:hint="eastAsia" w:ascii="Times New Roman" w:hAnsi="Times New Roman" w:cs="Times New Roman"/>
                <w:color w:val="auto"/>
                <w:szCs w:val="21"/>
                <w:lang w:val="en-US" w:eastAsia="zh-CN"/>
              </w:rPr>
            </w:pPr>
          </w:p>
        </w:tc>
        <w:tc>
          <w:tcPr>
            <w:tcW w:w="1535" w:type="dxa"/>
            <w:vMerge w:val="continue"/>
            <w:vAlign w:val="center"/>
          </w:tcPr>
          <w:p>
            <w:pPr>
              <w:pStyle w:val="98"/>
              <w:jc w:val="center"/>
              <w:rPr>
                <w:rFonts w:hint="eastAsia" w:ascii="Times New Roman" w:hAnsi="Times New Roman" w:cs="Times New Roman"/>
                <w:color w:val="auto"/>
                <w:szCs w:val="21"/>
                <w:lang w:val="en-US" w:eastAsia="zh-CN"/>
              </w:rPr>
            </w:pPr>
          </w:p>
        </w:tc>
        <w:tc>
          <w:tcPr>
            <w:tcW w:w="404" w:type="dxa"/>
            <w:vMerge w:val="continue"/>
            <w:vAlign w:val="center"/>
          </w:tcPr>
          <w:p>
            <w:pPr>
              <w:pStyle w:val="98"/>
              <w:jc w:val="center"/>
              <w:rPr>
                <w:rFonts w:hint="eastAsia" w:ascii="Times New Roman" w:hAnsi="Times New Roman" w:cs="Times New Roman"/>
                <w:color w:val="auto"/>
                <w:szCs w:val="21"/>
                <w:lang w:val="en-US" w:eastAsia="zh-CN"/>
              </w:rPr>
            </w:pPr>
          </w:p>
        </w:tc>
        <w:tc>
          <w:tcPr>
            <w:tcW w:w="646" w:type="dxa"/>
            <w:vAlign w:val="center"/>
          </w:tcPr>
          <w:p>
            <w:pPr>
              <w:pStyle w:val="98"/>
              <w:jc w:val="center"/>
              <w:rPr>
                <w:rFonts w:hint="eastAsia"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H</w:t>
            </w:r>
            <w:r>
              <w:rPr>
                <w:rFonts w:hint="eastAsia" w:ascii="Times New Roman" w:hAnsi="Times New Roman" w:cs="Times New Roman"/>
                <w:color w:val="auto"/>
                <w:szCs w:val="21"/>
                <w:vertAlign w:val="subscript"/>
                <w:lang w:val="en-US" w:eastAsia="zh-CN"/>
              </w:rPr>
              <w:t>2</w:t>
            </w:r>
            <w:r>
              <w:rPr>
                <w:rFonts w:hint="eastAsia" w:ascii="Times New Roman" w:hAnsi="Times New Roman" w:cs="Times New Roman"/>
                <w:color w:val="auto"/>
                <w:szCs w:val="21"/>
                <w:lang w:val="en-US" w:eastAsia="zh-CN"/>
              </w:rPr>
              <w:t>S</w:t>
            </w:r>
          </w:p>
        </w:tc>
        <w:tc>
          <w:tcPr>
            <w:tcW w:w="958"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0.0002</w:t>
            </w:r>
          </w:p>
        </w:tc>
        <w:tc>
          <w:tcPr>
            <w:tcW w:w="970"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0.00018</w:t>
            </w:r>
          </w:p>
        </w:tc>
        <w:tc>
          <w:tcPr>
            <w:tcW w:w="1184"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c>
          <w:tcPr>
            <w:tcW w:w="2087" w:type="dxa"/>
            <w:vMerge w:val="continue"/>
            <w:vAlign w:val="center"/>
          </w:tcPr>
          <w:p>
            <w:pPr>
              <w:pStyle w:val="98"/>
              <w:jc w:val="center"/>
              <w:rPr>
                <w:rFonts w:hint="eastAsia" w:ascii="Times New Roman" w:hAnsi="Times New Roman" w:cs="Times New Roman"/>
                <w:color w:val="auto"/>
                <w:szCs w:val="21"/>
                <w:lang w:val="en-US" w:eastAsia="zh-CN"/>
              </w:rPr>
            </w:pPr>
          </w:p>
        </w:tc>
        <w:tc>
          <w:tcPr>
            <w:tcW w:w="1104" w:type="dxa"/>
            <w:vMerge w:val="continue"/>
            <w:vAlign w:val="center"/>
          </w:tcPr>
          <w:p>
            <w:pPr>
              <w:pStyle w:val="98"/>
              <w:jc w:val="center"/>
              <w:rPr>
                <w:rFonts w:hint="eastAsia" w:ascii="Times New Roman" w:hAnsi="Times New Roman" w:cs="Times New Roman"/>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2" w:type="dxa"/>
            <w:vMerge w:val="continue"/>
            <w:vAlign w:val="center"/>
          </w:tcPr>
          <w:p>
            <w:pPr>
              <w:pStyle w:val="98"/>
              <w:jc w:val="center"/>
              <w:rPr>
                <w:rFonts w:hint="eastAsia" w:ascii="Times New Roman" w:hAnsi="Times New Roman" w:cs="Times New Roman"/>
                <w:color w:val="auto"/>
                <w:szCs w:val="21"/>
                <w:lang w:val="en-US" w:eastAsia="zh-CN"/>
              </w:rPr>
            </w:pPr>
          </w:p>
        </w:tc>
        <w:tc>
          <w:tcPr>
            <w:tcW w:w="1535" w:type="dxa"/>
            <w:vMerge w:val="restart"/>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堆粪间</w:t>
            </w:r>
          </w:p>
        </w:tc>
        <w:tc>
          <w:tcPr>
            <w:tcW w:w="404" w:type="dxa"/>
            <w:vMerge w:val="restart"/>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有组织</w:t>
            </w:r>
          </w:p>
        </w:tc>
        <w:tc>
          <w:tcPr>
            <w:tcW w:w="646" w:type="dxa"/>
            <w:vAlign w:val="center"/>
          </w:tcPr>
          <w:p>
            <w:pPr>
              <w:pStyle w:val="98"/>
              <w:jc w:val="center"/>
              <w:rPr>
                <w:rFonts w:hint="eastAsia"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NH</w:t>
            </w:r>
            <w:r>
              <w:rPr>
                <w:rFonts w:hint="eastAsia" w:ascii="Times New Roman" w:hAnsi="Times New Roman" w:cs="Times New Roman"/>
                <w:color w:val="auto"/>
                <w:szCs w:val="21"/>
                <w:vertAlign w:val="subscript"/>
                <w:lang w:val="en-US" w:eastAsia="zh-CN"/>
              </w:rPr>
              <w:t>3</w:t>
            </w:r>
          </w:p>
        </w:tc>
        <w:tc>
          <w:tcPr>
            <w:tcW w:w="958"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0.57</w:t>
            </w:r>
          </w:p>
        </w:tc>
        <w:tc>
          <w:tcPr>
            <w:tcW w:w="970"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0.002</w:t>
            </w:r>
          </w:p>
        </w:tc>
        <w:tc>
          <w:tcPr>
            <w:tcW w:w="1184"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0.637</w:t>
            </w:r>
          </w:p>
        </w:tc>
        <w:tc>
          <w:tcPr>
            <w:tcW w:w="2087" w:type="dxa"/>
            <w:vMerge w:val="restart"/>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进行封闭处理，负压收集废气，收集后经喷淋洗涤吸收塔（风量10000m</w:t>
            </w:r>
            <w:r>
              <w:rPr>
                <w:rFonts w:hint="eastAsia" w:ascii="Times New Roman" w:hAnsi="Times New Roman" w:cs="Times New Roman"/>
                <w:color w:val="auto"/>
                <w:szCs w:val="21"/>
                <w:vertAlign w:val="superscript"/>
                <w:lang w:val="en-US" w:eastAsia="zh-CN"/>
              </w:rPr>
              <w:t>3</w:t>
            </w:r>
            <w:r>
              <w:rPr>
                <w:rFonts w:hint="eastAsia" w:ascii="Times New Roman" w:hAnsi="Times New Roman" w:cs="Times New Roman"/>
                <w:color w:val="auto"/>
                <w:szCs w:val="21"/>
                <w:lang w:val="en-US" w:eastAsia="zh-CN"/>
              </w:rPr>
              <w:t>/h）处理后由15m排气筒排放</w:t>
            </w:r>
          </w:p>
        </w:tc>
        <w:tc>
          <w:tcPr>
            <w:tcW w:w="1104" w:type="dxa"/>
            <w:vMerge w:val="restart"/>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15m排气筒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2" w:type="dxa"/>
            <w:vMerge w:val="continue"/>
            <w:vAlign w:val="center"/>
          </w:tcPr>
          <w:p>
            <w:pPr>
              <w:pStyle w:val="98"/>
              <w:jc w:val="center"/>
              <w:rPr>
                <w:rFonts w:hint="eastAsia" w:ascii="Times New Roman" w:hAnsi="Times New Roman" w:cs="Times New Roman"/>
                <w:color w:val="auto"/>
                <w:szCs w:val="21"/>
                <w:lang w:val="en-US" w:eastAsia="zh-CN"/>
              </w:rPr>
            </w:pPr>
          </w:p>
        </w:tc>
        <w:tc>
          <w:tcPr>
            <w:tcW w:w="1535" w:type="dxa"/>
            <w:vMerge w:val="continue"/>
            <w:vAlign w:val="center"/>
          </w:tcPr>
          <w:p>
            <w:pPr>
              <w:pStyle w:val="98"/>
              <w:jc w:val="center"/>
              <w:rPr>
                <w:rFonts w:hint="eastAsia" w:ascii="Times New Roman" w:hAnsi="Times New Roman" w:cs="Times New Roman"/>
                <w:color w:val="auto"/>
                <w:szCs w:val="21"/>
                <w:lang w:val="en-US" w:eastAsia="zh-CN"/>
              </w:rPr>
            </w:pPr>
          </w:p>
        </w:tc>
        <w:tc>
          <w:tcPr>
            <w:tcW w:w="404" w:type="dxa"/>
            <w:vMerge w:val="continue"/>
            <w:vAlign w:val="center"/>
          </w:tcPr>
          <w:p>
            <w:pPr>
              <w:pStyle w:val="98"/>
              <w:jc w:val="center"/>
              <w:rPr>
                <w:rFonts w:hint="eastAsia" w:ascii="Times New Roman" w:hAnsi="Times New Roman" w:cs="Times New Roman"/>
                <w:color w:val="auto"/>
                <w:szCs w:val="21"/>
                <w:lang w:val="en-US" w:eastAsia="zh-CN"/>
              </w:rPr>
            </w:pPr>
          </w:p>
        </w:tc>
        <w:tc>
          <w:tcPr>
            <w:tcW w:w="646" w:type="dxa"/>
            <w:vAlign w:val="center"/>
          </w:tcPr>
          <w:p>
            <w:pPr>
              <w:pStyle w:val="98"/>
              <w:jc w:val="center"/>
              <w:rPr>
                <w:rFonts w:hint="eastAsia"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H</w:t>
            </w:r>
            <w:r>
              <w:rPr>
                <w:rFonts w:hint="eastAsia" w:ascii="Times New Roman" w:hAnsi="Times New Roman" w:cs="Times New Roman"/>
                <w:color w:val="auto"/>
                <w:szCs w:val="21"/>
                <w:vertAlign w:val="subscript"/>
                <w:lang w:val="en-US" w:eastAsia="zh-CN"/>
              </w:rPr>
              <w:t>2</w:t>
            </w:r>
            <w:r>
              <w:rPr>
                <w:rFonts w:hint="eastAsia" w:ascii="Times New Roman" w:hAnsi="Times New Roman" w:cs="Times New Roman"/>
                <w:color w:val="auto"/>
                <w:szCs w:val="21"/>
                <w:lang w:val="en-US" w:eastAsia="zh-CN"/>
              </w:rPr>
              <w:t>S</w:t>
            </w:r>
          </w:p>
        </w:tc>
        <w:tc>
          <w:tcPr>
            <w:tcW w:w="958"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0.032</w:t>
            </w:r>
          </w:p>
        </w:tc>
        <w:tc>
          <w:tcPr>
            <w:tcW w:w="970"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0.0001</w:t>
            </w:r>
          </w:p>
        </w:tc>
        <w:tc>
          <w:tcPr>
            <w:tcW w:w="1184"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0.04</w:t>
            </w:r>
          </w:p>
        </w:tc>
        <w:tc>
          <w:tcPr>
            <w:tcW w:w="2087" w:type="dxa"/>
            <w:vMerge w:val="continue"/>
            <w:vAlign w:val="center"/>
          </w:tcPr>
          <w:p>
            <w:pPr>
              <w:pStyle w:val="98"/>
              <w:jc w:val="center"/>
              <w:rPr>
                <w:rFonts w:hint="eastAsia" w:ascii="Times New Roman" w:hAnsi="Times New Roman" w:cs="Times New Roman"/>
                <w:color w:val="auto"/>
                <w:szCs w:val="21"/>
                <w:lang w:val="en-US" w:eastAsia="zh-CN"/>
              </w:rPr>
            </w:pPr>
          </w:p>
        </w:tc>
        <w:tc>
          <w:tcPr>
            <w:tcW w:w="1104" w:type="dxa"/>
            <w:vMerge w:val="continue"/>
            <w:vAlign w:val="center"/>
          </w:tcPr>
          <w:p>
            <w:pPr>
              <w:pStyle w:val="98"/>
              <w:jc w:val="center"/>
              <w:rPr>
                <w:rFonts w:hint="eastAsia" w:ascii="Times New Roman" w:hAnsi="Times New Roman" w:cs="Times New Roman"/>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2" w:type="dxa"/>
            <w:vMerge w:val="continue"/>
            <w:vAlign w:val="center"/>
          </w:tcPr>
          <w:p>
            <w:pPr>
              <w:pStyle w:val="98"/>
              <w:jc w:val="center"/>
              <w:rPr>
                <w:rFonts w:hint="eastAsia" w:ascii="Times New Roman" w:hAnsi="Times New Roman" w:cs="Times New Roman"/>
                <w:color w:val="auto"/>
                <w:szCs w:val="21"/>
                <w:lang w:val="en-US" w:eastAsia="zh-CN"/>
              </w:rPr>
            </w:pPr>
          </w:p>
        </w:tc>
        <w:tc>
          <w:tcPr>
            <w:tcW w:w="1535" w:type="dxa"/>
            <w:vMerge w:val="continue"/>
            <w:vAlign w:val="center"/>
          </w:tcPr>
          <w:p>
            <w:pPr>
              <w:pStyle w:val="98"/>
              <w:jc w:val="center"/>
              <w:rPr>
                <w:rFonts w:hint="eastAsia" w:ascii="Times New Roman" w:hAnsi="Times New Roman" w:cs="Times New Roman"/>
                <w:color w:val="auto"/>
                <w:szCs w:val="21"/>
                <w:lang w:val="en-US" w:eastAsia="zh-CN"/>
              </w:rPr>
            </w:pPr>
          </w:p>
        </w:tc>
        <w:tc>
          <w:tcPr>
            <w:tcW w:w="404" w:type="dxa"/>
            <w:vMerge w:val="restart"/>
            <w:vAlign w:val="center"/>
          </w:tcPr>
          <w:p>
            <w:pPr>
              <w:pStyle w:val="98"/>
              <w:jc w:val="center"/>
              <w:rPr>
                <w:rFonts w:hint="eastAsia"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无组织</w:t>
            </w:r>
          </w:p>
        </w:tc>
        <w:tc>
          <w:tcPr>
            <w:tcW w:w="646" w:type="dxa"/>
            <w:vAlign w:val="center"/>
          </w:tcPr>
          <w:p>
            <w:pPr>
              <w:pStyle w:val="98"/>
              <w:jc w:val="center"/>
              <w:rPr>
                <w:rFonts w:hint="eastAsia"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NH</w:t>
            </w:r>
            <w:r>
              <w:rPr>
                <w:rFonts w:hint="eastAsia" w:ascii="Times New Roman" w:hAnsi="Times New Roman" w:cs="Times New Roman"/>
                <w:color w:val="auto"/>
                <w:szCs w:val="21"/>
                <w:vertAlign w:val="subscript"/>
                <w:lang w:val="en-US" w:eastAsia="zh-CN"/>
              </w:rPr>
              <w:t>3</w:t>
            </w:r>
          </w:p>
        </w:tc>
        <w:tc>
          <w:tcPr>
            <w:tcW w:w="958"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0.57</w:t>
            </w:r>
          </w:p>
        </w:tc>
        <w:tc>
          <w:tcPr>
            <w:tcW w:w="970"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0.0013</w:t>
            </w:r>
          </w:p>
        </w:tc>
        <w:tc>
          <w:tcPr>
            <w:tcW w:w="1184"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c>
          <w:tcPr>
            <w:tcW w:w="2087" w:type="dxa"/>
            <w:vMerge w:val="continue"/>
            <w:vAlign w:val="center"/>
          </w:tcPr>
          <w:p>
            <w:pPr>
              <w:pStyle w:val="98"/>
              <w:jc w:val="center"/>
              <w:rPr>
                <w:rFonts w:hint="eastAsia" w:ascii="Times New Roman" w:hAnsi="Times New Roman" w:cs="Times New Roman"/>
                <w:color w:val="auto"/>
                <w:szCs w:val="21"/>
                <w:lang w:val="en-US" w:eastAsia="zh-CN"/>
              </w:rPr>
            </w:pPr>
          </w:p>
        </w:tc>
        <w:tc>
          <w:tcPr>
            <w:tcW w:w="1104" w:type="dxa"/>
            <w:vMerge w:val="continue"/>
            <w:vAlign w:val="center"/>
          </w:tcPr>
          <w:p>
            <w:pPr>
              <w:pStyle w:val="98"/>
              <w:jc w:val="center"/>
              <w:rPr>
                <w:rFonts w:hint="eastAsia" w:ascii="Times New Roman" w:hAnsi="Times New Roman" w:cs="Times New Roman"/>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2" w:type="dxa"/>
            <w:vMerge w:val="continue"/>
            <w:vAlign w:val="center"/>
          </w:tcPr>
          <w:p>
            <w:pPr>
              <w:pStyle w:val="98"/>
              <w:jc w:val="center"/>
              <w:rPr>
                <w:rFonts w:hint="eastAsia" w:ascii="Times New Roman" w:hAnsi="Times New Roman" w:cs="Times New Roman"/>
                <w:color w:val="auto"/>
                <w:szCs w:val="21"/>
                <w:lang w:val="en-US" w:eastAsia="zh-CN"/>
              </w:rPr>
            </w:pPr>
          </w:p>
        </w:tc>
        <w:tc>
          <w:tcPr>
            <w:tcW w:w="1535" w:type="dxa"/>
            <w:vMerge w:val="continue"/>
            <w:vAlign w:val="center"/>
          </w:tcPr>
          <w:p>
            <w:pPr>
              <w:pStyle w:val="98"/>
              <w:jc w:val="center"/>
              <w:rPr>
                <w:rFonts w:hint="eastAsia" w:ascii="Times New Roman" w:hAnsi="Times New Roman" w:cs="Times New Roman"/>
                <w:color w:val="auto"/>
                <w:szCs w:val="21"/>
                <w:lang w:val="en-US" w:eastAsia="zh-CN"/>
              </w:rPr>
            </w:pPr>
          </w:p>
        </w:tc>
        <w:tc>
          <w:tcPr>
            <w:tcW w:w="404" w:type="dxa"/>
            <w:vMerge w:val="continue"/>
            <w:vAlign w:val="center"/>
          </w:tcPr>
          <w:p>
            <w:pPr>
              <w:pStyle w:val="98"/>
              <w:jc w:val="center"/>
              <w:rPr>
                <w:rFonts w:hint="eastAsia" w:ascii="Times New Roman" w:hAnsi="Times New Roman" w:cs="Times New Roman"/>
                <w:color w:val="auto"/>
                <w:szCs w:val="21"/>
                <w:lang w:val="en-US" w:eastAsia="zh-CN"/>
              </w:rPr>
            </w:pPr>
          </w:p>
        </w:tc>
        <w:tc>
          <w:tcPr>
            <w:tcW w:w="646" w:type="dxa"/>
            <w:vAlign w:val="center"/>
          </w:tcPr>
          <w:p>
            <w:pPr>
              <w:pStyle w:val="98"/>
              <w:jc w:val="center"/>
              <w:rPr>
                <w:rFonts w:hint="eastAsia"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H</w:t>
            </w:r>
            <w:r>
              <w:rPr>
                <w:rFonts w:hint="eastAsia" w:ascii="Times New Roman" w:hAnsi="Times New Roman" w:cs="Times New Roman"/>
                <w:color w:val="auto"/>
                <w:szCs w:val="21"/>
                <w:vertAlign w:val="subscript"/>
                <w:lang w:val="en-US" w:eastAsia="zh-CN"/>
              </w:rPr>
              <w:t>2</w:t>
            </w:r>
            <w:r>
              <w:rPr>
                <w:rFonts w:hint="eastAsia" w:ascii="Times New Roman" w:hAnsi="Times New Roman" w:cs="Times New Roman"/>
                <w:color w:val="auto"/>
                <w:szCs w:val="21"/>
                <w:lang w:val="en-US" w:eastAsia="zh-CN"/>
              </w:rPr>
              <w:t>S</w:t>
            </w:r>
          </w:p>
        </w:tc>
        <w:tc>
          <w:tcPr>
            <w:tcW w:w="958"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0.032</w:t>
            </w:r>
          </w:p>
        </w:tc>
        <w:tc>
          <w:tcPr>
            <w:tcW w:w="970"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0.00008</w:t>
            </w:r>
          </w:p>
        </w:tc>
        <w:tc>
          <w:tcPr>
            <w:tcW w:w="1184"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c>
          <w:tcPr>
            <w:tcW w:w="2087" w:type="dxa"/>
            <w:vMerge w:val="continue"/>
            <w:vAlign w:val="center"/>
          </w:tcPr>
          <w:p>
            <w:pPr>
              <w:pStyle w:val="98"/>
              <w:jc w:val="center"/>
              <w:rPr>
                <w:rFonts w:hint="eastAsia" w:ascii="Times New Roman" w:hAnsi="Times New Roman" w:cs="Times New Roman"/>
                <w:color w:val="auto"/>
                <w:szCs w:val="21"/>
                <w:lang w:val="en-US" w:eastAsia="zh-CN"/>
              </w:rPr>
            </w:pPr>
          </w:p>
        </w:tc>
        <w:tc>
          <w:tcPr>
            <w:tcW w:w="1104" w:type="dxa"/>
            <w:vMerge w:val="continue"/>
            <w:vAlign w:val="center"/>
          </w:tcPr>
          <w:p>
            <w:pPr>
              <w:pStyle w:val="98"/>
              <w:jc w:val="center"/>
              <w:rPr>
                <w:rFonts w:hint="eastAsia" w:ascii="Times New Roman" w:hAnsi="Times New Roman" w:cs="Times New Roman"/>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1" w:type="dxa"/>
            <w:gridSpan w:val="3"/>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食堂油烟</w:t>
            </w:r>
          </w:p>
        </w:tc>
        <w:tc>
          <w:tcPr>
            <w:tcW w:w="646"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油烟</w:t>
            </w:r>
          </w:p>
        </w:tc>
        <w:tc>
          <w:tcPr>
            <w:tcW w:w="958"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0.016</w:t>
            </w:r>
          </w:p>
        </w:tc>
        <w:tc>
          <w:tcPr>
            <w:tcW w:w="970"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0.004</w:t>
            </w:r>
          </w:p>
        </w:tc>
        <w:tc>
          <w:tcPr>
            <w:tcW w:w="1184"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0.9375</w:t>
            </w:r>
          </w:p>
        </w:tc>
        <w:tc>
          <w:tcPr>
            <w:tcW w:w="2087"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油烟净化器+排烟管道</w:t>
            </w:r>
          </w:p>
        </w:tc>
        <w:tc>
          <w:tcPr>
            <w:tcW w:w="1104"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高空排放</w:t>
            </w:r>
          </w:p>
        </w:tc>
      </w:tr>
    </w:tbl>
    <w:p>
      <w:pPr>
        <w:pStyle w:val="16"/>
        <w:keepNext w:val="0"/>
        <w:keepLines w:val="0"/>
        <w:pageBreakBefore w:val="0"/>
        <w:widowControl w:val="0"/>
        <w:kinsoku/>
        <w:wordWrap/>
        <w:overflowPunct/>
        <w:topLinePunct w:val="0"/>
        <w:autoSpaceDE/>
        <w:autoSpaceDN/>
        <w:bidi w:val="0"/>
        <w:adjustRightInd w:val="0"/>
        <w:snapToGrid w:val="0"/>
        <w:spacing w:line="360" w:lineRule="auto"/>
        <w:ind w:right="0"/>
        <w:jc w:val="both"/>
        <w:textAlignment w:val="auto"/>
        <w:rPr>
          <w:rFonts w:hint="eastAsia" w:ascii="Times New Roman" w:hAnsi="Times New Roman" w:eastAsia="宋体" w:cs="Times New Roman"/>
          <w:b w:val="0"/>
          <w:bCs/>
          <w:color w:val="auto"/>
          <w:sz w:val="24"/>
          <w:szCs w:val="24"/>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textAlignment w:val="auto"/>
        <w:outlineLvl w:val="2"/>
        <w:rPr>
          <w:rFonts w:hint="eastAsia" w:ascii="Times New Roman" w:hAnsi="Times New Roman" w:eastAsia="宋体"/>
          <w:b/>
          <w:bCs/>
          <w:color w:val="auto"/>
          <w:sz w:val="28"/>
          <w:szCs w:val="28"/>
          <w:lang w:val="en-US" w:eastAsia="zh-CN"/>
        </w:rPr>
      </w:pPr>
      <w:r>
        <w:rPr>
          <w:rFonts w:hint="eastAsia" w:ascii="Times New Roman" w:hAnsi="Times New Roman" w:eastAsia="宋体"/>
          <w:b/>
          <w:bCs/>
          <w:color w:val="auto"/>
          <w:sz w:val="28"/>
          <w:szCs w:val="28"/>
        </w:rPr>
        <w:t>3.5.2</w:t>
      </w:r>
      <w:bookmarkEnd w:id="122"/>
      <w:r>
        <w:rPr>
          <w:rFonts w:hint="eastAsia" w:ascii="Times New Roman" w:hAnsi="Times New Roman" w:eastAsia="宋体"/>
          <w:b/>
          <w:bCs/>
          <w:color w:val="auto"/>
          <w:sz w:val="28"/>
          <w:szCs w:val="28"/>
          <w:lang w:val="en-US" w:eastAsia="zh-CN"/>
        </w:rPr>
        <w:t>水污染物排放及治理措施</w:t>
      </w:r>
    </w:p>
    <w:p>
      <w:pPr>
        <w:adjustRightInd w:val="0"/>
        <w:snapToGrid w:val="0"/>
        <w:spacing w:line="360" w:lineRule="auto"/>
        <w:ind w:firstLine="480" w:firstLineChars="200"/>
        <w:rPr>
          <w:rFonts w:hint="eastAsia" w:ascii="Times New Roman" w:hAnsi="Times New Roman" w:eastAsia="宋体"/>
          <w:snapToGrid w:val="0"/>
          <w:color w:val="auto"/>
          <w:sz w:val="24"/>
          <w:lang w:eastAsia="zh-CN"/>
        </w:rPr>
      </w:pPr>
      <w:r>
        <w:rPr>
          <w:rFonts w:hint="eastAsia" w:ascii="Times New Roman" w:hAnsi="Times New Roman" w:eastAsia="宋体"/>
          <w:snapToGrid w:val="0"/>
          <w:color w:val="auto"/>
          <w:sz w:val="24"/>
          <w:lang w:eastAsia="zh-CN"/>
        </w:rPr>
        <w:t>本项目废水主要为养殖废水和职工生活废水。</w:t>
      </w: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hint="eastAsia" w:ascii="Times New Roman" w:hAnsi="Times New Roman" w:eastAsia="宋体"/>
          <w:b/>
          <w:color w:val="auto"/>
          <w:szCs w:val="21"/>
          <w:lang w:eastAsia="zh-CN"/>
        </w:rPr>
      </w:pPr>
      <w:r>
        <w:rPr>
          <w:rFonts w:hint="eastAsia" w:ascii="Times New Roman" w:hAnsi="Times New Roman" w:eastAsia="宋体"/>
          <w:b/>
          <w:color w:val="auto"/>
          <w:szCs w:val="21"/>
          <w:lang w:val="en-US" w:eastAsia="zh-CN"/>
        </w:rPr>
        <w:t>表3.5</w:t>
      </w:r>
      <w:r>
        <w:rPr>
          <w:rFonts w:hint="eastAsia" w:ascii="Times New Roman" w:hAnsi="Times New Roman" w:eastAsia="宋体"/>
          <w:b/>
          <w:color w:val="auto"/>
          <w:szCs w:val="21"/>
        </w:rPr>
        <w:t>-</w:t>
      </w:r>
      <w:r>
        <w:rPr>
          <w:rFonts w:hint="eastAsia" w:ascii="Times New Roman" w:hAnsi="Times New Roman" w:eastAsia="宋体"/>
          <w:b/>
          <w:color w:val="auto"/>
          <w:szCs w:val="21"/>
          <w:lang w:val="en-US" w:eastAsia="zh-CN"/>
        </w:rPr>
        <w:t xml:space="preserve">12 </w:t>
      </w:r>
      <w:r>
        <w:rPr>
          <w:rFonts w:ascii="Times New Roman" w:hAnsi="Times New Roman" w:eastAsia="宋体"/>
          <w:b/>
          <w:color w:val="auto"/>
          <w:szCs w:val="21"/>
        </w:rPr>
        <w:t xml:space="preserve"> </w:t>
      </w:r>
      <w:r>
        <w:rPr>
          <w:rFonts w:hint="eastAsia" w:ascii="Times New Roman" w:hAnsi="Times New Roman" w:eastAsia="宋体"/>
          <w:b/>
          <w:color w:val="auto"/>
          <w:szCs w:val="21"/>
          <w:lang w:eastAsia="zh-CN"/>
        </w:rPr>
        <w:t>废水产生环节</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9"/>
        <w:gridCol w:w="2370"/>
        <w:gridCol w:w="62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序号</w:t>
            </w:r>
          </w:p>
        </w:tc>
        <w:tc>
          <w:tcPr>
            <w:tcW w:w="2370"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污染物名称</w:t>
            </w:r>
          </w:p>
        </w:tc>
        <w:tc>
          <w:tcPr>
            <w:tcW w:w="6211" w:type="dxa"/>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主要污染物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w:t>
            </w:r>
          </w:p>
        </w:tc>
        <w:tc>
          <w:tcPr>
            <w:tcW w:w="2370"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猪尿、猪粪</w:t>
            </w:r>
          </w:p>
        </w:tc>
        <w:tc>
          <w:tcPr>
            <w:tcW w:w="6211" w:type="dxa"/>
            <w:vMerge w:val="restart"/>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COD</w:t>
            </w:r>
            <w:r>
              <w:rPr>
                <w:rFonts w:hint="eastAsia" w:ascii="Times New Roman" w:hAnsi="Times New Roman" w:cs="Times New Roman"/>
                <w:color w:val="auto"/>
                <w:szCs w:val="21"/>
                <w:vertAlign w:val="subscript"/>
                <w:lang w:val="en-US" w:eastAsia="zh-CN"/>
              </w:rPr>
              <w:t>Cr</w:t>
            </w:r>
            <w:r>
              <w:rPr>
                <w:rFonts w:hint="eastAsia" w:ascii="Times New Roman" w:hAnsi="Times New Roman" w:cs="Times New Roman"/>
                <w:color w:val="auto"/>
                <w:szCs w:val="21"/>
                <w:lang w:val="en-US" w:eastAsia="zh-CN"/>
              </w:rPr>
              <w:t>、BOD</w:t>
            </w:r>
            <w:r>
              <w:rPr>
                <w:rFonts w:hint="eastAsia" w:ascii="Times New Roman" w:hAnsi="Times New Roman" w:cs="Times New Roman"/>
                <w:color w:val="auto"/>
                <w:szCs w:val="21"/>
                <w:vertAlign w:val="subscript"/>
                <w:lang w:val="en-US" w:eastAsia="zh-CN"/>
              </w:rPr>
              <w:t>5</w:t>
            </w:r>
            <w:r>
              <w:rPr>
                <w:rFonts w:hint="eastAsia" w:ascii="Times New Roman" w:hAnsi="Times New Roman" w:cs="Times New Roman"/>
                <w:color w:val="auto"/>
                <w:szCs w:val="21"/>
                <w:lang w:val="en-US" w:eastAsia="zh-CN"/>
              </w:rPr>
              <w:t>、SS、NH</w:t>
            </w:r>
            <w:r>
              <w:rPr>
                <w:rFonts w:hint="eastAsia" w:ascii="Times New Roman" w:hAnsi="Times New Roman" w:cs="Times New Roman"/>
                <w:color w:val="auto"/>
                <w:szCs w:val="21"/>
                <w:vertAlign w:val="subscript"/>
                <w:lang w:val="en-US" w:eastAsia="zh-CN"/>
              </w:rPr>
              <w:t>3</w:t>
            </w:r>
            <w:r>
              <w:rPr>
                <w:rFonts w:hint="eastAsia" w:ascii="Times New Roman" w:hAnsi="Times New Roman" w:cs="Times New Roman"/>
                <w:color w:val="auto"/>
                <w:szCs w:val="21"/>
                <w:lang w:val="en-US" w:eastAsia="zh-CN"/>
              </w:rPr>
              <w:t>-N、TP、粪大肠菌群、蛔虫卵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w:t>
            </w:r>
          </w:p>
        </w:tc>
        <w:tc>
          <w:tcPr>
            <w:tcW w:w="2370"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猪舍冲洗废水</w:t>
            </w:r>
          </w:p>
        </w:tc>
        <w:tc>
          <w:tcPr>
            <w:tcW w:w="6211" w:type="dxa"/>
            <w:vMerge w:val="continue"/>
            <w:vAlign w:val="center"/>
          </w:tcPr>
          <w:p>
            <w:pPr>
              <w:pStyle w:val="98"/>
              <w:jc w:val="center"/>
              <w:rPr>
                <w:rFonts w:hint="eastAsia" w:ascii="Times New Roman" w:hAnsi="Times New Roman" w:cs="Times New Roman"/>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w:t>
            </w:r>
          </w:p>
        </w:tc>
        <w:tc>
          <w:tcPr>
            <w:tcW w:w="2370"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食堂废水</w:t>
            </w:r>
          </w:p>
        </w:tc>
        <w:tc>
          <w:tcPr>
            <w:tcW w:w="6211" w:type="dxa"/>
            <w:vMerge w:val="restart"/>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CODCr、BOD</w:t>
            </w:r>
            <w:r>
              <w:rPr>
                <w:rFonts w:hint="eastAsia" w:ascii="Times New Roman" w:hAnsi="Times New Roman" w:cs="Times New Roman"/>
                <w:color w:val="auto"/>
                <w:szCs w:val="21"/>
                <w:vertAlign w:val="subscript"/>
                <w:lang w:val="en-US" w:eastAsia="zh-CN"/>
              </w:rPr>
              <w:t>5</w:t>
            </w:r>
            <w:r>
              <w:rPr>
                <w:rFonts w:hint="eastAsia" w:ascii="Times New Roman" w:hAnsi="Times New Roman" w:cs="Times New Roman"/>
                <w:color w:val="auto"/>
                <w:szCs w:val="21"/>
                <w:lang w:val="en-US" w:eastAsia="zh-CN"/>
              </w:rPr>
              <w:t>、SS、NH</w:t>
            </w:r>
            <w:r>
              <w:rPr>
                <w:rFonts w:hint="eastAsia" w:ascii="Times New Roman" w:hAnsi="Times New Roman" w:cs="Times New Roman"/>
                <w:color w:val="auto"/>
                <w:szCs w:val="21"/>
                <w:vertAlign w:val="subscript"/>
                <w:lang w:val="en-US" w:eastAsia="zh-CN"/>
              </w:rPr>
              <w:t>3</w:t>
            </w:r>
            <w:r>
              <w:rPr>
                <w:rFonts w:hint="eastAsia" w:ascii="Times New Roman" w:hAnsi="Times New Roman" w:cs="Times New Roman"/>
                <w:color w:val="auto"/>
                <w:szCs w:val="21"/>
                <w:lang w:val="en-US" w:eastAsia="zh-CN"/>
              </w:rPr>
              <w:t>-N、TP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4</w:t>
            </w:r>
          </w:p>
        </w:tc>
        <w:tc>
          <w:tcPr>
            <w:tcW w:w="2370"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办公生活污水</w:t>
            </w:r>
          </w:p>
        </w:tc>
        <w:tc>
          <w:tcPr>
            <w:tcW w:w="6211" w:type="dxa"/>
            <w:vMerge w:val="continue"/>
            <w:vAlign w:val="center"/>
          </w:tcPr>
          <w:p>
            <w:pPr>
              <w:pStyle w:val="98"/>
              <w:jc w:val="center"/>
              <w:rPr>
                <w:rFonts w:hint="eastAsia" w:ascii="Times New Roman" w:hAnsi="Times New Roman" w:cs="Times New Roman"/>
                <w:color w:val="auto"/>
                <w:szCs w:val="21"/>
                <w:lang w:val="en-US" w:eastAsia="zh-CN"/>
              </w:rPr>
            </w:pPr>
          </w:p>
        </w:tc>
      </w:tr>
    </w:tbl>
    <w:p>
      <w:pPr>
        <w:pStyle w:val="7"/>
        <w:adjustRightInd w:val="0"/>
        <w:snapToGrid w:val="0"/>
        <w:spacing w:before="0" w:after="0" w:line="360" w:lineRule="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eastAsia="zh-CN"/>
        </w:rPr>
        <w:t>3.</w:t>
      </w:r>
      <w:r>
        <w:rPr>
          <w:rFonts w:hint="eastAsia" w:ascii="Times New Roman" w:hAnsi="Times New Roman" w:eastAsia="宋体"/>
          <w:color w:val="auto"/>
          <w:sz w:val="24"/>
          <w:szCs w:val="24"/>
          <w:lang w:val="en-US" w:eastAsia="zh-CN"/>
        </w:rPr>
        <w:t>5.2.1废水污染物产生情况</w:t>
      </w:r>
    </w:p>
    <w:p>
      <w:pPr>
        <w:adjustRightInd w:val="0"/>
        <w:snapToGrid w:val="0"/>
        <w:spacing w:line="360" w:lineRule="auto"/>
        <w:ind w:firstLine="480" w:firstLineChars="200"/>
        <w:rPr>
          <w:rFonts w:hint="eastAsia" w:ascii="Times New Roman" w:hAnsi="Times New Roman" w:eastAsia="宋体"/>
          <w:snapToGrid w:val="0"/>
          <w:color w:val="auto"/>
          <w:sz w:val="24"/>
          <w:lang w:eastAsia="zh-CN"/>
        </w:rPr>
      </w:pPr>
      <w:r>
        <w:rPr>
          <w:rFonts w:hint="eastAsia" w:ascii="Times New Roman" w:hAnsi="Times New Roman" w:eastAsia="宋体"/>
          <w:snapToGrid w:val="0"/>
          <w:color w:val="auto"/>
          <w:sz w:val="24"/>
          <w:lang w:val="en-US" w:eastAsia="zh-CN"/>
        </w:rPr>
        <w:t>1、</w:t>
      </w:r>
      <w:r>
        <w:rPr>
          <w:rFonts w:hint="eastAsia" w:ascii="Times New Roman" w:hAnsi="Times New Roman" w:eastAsia="宋体"/>
          <w:snapToGrid w:val="0"/>
          <w:color w:val="auto"/>
          <w:sz w:val="24"/>
          <w:lang w:eastAsia="zh-CN"/>
        </w:rPr>
        <w:t>猪尿、猪粪（W1）</w:t>
      </w:r>
    </w:p>
    <w:p>
      <w:pPr>
        <w:adjustRightInd w:val="0"/>
        <w:snapToGrid w:val="0"/>
        <w:spacing w:line="360" w:lineRule="auto"/>
        <w:ind w:firstLine="480" w:firstLineChars="200"/>
        <w:rPr>
          <w:rFonts w:hint="eastAsia" w:ascii="Times New Roman" w:hAnsi="Times New Roman" w:eastAsia="宋体"/>
          <w:snapToGrid w:val="0"/>
          <w:color w:val="auto"/>
          <w:sz w:val="24"/>
          <w:lang w:eastAsia="zh-CN"/>
        </w:rPr>
      </w:pPr>
      <w:r>
        <w:rPr>
          <w:rFonts w:hint="eastAsia" w:ascii="Times New Roman" w:hAnsi="Times New Roman" w:eastAsia="宋体"/>
          <w:snapToGrid w:val="0"/>
          <w:color w:val="auto"/>
          <w:sz w:val="24"/>
          <w:lang w:eastAsia="zh-CN"/>
        </w:rPr>
        <w:t>根据《畜禽养殖业污染治理工程技术规范》（HJ497-2009）和《四川省畜禽养殖污染防治技术指南（试行）》（川农业函[2017]647 号），猪的每日尿液排放量为 3.3kg，猪粪每日排放量为 2kg/d。由于养猪方式、季节、猪群构成的不同，各猪场粪尿产生量会有一定差异。</w:t>
      </w:r>
    </w:p>
    <w:p>
      <w:pPr>
        <w:adjustRightInd w:val="0"/>
        <w:snapToGrid w:val="0"/>
        <w:spacing w:line="360" w:lineRule="auto"/>
        <w:ind w:firstLine="480" w:firstLineChars="200"/>
        <w:rPr>
          <w:rFonts w:hint="eastAsia" w:ascii="Times New Roman" w:hAnsi="Times New Roman" w:eastAsia="宋体" w:cs="宋体"/>
          <w:bCs/>
          <w:color w:val="auto"/>
          <w:sz w:val="24"/>
          <w:szCs w:val="24"/>
        </w:rPr>
      </w:pPr>
      <w:r>
        <w:rPr>
          <w:rFonts w:hint="eastAsia" w:ascii="Times New Roman" w:hAnsi="Times New Roman" w:eastAsia="宋体" w:cs="宋体"/>
          <w:bCs/>
          <w:color w:val="auto"/>
          <w:sz w:val="24"/>
          <w:szCs w:val="24"/>
        </w:rPr>
        <w:t>本项目总</w:t>
      </w:r>
      <w:r>
        <w:rPr>
          <w:rFonts w:hint="eastAsia" w:ascii="Times New Roman" w:hAnsi="Times New Roman" w:eastAsia="宋体" w:cs="宋体"/>
          <w:bCs/>
          <w:color w:val="auto"/>
          <w:sz w:val="24"/>
          <w:szCs w:val="24"/>
          <w:lang w:eastAsia="zh-CN"/>
        </w:rPr>
        <w:t>存栏猪15000头</w:t>
      </w:r>
      <w:r>
        <w:rPr>
          <w:rFonts w:hint="eastAsia" w:ascii="Times New Roman" w:hAnsi="Times New Roman" w:eastAsia="宋体" w:cs="宋体"/>
          <w:bCs/>
          <w:color w:val="auto"/>
          <w:sz w:val="24"/>
          <w:szCs w:val="24"/>
        </w:rPr>
        <w:t>，其他季节猪尿的产生量为：</w:t>
      </w:r>
      <w:r>
        <w:rPr>
          <w:rFonts w:hint="eastAsia" w:ascii="Times New Roman" w:hAnsi="Times New Roman" w:eastAsia="宋体" w:cs="宋体"/>
          <w:bCs/>
          <w:color w:val="auto"/>
          <w:sz w:val="24"/>
          <w:szCs w:val="24"/>
          <w:lang w:val="en-US" w:eastAsia="zh-CN"/>
        </w:rPr>
        <w:t>15000</w:t>
      </w:r>
      <w:r>
        <w:rPr>
          <w:rFonts w:hint="eastAsia" w:ascii="Times New Roman" w:hAnsi="Times New Roman" w:eastAsia="宋体" w:cs="宋体"/>
          <w:bCs/>
          <w:color w:val="auto"/>
          <w:sz w:val="24"/>
          <w:szCs w:val="24"/>
        </w:rPr>
        <w:t>头×3.3kg/只</w:t>
      </w:r>
      <w:r>
        <w:rPr>
          <w:rFonts w:hint="eastAsia" w:ascii="Times New Roman" w:hAnsi="Times New Roman" w:eastAsia="宋体" w:cs="宋体"/>
          <w:bCs/>
          <w:color w:val="auto"/>
          <w:sz w:val="24"/>
          <w:szCs w:val="24"/>
          <w:lang w:val="en-US" w:eastAsia="zh-CN"/>
        </w:rPr>
        <w:t>/</w:t>
      </w:r>
      <w:r>
        <w:rPr>
          <w:rFonts w:hint="eastAsia" w:ascii="Times New Roman" w:hAnsi="Times New Roman" w:eastAsia="宋体" w:cs="宋体"/>
          <w:bCs/>
          <w:color w:val="auto"/>
          <w:sz w:val="24"/>
          <w:szCs w:val="24"/>
        </w:rPr>
        <w:t>d＝</w:t>
      </w:r>
      <w:r>
        <w:rPr>
          <w:rFonts w:hint="eastAsia" w:ascii="Times New Roman" w:hAnsi="Times New Roman" w:eastAsia="宋体" w:cs="宋体"/>
          <w:bCs/>
          <w:color w:val="auto"/>
          <w:sz w:val="24"/>
          <w:szCs w:val="24"/>
          <w:lang w:val="en-US" w:eastAsia="zh-CN"/>
        </w:rPr>
        <w:t>49.50</w:t>
      </w:r>
      <w:r>
        <w:rPr>
          <w:rFonts w:hint="eastAsia" w:ascii="Times New Roman" w:hAnsi="Times New Roman" w:eastAsia="宋体" w:cs="宋体"/>
          <w:bCs/>
          <w:color w:val="auto"/>
          <w:sz w:val="24"/>
          <w:szCs w:val="24"/>
        </w:rPr>
        <w:t>t/d，夏季猪尿的产生量为：</w:t>
      </w:r>
      <w:r>
        <w:rPr>
          <w:rFonts w:hint="eastAsia" w:ascii="Times New Roman" w:hAnsi="Times New Roman" w:eastAsia="宋体" w:cs="宋体"/>
          <w:bCs/>
          <w:color w:val="auto"/>
          <w:sz w:val="24"/>
          <w:szCs w:val="24"/>
          <w:lang w:val="en-US" w:eastAsia="zh-CN"/>
        </w:rPr>
        <w:t>15000</w:t>
      </w:r>
      <w:r>
        <w:rPr>
          <w:rFonts w:hint="eastAsia" w:ascii="Times New Roman" w:hAnsi="Times New Roman" w:eastAsia="宋体" w:cs="宋体"/>
          <w:bCs/>
          <w:color w:val="auto"/>
          <w:sz w:val="24"/>
          <w:szCs w:val="24"/>
        </w:rPr>
        <w:t>头×</w:t>
      </w:r>
      <w:r>
        <w:rPr>
          <w:rFonts w:hint="eastAsia" w:ascii="Times New Roman" w:hAnsi="Times New Roman" w:eastAsia="宋体" w:cs="宋体"/>
          <w:bCs/>
          <w:color w:val="auto"/>
          <w:sz w:val="24"/>
          <w:szCs w:val="24"/>
          <w:lang w:val="en-US" w:eastAsia="zh-CN"/>
        </w:rPr>
        <w:t>3.96</w:t>
      </w:r>
      <w:r>
        <w:rPr>
          <w:rFonts w:hint="eastAsia" w:ascii="Times New Roman" w:hAnsi="Times New Roman" w:eastAsia="宋体" w:cs="宋体"/>
          <w:bCs/>
          <w:color w:val="auto"/>
          <w:sz w:val="24"/>
          <w:szCs w:val="24"/>
        </w:rPr>
        <w:t>kg/只</w:t>
      </w:r>
      <w:r>
        <w:rPr>
          <w:rFonts w:hint="eastAsia" w:ascii="Times New Roman" w:hAnsi="Times New Roman" w:eastAsia="宋体" w:cs="宋体"/>
          <w:bCs/>
          <w:color w:val="auto"/>
          <w:sz w:val="24"/>
          <w:szCs w:val="24"/>
          <w:lang w:val="en-US" w:eastAsia="zh-CN"/>
        </w:rPr>
        <w:t>/</w:t>
      </w:r>
      <w:r>
        <w:rPr>
          <w:rFonts w:hint="eastAsia" w:ascii="Times New Roman" w:hAnsi="Times New Roman" w:eastAsia="宋体" w:cs="宋体"/>
          <w:bCs/>
          <w:color w:val="auto"/>
          <w:sz w:val="24"/>
          <w:szCs w:val="24"/>
        </w:rPr>
        <w:t>d＝</w:t>
      </w:r>
      <w:r>
        <w:rPr>
          <w:rFonts w:hint="eastAsia" w:ascii="Times New Roman" w:hAnsi="Times New Roman" w:eastAsia="宋体" w:cs="宋体"/>
          <w:bCs/>
          <w:color w:val="auto"/>
          <w:sz w:val="24"/>
          <w:szCs w:val="24"/>
          <w:lang w:val="en-US" w:eastAsia="zh-CN"/>
        </w:rPr>
        <w:t>59.40</w:t>
      </w:r>
      <w:r>
        <w:rPr>
          <w:rFonts w:hint="eastAsia" w:ascii="Times New Roman" w:hAnsi="Times New Roman" w:eastAsia="宋体" w:cs="宋体"/>
          <w:bCs/>
          <w:color w:val="auto"/>
          <w:sz w:val="24"/>
          <w:szCs w:val="24"/>
        </w:rPr>
        <w:t>t/d。</w:t>
      </w:r>
    </w:p>
    <w:p>
      <w:pPr>
        <w:adjustRightInd w:val="0"/>
        <w:snapToGrid w:val="0"/>
        <w:spacing w:line="360" w:lineRule="auto"/>
        <w:ind w:firstLine="480" w:firstLineChars="200"/>
        <w:rPr>
          <w:rFonts w:hint="eastAsia" w:ascii="Times New Roman" w:hAnsi="Times New Roman" w:eastAsia="宋体" w:cs="宋体"/>
          <w:bCs/>
          <w:color w:val="auto"/>
          <w:sz w:val="24"/>
          <w:szCs w:val="24"/>
        </w:rPr>
      </w:pPr>
      <w:r>
        <w:rPr>
          <w:rFonts w:hint="eastAsia" w:ascii="Times New Roman" w:hAnsi="Times New Roman" w:eastAsia="宋体" w:cs="宋体"/>
          <w:bCs/>
          <w:color w:val="auto"/>
          <w:sz w:val="24"/>
          <w:szCs w:val="24"/>
        </w:rPr>
        <w:t>本项目其它季节猪粪的产生量为：</w:t>
      </w:r>
      <w:r>
        <w:rPr>
          <w:rFonts w:hint="eastAsia" w:ascii="Times New Roman" w:hAnsi="Times New Roman" w:eastAsia="宋体" w:cs="宋体"/>
          <w:bCs/>
          <w:color w:val="auto"/>
          <w:sz w:val="24"/>
          <w:szCs w:val="24"/>
          <w:lang w:val="en-US" w:eastAsia="zh-CN"/>
        </w:rPr>
        <w:t>15000</w:t>
      </w:r>
      <w:r>
        <w:rPr>
          <w:rFonts w:hint="eastAsia" w:ascii="Times New Roman" w:hAnsi="Times New Roman" w:eastAsia="宋体" w:cs="宋体"/>
          <w:bCs/>
          <w:color w:val="auto"/>
          <w:sz w:val="24"/>
          <w:szCs w:val="24"/>
        </w:rPr>
        <w:t>头×2kg/只</w:t>
      </w:r>
      <w:r>
        <w:rPr>
          <w:rFonts w:hint="eastAsia" w:ascii="Times New Roman" w:hAnsi="Times New Roman" w:eastAsia="宋体" w:cs="宋体"/>
          <w:bCs/>
          <w:color w:val="auto"/>
          <w:sz w:val="24"/>
          <w:szCs w:val="24"/>
          <w:lang w:val="en-US" w:eastAsia="zh-CN"/>
        </w:rPr>
        <w:t>/</w:t>
      </w:r>
      <w:r>
        <w:rPr>
          <w:rFonts w:hint="eastAsia" w:ascii="Times New Roman" w:hAnsi="Times New Roman" w:eastAsia="宋体" w:cs="宋体"/>
          <w:bCs/>
          <w:color w:val="auto"/>
          <w:sz w:val="24"/>
          <w:szCs w:val="24"/>
        </w:rPr>
        <w:t>d＝</w:t>
      </w:r>
      <w:r>
        <w:rPr>
          <w:rFonts w:hint="eastAsia" w:ascii="Times New Roman" w:hAnsi="Times New Roman" w:eastAsia="宋体" w:cs="宋体"/>
          <w:bCs/>
          <w:color w:val="auto"/>
          <w:sz w:val="24"/>
          <w:szCs w:val="24"/>
          <w:lang w:val="en-US" w:eastAsia="zh-CN"/>
        </w:rPr>
        <w:t>30</w:t>
      </w:r>
      <w:r>
        <w:rPr>
          <w:rFonts w:hint="eastAsia" w:ascii="Times New Roman" w:hAnsi="Times New Roman" w:eastAsia="宋体" w:cs="宋体"/>
          <w:bCs/>
          <w:color w:val="auto"/>
          <w:sz w:val="24"/>
          <w:szCs w:val="24"/>
        </w:rPr>
        <w:t>t/d。采用干清粪工艺，按90%的清粪率计，进入污水系统的猪粪（含水）量为</w:t>
      </w:r>
      <w:r>
        <w:rPr>
          <w:rFonts w:hint="eastAsia" w:ascii="Times New Roman" w:hAnsi="Times New Roman" w:eastAsia="宋体" w:cs="宋体"/>
          <w:bCs/>
          <w:color w:val="auto"/>
          <w:sz w:val="24"/>
          <w:szCs w:val="24"/>
          <w:lang w:val="en-US" w:eastAsia="zh-CN"/>
        </w:rPr>
        <w:t>30</w:t>
      </w:r>
      <w:r>
        <w:rPr>
          <w:rFonts w:hint="eastAsia" w:ascii="Times New Roman" w:hAnsi="Times New Roman" w:eastAsia="宋体" w:cs="宋体"/>
          <w:bCs/>
          <w:color w:val="auto"/>
          <w:sz w:val="24"/>
          <w:szCs w:val="24"/>
        </w:rPr>
        <w:t>t/d×（1-90％）＝</w:t>
      </w:r>
      <w:r>
        <w:rPr>
          <w:rFonts w:hint="eastAsia" w:ascii="Times New Roman" w:hAnsi="Times New Roman" w:eastAsia="宋体" w:cs="宋体"/>
          <w:bCs/>
          <w:color w:val="auto"/>
          <w:sz w:val="24"/>
          <w:szCs w:val="24"/>
          <w:lang w:val="en-US" w:eastAsia="zh-CN"/>
        </w:rPr>
        <w:t>3</w:t>
      </w:r>
      <w:r>
        <w:rPr>
          <w:rFonts w:hint="eastAsia" w:ascii="Times New Roman" w:hAnsi="Times New Roman" w:eastAsia="宋体" w:cs="宋体"/>
          <w:bCs/>
          <w:color w:val="auto"/>
          <w:sz w:val="24"/>
          <w:szCs w:val="24"/>
        </w:rPr>
        <w:t>t/d，夏季按参照值增加20%计，则夏季猪粪（含水）的产生量为</w:t>
      </w:r>
      <w:r>
        <w:rPr>
          <w:rFonts w:hint="eastAsia" w:ascii="Times New Roman" w:hAnsi="Times New Roman" w:eastAsia="宋体" w:cs="宋体"/>
          <w:bCs/>
          <w:color w:val="auto"/>
          <w:sz w:val="24"/>
          <w:szCs w:val="24"/>
          <w:lang w:val="en-US" w:eastAsia="zh-CN"/>
        </w:rPr>
        <w:t>3.60</w:t>
      </w:r>
      <w:r>
        <w:rPr>
          <w:rFonts w:hint="eastAsia" w:ascii="Times New Roman" w:hAnsi="Times New Roman" w:eastAsia="宋体" w:cs="宋体"/>
          <w:bCs/>
          <w:color w:val="auto"/>
          <w:sz w:val="24"/>
          <w:szCs w:val="24"/>
        </w:rPr>
        <w:t>t/d。</w:t>
      </w:r>
    </w:p>
    <w:p>
      <w:pPr>
        <w:adjustRightInd w:val="0"/>
        <w:snapToGrid w:val="0"/>
        <w:spacing w:line="360" w:lineRule="auto"/>
        <w:ind w:firstLine="480" w:firstLineChars="200"/>
        <w:rPr>
          <w:rFonts w:hint="eastAsia" w:ascii="Times New Roman" w:hAnsi="Times New Roman" w:eastAsia="宋体"/>
          <w:snapToGrid w:val="0"/>
          <w:color w:val="auto"/>
          <w:sz w:val="24"/>
          <w:lang w:eastAsia="zh-CN"/>
        </w:rPr>
      </w:pPr>
      <w:r>
        <w:rPr>
          <w:rFonts w:hint="eastAsia" w:ascii="Times New Roman" w:hAnsi="Times New Roman" w:eastAsia="宋体"/>
          <w:snapToGrid w:val="0"/>
          <w:color w:val="auto"/>
          <w:sz w:val="24"/>
          <w:lang w:val="en-US" w:eastAsia="zh-CN"/>
        </w:rPr>
        <w:t>2、</w:t>
      </w:r>
      <w:r>
        <w:rPr>
          <w:rFonts w:hint="eastAsia" w:ascii="Times New Roman" w:hAnsi="Times New Roman" w:eastAsia="宋体"/>
          <w:snapToGrid w:val="0"/>
          <w:color w:val="auto"/>
          <w:sz w:val="24"/>
          <w:lang w:eastAsia="zh-CN"/>
        </w:rPr>
        <w:t>猪舍冲洗废水（W2）</w:t>
      </w:r>
    </w:p>
    <w:p>
      <w:pPr>
        <w:adjustRightInd w:val="0"/>
        <w:snapToGrid w:val="0"/>
        <w:spacing w:line="360" w:lineRule="auto"/>
        <w:ind w:firstLine="480" w:firstLineChars="200"/>
        <w:rPr>
          <w:rFonts w:hint="eastAsia" w:ascii="Times New Roman" w:hAnsi="Times New Roman" w:eastAsia="宋体"/>
          <w:snapToGrid w:val="0"/>
          <w:color w:val="0000FF"/>
          <w:sz w:val="24"/>
        </w:rPr>
      </w:pPr>
      <w:r>
        <w:rPr>
          <w:rFonts w:hint="eastAsia" w:ascii="Times New Roman" w:hAnsi="Times New Roman" w:eastAsia="宋体"/>
          <w:snapToGrid w:val="0"/>
          <w:color w:val="auto"/>
          <w:sz w:val="24"/>
        </w:rPr>
        <w:t>为避免猪传染病的发生及传染，圈舍及各类用具需定期冲洗和消毒。由于本项目拟采用的改良型全漏缝板清粪工艺，实现了猪舍粪尿及时清运，可避免每日冲洗猪舍，节约用水，并保持猪舍清洁和干燥。为满足猪舍清洁和消毒要求，防止疫病发生，营运期圈舍每次换栏时进行彻底冲洗、消毒后进入下一个生产周期，项目猪舍平均每年冲洗</w:t>
      </w:r>
      <w:r>
        <w:rPr>
          <w:rFonts w:hint="eastAsia" w:ascii="Times New Roman" w:hAnsi="Times New Roman" w:eastAsia="宋体"/>
          <w:snapToGrid w:val="0"/>
          <w:color w:val="auto"/>
          <w:sz w:val="24"/>
          <w:lang w:val="en-US" w:eastAsia="zh-CN"/>
        </w:rPr>
        <w:t>2</w:t>
      </w:r>
      <w:r>
        <w:rPr>
          <w:rFonts w:hint="eastAsia" w:ascii="Times New Roman" w:hAnsi="Times New Roman" w:eastAsia="宋体"/>
          <w:snapToGrid w:val="0"/>
          <w:color w:val="auto"/>
          <w:sz w:val="24"/>
        </w:rPr>
        <w:t>次，猪舍面积</w:t>
      </w:r>
      <w:r>
        <w:rPr>
          <w:rFonts w:hint="eastAsia" w:ascii="Times New Roman" w:hAnsi="Times New Roman" w:eastAsia="宋体"/>
          <w:snapToGrid w:val="0"/>
          <w:color w:val="auto"/>
          <w:sz w:val="24"/>
          <w:lang w:val="en-US" w:eastAsia="zh-CN"/>
        </w:rPr>
        <w:t>12480</w:t>
      </w:r>
      <w:r>
        <w:rPr>
          <w:rFonts w:hint="eastAsia" w:ascii="Times New Roman" w:hAnsi="Times New Roman" w:eastAsia="宋体"/>
          <w:snapToGrid w:val="0"/>
          <w:color w:val="auto"/>
          <w:sz w:val="24"/>
        </w:rPr>
        <w:t>m</w:t>
      </w:r>
      <w:r>
        <w:rPr>
          <w:rFonts w:hint="eastAsia" w:ascii="Times New Roman" w:hAnsi="Times New Roman" w:eastAsia="宋体"/>
          <w:snapToGrid w:val="0"/>
          <w:color w:val="auto"/>
          <w:sz w:val="24"/>
          <w:vertAlign w:val="superscript"/>
        </w:rPr>
        <w:t>2</w:t>
      </w:r>
      <w:r>
        <w:rPr>
          <w:rFonts w:hint="eastAsia" w:ascii="Times New Roman" w:hAnsi="Times New Roman" w:eastAsia="宋体"/>
          <w:snapToGrid w:val="0"/>
          <w:color w:val="auto"/>
          <w:sz w:val="24"/>
        </w:rPr>
        <w:t>。参考《全国规模化畜禽养殖业污染情况调查及防治对策》（国家环保总局自然生态保护司）和建设单位运营经验，营运期猪舍冲洗用水量按6L/m</w:t>
      </w:r>
      <w:r>
        <w:rPr>
          <w:rFonts w:hint="eastAsia" w:ascii="Times New Roman" w:hAnsi="Times New Roman" w:eastAsia="宋体"/>
          <w:snapToGrid w:val="0"/>
          <w:color w:val="auto"/>
          <w:sz w:val="24"/>
          <w:vertAlign w:val="superscript"/>
        </w:rPr>
        <w:t>2</w:t>
      </w:r>
      <w:r>
        <w:rPr>
          <w:rFonts w:hint="eastAsia" w:ascii="Times New Roman" w:hAnsi="Times New Roman" w:eastAsia="宋体"/>
          <w:snapToGrid w:val="0"/>
          <w:color w:val="auto"/>
          <w:sz w:val="24"/>
        </w:rPr>
        <w:t>·次计，则营运期全年冲洗用水量约</w:t>
      </w:r>
      <w:r>
        <w:rPr>
          <w:rFonts w:hint="eastAsia" w:ascii="Times New Roman" w:hAnsi="Times New Roman" w:eastAsia="宋体"/>
          <w:snapToGrid w:val="0"/>
          <w:color w:val="auto"/>
          <w:sz w:val="24"/>
          <w:lang w:val="en-US" w:eastAsia="zh-CN"/>
        </w:rPr>
        <w:t>149.76</w:t>
      </w:r>
      <w:r>
        <w:rPr>
          <w:rFonts w:hint="eastAsia" w:ascii="Times New Roman" w:hAnsi="Times New Roman" w:eastAsia="宋体"/>
          <w:snapToGrid w:val="0"/>
          <w:color w:val="auto"/>
          <w:sz w:val="24"/>
        </w:rPr>
        <w:t>m</w:t>
      </w:r>
      <w:r>
        <w:rPr>
          <w:rFonts w:hint="eastAsia" w:ascii="Times New Roman" w:hAnsi="Times New Roman" w:eastAsia="宋体"/>
          <w:snapToGrid w:val="0"/>
          <w:color w:val="auto"/>
          <w:sz w:val="24"/>
          <w:vertAlign w:val="superscript"/>
        </w:rPr>
        <w:t>3</w:t>
      </w:r>
      <w:r>
        <w:rPr>
          <w:rFonts w:hint="eastAsia" w:ascii="Times New Roman" w:hAnsi="Times New Roman" w:eastAsia="宋体"/>
          <w:snapToGrid w:val="0"/>
          <w:color w:val="auto"/>
          <w:sz w:val="24"/>
        </w:rPr>
        <w:t>/a（日最大用水量：</w:t>
      </w:r>
      <w:r>
        <w:rPr>
          <w:rFonts w:hint="eastAsia" w:ascii="Times New Roman" w:hAnsi="Times New Roman" w:eastAsia="宋体"/>
          <w:snapToGrid w:val="0"/>
          <w:color w:val="auto"/>
          <w:sz w:val="24"/>
          <w:lang w:val="en-US" w:eastAsia="zh-CN"/>
        </w:rPr>
        <w:t>74.88</w:t>
      </w:r>
      <w:r>
        <w:rPr>
          <w:rFonts w:hint="eastAsia" w:ascii="Times New Roman" w:hAnsi="Times New Roman" w:eastAsia="宋体"/>
          <w:snapToGrid w:val="0"/>
          <w:color w:val="auto"/>
          <w:sz w:val="24"/>
        </w:rPr>
        <w:t>m</w:t>
      </w:r>
      <w:r>
        <w:rPr>
          <w:rFonts w:hint="eastAsia" w:ascii="Times New Roman" w:hAnsi="Times New Roman" w:eastAsia="宋体"/>
          <w:snapToGrid w:val="0"/>
          <w:color w:val="auto"/>
          <w:sz w:val="24"/>
          <w:vertAlign w:val="superscript"/>
        </w:rPr>
        <w:t>3</w:t>
      </w:r>
      <w:r>
        <w:rPr>
          <w:rFonts w:hint="eastAsia" w:ascii="Times New Roman" w:hAnsi="Times New Roman" w:eastAsia="宋体"/>
          <w:snapToGrid w:val="0"/>
          <w:color w:val="auto"/>
          <w:sz w:val="24"/>
        </w:rPr>
        <w:t>），平均每天用水量约</w:t>
      </w:r>
      <w:r>
        <w:rPr>
          <w:rFonts w:hint="eastAsia" w:ascii="Times New Roman" w:hAnsi="Times New Roman" w:eastAsia="宋体"/>
          <w:snapToGrid w:val="0"/>
          <w:color w:val="auto"/>
          <w:sz w:val="24"/>
          <w:lang w:val="en-US" w:eastAsia="zh-CN"/>
        </w:rPr>
        <w:t>0.41</w:t>
      </w:r>
      <w:r>
        <w:rPr>
          <w:rFonts w:hint="eastAsia" w:ascii="Times New Roman" w:hAnsi="Times New Roman" w:eastAsia="宋体"/>
          <w:snapToGrid w:val="0"/>
          <w:color w:val="auto"/>
          <w:sz w:val="24"/>
        </w:rPr>
        <w:t>m</w:t>
      </w:r>
      <w:r>
        <w:rPr>
          <w:rFonts w:hint="eastAsia" w:ascii="Times New Roman" w:hAnsi="Times New Roman" w:eastAsia="宋体"/>
          <w:snapToGrid w:val="0"/>
          <w:color w:val="auto"/>
          <w:sz w:val="24"/>
          <w:vertAlign w:val="superscript"/>
        </w:rPr>
        <w:t>3</w:t>
      </w:r>
      <w:r>
        <w:rPr>
          <w:rFonts w:hint="eastAsia" w:ascii="Times New Roman" w:hAnsi="Times New Roman" w:eastAsia="宋体"/>
          <w:snapToGrid w:val="0"/>
          <w:color w:val="auto"/>
          <w:sz w:val="24"/>
        </w:rPr>
        <w:t>/d。猪舍冲洗水产生量按用水量的8</w:t>
      </w:r>
      <w:r>
        <w:rPr>
          <w:rFonts w:hint="eastAsia" w:ascii="Times New Roman" w:hAnsi="Times New Roman" w:eastAsia="宋体"/>
          <w:snapToGrid w:val="0"/>
          <w:color w:val="auto"/>
          <w:sz w:val="24"/>
          <w:lang w:val="en-US" w:eastAsia="zh-CN"/>
        </w:rPr>
        <w:t>0</w:t>
      </w:r>
      <w:r>
        <w:rPr>
          <w:rFonts w:hint="eastAsia" w:ascii="Times New Roman" w:hAnsi="Times New Roman" w:eastAsia="宋体"/>
          <w:snapToGrid w:val="0"/>
          <w:color w:val="auto"/>
          <w:sz w:val="24"/>
        </w:rPr>
        <w:t>%计，则冲洗水的产生量共为</w:t>
      </w:r>
      <w:r>
        <w:rPr>
          <w:rFonts w:hint="eastAsia" w:ascii="Times New Roman" w:hAnsi="Times New Roman" w:eastAsia="宋体"/>
          <w:snapToGrid w:val="0"/>
          <w:color w:val="auto"/>
          <w:sz w:val="24"/>
          <w:lang w:val="en-US" w:eastAsia="zh-CN"/>
        </w:rPr>
        <w:t>119.81</w:t>
      </w:r>
      <w:r>
        <w:rPr>
          <w:rFonts w:hint="eastAsia" w:ascii="Times New Roman" w:hAnsi="Times New Roman" w:eastAsia="宋体"/>
          <w:snapToGrid w:val="0"/>
          <w:color w:val="auto"/>
          <w:sz w:val="24"/>
        </w:rPr>
        <w:t>m</w:t>
      </w:r>
      <w:r>
        <w:rPr>
          <w:rFonts w:hint="eastAsia" w:ascii="Times New Roman" w:hAnsi="Times New Roman" w:eastAsia="宋体"/>
          <w:snapToGrid w:val="0"/>
          <w:color w:val="auto"/>
          <w:sz w:val="24"/>
          <w:vertAlign w:val="superscript"/>
        </w:rPr>
        <w:t>3</w:t>
      </w:r>
      <w:r>
        <w:rPr>
          <w:rFonts w:hint="eastAsia" w:ascii="Times New Roman" w:hAnsi="Times New Roman" w:eastAsia="宋体"/>
          <w:snapToGrid w:val="0"/>
          <w:color w:val="auto"/>
          <w:sz w:val="24"/>
        </w:rPr>
        <w:t>/a，</w:t>
      </w:r>
      <w:r>
        <w:rPr>
          <w:rFonts w:hint="eastAsia" w:ascii="Times New Roman" w:hAnsi="Times New Roman" w:eastAsia="宋体"/>
          <w:snapToGrid w:val="0"/>
          <w:color w:val="auto"/>
          <w:sz w:val="24"/>
          <w:lang w:val="en-US" w:eastAsia="zh-CN"/>
        </w:rPr>
        <w:t>0.33</w:t>
      </w:r>
      <w:r>
        <w:rPr>
          <w:rFonts w:hint="eastAsia" w:ascii="Times New Roman" w:hAnsi="Times New Roman" w:eastAsia="宋体"/>
          <w:snapToGrid w:val="0"/>
          <w:color w:val="auto"/>
          <w:sz w:val="24"/>
        </w:rPr>
        <w:t>m</w:t>
      </w:r>
      <w:r>
        <w:rPr>
          <w:rFonts w:hint="eastAsia" w:ascii="Times New Roman" w:hAnsi="Times New Roman" w:eastAsia="宋体"/>
          <w:snapToGrid w:val="0"/>
          <w:color w:val="auto"/>
          <w:sz w:val="24"/>
          <w:vertAlign w:val="superscript"/>
        </w:rPr>
        <w:t>3</w:t>
      </w:r>
      <w:r>
        <w:rPr>
          <w:rFonts w:hint="eastAsia" w:ascii="Times New Roman" w:hAnsi="Times New Roman" w:eastAsia="宋体"/>
          <w:snapToGrid w:val="0"/>
          <w:color w:val="auto"/>
          <w:sz w:val="24"/>
        </w:rPr>
        <w:t>/d</w:t>
      </w:r>
      <w:r>
        <w:rPr>
          <w:rFonts w:hint="eastAsia" w:ascii="Times New Roman" w:hAnsi="Times New Roman" w:eastAsia="宋体"/>
          <w:snapToGrid w:val="0"/>
          <w:color w:val="0000FF"/>
          <w:sz w:val="24"/>
        </w:rPr>
        <w:t>。</w:t>
      </w:r>
    </w:p>
    <w:p>
      <w:pPr>
        <w:adjustRightInd w:val="0"/>
        <w:snapToGrid w:val="0"/>
        <w:spacing w:line="360" w:lineRule="auto"/>
        <w:ind w:firstLine="480" w:firstLineChars="200"/>
        <w:rPr>
          <w:rFonts w:hint="eastAsia" w:ascii="Times New Roman" w:hAnsi="Times New Roman" w:eastAsia="宋体" w:cs="Times New Roman"/>
          <w:snapToGrid w:val="0"/>
          <w:color w:val="auto"/>
          <w:sz w:val="24"/>
          <w:lang w:val="en-US" w:eastAsia="zh-CN"/>
        </w:rPr>
      </w:pPr>
      <w:r>
        <w:rPr>
          <w:rFonts w:hint="eastAsia" w:ascii="Times New Roman" w:hAnsi="Times New Roman" w:eastAsia="宋体"/>
          <w:snapToGrid w:val="0"/>
          <w:color w:val="auto"/>
          <w:sz w:val="24"/>
          <w:lang w:eastAsia="zh-CN"/>
        </w:rPr>
        <w:t>本项目畜禽粪污清粪方式采用干清粪方式，养殖废水主要污染物为猪尿和猪舍冲洗水。</w:t>
      </w:r>
      <w:r>
        <w:rPr>
          <w:rFonts w:hint="default" w:ascii="Times New Roman" w:hAnsi="Times New Roman" w:eastAsia="宋体" w:cs="Times New Roman"/>
          <w:snapToGrid w:val="0"/>
          <w:color w:val="auto"/>
          <w:sz w:val="24"/>
          <w:lang w:val="en-US" w:eastAsia="zh-CN"/>
        </w:rPr>
        <w:t>根据</w:t>
      </w:r>
      <w:r>
        <w:rPr>
          <w:rFonts w:hint="eastAsia" w:ascii="Times New Roman" w:hAnsi="Times New Roman" w:eastAsia="宋体"/>
          <w:snapToGrid w:val="0"/>
          <w:color w:val="auto"/>
          <w:sz w:val="24"/>
          <w:lang w:eastAsia="zh-CN"/>
        </w:rPr>
        <w:t>《</w:t>
      </w:r>
      <w:r>
        <w:rPr>
          <w:rFonts w:hint="eastAsia" w:ascii="Times New Roman" w:hAnsi="Times New Roman" w:eastAsia="宋体"/>
          <w:snapToGrid w:val="0"/>
          <w:color w:val="auto"/>
          <w:sz w:val="24"/>
          <w:lang w:val="en-US" w:eastAsia="zh-CN"/>
        </w:rPr>
        <w:t>郑州全生农牧科技有限公司年出栏5万头生猪养殖基地建设项目</w:t>
      </w:r>
      <w:r>
        <w:rPr>
          <w:rFonts w:hint="default" w:ascii="Times New Roman" w:hAnsi="Times New Roman" w:eastAsia="宋体" w:cs="Times New Roman"/>
          <w:snapToGrid w:val="0"/>
          <w:color w:val="auto"/>
          <w:sz w:val="24"/>
          <w:lang w:val="en-US" w:eastAsia="zh-CN"/>
        </w:rPr>
        <w:t>竣工环境保护验收</w:t>
      </w:r>
      <w:r>
        <w:rPr>
          <w:rFonts w:hint="eastAsia" w:ascii="Times New Roman" w:hAnsi="Times New Roman" w:eastAsia="宋体" w:cs="Times New Roman"/>
          <w:snapToGrid w:val="0"/>
          <w:color w:val="auto"/>
          <w:sz w:val="24"/>
          <w:lang w:val="en-US" w:eastAsia="zh-CN"/>
        </w:rPr>
        <w:t>调查报告</w:t>
      </w:r>
      <w:r>
        <w:rPr>
          <w:rFonts w:hint="eastAsia" w:ascii="Times New Roman" w:hAnsi="Times New Roman" w:eastAsia="宋体"/>
          <w:snapToGrid w:val="0"/>
          <w:color w:val="auto"/>
          <w:sz w:val="24"/>
          <w:lang w:eastAsia="zh-CN"/>
        </w:rPr>
        <w:t>》</w:t>
      </w:r>
      <w:r>
        <w:rPr>
          <w:rFonts w:hint="default" w:ascii="Times New Roman" w:hAnsi="Times New Roman" w:eastAsia="宋体" w:cs="Times New Roman"/>
          <w:snapToGrid w:val="0"/>
          <w:color w:val="auto"/>
          <w:sz w:val="24"/>
          <w:lang w:val="en-US" w:eastAsia="zh-CN"/>
        </w:rPr>
        <w:t>中养殖场进口废水水质监测结果，并调研</w:t>
      </w:r>
      <w:r>
        <w:rPr>
          <w:rFonts w:hint="eastAsia" w:ascii="Times New Roman" w:hAnsi="Times New Roman" w:eastAsia="宋体" w:cs="Times New Roman"/>
          <w:snapToGrid w:val="0"/>
          <w:color w:val="auto"/>
          <w:sz w:val="24"/>
          <w:lang w:val="en-US" w:eastAsia="zh-CN"/>
        </w:rPr>
        <w:t>同类型</w:t>
      </w:r>
      <w:r>
        <w:rPr>
          <w:rFonts w:hint="default" w:ascii="Times New Roman" w:hAnsi="Times New Roman" w:eastAsia="宋体" w:cs="Times New Roman"/>
          <w:snapToGrid w:val="0"/>
          <w:color w:val="auto"/>
          <w:sz w:val="24"/>
          <w:lang w:val="en-US" w:eastAsia="zh-CN"/>
        </w:rPr>
        <w:t>养猪场项目，同时参考《畜禽养殖业污染治理工程技术规范》（HJ497-2009）表 A.1 中提供的参考数据</w:t>
      </w:r>
      <w:r>
        <w:rPr>
          <w:rFonts w:hint="eastAsia" w:ascii="Times New Roman" w:hAnsi="Times New Roman" w:eastAsia="宋体"/>
          <w:snapToGrid w:val="0"/>
          <w:color w:val="auto"/>
          <w:sz w:val="24"/>
          <w:lang w:eastAsia="zh-CN"/>
        </w:rPr>
        <w:t>，</w:t>
      </w:r>
      <w:r>
        <w:rPr>
          <w:rFonts w:hint="default" w:ascii="Times New Roman" w:hAnsi="Times New Roman" w:eastAsia="宋体" w:cs="Times New Roman"/>
          <w:snapToGrid w:val="0"/>
          <w:color w:val="auto"/>
          <w:sz w:val="24"/>
          <w:lang w:val="en-US" w:eastAsia="zh-CN"/>
        </w:rPr>
        <w:t>确定本项目废水水质及污染物产生量</w:t>
      </w:r>
      <w:r>
        <w:rPr>
          <w:rFonts w:hint="eastAsia" w:ascii="Times New Roman" w:hAnsi="Times New Roman" w:eastAsia="宋体" w:cs="Times New Roman"/>
          <w:snapToGrid w:val="0"/>
          <w:color w:val="auto"/>
          <w:sz w:val="24"/>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rPr>
      </w:pPr>
      <w:r>
        <w:rPr>
          <w:rFonts w:hint="default" w:ascii="Times New Roman" w:hAnsi="Times New Roman" w:cs="Times New Roman"/>
          <w:color w:val="auto"/>
        </w:rPr>
        <w:drawing>
          <wp:inline distT="0" distB="0" distL="114300" distR="114300">
            <wp:extent cx="5724525" cy="2792730"/>
            <wp:effectExtent l="0" t="0" r="9525" b="7620"/>
            <wp:docPr id="9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16"/>
                    <pic:cNvPicPr>
                      <a:picLocks noChangeAspect="1"/>
                    </pic:cNvPicPr>
                  </pic:nvPicPr>
                  <pic:blipFill>
                    <a:blip r:embed="rId33"/>
                    <a:stretch>
                      <a:fillRect/>
                    </a:stretch>
                  </pic:blipFill>
                  <pic:spPr>
                    <a:xfrm>
                      <a:off x="0" y="0"/>
                      <a:ext cx="5724525" cy="279273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hint="eastAsia" w:ascii="Times New Roman" w:hAnsi="Times New Roman" w:eastAsia="宋体"/>
          <w:b/>
          <w:color w:val="auto"/>
          <w:szCs w:val="21"/>
          <w:lang w:eastAsia="zh-CN"/>
        </w:rPr>
      </w:pPr>
      <w:r>
        <w:rPr>
          <w:rFonts w:hint="eastAsia" w:ascii="Times New Roman" w:hAnsi="Times New Roman" w:eastAsia="宋体"/>
          <w:b/>
          <w:color w:val="auto"/>
          <w:szCs w:val="21"/>
          <w:lang w:val="en-US" w:eastAsia="zh-CN"/>
        </w:rPr>
        <w:t>图3.5</w:t>
      </w:r>
      <w:r>
        <w:rPr>
          <w:rFonts w:hint="eastAsia" w:ascii="Times New Roman" w:hAnsi="Times New Roman" w:eastAsia="宋体"/>
          <w:b/>
          <w:color w:val="auto"/>
          <w:szCs w:val="21"/>
        </w:rPr>
        <w:t>-</w:t>
      </w:r>
      <w:r>
        <w:rPr>
          <w:rFonts w:hint="eastAsia" w:ascii="Times New Roman" w:hAnsi="Times New Roman" w:eastAsia="宋体"/>
          <w:b/>
          <w:color w:val="auto"/>
          <w:szCs w:val="21"/>
          <w:lang w:val="en-US" w:eastAsia="zh-CN"/>
        </w:rPr>
        <w:t xml:space="preserve">2 </w:t>
      </w:r>
      <w:r>
        <w:rPr>
          <w:rFonts w:ascii="Times New Roman" w:hAnsi="Times New Roman" w:eastAsia="宋体"/>
          <w:b/>
          <w:color w:val="auto"/>
          <w:szCs w:val="21"/>
        </w:rPr>
        <w:t xml:space="preserve"> </w:t>
      </w:r>
      <w:r>
        <w:rPr>
          <w:rFonts w:hint="default" w:ascii="Times New Roman" w:hAnsi="Times New Roman" w:eastAsia="宋体"/>
          <w:b/>
          <w:color w:val="auto"/>
          <w:szCs w:val="21"/>
          <w:lang w:val="en-US" w:eastAsia="zh-CN"/>
        </w:rPr>
        <w:t>《畜禽养殖业污染治理工程技术规范》（HJ497-2009）表 A.1</w:t>
      </w:r>
    </w:p>
    <w:p>
      <w:pPr>
        <w:adjustRightInd w:val="0"/>
        <w:snapToGrid w:val="0"/>
        <w:spacing w:line="360" w:lineRule="auto"/>
        <w:ind w:firstLine="480" w:firstLineChars="200"/>
        <w:rPr>
          <w:rFonts w:hint="eastAsia" w:ascii="Times New Roman" w:hAnsi="Times New Roman" w:eastAsia="宋体" w:cs="Times New Roman"/>
          <w:bCs/>
          <w:color w:val="auto"/>
          <w:kern w:val="44"/>
          <w:sz w:val="24"/>
          <w:szCs w:val="24"/>
          <w:lang w:eastAsia="zh-CN"/>
        </w:rPr>
      </w:pPr>
    </w:p>
    <w:p>
      <w:pPr>
        <w:adjustRightInd w:val="0"/>
        <w:snapToGrid w:val="0"/>
        <w:spacing w:line="360" w:lineRule="auto"/>
        <w:ind w:firstLine="480" w:firstLineChars="200"/>
        <w:rPr>
          <w:rFonts w:hint="eastAsia" w:ascii="Times New Roman" w:hAnsi="Times New Roman" w:eastAsia="宋体" w:cs="Times New Roman"/>
          <w:bCs/>
          <w:color w:val="auto"/>
          <w:kern w:val="44"/>
          <w:sz w:val="24"/>
          <w:szCs w:val="24"/>
          <w:lang w:eastAsia="zh-CN"/>
        </w:rPr>
      </w:pPr>
    </w:p>
    <w:p>
      <w:pPr>
        <w:adjustRightInd w:val="0"/>
        <w:snapToGrid w:val="0"/>
        <w:spacing w:line="360" w:lineRule="auto"/>
        <w:ind w:firstLine="480" w:firstLineChars="200"/>
        <w:rPr>
          <w:rFonts w:hint="eastAsia" w:ascii="Times New Roman" w:hAnsi="Times New Roman" w:eastAsia="宋体" w:cs="Times New Roman"/>
          <w:bCs/>
          <w:color w:val="auto"/>
          <w:kern w:val="44"/>
          <w:sz w:val="24"/>
          <w:szCs w:val="24"/>
          <w:lang w:eastAsia="zh-CN"/>
        </w:rPr>
      </w:pPr>
    </w:p>
    <w:p>
      <w:pPr>
        <w:adjustRightInd w:val="0"/>
        <w:snapToGrid w:val="0"/>
        <w:spacing w:line="360" w:lineRule="auto"/>
        <w:ind w:firstLine="480" w:firstLineChars="200"/>
        <w:rPr>
          <w:rFonts w:hint="eastAsia" w:ascii="Times New Roman" w:hAnsi="Times New Roman" w:eastAsia="宋体" w:cs="Times New Roman"/>
          <w:bCs/>
          <w:color w:val="auto"/>
          <w:kern w:val="44"/>
          <w:sz w:val="24"/>
          <w:szCs w:val="24"/>
          <w:lang w:eastAsia="zh-CN"/>
        </w:rPr>
      </w:pPr>
    </w:p>
    <w:p>
      <w:pPr>
        <w:adjustRightInd w:val="0"/>
        <w:snapToGrid w:val="0"/>
        <w:spacing w:line="360" w:lineRule="auto"/>
        <w:ind w:firstLine="480" w:firstLineChars="200"/>
        <w:rPr>
          <w:rFonts w:hint="eastAsia" w:ascii="Times New Roman" w:hAnsi="Times New Roman" w:eastAsia="宋体" w:cs="Times New Roman"/>
          <w:bCs/>
          <w:color w:val="auto"/>
          <w:kern w:val="44"/>
          <w:sz w:val="24"/>
          <w:szCs w:val="24"/>
          <w:lang w:eastAsia="zh-CN"/>
        </w:rPr>
      </w:pPr>
    </w:p>
    <w:p>
      <w:pPr>
        <w:adjustRightInd w:val="0"/>
        <w:snapToGrid w:val="0"/>
        <w:spacing w:line="360" w:lineRule="auto"/>
        <w:rPr>
          <w:rFonts w:hint="default" w:ascii="Times New Roman" w:hAnsi="Times New Roman" w:eastAsia="宋体" w:cs="Times New Roman"/>
        </w:rPr>
      </w:pPr>
    </w:p>
    <w:p>
      <w:pPr>
        <w:adjustRightInd w:val="0"/>
        <w:snapToGrid w:val="0"/>
        <w:spacing w:line="360" w:lineRule="auto"/>
      </w:pPr>
      <w:r>
        <w:drawing>
          <wp:inline distT="0" distB="0" distL="114300" distR="114300">
            <wp:extent cx="5712460" cy="3451225"/>
            <wp:effectExtent l="0" t="0" r="2540" b="15875"/>
            <wp:docPr id="43"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8"/>
                    <pic:cNvPicPr>
                      <a:picLocks noChangeAspect="1"/>
                    </pic:cNvPicPr>
                  </pic:nvPicPr>
                  <pic:blipFill>
                    <a:blip r:embed="rId34"/>
                    <a:stretch>
                      <a:fillRect/>
                    </a:stretch>
                  </pic:blipFill>
                  <pic:spPr>
                    <a:xfrm>
                      <a:off x="0" y="0"/>
                      <a:ext cx="5712460" cy="345122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hint="eastAsia" w:ascii="Times New Roman" w:hAnsi="Times New Roman" w:eastAsia="宋体"/>
          <w:b/>
          <w:color w:val="auto"/>
          <w:szCs w:val="21"/>
          <w:lang w:eastAsia="zh-CN"/>
        </w:rPr>
      </w:pPr>
      <w:r>
        <w:rPr>
          <w:rFonts w:hint="eastAsia" w:ascii="Times New Roman" w:hAnsi="Times New Roman" w:eastAsia="宋体"/>
          <w:b/>
          <w:color w:val="auto"/>
          <w:szCs w:val="21"/>
          <w:lang w:val="en-US" w:eastAsia="zh-CN"/>
        </w:rPr>
        <w:t>图3.5</w:t>
      </w:r>
      <w:r>
        <w:rPr>
          <w:rFonts w:hint="eastAsia" w:ascii="Times New Roman" w:hAnsi="Times New Roman" w:eastAsia="宋体"/>
          <w:b/>
          <w:color w:val="auto"/>
          <w:szCs w:val="21"/>
        </w:rPr>
        <w:t>-</w:t>
      </w:r>
      <w:r>
        <w:rPr>
          <w:rFonts w:hint="eastAsia" w:ascii="Times New Roman" w:hAnsi="Times New Roman" w:eastAsia="宋体"/>
          <w:b/>
          <w:color w:val="auto"/>
          <w:szCs w:val="21"/>
          <w:lang w:val="en-US" w:eastAsia="zh-CN"/>
        </w:rPr>
        <w:t xml:space="preserve">3 </w:t>
      </w:r>
      <w:r>
        <w:rPr>
          <w:rFonts w:ascii="Times New Roman" w:hAnsi="Times New Roman" w:eastAsia="宋体"/>
          <w:b/>
          <w:color w:val="auto"/>
          <w:szCs w:val="21"/>
        </w:rPr>
        <w:t xml:space="preserve"> </w:t>
      </w:r>
      <w:r>
        <w:rPr>
          <w:rFonts w:hint="eastAsia" w:ascii="Times New Roman" w:hAnsi="Times New Roman" w:eastAsia="宋体"/>
          <w:b/>
          <w:color w:val="auto"/>
          <w:szCs w:val="21"/>
          <w:lang w:eastAsia="zh-CN"/>
        </w:rPr>
        <w:t>《</w:t>
      </w:r>
      <w:r>
        <w:rPr>
          <w:rFonts w:hint="eastAsia" w:ascii="Times New Roman" w:hAnsi="Times New Roman" w:eastAsia="宋体"/>
          <w:b/>
          <w:color w:val="auto"/>
          <w:szCs w:val="21"/>
          <w:lang w:val="en-US" w:eastAsia="zh-CN"/>
        </w:rPr>
        <w:t>郑州全生农牧科技有限公司年出栏5万头生猪养殖基地建设项目</w:t>
      </w:r>
      <w:r>
        <w:rPr>
          <w:rFonts w:hint="eastAsia" w:ascii="Times New Roman" w:hAnsi="Times New Roman" w:eastAsia="宋体"/>
          <w:b/>
          <w:color w:val="auto"/>
          <w:szCs w:val="21"/>
          <w:lang w:eastAsia="zh-CN"/>
        </w:rPr>
        <w:t>》</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b/>
          <w:color w:val="auto"/>
          <w:szCs w:val="21"/>
          <w:lang w:eastAsia="zh-CN"/>
        </w:rPr>
      </w:pPr>
      <w:r>
        <w:rPr>
          <w:rFonts w:hint="eastAsia" w:ascii="Times New Roman" w:hAnsi="Times New Roman" w:eastAsia="宋体"/>
          <w:b/>
          <w:color w:val="auto"/>
          <w:szCs w:val="21"/>
          <w:lang w:val="en-US" w:eastAsia="zh-CN"/>
        </w:rPr>
        <w:t>废水处理设施</w:t>
      </w:r>
      <w:r>
        <w:rPr>
          <w:rFonts w:hint="default" w:ascii="Times New Roman" w:hAnsi="Times New Roman" w:eastAsia="宋体"/>
          <w:b/>
          <w:color w:val="auto"/>
          <w:szCs w:val="21"/>
          <w:lang w:val="en-US" w:eastAsia="zh-CN"/>
        </w:rPr>
        <w:t>进口废水水质监测结果</w:t>
      </w:r>
    </w:p>
    <w:p>
      <w:pPr>
        <w:adjustRightInd w:val="0"/>
        <w:snapToGrid w:val="0"/>
        <w:spacing w:line="360" w:lineRule="auto"/>
        <w:ind w:firstLine="480" w:firstLineChars="200"/>
        <w:rPr>
          <w:rFonts w:hint="default" w:ascii="Times New Roman" w:hAnsi="Times New Roman" w:eastAsia="宋体" w:cs="Times New Roman"/>
          <w:bCs/>
          <w:color w:val="auto"/>
          <w:kern w:val="44"/>
          <w:sz w:val="24"/>
          <w:szCs w:val="24"/>
          <w:lang w:val="en-US" w:eastAsia="zh-CN"/>
        </w:rPr>
      </w:pPr>
      <w:r>
        <w:rPr>
          <w:rFonts w:hint="eastAsia" w:ascii="Times New Roman" w:hAnsi="Times New Roman" w:eastAsia="宋体" w:cs="Times New Roman"/>
          <w:bCs/>
          <w:color w:val="auto"/>
          <w:kern w:val="44"/>
          <w:sz w:val="24"/>
          <w:szCs w:val="24"/>
          <w:lang w:val="en-US" w:eastAsia="zh-CN"/>
        </w:rPr>
        <w:t>根据以上分析，</w:t>
      </w:r>
      <w:r>
        <w:rPr>
          <w:rFonts w:hint="eastAsia" w:ascii="Times New Roman" w:hAnsi="Times New Roman" w:eastAsia="宋体" w:cs="Times New Roman"/>
          <w:bCs/>
          <w:color w:val="auto"/>
          <w:kern w:val="44"/>
          <w:sz w:val="24"/>
          <w:szCs w:val="24"/>
          <w:lang w:eastAsia="zh-CN"/>
        </w:rPr>
        <w:t>本项目</w:t>
      </w:r>
      <w:r>
        <w:rPr>
          <w:rFonts w:hint="default" w:ascii="Times New Roman" w:hAnsi="Times New Roman" w:eastAsia="宋体" w:cs="Times New Roman"/>
          <w:bCs/>
          <w:color w:val="auto"/>
          <w:kern w:val="44"/>
          <w:sz w:val="24"/>
          <w:szCs w:val="24"/>
          <w:lang w:val="en-US" w:eastAsia="zh-CN"/>
        </w:rPr>
        <w:t>废水水质及污染物产生量</w:t>
      </w:r>
      <w:r>
        <w:rPr>
          <w:rFonts w:hint="eastAsia" w:ascii="Times New Roman" w:hAnsi="Times New Roman" w:eastAsia="宋体" w:cs="Times New Roman"/>
          <w:bCs/>
          <w:color w:val="auto"/>
          <w:kern w:val="44"/>
          <w:sz w:val="24"/>
          <w:szCs w:val="24"/>
          <w:lang w:val="en-US" w:eastAsia="zh-CN"/>
        </w:rPr>
        <w:t>见下表。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b/>
          <w:color w:val="auto"/>
          <w:szCs w:val="21"/>
          <w:lang w:eastAsia="zh-CN"/>
        </w:rPr>
      </w:pPr>
      <w:r>
        <w:rPr>
          <w:rFonts w:hint="eastAsia" w:ascii="Times New Roman" w:hAnsi="Times New Roman" w:eastAsia="宋体"/>
          <w:b/>
          <w:color w:val="auto"/>
          <w:szCs w:val="21"/>
          <w:lang w:val="en-US" w:eastAsia="zh-CN"/>
        </w:rPr>
        <w:t>表3.5</w:t>
      </w:r>
      <w:r>
        <w:rPr>
          <w:rFonts w:hint="eastAsia" w:ascii="Times New Roman" w:hAnsi="Times New Roman" w:eastAsia="宋体"/>
          <w:b/>
          <w:color w:val="auto"/>
          <w:szCs w:val="21"/>
        </w:rPr>
        <w:t>-</w:t>
      </w:r>
      <w:r>
        <w:rPr>
          <w:rFonts w:hint="eastAsia" w:ascii="Times New Roman" w:hAnsi="Times New Roman" w:eastAsia="宋体"/>
          <w:b/>
          <w:color w:val="auto"/>
          <w:szCs w:val="21"/>
          <w:lang w:val="en-US" w:eastAsia="zh-CN"/>
        </w:rPr>
        <w:t xml:space="preserve">13 </w:t>
      </w:r>
      <w:r>
        <w:rPr>
          <w:rFonts w:ascii="Times New Roman" w:hAnsi="Times New Roman" w:eastAsia="宋体"/>
          <w:b/>
          <w:color w:val="auto"/>
          <w:szCs w:val="21"/>
        </w:rPr>
        <w:t xml:space="preserve"> </w:t>
      </w:r>
      <w:r>
        <w:rPr>
          <w:rFonts w:hint="eastAsia" w:ascii="Times New Roman" w:hAnsi="Times New Roman" w:eastAsia="宋体"/>
          <w:b/>
          <w:color w:val="auto"/>
          <w:szCs w:val="21"/>
          <w:lang w:eastAsia="zh-CN"/>
        </w:rPr>
        <w:t>养殖废水污染物产生量一览表</w:t>
      </w:r>
    </w:p>
    <w:tbl>
      <w:tblPr>
        <w:tblStyle w:val="35"/>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7"/>
        <w:gridCol w:w="1013"/>
        <w:gridCol w:w="1125"/>
        <w:gridCol w:w="875"/>
        <w:gridCol w:w="775"/>
        <w:gridCol w:w="712"/>
        <w:gridCol w:w="888"/>
        <w:gridCol w:w="787"/>
        <w:gridCol w:w="713"/>
        <w:gridCol w:w="1286"/>
        <w:gridCol w:w="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90" w:hRule="atLeast"/>
          <w:jc w:val="center"/>
        </w:trPr>
        <w:tc>
          <w:tcPr>
            <w:tcW w:w="562" w:type="pct"/>
            <w:vMerge w:val="restar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废水来源</w:t>
            </w:r>
          </w:p>
        </w:tc>
        <w:tc>
          <w:tcPr>
            <w:tcW w:w="549" w:type="pct"/>
            <w:vMerge w:val="restar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废水量m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/a</w:t>
            </w:r>
          </w:p>
        </w:tc>
        <w:tc>
          <w:tcPr>
            <w:tcW w:w="610" w:type="pct"/>
            <w:vMerge w:val="restar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指标</w:t>
            </w:r>
          </w:p>
        </w:tc>
        <w:tc>
          <w:tcPr>
            <w:tcW w:w="3275" w:type="pct"/>
            <w:gridSpan w:val="7"/>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污染物名称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jc w:val="center"/>
        </w:trPr>
        <w:tc>
          <w:tcPr>
            <w:tcW w:w="562"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549"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610"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474" w:type="pc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COD</w:t>
            </w:r>
            <w:r>
              <w:rPr>
                <w:rFonts w:hint="default" w:ascii="Times New Roman" w:hAnsi="Times New Roman" w:eastAsia="宋体" w:cs="Times New Roman"/>
                <w:color w:val="auto"/>
                <w:sz w:val="21"/>
                <w:szCs w:val="21"/>
                <w:vertAlign w:val="subscript"/>
                <w:lang w:val="en-US" w:eastAsia="zh-CN"/>
              </w:rPr>
              <w:t>Cr</w:t>
            </w:r>
          </w:p>
        </w:tc>
        <w:tc>
          <w:tcPr>
            <w:tcW w:w="420" w:type="pc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BOD</w:t>
            </w:r>
            <w:r>
              <w:rPr>
                <w:rFonts w:hint="default" w:ascii="Times New Roman" w:hAnsi="Times New Roman" w:eastAsia="宋体" w:cs="Times New Roman"/>
                <w:color w:val="auto"/>
                <w:sz w:val="21"/>
                <w:szCs w:val="21"/>
                <w:vertAlign w:val="subscript"/>
                <w:lang w:val="en-US" w:eastAsia="zh-CN"/>
              </w:rPr>
              <w:t>5</w:t>
            </w:r>
          </w:p>
        </w:tc>
        <w:tc>
          <w:tcPr>
            <w:tcW w:w="386" w:type="pc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SS</w:t>
            </w:r>
          </w:p>
        </w:tc>
        <w:tc>
          <w:tcPr>
            <w:tcW w:w="481" w:type="pc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NH</w:t>
            </w:r>
            <w:r>
              <w:rPr>
                <w:rFonts w:hint="default" w:ascii="Times New Roman" w:hAnsi="Times New Roman" w:eastAsia="宋体" w:cs="Times New Roman"/>
                <w:color w:val="auto"/>
                <w:sz w:val="21"/>
                <w:szCs w:val="21"/>
                <w:vertAlign w:val="subscript"/>
                <w:lang w:val="en-US" w:eastAsia="zh-CN"/>
              </w:rPr>
              <w:t>3</w:t>
            </w:r>
            <w:r>
              <w:rPr>
                <w:rFonts w:hint="default" w:ascii="Times New Roman" w:hAnsi="Times New Roman" w:eastAsia="宋体" w:cs="Times New Roman"/>
                <w:color w:val="auto"/>
                <w:sz w:val="21"/>
                <w:szCs w:val="21"/>
                <w:lang w:val="en-US" w:eastAsia="zh-CN"/>
              </w:rPr>
              <w:t>-N</w:t>
            </w:r>
          </w:p>
        </w:tc>
        <w:tc>
          <w:tcPr>
            <w:tcW w:w="427" w:type="pc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TP</w:t>
            </w:r>
          </w:p>
        </w:tc>
        <w:tc>
          <w:tcPr>
            <w:tcW w:w="386" w:type="pc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TN</w:t>
            </w:r>
          </w:p>
        </w:tc>
        <w:tc>
          <w:tcPr>
            <w:tcW w:w="699" w:type="pct"/>
            <w:gridSpan w:val="2"/>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粪大肠菌群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2" w:type="pct"/>
            <w:vMerge w:val="restar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养殖废水（猪舍冲洗水、猪尿）</w:t>
            </w:r>
          </w:p>
        </w:tc>
        <w:tc>
          <w:tcPr>
            <w:tcW w:w="549" w:type="pct"/>
            <w:vMerge w:val="restar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22605.95</w:t>
            </w:r>
          </w:p>
        </w:tc>
        <w:tc>
          <w:tcPr>
            <w:tcW w:w="610" w:type="pc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产生浓度mg/L</w:t>
            </w:r>
          </w:p>
        </w:tc>
        <w:tc>
          <w:tcPr>
            <w:tcW w:w="875" w:type="dxa"/>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12000</w:t>
            </w:r>
          </w:p>
        </w:tc>
        <w:tc>
          <w:tcPr>
            <w:tcW w:w="775" w:type="dxa"/>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1000</w:t>
            </w:r>
          </w:p>
        </w:tc>
        <w:tc>
          <w:tcPr>
            <w:tcW w:w="712" w:type="dxa"/>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500</w:t>
            </w:r>
          </w:p>
        </w:tc>
        <w:tc>
          <w:tcPr>
            <w:tcW w:w="888" w:type="dxa"/>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400</w:t>
            </w:r>
          </w:p>
        </w:tc>
        <w:tc>
          <w:tcPr>
            <w:tcW w:w="787" w:type="dxa"/>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50</w:t>
            </w:r>
          </w:p>
        </w:tc>
        <w:tc>
          <w:tcPr>
            <w:tcW w:w="713" w:type="dxa"/>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550</w:t>
            </w:r>
          </w:p>
        </w:tc>
        <w:tc>
          <w:tcPr>
            <w:tcW w:w="699" w:type="pct"/>
            <w:gridSpan w:val="2"/>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r>
              <w:rPr>
                <w:rFonts w:hint="default" w:ascii="Times New Roman" w:hAnsi="Times New Roman" w:cs="Times New Roman"/>
                <w:color w:val="auto"/>
                <w:sz w:val="21"/>
                <w:szCs w:val="21"/>
                <w:lang w:val="en-US" w:eastAsia="zh-CN"/>
              </w:rPr>
              <w:t>4000</w:t>
            </w:r>
            <w:r>
              <w:rPr>
                <w:rFonts w:hint="default" w:ascii="Times New Roman" w:hAnsi="Times New Roman" w:eastAsia="宋体" w:cs="Times New Roman"/>
                <w:color w:val="auto"/>
                <w:sz w:val="21"/>
                <w:szCs w:val="21"/>
                <w:lang w:val="en-US" w:eastAsia="zh-CN"/>
              </w:rPr>
              <w:t>个 /</w:t>
            </w:r>
            <w:r>
              <w:rPr>
                <w:rFonts w:hint="default" w:ascii="Times New Roman" w:hAnsi="Times New Roman" w:cs="Times New Roman"/>
                <w:color w:val="auto"/>
                <w:sz w:val="21"/>
                <w:szCs w:val="21"/>
                <w:lang w:val="en-US" w:eastAsia="zh-CN"/>
              </w:rPr>
              <w:t>100m</w:t>
            </w:r>
            <w:r>
              <w:rPr>
                <w:rFonts w:hint="default" w:ascii="Times New Roman" w:hAnsi="Times New Roman" w:eastAsia="宋体" w:cs="Times New Roman"/>
                <w:color w:val="auto"/>
                <w:sz w:val="21"/>
                <w:szCs w:val="21"/>
                <w:lang w:val="en-US" w:eastAsia="zh-CN"/>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jc w:val="center"/>
        </w:trPr>
        <w:tc>
          <w:tcPr>
            <w:tcW w:w="562"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549"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610" w:type="pc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产生量t/a</w:t>
            </w:r>
          </w:p>
        </w:tc>
        <w:tc>
          <w:tcPr>
            <w:tcW w:w="875" w:type="dxa"/>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271.27 </w:t>
            </w:r>
          </w:p>
        </w:tc>
        <w:tc>
          <w:tcPr>
            <w:tcW w:w="775" w:type="dxa"/>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22.61 </w:t>
            </w:r>
          </w:p>
        </w:tc>
        <w:tc>
          <w:tcPr>
            <w:tcW w:w="712" w:type="dxa"/>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11.30 </w:t>
            </w:r>
          </w:p>
        </w:tc>
        <w:tc>
          <w:tcPr>
            <w:tcW w:w="888" w:type="dxa"/>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9.04 </w:t>
            </w:r>
          </w:p>
        </w:tc>
        <w:tc>
          <w:tcPr>
            <w:tcW w:w="787" w:type="dxa"/>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1.13 </w:t>
            </w:r>
          </w:p>
        </w:tc>
        <w:tc>
          <w:tcPr>
            <w:tcW w:w="713" w:type="dxa"/>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12.43 </w:t>
            </w:r>
          </w:p>
        </w:tc>
        <w:tc>
          <w:tcPr>
            <w:tcW w:w="699" w:type="pct"/>
            <w:gridSpan w:val="2"/>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5.42</w:t>
            </w:r>
            <w:r>
              <w:rPr>
                <w:rFonts w:hint="default" w:ascii="Times New Roman" w:hAnsi="Times New Roman" w:cs="Times New Roman"/>
                <w:color w:val="auto"/>
                <w:sz w:val="21"/>
                <w:szCs w:val="21"/>
                <w:lang w:val="en-US" w:eastAsia="zh-CN"/>
              </w:rPr>
              <w:t>×10</w:t>
            </w:r>
            <w:r>
              <w:rPr>
                <w:rFonts w:hint="default" w:ascii="Times New Roman" w:hAnsi="Times New Roman" w:cs="Times New Roman"/>
                <w:color w:val="auto"/>
                <w:sz w:val="21"/>
                <w:szCs w:val="21"/>
                <w:vertAlign w:val="superscript"/>
                <w:lang w:val="en-US" w:eastAsia="zh-CN"/>
              </w:rPr>
              <w:t>12</w:t>
            </w:r>
          </w:p>
        </w:tc>
      </w:tr>
    </w:tbl>
    <w:p>
      <w:pPr>
        <w:adjustRightInd w:val="0"/>
        <w:snapToGrid w:val="0"/>
        <w:spacing w:line="360" w:lineRule="auto"/>
        <w:ind w:firstLine="480" w:firstLineChars="200"/>
        <w:rPr>
          <w:rFonts w:hint="eastAsia" w:ascii="Times New Roman" w:hAnsi="Times New Roman" w:eastAsia="宋体" w:cs="Times New Roman"/>
          <w:bCs/>
          <w:color w:val="auto"/>
          <w:kern w:val="44"/>
          <w:sz w:val="24"/>
          <w:szCs w:val="24"/>
          <w:lang w:eastAsia="zh-CN"/>
        </w:rPr>
      </w:pPr>
      <w:r>
        <w:rPr>
          <w:rFonts w:hint="eastAsia" w:ascii="Times New Roman" w:hAnsi="Times New Roman" w:eastAsia="宋体" w:cs="Times New Roman"/>
          <w:bCs/>
          <w:color w:val="auto"/>
          <w:kern w:val="44"/>
          <w:sz w:val="24"/>
          <w:szCs w:val="24"/>
          <w:lang w:val="en-US" w:eastAsia="zh-CN"/>
        </w:rPr>
        <w:t>3、</w:t>
      </w:r>
      <w:r>
        <w:rPr>
          <w:rFonts w:hint="eastAsia" w:ascii="Times New Roman" w:hAnsi="Times New Roman" w:eastAsia="宋体" w:cs="Times New Roman"/>
          <w:bCs/>
          <w:color w:val="auto"/>
          <w:kern w:val="44"/>
          <w:sz w:val="24"/>
          <w:szCs w:val="24"/>
          <w:lang w:eastAsia="zh-CN"/>
        </w:rPr>
        <w:t>生活污水（</w:t>
      </w:r>
      <w:r>
        <w:rPr>
          <w:rFonts w:hint="eastAsia" w:ascii="Times New Roman" w:hAnsi="Times New Roman" w:eastAsia="宋体" w:cs="Times New Roman"/>
          <w:bCs/>
          <w:color w:val="auto"/>
          <w:kern w:val="44"/>
          <w:sz w:val="24"/>
          <w:szCs w:val="24"/>
          <w:lang w:val="en-US" w:eastAsia="zh-CN"/>
        </w:rPr>
        <w:t>W3</w:t>
      </w:r>
      <w:r>
        <w:rPr>
          <w:rFonts w:hint="eastAsia" w:ascii="Times New Roman" w:hAnsi="Times New Roman" w:eastAsia="宋体" w:cs="Times New Roman"/>
          <w:bCs/>
          <w:color w:val="auto"/>
          <w:kern w:val="44"/>
          <w:sz w:val="24"/>
          <w:szCs w:val="24"/>
          <w:lang w:eastAsia="zh-CN"/>
        </w:rPr>
        <w:t>）</w:t>
      </w:r>
    </w:p>
    <w:p>
      <w:pPr>
        <w:adjustRightInd w:val="0"/>
        <w:snapToGrid w:val="0"/>
        <w:spacing w:line="360" w:lineRule="auto"/>
        <w:ind w:firstLine="480" w:firstLineChars="200"/>
        <w:rPr>
          <w:rFonts w:hint="eastAsia" w:ascii="Times New Roman" w:hAnsi="Times New Roman" w:eastAsia="宋体"/>
          <w:snapToGrid w:val="0"/>
          <w:color w:val="auto"/>
          <w:sz w:val="24"/>
          <w:lang w:eastAsia="zh-CN"/>
        </w:rPr>
      </w:pPr>
      <w:r>
        <w:rPr>
          <w:rFonts w:hint="eastAsia" w:ascii="Times New Roman" w:hAnsi="Times New Roman" w:eastAsia="宋体" w:cs="宋体"/>
          <w:bCs/>
          <w:color w:val="auto"/>
          <w:sz w:val="24"/>
          <w:szCs w:val="24"/>
          <w:lang w:eastAsia="zh-CN"/>
        </w:rPr>
        <w:t>本项目劳动定员</w:t>
      </w:r>
      <w:r>
        <w:rPr>
          <w:rFonts w:hint="eastAsia" w:ascii="Times New Roman" w:hAnsi="Times New Roman" w:eastAsia="宋体" w:cs="宋体"/>
          <w:bCs/>
          <w:color w:val="auto"/>
          <w:sz w:val="24"/>
          <w:szCs w:val="24"/>
          <w:lang w:val="en-US" w:eastAsia="zh-CN"/>
        </w:rPr>
        <w:t>50</w:t>
      </w:r>
      <w:r>
        <w:rPr>
          <w:rFonts w:hint="eastAsia" w:ascii="Times New Roman" w:hAnsi="Times New Roman" w:eastAsia="宋体" w:cs="宋体"/>
          <w:bCs/>
          <w:color w:val="auto"/>
          <w:sz w:val="24"/>
          <w:szCs w:val="24"/>
          <w:lang w:eastAsia="zh-CN"/>
        </w:rPr>
        <w:t>人，均在厂区内食宿。</w:t>
      </w:r>
      <w:r>
        <w:rPr>
          <w:rFonts w:hint="default" w:ascii="Times New Roman" w:hAnsi="Times New Roman" w:eastAsia="宋体" w:cs="Times New Roman"/>
          <w:bCs/>
          <w:color w:val="auto"/>
          <w:kern w:val="44"/>
          <w:sz w:val="24"/>
          <w:szCs w:val="24"/>
        </w:rPr>
        <w:t>用水量参考《四川省用水定额》川府函〔2021〕8号及《建筑给水排水设计规范》（GB50015-2009），食宿人员用水按</w:t>
      </w:r>
      <w:r>
        <w:rPr>
          <w:rFonts w:hint="default" w:ascii="Times New Roman" w:hAnsi="Times New Roman" w:eastAsia="宋体" w:cs="Times New Roman"/>
          <w:bCs/>
          <w:color w:val="auto"/>
          <w:kern w:val="44"/>
          <w:sz w:val="24"/>
          <w:szCs w:val="24"/>
          <w:lang w:val="en-US" w:eastAsia="zh-CN"/>
        </w:rPr>
        <w:t>0.16</w:t>
      </w:r>
      <w:r>
        <w:rPr>
          <w:rFonts w:hint="default" w:ascii="Times New Roman" w:hAnsi="Times New Roman" w:eastAsia="宋体" w:cs="Times New Roman"/>
          <w:bCs/>
          <w:color w:val="auto"/>
          <w:kern w:val="44"/>
          <w:sz w:val="24"/>
          <w:szCs w:val="24"/>
        </w:rPr>
        <w:t xml:space="preserve"> m</w:t>
      </w:r>
      <w:r>
        <w:rPr>
          <w:rFonts w:hint="default" w:ascii="Times New Roman" w:hAnsi="Times New Roman" w:eastAsia="宋体" w:cs="Times New Roman"/>
          <w:bCs/>
          <w:color w:val="auto"/>
          <w:kern w:val="44"/>
          <w:sz w:val="24"/>
          <w:szCs w:val="24"/>
          <w:vertAlign w:val="superscript"/>
        </w:rPr>
        <w:t>3</w:t>
      </w:r>
      <w:r>
        <w:rPr>
          <w:rFonts w:hint="default" w:ascii="Times New Roman" w:hAnsi="Times New Roman" w:eastAsia="宋体" w:cs="Times New Roman"/>
          <w:bCs/>
          <w:color w:val="auto"/>
          <w:kern w:val="44"/>
          <w:sz w:val="24"/>
          <w:szCs w:val="24"/>
        </w:rPr>
        <w:t>/（d/人）计算。</w:t>
      </w:r>
      <w:r>
        <w:rPr>
          <w:rFonts w:hint="eastAsia" w:ascii="Times New Roman" w:hAnsi="Times New Roman" w:eastAsia="宋体" w:cs="Times New Roman"/>
          <w:bCs/>
          <w:color w:val="auto"/>
          <w:kern w:val="44"/>
          <w:sz w:val="24"/>
          <w:szCs w:val="24"/>
          <w:lang w:eastAsia="zh-CN"/>
        </w:rPr>
        <w:t>则本项目生活用水量为</w:t>
      </w:r>
      <w:r>
        <w:rPr>
          <w:rFonts w:hint="eastAsia" w:ascii="Times New Roman" w:hAnsi="Times New Roman" w:eastAsia="宋体" w:cs="Times New Roman"/>
          <w:bCs/>
          <w:color w:val="auto"/>
          <w:kern w:val="44"/>
          <w:sz w:val="24"/>
          <w:szCs w:val="24"/>
          <w:lang w:val="en-US" w:eastAsia="zh-CN"/>
        </w:rPr>
        <w:t>2920</w:t>
      </w:r>
      <w:r>
        <w:rPr>
          <w:rFonts w:hint="eastAsia" w:ascii="Times New Roman" w:hAnsi="Times New Roman" w:eastAsia="宋体" w:cs="宋体"/>
          <w:bCs/>
          <w:color w:val="auto"/>
          <w:sz w:val="24"/>
          <w:szCs w:val="24"/>
          <w:lang w:eastAsia="zh-CN"/>
        </w:rPr>
        <w:t>m</w:t>
      </w:r>
      <w:r>
        <w:rPr>
          <w:rFonts w:hint="eastAsia" w:ascii="Times New Roman" w:hAnsi="Times New Roman" w:eastAsia="宋体" w:cs="宋体"/>
          <w:bCs/>
          <w:color w:val="auto"/>
          <w:sz w:val="24"/>
          <w:szCs w:val="24"/>
          <w:vertAlign w:val="superscript"/>
          <w:lang w:eastAsia="zh-CN"/>
        </w:rPr>
        <w:t>3</w:t>
      </w:r>
      <w:r>
        <w:rPr>
          <w:rFonts w:hint="eastAsia" w:ascii="Times New Roman" w:hAnsi="Times New Roman" w:eastAsia="宋体" w:cs="宋体"/>
          <w:bCs/>
          <w:color w:val="auto"/>
          <w:sz w:val="24"/>
          <w:szCs w:val="24"/>
          <w:lang w:eastAsia="zh-CN"/>
        </w:rPr>
        <w:t>/a（</w:t>
      </w:r>
      <w:r>
        <w:rPr>
          <w:rFonts w:hint="eastAsia" w:ascii="Times New Roman" w:hAnsi="Times New Roman" w:eastAsia="宋体" w:cs="宋体"/>
          <w:bCs/>
          <w:color w:val="auto"/>
          <w:sz w:val="24"/>
          <w:szCs w:val="24"/>
          <w:lang w:val="en-US" w:eastAsia="zh-CN"/>
        </w:rPr>
        <w:t>8</w:t>
      </w:r>
      <w:r>
        <w:rPr>
          <w:rFonts w:hint="eastAsia" w:ascii="Times New Roman" w:hAnsi="Times New Roman" w:eastAsia="宋体" w:cs="宋体"/>
          <w:bCs/>
          <w:color w:val="auto"/>
          <w:sz w:val="24"/>
          <w:szCs w:val="24"/>
          <w:lang w:eastAsia="zh-CN"/>
        </w:rPr>
        <w:t>m</w:t>
      </w:r>
      <w:r>
        <w:rPr>
          <w:rFonts w:hint="eastAsia" w:ascii="Times New Roman" w:hAnsi="Times New Roman" w:eastAsia="宋体" w:cs="宋体"/>
          <w:bCs/>
          <w:color w:val="auto"/>
          <w:sz w:val="24"/>
          <w:szCs w:val="24"/>
          <w:vertAlign w:val="superscript"/>
          <w:lang w:eastAsia="zh-CN"/>
        </w:rPr>
        <w:t>3</w:t>
      </w:r>
      <w:r>
        <w:rPr>
          <w:rFonts w:hint="eastAsia" w:ascii="Times New Roman" w:hAnsi="Times New Roman" w:eastAsia="宋体" w:cs="宋体"/>
          <w:bCs/>
          <w:color w:val="auto"/>
          <w:sz w:val="24"/>
          <w:szCs w:val="24"/>
          <w:lang w:eastAsia="zh-CN"/>
        </w:rPr>
        <w:t>/</w:t>
      </w:r>
      <w:r>
        <w:rPr>
          <w:rFonts w:hint="eastAsia" w:ascii="Times New Roman" w:hAnsi="Times New Roman" w:eastAsia="宋体" w:cs="宋体"/>
          <w:bCs/>
          <w:color w:val="auto"/>
          <w:sz w:val="24"/>
          <w:szCs w:val="24"/>
          <w:lang w:val="en-US" w:eastAsia="zh-CN"/>
        </w:rPr>
        <w:t>d</w:t>
      </w:r>
      <w:r>
        <w:rPr>
          <w:rFonts w:hint="eastAsia" w:ascii="Times New Roman" w:hAnsi="Times New Roman" w:eastAsia="宋体" w:cs="宋体"/>
          <w:bCs/>
          <w:color w:val="auto"/>
          <w:sz w:val="24"/>
          <w:szCs w:val="24"/>
          <w:lang w:eastAsia="zh-CN"/>
        </w:rPr>
        <w:t>），废水排放量按照</w:t>
      </w:r>
      <w:r>
        <w:rPr>
          <w:rFonts w:hint="eastAsia" w:ascii="Times New Roman" w:hAnsi="Times New Roman" w:eastAsia="宋体" w:cs="宋体"/>
          <w:bCs/>
          <w:color w:val="auto"/>
          <w:sz w:val="24"/>
          <w:szCs w:val="24"/>
          <w:lang w:val="en-US" w:eastAsia="zh-CN"/>
        </w:rPr>
        <w:t>80%计，则生活废水量为</w:t>
      </w:r>
      <w:r>
        <w:rPr>
          <w:rFonts w:hint="eastAsia" w:ascii="Times New Roman" w:hAnsi="Times New Roman" w:eastAsia="宋体" w:cs="Times New Roman"/>
          <w:bCs/>
          <w:color w:val="auto"/>
          <w:kern w:val="44"/>
          <w:sz w:val="24"/>
          <w:szCs w:val="24"/>
          <w:lang w:val="en-US" w:eastAsia="zh-CN"/>
        </w:rPr>
        <w:t>2336</w:t>
      </w:r>
      <w:r>
        <w:rPr>
          <w:rFonts w:hint="eastAsia" w:ascii="Times New Roman" w:hAnsi="Times New Roman" w:eastAsia="宋体" w:cs="宋体"/>
          <w:bCs/>
          <w:color w:val="auto"/>
          <w:sz w:val="24"/>
          <w:szCs w:val="24"/>
          <w:lang w:eastAsia="zh-CN"/>
        </w:rPr>
        <w:t>m</w:t>
      </w:r>
      <w:r>
        <w:rPr>
          <w:rFonts w:hint="eastAsia" w:ascii="Times New Roman" w:hAnsi="Times New Roman" w:eastAsia="宋体" w:cs="宋体"/>
          <w:bCs/>
          <w:color w:val="auto"/>
          <w:sz w:val="24"/>
          <w:szCs w:val="24"/>
          <w:vertAlign w:val="superscript"/>
          <w:lang w:eastAsia="zh-CN"/>
        </w:rPr>
        <w:t>3</w:t>
      </w:r>
      <w:r>
        <w:rPr>
          <w:rFonts w:hint="eastAsia" w:ascii="Times New Roman" w:hAnsi="Times New Roman" w:eastAsia="宋体" w:cs="宋体"/>
          <w:bCs/>
          <w:color w:val="auto"/>
          <w:sz w:val="24"/>
          <w:szCs w:val="24"/>
          <w:lang w:eastAsia="zh-CN"/>
        </w:rPr>
        <w:t>/a（</w:t>
      </w:r>
      <w:r>
        <w:rPr>
          <w:rFonts w:hint="eastAsia" w:ascii="Times New Roman" w:hAnsi="Times New Roman" w:eastAsia="宋体" w:cs="宋体"/>
          <w:bCs/>
          <w:color w:val="auto"/>
          <w:sz w:val="24"/>
          <w:szCs w:val="24"/>
          <w:lang w:val="en-US" w:eastAsia="zh-CN"/>
        </w:rPr>
        <w:t>6.40</w:t>
      </w:r>
      <w:r>
        <w:rPr>
          <w:rFonts w:hint="eastAsia" w:ascii="Times New Roman" w:hAnsi="Times New Roman" w:eastAsia="宋体" w:cs="宋体"/>
          <w:bCs/>
          <w:color w:val="auto"/>
          <w:sz w:val="24"/>
          <w:szCs w:val="24"/>
          <w:lang w:eastAsia="zh-CN"/>
        </w:rPr>
        <w:t>m</w:t>
      </w:r>
      <w:r>
        <w:rPr>
          <w:rFonts w:hint="eastAsia" w:ascii="Times New Roman" w:hAnsi="Times New Roman" w:eastAsia="宋体" w:cs="宋体"/>
          <w:bCs/>
          <w:color w:val="auto"/>
          <w:sz w:val="24"/>
          <w:szCs w:val="24"/>
          <w:vertAlign w:val="superscript"/>
          <w:lang w:eastAsia="zh-CN"/>
        </w:rPr>
        <w:t>3</w:t>
      </w:r>
      <w:r>
        <w:rPr>
          <w:rFonts w:hint="eastAsia" w:ascii="Times New Roman" w:hAnsi="Times New Roman" w:eastAsia="宋体" w:cs="宋体"/>
          <w:bCs/>
          <w:color w:val="auto"/>
          <w:sz w:val="24"/>
          <w:szCs w:val="24"/>
          <w:lang w:eastAsia="zh-CN"/>
        </w:rPr>
        <w:t>/</w:t>
      </w:r>
      <w:r>
        <w:rPr>
          <w:rFonts w:hint="eastAsia" w:ascii="Times New Roman" w:hAnsi="Times New Roman" w:eastAsia="宋体" w:cs="宋体"/>
          <w:bCs/>
          <w:color w:val="auto"/>
          <w:sz w:val="24"/>
          <w:szCs w:val="24"/>
          <w:lang w:val="en-US" w:eastAsia="zh-CN"/>
        </w:rPr>
        <w:t>d</w:t>
      </w:r>
      <w:r>
        <w:rPr>
          <w:rFonts w:hint="eastAsia" w:ascii="Times New Roman" w:hAnsi="Times New Roman" w:eastAsia="宋体" w:cs="宋体"/>
          <w:bCs/>
          <w:color w:val="auto"/>
          <w:sz w:val="24"/>
          <w:szCs w:val="24"/>
          <w:lang w:eastAsia="zh-CN"/>
        </w:rPr>
        <w:t>）。</w:t>
      </w:r>
    </w:p>
    <w:p>
      <w:pPr>
        <w:adjustRightInd w:val="0"/>
        <w:snapToGrid w:val="0"/>
        <w:spacing w:line="360" w:lineRule="auto"/>
        <w:ind w:firstLine="480" w:firstLineChars="200"/>
        <w:rPr>
          <w:rFonts w:hint="eastAsia" w:ascii="Times New Roman" w:hAnsi="Times New Roman" w:eastAsia="宋体"/>
          <w:snapToGrid w:val="0"/>
          <w:color w:val="auto"/>
          <w:sz w:val="24"/>
          <w:lang w:eastAsia="zh-CN"/>
        </w:rPr>
      </w:pPr>
      <w:r>
        <w:rPr>
          <w:rFonts w:hint="eastAsia" w:ascii="Times New Roman" w:hAnsi="Times New Roman" w:eastAsia="宋体"/>
          <w:snapToGrid w:val="0"/>
          <w:color w:val="auto"/>
          <w:sz w:val="24"/>
          <w:lang w:eastAsia="zh-CN"/>
        </w:rPr>
        <w:t>生活污水产生量及各污染物含量见表3</w:t>
      </w:r>
      <w:r>
        <w:rPr>
          <w:rFonts w:hint="eastAsia" w:ascii="Times New Roman" w:hAnsi="Times New Roman" w:eastAsia="宋体"/>
          <w:snapToGrid w:val="0"/>
          <w:color w:val="auto"/>
          <w:sz w:val="24"/>
          <w:lang w:val="en-US" w:eastAsia="zh-CN"/>
        </w:rPr>
        <w:t>.5-14</w:t>
      </w:r>
      <w:r>
        <w:rPr>
          <w:rFonts w:hint="eastAsia" w:ascii="Times New Roman" w:hAnsi="Times New Roman" w:eastAsia="宋体"/>
          <w:snapToGrid w:val="0"/>
          <w:color w:val="auto"/>
          <w:sz w:val="24"/>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hint="eastAsia" w:ascii="Times New Roman" w:hAnsi="Times New Roman" w:eastAsia="宋体"/>
          <w:b/>
          <w:color w:val="auto"/>
          <w:szCs w:val="21"/>
          <w:lang w:eastAsia="zh-CN"/>
        </w:rPr>
      </w:pPr>
      <w:r>
        <w:rPr>
          <w:rFonts w:hint="eastAsia" w:ascii="Times New Roman" w:hAnsi="Times New Roman" w:eastAsia="宋体"/>
          <w:b/>
          <w:color w:val="auto"/>
          <w:szCs w:val="21"/>
          <w:lang w:val="en-US" w:eastAsia="zh-CN"/>
        </w:rPr>
        <w:t>表3.5</w:t>
      </w:r>
      <w:r>
        <w:rPr>
          <w:rFonts w:hint="eastAsia" w:ascii="Times New Roman" w:hAnsi="Times New Roman" w:eastAsia="宋体"/>
          <w:b/>
          <w:color w:val="auto"/>
          <w:szCs w:val="21"/>
        </w:rPr>
        <w:t>-</w:t>
      </w:r>
      <w:r>
        <w:rPr>
          <w:rFonts w:hint="eastAsia" w:ascii="Times New Roman" w:hAnsi="Times New Roman" w:eastAsia="宋体"/>
          <w:b/>
          <w:color w:val="auto"/>
          <w:szCs w:val="21"/>
          <w:lang w:val="en-US" w:eastAsia="zh-CN"/>
        </w:rPr>
        <w:t xml:space="preserve">14 </w:t>
      </w:r>
      <w:r>
        <w:rPr>
          <w:rFonts w:ascii="Times New Roman" w:hAnsi="Times New Roman" w:eastAsia="宋体"/>
          <w:b/>
          <w:color w:val="auto"/>
          <w:szCs w:val="21"/>
        </w:rPr>
        <w:t xml:space="preserve"> </w:t>
      </w:r>
      <w:r>
        <w:rPr>
          <w:rFonts w:hint="eastAsia" w:ascii="Times New Roman" w:hAnsi="Times New Roman" w:eastAsia="宋体"/>
          <w:b/>
          <w:color w:val="auto"/>
          <w:szCs w:val="21"/>
          <w:lang w:eastAsia="zh-CN"/>
        </w:rPr>
        <w:t>项目厂区生活污水产量及各污染物含量</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3"/>
        <w:gridCol w:w="1189"/>
        <w:gridCol w:w="1173"/>
        <w:gridCol w:w="1132"/>
        <w:gridCol w:w="1091"/>
        <w:gridCol w:w="1036"/>
        <w:gridCol w:w="1145"/>
        <w:gridCol w:w="963"/>
        <w:gridCol w:w="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673" w:type="dxa"/>
            <w:vMerge w:val="restart"/>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废水来源</w:t>
            </w:r>
          </w:p>
        </w:tc>
        <w:tc>
          <w:tcPr>
            <w:tcW w:w="1189" w:type="dxa"/>
            <w:vMerge w:val="restart"/>
            <w:vAlign w:val="center"/>
          </w:tcPr>
          <w:p>
            <w:pPr>
              <w:pStyle w:val="98"/>
              <w:jc w:val="center"/>
              <w:rPr>
                <w:rFonts w:hint="default"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废水量m</w:t>
            </w:r>
            <w:r>
              <w:rPr>
                <w:rFonts w:hint="eastAsia" w:ascii="Times New Roman" w:hAnsi="Times New Roman" w:cs="Times New Roman"/>
                <w:b/>
                <w:bCs/>
                <w:color w:val="auto"/>
                <w:szCs w:val="21"/>
                <w:vertAlign w:val="superscript"/>
                <w:lang w:val="en-US" w:eastAsia="zh-CN"/>
              </w:rPr>
              <w:t>3</w:t>
            </w:r>
            <w:r>
              <w:rPr>
                <w:rFonts w:hint="eastAsia" w:ascii="Times New Roman" w:hAnsi="Times New Roman" w:cs="Times New Roman"/>
                <w:b/>
                <w:bCs/>
                <w:color w:val="auto"/>
                <w:szCs w:val="21"/>
                <w:lang w:val="en-US" w:eastAsia="zh-CN"/>
              </w:rPr>
              <w:t>/a</w:t>
            </w:r>
          </w:p>
        </w:tc>
        <w:tc>
          <w:tcPr>
            <w:tcW w:w="1173" w:type="dxa"/>
            <w:vMerge w:val="restart"/>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指标</w:t>
            </w:r>
          </w:p>
        </w:tc>
        <w:tc>
          <w:tcPr>
            <w:tcW w:w="6067" w:type="dxa"/>
            <w:gridSpan w:val="6"/>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污染物名称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3" w:type="dxa"/>
            <w:vMerge w:val="continue"/>
            <w:vAlign w:val="center"/>
          </w:tcPr>
          <w:p>
            <w:pPr>
              <w:pStyle w:val="98"/>
              <w:jc w:val="center"/>
              <w:rPr>
                <w:rFonts w:hint="eastAsia" w:ascii="Times New Roman" w:hAnsi="Times New Roman" w:cs="Times New Roman"/>
                <w:b/>
                <w:bCs/>
                <w:color w:val="auto"/>
                <w:szCs w:val="21"/>
                <w:lang w:val="en-US" w:eastAsia="zh-CN"/>
              </w:rPr>
            </w:pPr>
          </w:p>
        </w:tc>
        <w:tc>
          <w:tcPr>
            <w:tcW w:w="1189" w:type="dxa"/>
            <w:vMerge w:val="continue"/>
            <w:vAlign w:val="center"/>
          </w:tcPr>
          <w:p>
            <w:pPr>
              <w:pStyle w:val="98"/>
              <w:jc w:val="center"/>
              <w:rPr>
                <w:rFonts w:hint="eastAsia" w:ascii="Times New Roman" w:hAnsi="Times New Roman" w:cs="Times New Roman"/>
                <w:b/>
                <w:bCs/>
                <w:color w:val="auto"/>
                <w:szCs w:val="21"/>
                <w:lang w:val="en-US" w:eastAsia="zh-CN"/>
              </w:rPr>
            </w:pPr>
          </w:p>
        </w:tc>
        <w:tc>
          <w:tcPr>
            <w:tcW w:w="1173" w:type="dxa"/>
            <w:vMerge w:val="continue"/>
            <w:vAlign w:val="center"/>
          </w:tcPr>
          <w:p>
            <w:pPr>
              <w:pStyle w:val="98"/>
              <w:jc w:val="center"/>
              <w:rPr>
                <w:rFonts w:hint="eastAsia" w:ascii="Times New Roman" w:hAnsi="Times New Roman" w:cs="Times New Roman"/>
                <w:b/>
                <w:bCs/>
                <w:color w:val="auto"/>
                <w:szCs w:val="21"/>
                <w:lang w:val="en-US" w:eastAsia="zh-CN"/>
              </w:rPr>
            </w:pPr>
          </w:p>
        </w:tc>
        <w:tc>
          <w:tcPr>
            <w:tcW w:w="1132" w:type="dxa"/>
            <w:vAlign w:val="center"/>
          </w:tcPr>
          <w:p>
            <w:pPr>
              <w:pStyle w:val="98"/>
              <w:jc w:val="center"/>
              <w:rPr>
                <w:rFonts w:hint="default"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CODcr</w:t>
            </w:r>
          </w:p>
        </w:tc>
        <w:tc>
          <w:tcPr>
            <w:tcW w:w="1091" w:type="dxa"/>
            <w:vAlign w:val="center"/>
          </w:tcPr>
          <w:p>
            <w:pPr>
              <w:pStyle w:val="98"/>
              <w:jc w:val="center"/>
              <w:rPr>
                <w:rFonts w:hint="default"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BOD</w:t>
            </w:r>
            <w:r>
              <w:rPr>
                <w:rFonts w:hint="eastAsia" w:ascii="Times New Roman" w:hAnsi="Times New Roman" w:cs="Times New Roman"/>
                <w:b/>
                <w:bCs/>
                <w:color w:val="auto"/>
                <w:szCs w:val="21"/>
                <w:vertAlign w:val="subscript"/>
                <w:lang w:val="en-US" w:eastAsia="zh-CN"/>
              </w:rPr>
              <w:t>5</w:t>
            </w:r>
          </w:p>
        </w:tc>
        <w:tc>
          <w:tcPr>
            <w:tcW w:w="1036" w:type="dxa"/>
            <w:vAlign w:val="center"/>
          </w:tcPr>
          <w:p>
            <w:pPr>
              <w:pStyle w:val="98"/>
              <w:jc w:val="center"/>
              <w:rPr>
                <w:rFonts w:hint="default"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SS</w:t>
            </w:r>
          </w:p>
        </w:tc>
        <w:tc>
          <w:tcPr>
            <w:tcW w:w="1145" w:type="dxa"/>
            <w:vAlign w:val="center"/>
          </w:tcPr>
          <w:p>
            <w:pPr>
              <w:pStyle w:val="98"/>
              <w:jc w:val="center"/>
              <w:rPr>
                <w:rFonts w:hint="default"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NH</w:t>
            </w:r>
            <w:r>
              <w:rPr>
                <w:rFonts w:hint="eastAsia" w:ascii="Times New Roman" w:hAnsi="Times New Roman" w:cs="Times New Roman"/>
                <w:b/>
                <w:bCs/>
                <w:color w:val="auto"/>
                <w:szCs w:val="21"/>
                <w:vertAlign w:val="subscript"/>
                <w:lang w:val="en-US" w:eastAsia="zh-CN"/>
              </w:rPr>
              <w:t>3</w:t>
            </w:r>
            <w:r>
              <w:rPr>
                <w:rFonts w:hint="eastAsia" w:ascii="Times New Roman" w:hAnsi="Times New Roman" w:cs="Times New Roman"/>
                <w:b/>
                <w:bCs/>
                <w:color w:val="auto"/>
                <w:szCs w:val="21"/>
                <w:lang w:val="en-US" w:eastAsia="zh-CN"/>
              </w:rPr>
              <w:t>-N</w:t>
            </w:r>
          </w:p>
        </w:tc>
        <w:tc>
          <w:tcPr>
            <w:tcW w:w="963" w:type="dxa"/>
            <w:vAlign w:val="center"/>
          </w:tcPr>
          <w:p>
            <w:pPr>
              <w:keepNext w:val="0"/>
              <w:keepLines w:val="0"/>
              <w:widowControl/>
              <w:suppressLineNumbers w:val="0"/>
              <w:jc w:val="center"/>
              <w:textAlignment w:val="center"/>
              <w:rPr>
                <w:rFonts w:hint="default" w:ascii="Times New Roman" w:hAnsi="Times New Roman" w:cs="Times New Roman"/>
                <w:b/>
                <w:bCs/>
                <w:color w:val="auto"/>
                <w:szCs w:val="21"/>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TP</w:t>
            </w:r>
          </w:p>
        </w:tc>
        <w:tc>
          <w:tcPr>
            <w:tcW w:w="700" w:type="dxa"/>
            <w:vAlign w:val="center"/>
          </w:tcPr>
          <w:p>
            <w:pPr>
              <w:pStyle w:val="98"/>
              <w:jc w:val="center"/>
              <w:rPr>
                <w:rFonts w:hint="default" w:ascii="Times New Roman" w:hAnsi="Times New Roman" w:eastAsia="宋体" w:cs="Times New Roman"/>
                <w:b/>
                <w:bCs/>
                <w:color w:val="auto"/>
                <w:kern w:val="2"/>
                <w:sz w:val="21"/>
                <w:szCs w:val="21"/>
                <w:lang w:val="en-US" w:eastAsia="zh-CN" w:bidi="zh-CN"/>
              </w:rPr>
            </w:pPr>
            <w:r>
              <w:rPr>
                <w:rFonts w:hint="eastAsia" w:ascii="Times New Roman" w:hAnsi="Times New Roman" w:cs="Times New Roman"/>
                <w:b/>
                <w:bCs/>
                <w:color w:val="auto"/>
                <w:szCs w:val="21"/>
                <w:lang w:val="en-US" w:eastAsia="zh-CN"/>
              </w:rPr>
              <w:t>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3" w:type="dxa"/>
            <w:vMerge w:val="restart"/>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生活污水</w:t>
            </w:r>
          </w:p>
        </w:tc>
        <w:tc>
          <w:tcPr>
            <w:tcW w:w="1189" w:type="dxa"/>
            <w:vMerge w:val="restart"/>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2336</w:t>
            </w:r>
          </w:p>
        </w:tc>
        <w:tc>
          <w:tcPr>
            <w:tcW w:w="1173"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产生浓度mg/L</w:t>
            </w:r>
          </w:p>
        </w:tc>
        <w:tc>
          <w:tcPr>
            <w:tcW w:w="1132"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350</w:t>
            </w:r>
          </w:p>
        </w:tc>
        <w:tc>
          <w:tcPr>
            <w:tcW w:w="1091"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200</w:t>
            </w:r>
          </w:p>
        </w:tc>
        <w:tc>
          <w:tcPr>
            <w:tcW w:w="1036"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220</w:t>
            </w:r>
          </w:p>
        </w:tc>
        <w:tc>
          <w:tcPr>
            <w:tcW w:w="1145" w:type="dxa"/>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35</w:t>
            </w:r>
          </w:p>
        </w:tc>
        <w:tc>
          <w:tcPr>
            <w:tcW w:w="963" w:type="dxa"/>
            <w:vAlign w:val="center"/>
          </w:tcPr>
          <w:p>
            <w:pPr>
              <w:keepNext w:val="0"/>
              <w:keepLines w:val="0"/>
              <w:widowControl/>
              <w:suppressLineNumbers w:val="0"/>
              <w:jc w:val="center"/>
              <w:textAlignment w:val="center"/>
              <w:rPr>
                <w:rFonts w:hint="default" w:ascii="Times New Roman" w:hAnsi="Times New Roman"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15</w:t>
            </w:r>
          </w:p>
        </w:tc>
        <w:tc>
          <w:tcPr>
            <w:tcW w:w="700" w:type="dxa"/>
            <w:vAlign w:val="center"/>
          </w:tcPr>
          <w:p>
            <w:pPr>
              <w:pStyle w:val="98"/>
              <w:jc w:val="center"/>
              <w:rPr>
                <w:rFonts w:hint="default"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3" w:type="dxa"/>
            <w:vMerge w:val="continue"/>
            <w:vAlign w:val="center"/>
          </w:tcPr>
          <w:p>
            <w:pPr>
              <w:pStyle w:val="98"/>
              <w:jc w:val="center"/>
              <w:rPr>
                <w:rFonts w:hint="eastAsia" w:ascii="Times New Roman" w:hAnsi="Times New Roman" w:cs="Times New Roman"/>
                <w:color w:val="auto"/>
                <w:szCs w:val="21"/>
                <w:lang w:val="en-US" w:eastAsia="zh-CN"/>
              </w:rPr>
            </w:pPr>
          </w:p>
        </w:tc>
        <w:tc>
          <w:tcPr>
            <w:tcW w:w="1189" w:type="dxa"/>
            <w:vMerge w:val="continue"/>
            <w:vAlign w:val="center"/>
          </w:tcPr>
          <w:p>
            <w:pPr>
              <w:pStyle w:val="98"/>
              <w:jc w:val="center"/>
              <w:rPr>
                <w:rFonts w:hint="eastAsia" w:ascii="Times New Roman" w:hAnsi="Times New Roman" w:cs="Times New Roman"/>
                <w:color w:val="auto"/>
                <w:szCs w:val="21"/>
                <w:lang w:val="en-US" w:eastAsia="zh-CN"/>
              </w:rPr>
            </w:pPr>
          </w:p>
        </w:tc>
        <w:tc>
          <w:tcPr>
            <w:tcW w:w="1173" w:type="dxa"/>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产生量t/a</w:t>
            </w:r>
          </w:p>
        </w:tc>
        <w:tc>
          <w:tcPr>
            <w:tcW w:w="1132" w:type="dxa"/>
            <w:vAlign w:val="center"/>
          </w:tcPr>
          <w:p>
            <w:pPr>
              <w:keepNext w:val="0"/>
              <w:keepLines w:val="0"/>
              <w:widowControl/>
              <w:suppressLineNumbers w:val="0"/>
              <w:jc w:val="center"/>
              <w:textAlignment w:val="center"/>
              <w:rPr>
                <w:rFonts w:hint="default" w:ascii="Times New Roman" w:hAnsi="Times New Roman"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0.82 </w:t>
            </w:r>
          </w:p>
        </w:tc>
        <w:tc>
          <w:tcPr>
            <w:tcW w:w="1091" w:type="dxa"/>
            <w:vAlign w:val="center"/>
          </w:tcPr>
          <w:p>
            <w:pPr>
              <w:keepNext w:val="0"/>
              <w:keepLines w:val="0"/>
              <w:widowControl/>
              <w:suppressLineNumbers w:val="0"/>
              <w:jc w:val="center"/>
              <w:textAlignment w:val="center"/>
              <w:rPr>
                <w:rFonts w:hint="default" w:ascii="Times New Roman" w:hAnsi="Times New Roman"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0.47 </w:t>
            </w:r>
          </w:p>
        </w:tc>
        <w:tc>
          <w:tcPr>
            <w:tcW w:w="1036" w:type="dxa"/>
            <w:vAlign w:val="center"/>
          </w:tcPr>
          <w:p>
            <w:pPr>
              <w:keepNext w:val="0"/>
              <w:keepLines w:val="0"/>
              <w:widowControl/>
              <w:suppressLineNumbers w:val="0"/>
              <w:jc w:val="center"/>
              <w:textAlignment w:val="center"/>
              <w:rPr>
                <w:rFonts w:hint="default" w:ascii="Times New Roman" w:hAnsi="Times New Roman"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0.51 </w:t>
            </w:r>
          </w:p>
        </w:tc>
        <w:tc>
          <w:tcPr>
            <w:tcW w:w="1145" w:type="dxa"/>
            <w:vAlign w:val="center"/>
          </w:tcPr>
          <w:p>
            <w:pPr>
              <w:keepNext w:val="0"/>
              <w:keepLines w:val="0"/>
              <w:widowControl/>
              <w:suppressLineNumbers w:val="0"/>
              <w:jc w:val="center"/>
              <w:textAlignment w:val="center"/>
              <w:rPr>
                <w:rFonts w:hint="default" w:ascii="Times New Roman" w:hAnsi="Times New Roman"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0.08 </w:t>
            </w:r>
          </w:p>
        </w:tc>
        <w:tc>
          <w:tcPr>
            <w:tcW w:w="963" w:type="dxa"/>
            <w:vAlign w:val="center"/>
          </w:tcPr>
          <w:p>
            <w:pPr>
              <w:keepNext w:val="0"/>
              <w:keepLines w:val="0"/>
              <w:widowControl/>
              <w:suppressLineNumbers w:val="0"/>
              <w:jc w:val="center"/>
              <w:textAlignment w:val="center"/>
              <w:rPr>
                <w:rFonts w:hint="default" w:ascii="Times New Roman" w:hAnsi="Times New Roman"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0.04</w:t>
            </w:r>
          </w:p>
        </w:tc>
        <w:tc>
          <w:tcPr>
            <w:tcW w:w="700" w:type="dxa"/>
            <w:vAlign w:val="center"/>
          </w:tcPr>
          <w:p>
            <w:pPr>
              <w:keepNext w:val="0"/>
              <w:keepLines w:val="0"/>
              <w:widowControl/>
              <w:suppressLineNumbers w:val="0"/>
              <w:jc w:val="center"/>
              <w:textAlignment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0.05 </w:t>
            </w:r>
          </w:p>
        </w:tc>
      </w:tr>
    </w:tbl>
    <w:p>
      <w:pPr>
        <w:adjustRightInd w:val="0"/>
        <w:snapToGrid w:val="0"/>
        <w:spacing w:line="360" w:lineRule="auto"/>
        <w:ind w:firstLine="480" w:firstLineChars="200"/>
        <w:rPr>
          <w:rFonts w:hint="eastAsia" w:ascii="Times New Roman" w:hAnsi="Times New Roman" w:eastAsia="宋体"/>
          <w:snapToGrid w:val="0"/>
          <w:color w:val="auto"/>
          <w:sz w:val="24"/>
          <w:lang w:val="en-US" w:eastAsia="zh-CN"/>
        </w:rPr>
      </w:pPr>
      <w:r>
        <w:rPr>
          <w:rFonts w:hint="eastAsia" w:ascii="Times New Roman" w:hAnsi="Times New Roman" w:eastAsia="宋体"/>
          <w:snapToGrid w:val="0"/>
          <w:color w:val="auto"/>
          <w:sz w:val="24"/>
          <w:lang w:val="en-US" w:eastAsia="zh-CN"/>
        </w:rPr>
        <w:t>4、综合废水</w:t>
      </w:r>
    </w:p>
    <w:p>
      <w:pPr>
        <w:adjustRightInd w:val="0"/>
        <w:snapToGrid w:val="0"/>
        <w:spacing w:line="360" w:lineRule="auto"/>
        <w:ind w:firstLine="480" w:firstLineChars="200"/>
        <w:rPr>
          <w:rFonts w:hint="eastAsia" w:ascii="Times New Roman" w:hAnsi="Times New Roman" w:eastAsia="宋体" w:cs="Times New Roman"/>
          <w:snapToGrid w:val="0"/>
          <w:color w:val="auto"/>
          <w:sz w:val="24"/>
          <w:lang w:val="en-US" w:eastAsia="zh-CN"/>
        </w:rPr>
      </w:pPr>
      <w:r>
        <w:rPr>
          <w:rFonts w:hint="eastAsia" w:ascii="Times New Roman" w:hAnsi="Times New Roman" w:eastAsia="宋体" w:cs="Times New Roman"/>
          <w:snapToGrid w:val="0"/>
          <w:color w:val="auto"/>
          <w:sz w:val="24"/>
          <w:lang w:val="en-US" w:eastAsia="zh-CN"/>
        </w:rPr>
        <w:t>本项目生活废水、养殖废水一并进入污水处理区处理达到《农田灌溉水质标准》（GB5084-2021）旱作标准后，用于农田灌溉，不外排。本项目综合废水水质如下：</w:t>
      </w: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hint="eastAsia" w:ascii="Times New Roman" w:hAnsi="Times New Roman" w:eastAsia="宋体"/>
          <w:b/>
          <w:color w:val="auto"/>
          <w:szCs w:val="21"/>
          <w:highlight w:val="none"/>
          <w:lang w:eastAsia="zh-CN"/>
        </w:rPr>
      </w:pPr>
      <w:r>
        <w:rPr>
          <w:rFonts w:hint="eastAsia" w:ascii="Times New Roman" w:hAnsi="Times New Roman" w:eastAsia="宋体"/>
          <w:b/>
          <w:color w:val="auto"/>
          <w:szCs w:val="21"/>
          <w:highlight w:val="none"/>
          <w:lang w:val="en-US" w:eastAsia="zh-CN"/>
        </w:rPr>
        <w:t>表3.5</w:t>
      </w:r>
      <w:r>
        <w:rPr>
          <w:rFonts w:hint="eastAsia" w:ascii="Times New Roman" w:hAnsi="Times New Roman" w:eastAsia="宋体"/>
          <w:b/>
          <w:color w:val="auto"/>
          <w:szCs w:val="21"/>
          <w:highlight w:val="none"/>
        </w:rPr>
        <w:t>-</w:t>
      </w:r>
      <w:r>
        <w:rPr>
          <w:rFonts w:hint="eastAsia" w:ascii="Times New Roman" w:hAnsi="Times New Roman" w:eastAsia="宋体"/>
          <w:b/>
          <w:color w:val="auto"/>
          <w:szCs w:val="21"/>
          <w:highlight w:val="none"/>
          <w:lang w:val="en-US" w:eastAsia="zh-CN"/>
        </w:rPr>
        <w:t xml:space="preserve">15 </w:t>
      </w:r>
      <w:r>
        <w:rPr>
          <w:rFonts w:ascii="Times New Roman" w:hAnsi="Times New Roman" w:eastAsia="宋体"/>
          <w:b/>
          <w:color w:val="auto"/>
          <w:szCs w:val="21"/>
          <w:highlight w:val="none"/>
        </w:rPr>
        <w:t xml:space="preserve"> </w:t>
      </w:r>
      <w:r>
        <w:rPr>
          <w:rFonts w:hint="eastAsia" w:ascii="Times New Roman" w:hAnsi="Times New Roman" w:eastAsia="宋体"/>
          <w:b/>
          <w:color w:val="auto"/>
          <w:szCs w:val="21"/>
          <w:highlight w:val="none"/>
          <w:lang w:eastAsia="zh-CN"/>
        </w:rPr>
        <w:t>养殖废水污染物产生量一览表</w:t>
      </w:r>
    </w:p>
    <w:tbl>
      <w:tblPr>
        <w:tblStyle w:val="35"/>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2"/>
        <w:gridCol w:w="1118"/>
        <w:gridCol w:w="746"/>
        <w:gridCol w:w="1004"/>
        <w:gridCol w:w="898"/>
        <w:gridCol w:w="898"/>
        <w:gridCol w:w="912"/>
        <w:gridCol w:w="885"/>
        <w:gridCol w:w="887"/>
        <w:gridCol w:w="12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327" w:type="pct"/>
            <w:vMerge w:val="restart"/>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废水来源</w:t>
            </w:r>
          </w:p>
        </w:tc>
        <w:tc>
          <w:tcPr>
            <w:tcW w:w="607" w:type="pct"/>
            <w:vMerge w:val="restart"/>
            <w:vAlign w:val="center"/>
          </w:tcPr>
          <w:p>
            <w:pPr>
              <w:pStyle w:val="98"/>
              <w:jc w:val="center"/>
              <w:rPr>
                <w:rFonts w:hint="default"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废水量m</w:t>
            </w:r>
            <w:r>
              <w:rPr>
                <w:rFonts w:hint="eastAsia" w:ascii="Times New Roman" w:hAnsi="Times New Roman" w:cs="Times New Roman"/>
                <w:b/>
                <w:bCs/>
                <w:color w:val="auto"/>
                <w:szCs w:val="21"/>
                <w:vertAlign w:val="superscript"/>
                <w:lang w:val="en-US" w:eastAsia="zh-CN"/>
              </w:rPr>
              <w:t>3</w:t>
            </w:r>
            <w:r>
              <w:rPr>
                <w:rFonts w:hint="eastAsia" w:ascii="Times New Roman" w:hAnsi="Times New Roman" w:cs="Times New Roman"/>
                <w:b/>
                <w:bCs/>
                <w:color w:val="auto"/>
                <w:szCs w:val="21"/>
                <w:lang w:val="en-US" w:eastAsia="zh-CN"/>
              </w:rPr>
              <w:t>/a</w:t>
            </w:r>
          </w:p>
        </w:tc>
        <w:tc>
          <w:tcPr>
            <w:tcW w:w="405" w:type="pct"/>
            <w:vMerge w:val="restart"/>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指标</w:t>
            </w:r>
          </w:p>
        </w:tc>
        <w:tc>
          <w:tcPr>
            <w:tcW w:w="3659" w:type="pct"/>
            <w:gridSpan w:val="7"/>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污染物名称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327" w:type="pct"/>
            <w:vMerge w:val="continue"/>
            <w:vAlign w:val="center"/>
          </w:tcPr>
          <w:p>
            <w:pPr>
              <w:pStyle w:val="98"/>
              <w:jc w:val="center"/>
              <w:rPr>
                <w:rFonts w:hint="eastAsia" w:ascii="Times New Roman" w:hAnsi="Times New Roman" w:cs="Times New Roman"/>
                <w:b/>
                <w:bCs/>
                <w:color w:val="auto"/>
                <w:szCs w:val="21"/>
                <w:lang w:val="en-US" w:eastAsia="zh-CN"/>
              </w:rPr>
            </w:pPr>
          </w:p>
        </w:tc>
        <w:tc>
          <w:tcPr>
            <w:tcW w:w="607" w:type="pct"/>
            <w:vMerge w:val="continue"/>
            <w:vAlign w:val="center"/>
          </w:tcPr>
          <w:p>
            <w:pPr>
              <w:pStyle w:val="98"/>
              <w:jc w:val="center"/>
              <w:rPr>
                <w:rFonts w:hint="eastAsia" w:ascii="Times New Roman" w:hAnsi="Times New Roman" w:cs="Times New Roman"/>
                <w:b/>
                <w:bCs/>
                <w:color w:val="auto"/>
                <w:szCs w:val="21"/>
                <w:lang w:val="en-US" w:eastAsia="zh-CN"/>
              </w:rPr>
            </w:pPr>
          </w:p>
        </w:tc>
        <w:tc>
          <w:tcPr>
            <w:tcW w:w="405" w:type="pct"/>
            <w:vMerge w:val="continue"/>
            <w:vAlign w:val="center"/>
          </w:tcPr>
          <w:p>
            <w:pPr>
              <w:pStyle w:val="98"/>
              <w:jc w:val="center"/>
              <w:rPr>
                <w:rFonts w:hint="eastAsia" w:ascii="Times New Roman" w:hAnsi="Times New Roman" w:cs="Times New Roman"/>
                <w:b/>
                <w:bCs/>
                <w:color w:val="auto"/>
                <w:szCs w:val="21"/>
                <w:lang w:val="en-US" w:eastAsia="zh-CN"/>
              </w:rPr>
            </w:pPr>
          </w:p>
        </w:tc>
        <w:tc>
          <w:tcPr>
            <w:tcW w:w="544" w:type="pct"/>
            <w:vAlign w:val="center"/>
          </w:tcPr>
          <w:p>
            <w:pPr>
              <w:pStyle w:val="98"/>
              <w:jc w:val="center"/>
              <w:rPr>
                <w:rFonts w:hint="default"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CODcr</w:t>
            </w:r>
          </w:p>
        </w:tc>
        <w:tc>
          <w:tcPr>
            <w:tcW w:w="487" w:type="pct"/>
            <w:vAlign w:val="center"/>
          </w:tcPr>
          <w:p>
            <w:pPr>
              <w:pStyle w:val="98"/>
              <w:jc w:val="center"/>
              <w:rPr>
                <w:rFonts w:hint="default"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BOD</w:t>
            </w:r>
            <w:r>
              <w:rPr>
                <w:rFonts w:hint="eastAsia" w:ascii="Times New Roman" w:hAnsi="Times New Roman" w:cs="Times New Roman"/>
                <w:b/>
                <w:bCs/>
                <w:color w:val="auto"/>
                <w:szCs w:val="21"/>
                <w:vertAlign w:val="subscript"/>
                <w:lang w:val="en-US" w:eastAsia="zh-CN"/>
              </w:rPr>
              <w:t>5</w:t>
            </w:r>
          </w:p>
        </w:tc>
        <w:tc>
          <w:tcPr>
            <w:tcW w:w="487" w:type="pct"/>
            <w:vAlign w:val="center"/>
          </w:tcPr>
          <w:p>
            <w:pPr>
              <w:pStyle w:val="98"/>
              <w:jc w:val="center"/>
              <w:rPr>
                <w:rFonts w:hint="default"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SS</w:t>
            </w:r>
          </w:p>
        </w:tc>
        <w:tc>
          <w:tcPr>
            <w:tcW w:w="495" w:type="pct"/>
            <w:vAlign w:val="center"/>
          </w:tcPr>
          <w:p>
            <w:pPr>
              <w:pStyle w:val="98"/>
              <w:jc w:val="center"/>
              <w:rPr>
                <w:rFonts w:hint="default"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NH</w:t>
            </w:r>
            <w:r>
              <w:rPr>
                <w:rFonts w:hint="eastAsia" w:ascii="Times New Roman" w:hAnsi="Times New Roman" w:cs="Times New Roman"/>
                <w:b/>
                <w:bCs/>
                <w:color w:val="auto"/>
                <w:szCs w:val="21"/>
                <w:vertAlign w:val="subscript"/>
                <w:lang w:val="en-US" w:eastAsia="zh-CN"/>
              </w:rPr>
              <w:t>3</w:t>
            </w:r>
            <w:r>
              <w:rPr>
                <w:rFonts w:hint="eastAsia" w:ascii="Times New Roman" w:hAnsi="Times New Roman" w:cs="Times New Roman"/>
                <w:b/>
                <w:bCs/>
                <w:color w:val="auto"/>
                <w:szCs w:val="21"/>
                <w:lang w:val="en-US" w:eastAsia="zh-CN"/>
              </w:rPr>
              <w:t>-N</w:t>
            </w:r>
          </w:p>
        </w:tc>
        <w:tc>
          <w:tcPr>
            <w:tcW w:w="480" w:type="pct"/>
            <w:vAlign w:val="center"/>
          </w:tcPr>
          <w:p>
            <w:pPr>
              <w:pStyle w:val="98"/>
              <w:jc w:val="center"/>
              <w:rPr>
                <w:rFonts w:hint="default"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TP</w:t>
            </w:r>
          </w:p>
        </w:tc>
        <w:tc>
          <w:tcPr>
            <w:tcW w:w="481" w:type="pct"/>
            <w:vAlign w:val="center"/>
          </w:tcPr>
          <w:p>
            <w:pPr>
              <w:pStyle w:val="98"/>
              <w:jc w:val="center"/>
              <w:rPr>
                <w:rFonts w:hint="default"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TN</w:t>
            </w:r>
          </w:p>
        </w:tc>
        <w:tc>
          <w:tcPr>
            <w:tcW w:w="682" w:type="pct"/>
            <w:vAlign w:val="center"/>
          </w:tcPr>
          <w:p>
            <w:pPr>
              <w:pStyle w:val="98"/>
              <w:jc w:val="center"/>
              <w:rPr>
                <w:rFonts w:hint="eastAsia"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粪大肠菌群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jc w:val="center"/>
        </w:trPr>
        <w:tc>
          <w:tcPr>
            <w:tcW w:w="327" w:type="pct"/>
            <w:vMerge w:val="restart"/>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养殖废水</w:t>
            </w:r>
          </w:p>
        </w:tc>
        <w:tc>
          <w:tcPr>
            <w:tcW w:w="607" w:type="pct"/>
            <w:vMerge w:val="restart"/>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Cs w:val="21"/>
                <w:lang w:val="en-US" w:eastAsia="zh-CN"/>
              </w:rPr>
            </w:pPr>
            <w:r>
              <w:rPr>
                <w:rFonts w:hint="eastAsia" w:ascii="Times New Roman" w:hAnsi="Times New Roman" w:eastAsia="宋体" w:cs="Times New Roman"/>
                <w:color w:val="auto"/>
                <w:sz w:val="21"/>
                <w:szCs w:val="21"/>
                <w:lang w:val="en-US" w:eastAsia="zh-CN"/>
              </w:rPr>
              <w:t>22605.95</w:t>
            </w:r>
          </w:p>
        </w:tc>
        <w:tc>
          <w:tcPr>
            <w:tcW w:w="405" w:type="pct"/>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Cs w:val="21"/>
                <w:lang w:val="en-US" w:eastAsia="zh-CN"/>
              </w:rPr>
            </w:pPr>
            <w:r>
              <w:rPr>
                <w:rFonts w:hint="default" w:ascii="Times New Roman" w:hAnsi="Times New Roman" w:eastAsia="宋体" w:cs="Times New Roman"/>
                <w:color w:val="auto"/>
                <w:sz w:val="21"/>
                <w:szCs w:val="21"/>
                <w:lang w:val="en-US" w:eastAsia="zh-CN"/>
              </w:rPr>
              <w:t>产生浓度mg/L</w:t>
            </w:r>
          </w:p>
        </w:tc>
        <w:tc>
          <w:tcPr>
            <w:tcW w:w="544" w:type="pct"/>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Cs w:val="21"/>
                <w:lang w:val="en-US" w:eastAsia="zh-CN"/>
              </w:rPr>
            </w:pPr>
            <w:r>
              <w:rPr>
                <w:rFonts w:hint="default" w:ascii="Times New Roman" w:hAnsi="Times New Roman" w:eastAsia="宋体" w:cs="Times New Roman"/>
                <w:color w:val="auto"/>
                <w:sz w:val="21"/>
                <w:szCs w:val="21"/>
                <w:lang w:val="en-US" w:eastAsia="zh-CN"/>
              </w:rPr>
              <w:t>12000</w:t>
            </w:r>
          </w:p>
        </w:tc>
        <w:tc>
          <w:tcPr>
            <w:tcW w:w="487" w:type="pct"/>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Cs w:val="21"/>
                <w:lang w:val="en-US" w:eastAsia="zh-CN"/>
              </w:rPr>
            </w:pPr>
            <w:r>
              <w:rPr>
                <w:rFonts w:hint="eastAsia" w:ascii="Times New Roman" w:hAnsi="Times New Roman" w:eastAsia="宋体" w:cs="Times New Roman"/>
                <w:color w:val="auto"/>
                <w:sz w:val="21"/>
                <w:szCs w:val="21"/>
                <w:lang w:val="en-US" w:eastAsia="zh-CN"/>
              </w:rPr>
              <w:t>1000</w:t>
            </w:r>
          </w:p>
        </w:tc>
        <w:tc>
          <w:tcPr>
            <w:tcW w:w="487" w:type="pct"/>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Cs w:val="21"/>
                <w:lang w:val="en-US" w:eastAsia="zh-CN"/>
              </w:rPr>
            </w:pPr>
            <w:r>
              <w:rPr>
                <w:rFonts w:hint="default" w:ascii="Times New Roman" w:hAnsi="Times New Roman" w:eastAsia="宋体" w:cs="Times New Roman"/>
                <w:color w:val="auto"/>
                <w:sz w:val="21"/>
                <w:szCs w:val="21"/>
                <w:lang w:val="en-US" w:eastAsia="zh-CN"/>
              </w:rPr>
              <w:t>500</w:t>
            </w:r>
          </w:p>
        </w:tc>
        <w:tc>
          <w:tcPr>
            <w:tcW w:w="495" w:type="pct"/>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Cs w:val="21"/>
                <w:lang w:val="en-US" w:eastAsia="zh-CN"/>
              </w:rPr>
            </w:pPr>
            <w:r>
              <w:rPr>
                <w:rFonts w:hint="eastAsia" w:ascii="Times New Roman" w:hAnsi="Times New Roman" w:eastAsia="宋体" w:cs="Times New Roman"/>
                <w:color w:val="auto"/>
                <w:sz w:val="21"/>
                <w:szCs w:val="21"/>
                <w:lang w:val="en-US" w:eastAsia="zh-CN"/>
              </w:rPr>
              <w:t>400</w:t>
            </w:r>
          </w:p>
        </w:tc>
        <w:tc>
          <w:tcPr>
            <w:tcW w:w="480" w:type="pct"/>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Cs w:val="21"/>
                <w:lang w:val="en-US" w:eastAsia="zh-CN"/>
              </w:rPr>
            </w:pPr>
            <w:r>
              <w:rPr>
                <w:rFonts w:hint="eastAsia" w:ascii="Times New Roman" w:hAnsi="Times New Roman" w:eastAsia="宋体" w:cs="Times New Roman"/>
                <w:color w:val="auto"/>
                <w:sz w:val="21"/>
                <w:szCs w:val="21"/>
                <w:lang w:val="en-US" w:eastAsia="zh-CN"/>
              </w:rPr>
              <w:t>50</w:t>
            </w:r>
          </w:p>
        </w:tc>
        <w:tc>
          <w:tcPr>
            <w:tcW w:w="481" w:type="pct"/>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Cs w:val="21"/>
                <w:lang w:val="en-US" w:eastAsia="zh-CN"/>
              </w:rPr>
            </w:pPr>
            <w:r>
              <w:rPr>
                <w:rFonts w:hint="eastAsia" w:ascii="Times New Roman" w:hAnsi="Times New Roman" w:eastAsia="宋体" w:cs="Times New Roman"/>
                <w:color w:val="auto"/>
                <w:sz w:val="21"/>
                <w:szCs w:val="21"/>
                <w:lang w:val="en-US" w:eastAsia="zh-CN"/>
              </w:rPr>
              <w:t>550</w:t>
            </w:r>
          </w:p>
        </w:tc>
        <w:tc>
          <w:tcPr>
            <w:tcW w:w="682" w:type="pct"/>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Cs w:val="21"/>
                <w:lang w:val="en-US" w:eastAsia="zh-CN"/>
              </w:rPr>
            </w:pPr>
            <w:r>
              <w:rPr>
                <w:rFonts w:hint="default" w:ascii="Times New Roman" w:hAnsi="Times New Roman" w:eastAsia="宋体" w:cs="Times New Roman"/>
                <w:color w:val="auto"/>
                <w:sz w:val="21"/>
                <w:szCs w:val="21"/>
                <w:lang w:val="en-US" w:eastAsia="zh-CN"/>
              </w:rPr>
              <w:t>2</w:t>
            </w:r>
            <w:r>
              <w:rPr>
                <w:rFonts w:hint="default" w:ascii="Times New Roman" w:hAnsi="Times New Roman" w:cs="Times New Roman"/>
                <w:color w:val="auto"/>
                <w:sz w:val="21"/>
                <w:szCs w:val="21"/>
                <w:lang w:val="en-US" w:eastAsia="zh-CN"/>
              </w:rPr>
              <w:t>4000</w:t>
            </w:r>
            <w:r>
              <w:rPr>
                <w:rFonts w:hint="default" w:ascii="Times New Roman" w:hAnsi="Times New Roman" w:eastAsia="宋体" w:cs="Times New Roman"/>
                <w:color w:val="auto"/>
                <w:sz w:val="21"/>
                <w:szCs w:val="21"/>
                <w:lang w:val="en-US" w:eastAsia="zh-CN"/>
              </w:rPr>
              <w:t>个 /</w:t>
            </w:r>
            <w:r>
              <w:rPr>
                <w:rFonts w:hint="default" w:ascii="Times New Roman" w:hAnsi="Times New Roman" w:cs="Times New Roman"/>
                <w:color w:val="auto"/>
                <w:sz w:val="21"/>
                <w:szCs w:val="21"/>
                <w:lang w:val="en-US" w:eastAsia="zh-CN"/>
              </w:rPr>
              <w:t>100m</w:t>
            </w:r>
            <w:r>
              <w:rPr>
                <w:rFonts w:hint="default" w:ascii="Times New Roman" w:hAnsi="Times New Roman" w:eastAsia="宋体" w:cs="Times New Roman"/>
                <w:color w:val="auto"/>
                <w:sz w:val="21"/>
                <w:szCs w:val="21"/>
                <w:lang w:val="en-US" w:eastAsia="zh-CN"/>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7" w:type="pct"/>
            <w:vMerge w:val="continue"/>
            <w:vAlign w:val="center"/>
          </w:tcPr>
          <w:p>
            <w:pPr>
              <w:pStyle w:val="98"/>
              <w:jc w:val="center"/>
              <w:rPr>
                <w:rFonts w:hint="eastAsia" w:ascii="Times New Roman" w:hAnsi="Times New Roman" w:cs="Times New Roman"/>
                <w:color w:val="auto"/>
                <w:szCs w:val="21"/>
                <w:lang w:val="en-US" w:eastAsia="zh-CN"/>
              </w:rPr>
            </w:pPr>
          </w:p>
        </w:tc>
        <w:tc>
          <w:tcPr>
            <w:tcW w:w="607" w:type="pct"/>
            <w:vMerge w:val="continue"/>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Cs w:val="21"/>
                <w:lang w:val="en-US" w:eastAsia="zh-CN"/>
              </w:rPr>
            </w:pPr>
          </w:p>
        </w:tc>
        <w:tc>
          <w:tcPr>
            <w:tcW w:w="405" w:type="pct"/>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Cs w:val="21"/>
                <w:lang w:val="en-US" w:eastAsia="zh-CN"/>
              </w:rPr>
            </w:pPr>
            <w:r>
              <w:rPr>
                <w:rFonts w:hint="default" w:ascii="Times New Roman" w:hAnsi="Times New Roman" w:eastAsia="宋体" w:cs="Times New Roman"/>
                <w:color w:val="auto"/>
                <w:sz w:val="21"/>
                <w:szCs w:val="21"/>
                <w:lang w:val="en-US" w:eastAsia="zh-CN"/>
              </w:rPr>
              <w:t>产生量t/a</w:t>
            </w:r>
          </w:p>
        </w:tc>
        <w:tc>
          <w:tcPr>
            <w:tcW w:w="544" w:type="pct"/>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Cs w:val="21"/>
                <w:lang w:val="en-US" w:eastAsia="zh-CN"/>
              </w:rPr>
            </w:pPr>
            <w:r>
              <w:rPr>
                <w:rFonts w:hint="eastAsia" w:ascii="Times New Roman" w:hAnsi="Times New Roman" w:eastAsia="宋体" w:cs="Times New Roman"/>
                <w:color w:val="auto"/>
                <w:sz w:val="21"/>
                <w:szCs w:val="21"/>
                <w:lang w:val="en-US" w:eastAsia="zh-CN"/>
              </w:rPr>
              <w:t xml:space="preserve">271.27 </w:t>
            </w:r>
          </w:p>
        </w:tc>
        <w:tc>
          <w:tcPr>
            <w:tcW w:w="487" w:type="pct"/>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Cs w:val="21"/>
                <w:lang w:val="en-US" w:eastAsia="zh-CN"/>
              </w:rPr>
            </w:pPr>
            <w:r>
              <w:rPr>
                <w:rFonts w:hint="eastAsia" w:ascii="Times New Roman" w:hAnsi="Times New Roman" w:eastAsia="宋体" w:cs="Times New Roman"/>
                <w:color w:val="auto"/>
                <w:sz w:val="21"/>
                <w:szCs w:val="21"/>
                <w:lang w:val="en-US" w:eastAsia="zh-CN"/>
              </w:rPr>
              <w:t xml:space="preserve">22.61 </w:t>
            </w:r>
          </w:p>
        </w:tc>
        <w:tc>
          <w:tcPr>
            <w:tcW w:w="487" w:type="pct"/>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Cs w:val="21"/>
                <w:lang w:val="en-US" w:eastAsia="zh-CN"/>
              </w:rPr>
            </w:pPr>
            <w:r>
              <w:rPr>
                <w:rFonts w:hint="eastAsia" w:ascii="Times New Roman" w:hAnsi="Times New Roman" w:eastAsia="宋体" w:cs="Times New Roman"/>
                <w:color w:val="auto"/>
                <w:sz w:val="21"/>
                <w:szCs w:val="21"/>
                <w:lang w:val="en-US" w:eastAsia="zh-CN"/>
              </w:rPr>
              <w:t xml:space="preserve">11.30 </w:t>
            </w:r>
          </w:p>
        </w:tc>
        <w:tc>
          <w:tcPr>
            <w:tcW w:w="495" w:type="pct"/>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Cs w:val="21"/>
                <w:lang w:val="en-US" w:eastAsia="zh-CN"/>
              </w:rPr>
            </w:pPr>
            <w:r>
              <w:rPr>
                <w:rFonts w:hint="eastAsia" w:ascii="Times New Roman" w:hAnsi="Times New Roman" w:eastAsia="宋体" w:cs="Times New Roman"/>
                <w:color w:val="auto"/>
                <w:sz w:val="21"/>
                <w:szCs w:val="21"/>
                <w:lang w:val="en-US" w:eastAsia="zh-CN"/>
              </w:rPr>
              <w:t xml:space="preserve">9.04 </w:t>
            </w:r>
          </w:p>
        </w:tc>
        <w:tc>
          <w:tcPr>
            <w:tcW w:w="480" w:type="pct"/>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Cs w:val="21"/>
                <w:lang w:val="en-US" w:eastAsia="zh-CN"/>
              </w:rPr>
            </w:pPr>
            <w:r>
              <w:rPr>
                <w:rFonts w:hint="eastAsia" w:ascii="Times New Roman" w:hAnsi="Times New Roman" w:eastAsia="宋体" w:cs="Times New Roman"/>
                <w:color w:val="auto"/>
                <w:sz w:val="21"/>
                <w:szCs w:val="21"/>
                <w:lang w:val="en-US" w:eastAsia="zh-CN"/>
              </w:rPr>
              <w:t xml:space="preserve">1.13 </w:t>
            </w:r>
          </w:p>
        </w:tc>
        <w:tc>
          <w:tcPr>
            <w:tcW w:w="481" w:type="pct"/>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Cs w:val="21"/>
                <w:lang w:val="en-US" w:eastAsia="zh-CN"/>
              </w:rPr>
            </w:pPr>
            <w:r>
              <w:rPr>
                <w:rFonts w:hint="eastAsia" w:ascii="Times New Roman" w:hAnsi="Times New Roman" w:eastAsia="宋体" w:cs="Times New Roman"/>
                <w:color w:val="auto"/>
                <w:sz w:val="21"/>
                <w:szCs w:val="21"/>
                <w:lang w:val="en-US" w:eastAsia="zh-CN"/>
              </w:rPr>
              <w:t xml:space="preserve">12.43 </w:t>
            </w:r>
          </w:p>
        </w:tc>
        <w:tc>
          <w:tcPr>
            <w:tcW w:w="682" w:type="pct"/>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Cs w:val="21"/>
                <w:vertAlign w:val="baseline"/>
                <w:lang w:val="en-US" w:eastAsia="zh-CN"/>
              </w:rPr>
            </w:pPr>
            <w:r>
              <w:rPr>
                <w:rFonts w:hint="eastAsia" w:ascii="Times New Roman" w:hAnsi="Times New Roman" w:cs="Times New Roman"/>
                <w:color w:val="auto"/>
                <w:sz w:val="21"/>
                <w:szCs w:val="21"/>
                <w:lang w:val="en-US" w:eastAsia="zh-CN"/>
              </w:rPr>
              <w:t>5.42</w:t>
            </w:r>
            <w:r>
              <w:rPr>
                <w:rFonts w:hint="default" w:ascii="Times New Roman" w:hAnsi="Times New Roman" w:cs="Times New Roman"/>
                <w:color w:val="auto"/>
                <w:sz w:val="21"/>
                <w:szCs w:val="21"/>
                <w:lang w:val="en-US" w:eastAsia="zh-CN"/>
              </w:rPr>
              <w:t>×10</w:t>
            </w:r>
            <w:r>
              <w:rPr>
                <w:rFonts w:hint="default" w:ascii="Times New Roman" w:hAnsi="Times New Roman" w:cs="Times New Roman"/>
                <w:color w:val="auto"/>
                <w:sz w:val="21"/>
                <w:szCs w:val="21"/>
                <w:vertAlign w:val="superscript"/>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7" w:type="pct"/>
            <w:vMerge w:val="restart"/>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生活废水</w:t>
            </w:r>
          </w:p>
        </w:tc>
        <w:tc>
          <w:tcPr>
            <w:tcW w:w="607" w:type="pct"/>
            <w:vMerge w:val="restart"/>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2336</w:t>
            </w:r>
          </w:p>
        </w:tc>
        <w:tc>
          <w:tcPr>
            <w:tcW w:w="405" w:type="pct"/>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产生浓度mg/L</w:t>
            </w:r>
          </w:p>
        </w:tc>
        <w:tc>
          <w:tcPr>
            <w:tcW w:w="544" w:type="pct"/>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350</w:t>
            </w:r>
          </w:p>
        </w:tc>
        <w:tc>
          <w:tcPr>
            <w:tcW w:w="487" w:type="pct"/>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200</w:t>
            </w:r>
          </w:p>
        </w:tc>
        <w:tc>
          <w:tcPr>
            <w:tcW w:w="487" w:type="pct"/>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220</w:t>
            </w:r>
          </w:p>
        </w:tc>
        <w:tc>
          <w:tcPr>
            <w:tcW w:w="495" w:type="pct"/>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35</w:t>
            </w:r>
          </w:p>
        </w:tc>
        <w:tc>
          <w:tcPr>
            <w:tcW w:w="480" w:type="pct"/>
            <w:vAlign w:val="center"/>
          </w:tcPr>
          <w:p>
            <w:pPr>
              <w:keepNext w:val="0"/>
              <w:keepLines w:val="0"/>
              <w:widowControl/>
              <w:suppressLineNumbers w:val="0"/>
              <w:jc w:val="center"/>
              <w:textAlignment w:val="center"/>
              <w:rPr>
                <w:rFonts w:hint="eastAsia" w:ascii="Times New Roman" w:hAnsi="Times New Roman"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15</w:t>
            </w:r>
          </w:p>
        </w:tc>
        <w:tc>
          <w:tcPr>
            <w:tcW w:w="481" w:type="pct"/>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20</w:t>
            </w:r>
          </w:p>
        </w:tc>
        <w:tc>
          <w:tcPr>
            <w:tcW w:w="682" w:type="pct"/>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327" w:type="pct"/>
            <w:vMerge w:val="continue"/>
            <w:vAlign w:val="center"/>
          </w:tcPr>
          <w:p>
            <w:pPr>
              <w:pStyle w:val="98"/>
              <w:jc w:val="center"/>
              <w:rPr>
                <w:rFonts w:hint="eastAsia" w:ascii="Times New Roman" w:hAnsi="Times New Roman" w:cs="Times New Roman"/>
                <w:color w:val="auto"/>
                <w:szCs w:val="21"/>
                <w:lang w:val="en-US" w:eastAsia="zh-CN"/>
              </w:rPr>
            </w:pPr>
          </w:p>
        </w:tc>
        <w:tc>
          <w:tcPr>
            <w:tcW w:w="607" w:type="pct"/>
            <w:vMerge w:val="continue"/>
            <w:vAlign w:val="center"/>
          </w:tcPr>
          <w:p>
            <w:pPr>
              <w:pStyle w:val="98"/>
              <w:jc w:val="center"/>
              <w:rPr>
                <w:rFonts w:hint="eastAsia" w:ascii="Times New Roman" w:hAnsi="Times New Roman" w:cs="Times New Roman"/>
                <w:color w:val="auto"/>
                <w:szCs w:val="21"/>
                <w:lang w:val="en-US" w:eastAsia="zh-CN"/>
              </w:rPr>
            </w:pPr>
          </w:p>
        </w:tc>
        <w:tc>
          <w:tcPr>
            <w:tcW w:w="405" w:type="pct"/>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产生量t/a</w:t>
            </w:r>
          </w:p>
        </w:tc>
        <w:tc>
          <w:tcPr>
            <w:tcW w:w="544" w:type="pct"/>
            <w:vAlign w:val="center"/>
          </w:tcPr>
          <w:p>
            <w:pPr>
              <w:keepNext w:val="0"/>
              <w:keepLines w:val="0"/>
              <w:widowControl/>
              <w:suppressLineNumbers w:val="0"/>
              <w:jc w:val="center"/>
              <w:textAlignment w:val="center"/>
              <w:rPr>
                <w:rFonts w:hint="eastAsia" w:ascii="Times New Roman" w:hAnsi="Times New Roman"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0.82 </w:t>
            </w:r>
          </w:p>
        </w:tc>
        <w:tc>
          <w:tcPr>
            <w:tcW w:w="487" w:type="pct"/>
            <w:vAlign w:val="center"/>
          </w:tcPr>
          <w:p>
            <w:pPr>
              <w:keepNext w:val="0"/>
              <w:keepLines w:val="0"/>
              <w:widowControl/>
              <w:suppressLineNumbers w:val="0"/>
              <w:jc w:val="center"/>
              <w:textAlignment w:val="center"/>
              <w:rPr>
                <w:rFonts w:hint="eastAsia" w:ascii="Times New Roman" w:hAnsi="Times New Roman"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0.47 </w:t>
            </w:r>
          </w:p>
        </w:tc>
        <w:tc>
          <w:tcPr>
            <w:tcW w:w="487" w:type="pct"/>
            <w:vAlign w:val="center"/>
          </w:tcPr>
          <w:p>
            <w:pPr>
              <w:keepNext w:val="0"/>
              <w:keepLines w:val="0"/>
              <w:widowControl/>
              <w:suppressLineNumbers w:val="0"/>
              <w:jc w:val="center"/>
              <w:textAlignment w:val="center"/>
              <w:rPr>
                <w:rFonts w:hint="eastAsia" w:ascii="Times New Roman" w:hAnsi="Times New Roman"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0.51 </w:t>
            </w:r>
          </w:p>
        </w:tc>
        <w:tc>
          <w:tcPr>
            <w:tcW w:w="495" w:type="pct"/>
            <w:vAlign w:val="center"/>
          </w:tcPr>
          <w:p>
            <w:pPr>
              <w:keepNext w:val="0"/>
              <w:keepLines w:val="0"/>
              <w:widowControl/>
              <w:suppressLineNumbers w:val="0"/>
              <w:jc w:val="center"/>
              <w:textAlignment w:val="center"/>
              <w:rPr>
                <w:rFonts w:hint="eastAsia" w:ascii="Times New Roman" w:hAnsi="Times New Roman"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0.08 </w:t>
            </w:r>
          </w:p>
        </w:tc>
        <w:tc>
          <w:tcPr>
            <w:tcW w:w="480" w:type="pct"/>
            <w:vAlign w:val="center"/>
          </w:tcPr>
          <w:p>
            <w:pPr>
              <w:keepNext w:val="0"/>
              <w:keepLines w:val="0"/>
              <w:widowControl/>
              <w:suppressLineNumbers w:val="0"/>
              <w:jc w:val="center"/>
              <w:textAlignment w:val="center"/>
              <w:rPr>
                <w:rFonts w:hint="eastAsia" w:ascii="Times New Roman" w:hAnsi="Times New Roman"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0.04</w:t>
            </w:r>
          </w:p>
        </w:tc>
        <w:tc>
          <w:tcPr>
            <w:tcW w:w="481" w:type="pct"/>
            <w:vAlign w:val="center"/>
          </w:tcPr>
          <w:p>
            <w:pPr>
              <w:keepNext w:val="0"/>
              <w:keepLines w:val="0"/>
              <w:widowControl/>
              <w:suppressLineNumbers w:val="0"/>
              <w:jc w:val="center"/>
              <w:textAlignment w:val="center"/>
              <w:rPr>
                <w:rFonts w:hint="eastAsia" w:ascii="Times New Roman" w:hAnsi="Times New Roman"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0.05 </w:t>
            </w:r>
          </w:p>
        </w:tc>
        <w:tc>
          <w:tcPr>
            <w:tcW w:w="682" w:type="pct"/>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1" w:hRule="atLeast"/>
          <w:jc w:val="center"/>
        </w:trPr>
        <w:tc>
          <w:tcPr>
            <w:tcW w:w="327" w:type="pct"/>
            <w:vMerge w:val="restart"/>
            <w:vAlign w:val="center"/>
          </w:tcPr>
          <w:p>
            <w:pPr>
              <w:pStyle w:val="98"/>
              <w:jc w:val="center"/>
              <w:rPr>
                <w:rFonts w:hint="eastAsia" w:ascii="Times New Roman" w:hAnsi="Times New Roman" w:cs="Times New Roman"/>
                <w:color w:val="auto"/>
                <w:szCs w:val="21"/>
                <w:lang w:val="en-US" w:eastAsia="zh-CN"/>
              </w:rPr>
            </w:pPr>
            <w:bookmarkStart w:id="123" w:name="OLE_LINK1" w:colFirst="3" w:colLast="8"/>
            <w:r>
              <w:rPr>
                <w:rFonts w:hint="eastAsia" w:ascii="Times New Roman" w:hAnsi="Times New Roman" w:cs="Times New Roman"/>
                <w:color w:val="auto"/>
                <w:szCs w:val="21"/>
                <w:lang w:val="en-US" w:eastAsia="zh-CN"/>
              </w:rPr>
              <w:t>综合废水</w:t>
            </w:r>
          </w:p>
        </w:tc>
        <w:tc>
          <w:tcPr>
            <w:tcW w:w="607" w:type="pct"/>
            <w:vMerge w:val="restart"/>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24941.95</w:t>
            </w:r>
          </w:p>
        </w:tc>
        <w:tc>
          <w:tcPr>
            <w:tcW w:w="405" w:type="pct"/>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产生浓度mg/L</w:t>
            </w:r>
          </w:p>
        </w:tc>
        <w:tc>
          <w:tcPr>
            <w:tcW w:w="544"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10908.93 </w:t>
            </w:r>
          </w:p>
        </w:tc>
        <w:tc>
          <w:tcPr>
            <w:tcW w:w="487"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925.35 </w:t>
            </w:r>
          </w:p>
        </w:tc>
        <w:tc>
          <w:tcPr>
            <w:tcW w:w="487"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473.50 </w:t>
            </w:r>
          </w:p>
        </w:tc>
        <w:tc>
          <w:tcPr>
            <w:tcW w:w="495"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365.65 </w:t>
            </w:r>
          </w:p>
        </w:tc>
        <w:tc>
          <w:tcPr>
            <w:tcW w:w="480"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46.91 </w:t>
            </w:r>
          </w:p>
        </w:tc>
        <w:tc>
          <w:tcPr>
            <w:tcW w:w="481"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500.36 </w:t>
            </w:r>
          </w:p>
        </w:tc>
        <w:tc>
          <w:tcPr>
            <w:tcW w:w="682" w:type="pct"/>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21730</w:t>
            </w:r>
            <w:r>
              <w:rPr>
                <w:rFonts w:hint="default" w:ascii="Times New Roman" w:hAnsi="Times New Roman" w:eastAsia="宋体" w:cs="Times New Roman"/>
                <w:color w:val="auto"/>
                <w:sz w:val="21"/>
                <w:szCs w:val="21"/>
                <w:lang w:val="en-US" w:eastAsia="zh-CN"/>
              </w:rPr>
              <w:t>个 /100mL</w:t>
            </w:r>
          </w:p>
        </w:tc>
      </w:tr>
      <w:bookmarkEnd w:id="12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7" w:type="pct"/>
            <w:vMerge w:val="continue"/>
            <w:vAlign w:val="center"/>
          </w:tcPr>
          <w:p>
            <w:pPr>
              <w:pStyle w:val="98"/>
              <w:jc w:val="center"/>
              <w:rPr>
                <w:rFonts w:hint="eastAsia" w:ascii="Times New Roman" w:hAnsi="Times New Roman" w:cs="Times New Roman"/>
                <w:color w:val="auto"/>
                <w:szCs w:val="21"/>
                <w:lang w:val="en-US" w:eastAsia="zh-CN"/>
              </w:rPr>
            </w:pPr>
            <w:bookmarkStart w:id="124" w:name="OLE_LINK2" w:colFirst="3" w:colLast="8"/>
          </w:p>
        </w:tc>
        <w:tc>
          <w:tcPr>
            <w:tcW w:w="607" w:type="pct"/>
            <w:vMerge w:val="continue"/>
            <w:vAlign w:val="center"/>
          </w:tcPr>
          <w:p>
            <w:pPr>
              <w:pStyle w:val="98"/>
              <w:jc w:val="center"/>
              <w:rPr>
                <w:rFonts w:hint="eastAsia" w:ascii="Times New Roman" w:hAnsi="Times New Roman" w:cs="Times New Roman"/>
                <w:color w:val="auto"/>
                <w:szCs w:val="21"/>
                <w:lang w:val="en-US" w:eastAsia="zh-CN"/>
              </w:rPr>
            </w:pPr>
          </w:p>
        </w:tc>
        <w:tc>
          <w:tcPr>
            <w:tcW w:w="405" w:type="pct"/>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产生量t/a</w:t>
            </w:r>
          </w:p>
        </w:tc>
        <w:tc>
          <w:tcPr>
            <w:tcW w:w="544"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272.09</w:t>
            </w:r>
          </w:p>
        </w:tc>
        <w:tc>
          <w:tcPr>
            <w:tcW w:w="487"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23.08</w:t>
            </w:r>
          </w:p>
        </w:tc>
        <w:tc>
          <w:tcPr>
            <w:tcW w:w="487"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11.81</w:t>
            </w:r>
          </w:p>
        </w:tc>
        <w:tc>
          <w:tcPr>
            <w:tcW w:w="495"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9.12</w:t>
            </w:r>
          </w:p>
        </w:tc>
        <w:tc>
          <w:tcPr>
            <w:tcW w:w="480"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1.17</w:t>
            </w:r>
          </w:p>
        </w:tc>
        <w:tc>
          <w:tcPr>
            <w:tcW w:w="481"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12.48</w:t>
            </w:r>
          </w:p>
        </w:tc>
        <w:tc>
          <w:tcPr>
            <w:tcW w:w="682" w:type="pct"/>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vertAlign w:val="baseline"/>
                <w:lang w:val="en-US" w:eastAsia="zh-CN" w:bidi="zh-CN"/>
              </w:rPr>
            </w:pPr>
            <w:r>
              <w:rPr>
                <w:rFonts w:hint="eastAsia" w:ascii="Times New Roman" w:hAnsi="Times New Roman" w:cs="Times New Roman"/>
                <w:color w:val="auto"/>
                <w:sz w:val="21"/>
                <w:szCs w:val="21"/>
                <w:lang w:val="en-US" w:eastAsia="zh-CN"/>
              </w:rPr>
              <w:t>5.42</w:t>
            </w:r>
            <w:r>
              <w:rPr>
                <w:rFonts w:hint="default" w:ascii="Times New Roman" w:hAnsi="Times New Roman" w:cs="Times New Roman"/>
                <w:color w:val="auto"/>
                <w:sz w:val="21"/>
                <w:szCs w:val="21"/>
                <w:lang w:val="en-US" w:eastAsia="zh-CN"/>
              </w:rPr>
              <w:t>×10</w:t>
            </w:r>
            <w:r>
              <w:rPr>
                <w:rFonts w:hint="default" w:ascii="Times New Roman" w:hAnsi="Times New Roman" w:cs="Times New Roman"/>
                <w:color w:val="auto"/>
                <w:sz w:val="21"/>
                <w:szCs w:val="21"/>
                <w:vertAlign w:val="superscript"/>
                <w:lang w:val="en-US" w:eastAsia="zh-CN"/>
              </w:rPr>
              <w:t>12</w:t>
            </w:r>
          </w:p>
        </w:tc>
      </w:tr>
      <w:bookmarkEnd w:id="124"/>
    </w:tbl>
    <w:p>
      <w:pPr>
        <w:pStyle w:val="16"/>
        <w:rPr>
          <w:rFonts w:hint="eastAsia" w:ascii="Times New Roman" w:hAnsi="Times New Roman" w:eastAsia="宋体"/>
          <w:b/>
          <w:bCs/>
          <w:snapToGrid w:val="0"/>
          <w:color w:val="auto"/>
          <w:sz w:val="24"/>
          <w:lang w:val="en-US" w:eastAsia="zh-CN"/>
        </w:rPr>
      </w:pPr>
    </w:p>
    <w:p>
      <w:pPr>
        <w:pStyle w:val="7"/>
        <w:adjustRightInd w:val="0"/>
        <w:snapToGrid w:val="0"/>
        <w:spacing w:before="0" w:after="0" w:line="360" w:lineRule="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eastAsia="zh-CN"/>
        </w:rPr>
        <w:t>3.</w:t>
      </w:r>
      <w:r>
        <w:rPr>
          <w:rFonts w:hint="eastAsia" w:ascii="Times New Roman" w:hAnsi="Times New Roman" w:eastAsia="宋体"/>
          <w:color w:val="auto"/>
          <w:sz w:val="24"/>
          <w:szCs w:val="24"/>
          <w:lang w:val="en-US" w:eastAsia="zh-CN"/>
        </w:rPr>
        <w:t>5.2.2废水治理措施</w:t>
      </w:r>
    </w:p>
    <w:p>
      <w:pPr>
        <w:adjustRightInd w:val="0"/>
        <w:snapToGrid w:val="0"/>
        <w:spacing w:line="360" w:lineRule="auto"/>
        <w:ind w:firstLine="480" w:firstLineChars="200"/>
        <w:rPr>
          <w:rFonts w:hint="eastAsia" w:ascii="Times New Roman" w:hAnsi="Times New Roman" w:eastAsia="宋体"/>
          <w:snapToGrid w:val="0"/>
          <w:color w:val="auto"/>
          <w:sz w:val="24"/>
          <w:lang w:eastAsia="zh-CN"/>
        </w:rPr>
      </w:pPr>
      <w:r>
        <w:rPr>
          <w:rFonts w:hint="eastAsia" w:ascii="Times New Roman" w:hAnsi="Times New Roman" w:eastAsia="宋体"/>
          <w:snapToGrid w:val="0"/>
          <w:color w:val="auto"/>
          <w:sz w:val="24"/>
          <w:lang w:val="en-US" w:eastAsia="zh-CN"/>
        </w:rPr>
        <w:t>1、</w:t>
      </w:r>
      <w:r>
        <w:rPr>
          <w:rFonts w:hint="eastAsia" w:ascii="Times New Roman" w:hAnsi="Times New Roman" w:eastAsia="宋体"/>
          <w:snapToGrid w:val="0"/>
          <w:color w:val="auto"/>
          <w:sz w:val="24"/>
          <w:lang w:eastAsia="zh-CN"/>
        </w:rPr>
        <w:t>雨水</w:t>
      </w:r>
    </w:p>
    <w:p>
      <w:pPr>
        <w:adjustRightInd w:val="0"/>
        <w:snapToGrid w:val="0"/>
        <w:spacing w:line="360" w:lineRule="auto"/>
        <w:ind w:firstLine="480" w:firstLineChars="200"/>
        <w:rPr>
          <w:rFonts w:hint="eastAsia" w:ascii="Times New Roman" w:hAnsi="Times New Roman" w:eastAsia="宋体"/>
          <w:snapToGrid w:val="0"/>
          <w:color w:val="auto"/>
          <w:sz w:val="24"/>
          <w:lang w:eastAsia="zh-CN"/>
        </w:rPr>
      </w:pPr>
      <w:r>
        <w:rPr>
          <w:rFonts w:hint="eastAsia" w:ascii="Times New Roman" w:hAnsi="Times New Roman" w:eastAsia="宋体"/>
          <w:snapToGrid w:val="0"/>
          <w:color w:val="auto"/>
          <w:sz w:val="24"/>
          <w:lang w:eastAsia="zh-CN"/>
        </w:rPr>
        <w:t>本项目采用雨污分流制，雨水管网采用雨水渠形式布置，断面尺寸为0.4m×0.25m~0.4m，雨水通过雨水渠收集后利用农田水渠导排。</w:t>
      </w:r>
    </w:p>
    <w:p>
      <w:pPr>
        <w:adjustRightInd w:val="0"/>
        <w:snapToGrid w:val="0"/>
        <w:spacing w:line="360" w:lineRule="auto"/>
        <w:ind w:firstLine="480" w:firstLineChars="200"/>
        <w:rPr>
          <w:rFonts w:hint="eastAsia" w:ascii="Times New Roman" w:hAnsi="Times New Roman" w:eastAsia="宋体"/>
          <w:snapToGrid w:val="0"/>
          <w:color w:val="auto"/>
          <w:sz w:val="24"/>
          <w:lang w:eastAsia="zh-CN"/>
        </w:rPr>
      </w:pPr>
      <w:r>
        <w:rPr>
          <w:rFonts w:hint="eastAsia" w:ascii="Times New Roman" w:hAnsi="Times New Roman" w:eastAsia="宋体"/>
          <w:snapToGrid w:val="0"/>
          <w:color w:val="auto"/>
          <w:sz w:val="24"/>
          <w:lang w:val="en-US" w:eastAsia="zh-CN"/>
        </w:rPr>
        <w:t>2、</w:t>
      </w:r>
      <w:r>
        <w:rPr>
          <w:rFonts w:hint="eastAsia" w:ascii="Times New Roman" w:hAnsi="Times New Roman" w:eastAsia="宋体"/>
          <w:snapToGrid w:val="0"/>
          <w:color w:val="auto"/>
          <w:sz w:val="24"/>
          <w:lang w:eastAsia="zh-CN"/>
        </w:rPr>
        <w:t>生活、养殖废水治理措施</w:t>
      </w:r>
    </w:p>
    <w:p>
      <w:pPr>
        <w:adjustRightInd w:val="0"/>
        <w:snapToGrid w:val="0"/>
        <w:spacing w:line="360" w:lineRule="auto"/>
        <w:ind w:firstLine="480" w:firstLineChars="200"/>
        <w:rPr>
          <w:rFonts w:hint="eastAsia" w:ascii="Times New Roman" w:hAnsi="Times New Roman" w:eastAsia="宋体"/>
          <w:snapToGrid w:val="0"/>
          <w:color w:val="auto"/>
          <w:sz w:val="24"/>
          <w:lang w:val="en-US" w:eastAsia="zh-CN"/>
        </w:rPr>
      </w:pPr>
      <w:r>
        <w:rPr>
          <w:rFonts w:hint="eastAsia" w:ascii="Times New Roman" w:hAnsi="Times New Roman" w:eastAsia="宋体"/>
          <w:snapToGrid w:val="0"/>
          <w:color w:val="auto"/>
          <w:sz w:val="24"/>
          <w:lang w:val="en-US" w:eastAsia="zh-CN"/>
        </w:rPr>
        <w:t>（1）处理模式比选</w:t>
      </w:r>
    </w:p>
    <w:p>
      <w:pPr>
        <w:adjustRightInd w:val="0"/>
        <w:snapToGrid w:val="0"/>
        <w:spacing w:line="360" w:lineRule="auto"/>
        <w:ind w:firstLine="480" w:firstLineChars="200"/>
        <w:rPr>
          <w:rFonts w:hint="eastAsia" w:ascii="Times New Roman" w:hAnsi="Times New Roman" w:eastAsia="宋体"/>
          <w:snapToGrid w:val="0"/>
          <w:color w:val="auto"/>
          <w:sz w:val="24"/>
          <w:lang w:eastAsia="zh-CN"/>
        </w:rPr>
      </w:pPr>
      <w:r>
        <w:rPr>
          <w:rFonts w:hint="eastAsia" w:ascii="Times New Roman" w:hAnsi="Times New Roman" w:eastAsia="宋体"/>
          <w:snapToGrid w:val="0"/>
          <w:color w:val="auto"/>
          <w:sz w:val="24"/>
          <w:lang w:eastAsia="zh-CN"/>
        </w:rPr>
        <w:t>选用粪污处理工艺时，应根据养殖场的养殖种类、养殖规模、粪污收集方式、当地的自然环境条件以及排水去向等因素确定工艺路线及处理目标，并应充分考虑畜禽养殖废水的特殊性，在实现综合利用或达标排放的情况下，优先选用运行成本低的处理工艺。</w:t>
      </w:r>
    </w:p>
    <w:p>
      <w:pPr>
        <w:adjustRightInd w:val="0"/>
        <w:snapToGrid w:val="0"/>
        <w:spacing w:line="360" w:lineRule="auto"/>
        <w:ind w:firstLine="480" w:firstLineChars="200"/>
        <w:rPr>
          <w:rFonts w:hint="eastAsia" w:ascii="Times New Roman" w:hAnsi="Times New Roman" w:eastAsia="宋体"/>
          <w:snapToGrid w:val="0"/>
          <w:color w:val="auto"/>
          <w:sz w:val="24"/>
          <w:lang w:eastAsia="zh-CN"/>
        </w:rPr>
      </w:pPr>
      <w:r>
        <w:rPr>
          <w:rFonts w:hint="eastAsia" w:ascii="Times New Roman" w:hAnsi="Times New Roman" w:eastAsia="宋体"/>
          <w:snapToGrid w:val="0"/>
          <w:color w:val="auto"/>
          <w:sz w:val="24"/>
          <w:lang w:eastAsia="zh-CN"/>
        </w:rPr>
        <w:t>根据《畜禽养殖业污染治理工程技术规范》（HJ497-2009），目前，我国规模化养殖场（区）采用的清粪工艺有水冲粪、水泡粪（自流式）和干清粪工艺。采用水冲或水泡粪工艺比干清粪工艺产生的污水量大且有机物浓度高。我国集约化畜禽养殖场粪污处理主要有三种模式，即以获取沼气能源、将沼液污泥进行资源化利用为目的的模式Ⅰ、模式Ⅱ工艺和以废水处理后达标排放为目标的模式Ⅲ工艺。畜禽养殖废水由于其有机物浓度高及大量致病菌的存在，无论采取何种处理模式，厌氧反应是一个必不可少的处理阶段。</w:t>
      </w:r>
    </w:p>
    <w:p>
      <w:pPr>
        <w:adjustRightInd w:val="0"/>
        <w:snapToGrid w:val="0"/>
        <w:spacing w:line="360" w:lineRule="auto"/>
        <w:ind w:firstLine="480" w:firstLineChars="200"/>
        <w:rPr>
          <w:rFonts w:hint="eastAsia" w:ascii="Times New Roman" w:hAnsi="Times New Roman" w:eastAsia="宋体"/>
          <w:snapToGrid w:val="0"/>
          <w:color w:val="auto"/>
          <w:sz w:val="24"/>
          <w:lang w:eastAsia="zh-CN"/>
        </w:rPr>
      </w:pPr>
      <w:r>
        <w:rPr>
          <w:rFonts w:hint="eastAsia" w:ascii="Times New Roman" w:hAnsi="Times New Roman" w:eastAsia="宋体"/>
          <w:snapToGrid w:val="0"/>
          <w:color w:val="auto"/>
          <w:sz w:val="24"/>
          <w:lang w:eastAsia="zh-CN"/>
        </w:rPr>
        <w:t>①模式 I</w:t>
      </w:r>
    </w:p>
    <w:p>
      <w:pPr>
        <w:adjustRightInd w:val="0"/>
        <w:snapToGrid w:val="0"/>
        <w:spacing w:line="360" w:lineRule="auto"/>
        <w:ind w:firstLine="480" w:firstLineChars="200"/>
        <w:rPr>
          <w:rFonts w:hint="eastAsia" w:ascii="Times New Roman" w:hAnsi="Times New Roman" w:eastAsia="宋体"/>
          <w:snapToGrid w:val="0"/>
          <w:color w:val="auto"/>
          <w:sz w:val="24"/>
          <w:lang w:eastAsia="zh-CN"/>
        </w:rPr>
      </w:pPr>
      <w:r>
        <w:rPr>
          <w:rFonts w:hint="eastAsia" w:ascii="Times New Roman" w:hAnsi="Times New Roman" w:eastAsia="宋体"/>
          <w:snapToGrid w:val="0"/>
          <w:color w:val="auto"/>
          <w:sz w:val="24"/>
          <w:lang w:eastAsia="zh-CN"/>
        </w:rPr>
        <w:t>模式 I 养殖场应位于非环境敏感区，周围的环境容量大，原理城市，有能源需求，周边有足够土地能够消纳全部的沼液、沼渣。以能源利用与综合利用为主要目的，适用于当地有较大的能源需求，沼气能完全利用，同时周边有足够土地消纳沼液、沼渣，并有一倍以上的土地轮作面积，使整个养殖场的畜禽排泄物在小区域范围内全部达到循环利用的情况。粪尿连同废水一同进入厌氧反应器。模式 I 工艺基本流程如下。</w:t>
      </w:r>
    </w:p>
    <w:p>
      <w:pPr>
        <w:adjustRightInd w:val="0"/>
        <w:snapToGrid w:val="0"/>
        <w:spacing w:line="360" w:lineRule="auto"/>
        <w:jc w:val="center"/>
        <w:rPr>
          <w:rFonts w:hint="eastAsia" w:ascii="Times New Roman" w:hAnsi="Times New Roman" w:eastAsia="宋体"/>
          <w:snapToGrid w:val="0"/>
          <w:color w:val="auto"/>
          <w:sz w:val="24"/>
          <w:lang w:eastAsia="zh-CN"/>
        </w:rPr>
      </w:pPr>
      <w:r>
        <w:rPr>
          <w:rFonts w:hint="default" w:ascii="Times New Roman" w:hAnsi="Times New Roman" w:cs="Times New Roman"/>
          <w:color w:val="auto"/>
        </w:rPr>
        <w:drawing>
          <wp:inline distT="0" distB="0" distL="114300" distR="114300">
            <wp:extent cx="5494655" cy="1725295"/>
            <wp:effectExtent l="0" t="0" r="10795" b="8255"/>
            <wp:docPr id="18" name="图片 16" descr="微信图片_20200604154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6" descr="微信图片_20200604154551"/>
                    <pic:cNvPicPr>
                      <a:picLocks noChangeAspect="1"/>
                    </pic:cNvPicPr>
                  </pic:nvPicPr>
                  <pic:blipFill>
                    <a:blip r:embed="rId35"/>
                    <a:stretch>
                      <a:fillRect/>
                    </a:stretch>
                  </pic:blipFill>
                  <pic:spPr>
                    <a:xfrm>
                      <a:off x="0" y="0"/>
                      <a:ext cx="5494655" cy="172529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hint="eastAsia" w:ascii="Times New Roman" w:hAnsi="Times New Roman" w:eastAsia="宋体"/>
          <w:b/>
          <w:color w:val="auto"/>
          <w:szCs w:val="21"/>
          <w:lang w:eastAsia="zh-CN"/>
        </w:rPr>
      </w:pPr>
      <w:r>
        <w:rPr>
          <w:rFonts w:hint="eastAsia" w:ascii="Times New Roman" w:hAnsi="Times New Roman" w:eastAsia="宋体"/>
          <w:b/>
          <w:color w:val="auto"/>
          <w:szCs w:val="21"/>
          <w:lang w:eastAsia="zh-CN"/>
        </w:rPr>
        <w:t>图 3</w:t>
      </w:r>
      <w:r>
        <w:rPr>
          <w:rFonts w:hint="eastAsia" w:ascii="Times New Roman" w:hAnsi="Times New Roman" w:eastAsia="宋体"/>
          <w:b/>
          <w:color w:val="auto"/>
          <w:szCs w:val="21"/>
          <w:lang w:val="en-US" w:eastAsia="zh-CN"/>
        </w:rPr>
        <w:t>.5</w:t>
      </w:r>
      <w:r>
        <w:rPr>
          <w:rFonts w:hint="eastAsia" w:ascii="Times New Roman" w:hAnsi="Times New Roman" w:eastAsia="宋体"/>
          <w:b/>
          <w:color w:val="auto"/>
          <w:szCs w:val="21"/>
          <w:lang w:eastAsia="zh-CN"/>
        </w:rPr>
        <w:t>-</w:t>
      </w:r>
      <w:r>
        <w:rPr>
          <w:rFonts w:hint="eastAsia" w:ascii="Times New Roman" w:hAnsi="Times New Roman" w:eastAsia="宋体"/>
          <w:b/>
          <w:color w:val="auto"/>
          <w:szCs w:val="21"/>
          <w:lang w:val="en-US" w:eastAsia="zh-CN"/>
        </w:rPr>
        <w:t>4</w:t>
      </w:r>
      <w:r>
        <w:rPr>
          <w:rFonts w:hint="eastAsia" w:ascii="Times New Roman" w:hAnsi="Times New Roman" w:eastAsia="宋体"/>
          <w:b/>
          <w:color w:val="auto"/>
          <w:szCs w:val="21"/>
          <w:lang w:eastAsia="zh-CN"/>
        </w:rPr>
        <w:t xml:space="preserve"> 模式 I 工艺基本流程</w:t>
      </w:r>
    </w:p>
    <w:p>
      <w:pPr>
        <w:adjustRightInd w:val="0"/>
        <w:snapToGrid w:val="0"/>
        <w:spacing w:line="360" w:lineRule="auto"/>
        <w:ind w:firstLine="480" w:firstLineChars="200"/>
        <w:rPr>
          <w:rFonts w:hint="eastAsia" w:ascii="Times New Roman" w:hAnsi="Times New Roman" w:eastAsia="宋体"/>
          <w:snapToGrid w:val="0"/>
          <w:color w:val="auto"/>
          <w:sz w:val="24"/>
          <w:lang w:eastAsia="zh-CN"/>
        </w:rPr>
      </w:pPr>
      <w:r>
        <w:rPr>
          <w:rFonts w:hint="eastAsia" w:ascii="Times New Roman" w:hAnsi="Times New Roman" w:eastAsia="宋体"/>
          <w:snapToGrid w:val="0"/>
          <w:color w:val="auto"/>
          <w:sz w:val="24"/>
          <w:lang w:eastAsia="zh-CN"/>
        </w:rPr>
        <w:t>②模式 II</w:t>
      </w:r>
    </w:p>
    <w:p>
      <w:pPr>
        <w:adjustRightInd w:val="0"/>
        <w:snapToGrid w:val="0"/>
        <w:spacing w:line="360" w:lineRule="auto"/>
        <w:ind w:firstLine="480" w:firstLineChars="200"/>
        <w:rPr>
          <w:rFonts w:hint="eastAsia" w:ascii="Times New Roman" w:hAnsi="Times New Roman" w:eastAsia="宋体"/>
          <w:snapToGrid w:val="0"/>
          <w:color w:val="auto"/>
          <w:sz w:val="24"/>
          <w:lang w:eastAsia="zh-CN"/>
        </w:rPr>
      </w:pPr>
      <w:r>
        <w:rPr>
          <w:rFonts w:hint="eastAsia" w:ascii="Times New Roman" w:hAnsi="Times New Roman" w:eastAsia="宋体"/>
          <w:snapToGrid w:val="0"/>
          <w:color w:val="auto"/>
          <w:sz w:val="24"/>
          <w:lang w:eastAsia="zh-CN"/>
        </w:rPr>
        <w:t>模式 II 工艺适用于能源需求不大，主要以进行污染物无害化处理、降低有机物浓度、减少沼液和沼渣消纳所需配套的土地面积为目的，且养殖场周围具有足够土地面积全部消纳低浓度沼液，并且有一定的土地轮作面积的情况。废水进入厌氧反应器之前应先进行固液（干湿）分离，然后再对固体粪渣和废水分别进行处理。模式 II 工艺基本流程如下。</w:t>
      </w:r>
    </w:p>
    <w:p>
      <w:pPr>
        <w:pStyle w:val="2"/>
        <w:rPr>
          <w:rFonts w:hint="eastAsia"/>
          <w:lang w:eastAsia="zh-CN"/>
        </w:rPr>
      </w:pPr>
    </w:p>
    <w:p>
      <w:pPr>
        <w:adjustRightInd w:val="0"/>
        <w:snapToGrid w:val="0"/>
        <w:spacing w:line="360" w:lineRule="auto"/>
        <w:jc w:val="center"/>
        <w:rPr>
          <w:rFonts w:hint="eastAsia" w:ascii="Times New Roman" w:hAnsi="Times New Roman" w:eastAsia="宋体"/>
          <w:snapToGrid w:val="0"/>
          <w:color w:val="auto"/>
          <w:sz w:val="24"/>
          <w:lang w:eastAsia="zh-CN"/>
        </w:rPr>
      </w:pPr>
      <w:r>
        <w:rPr>
          <w:rFonts w:hint="default" w:ascii="Times New Roman" w:hAnsi="Times New Roman" w:cs="Times New Roman"/>
          <w:color w:val="auto"/>
          <w:lang w:eastAsia="zh-CN"/>
        </w:rPr>
        <w:drawing>
          <wp:inline distT="0" distB="0" distL="114300" distR="114300">
            <wp:extent cx="5728335" cy="1362075"/>
            <wp:effectExtent l="0" t="0" r="5715" b="9525"/>
            <wp:docPr id="29" name="图片 17" descr="16280866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7" descr="1628086618(1)"/>
                    <pic:cNvPicPr>
                      <a:picLocks noChangeAspect="1"/>
                    </pic:cNvPicPr>
                  </pic:nvPicPr>
                  <pic:blipFill>
                    <a:blip r:embed="rId36"/>
                    <a:stretch>
                      <a:fillRect/>
                    </a:stretch>
                  </pic:blipFill>
                  <pic:spPr>
                    <a:xfrm>
                      <a:off x="0" y="0"/>
                      <a:ext cx="5728335" cy="136207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hint="eastAsia" w:ascii="Times New Roman" w:hAnsi="Times New Roman" w:eastAsia="宋体"/>
          <w:b/>
          <w:color w:val="auto"/>
          <w:szCs w:val="21"/>
          <w:lang w:eastAsia="zh-CN"/>
        </w:rPr>
      </w:pPr>
      <w:r>
        <w:rPr>
          <w:rFonts w:hint="eastAsia" w:ascii="Times New Roman" w:hAnsi="Times New Roman" w:eastAsia="宋体"/>
          <w:b/>
          <w:color w:val="auto"/>
          <w:szCs w:val="21"/>
          <w:lang w:eastAsia="zh-CN"/>
        </w:rPr>
        <w:t>图 3</w:t>
      </w:r>
      <w:r>
        <w:rPr>
          <w:rFonts w:hint="eastAsia" w:ascii="Times New Roman" w:hAnsi="Times New Roman" w:eastAsia="宋体"/>
          <w:b/>
          <w:color w:val="auto"/>
          <w:szCs w:val="21"/>
          <w:lang w:val="en-US" w:eastAsia="zh-CN"/>
        </w:rPr>
        <w:t>.5</w:t>
      </w:r>
      <w:r>
        <w:rPr>
          <w:rFonts w:hint="eastAsia" w:ascii="Times New Roman" w:hAnsi="Times New Roman" w:eastAsia="宋体"/>
          <w:b/>
          <w:color w:val="auto"/>
          <w:szCs w:val="21"/>
          <w:lang w:eastAsia="zh-CN"/>
        </w:rPr>
        <w:t>-5 模式 II 工艺基本流程</w:t>
      </w:r>
    </w:p>
    <w:p>
      <w:pPr>
        <w:adjustRightInd w:val="0"/>
        <w:snapToGrid w:val="0"/>
        <w:spacing w:line="360" w:lineRule="auto"/>
        <w:ind w:firstLine="480" w:firstLineChars="200"/>
        <w:rPr>
          <w:rFonts w:hint="eastAsia" w:ascii="Times New Roman" w:hAnsi="Times New Roman" w:eastAsia="宋体"/>
          <w:snapToGrid w:val="0"/>
          <w:color w:val="auto"/>
          <w:sz w:val="24"/>
          <w:lang w:eastAsia="zh-CN"/>
        </w:rPr>
      </w:pPr>
      <w:r>
        <w:rPr>
          <w:rFonts w:hint="eastAsia" w:ascii="Times New Roman" w:hAnsi="Times New Roman" w:eastAsia="宋体"/>
          <w:snapToGrid w:val="0"/>
          <w:color w:val="auto"/>
          <w:sz w:val="24"/>
          <w:lang w:eastAsia="zh-CN"/>
        </w:rPr>
        <w:t>③模式 III</w:t>
      </w:r>
    </w:p>
    <w:p>
      <w:pPr>
        <w:adjustRightInd w:val="0"/>
        <w:snapToGrid w:val="0"/>
        <w:spacing w:line="360" w:lineRule="auto"/>
        <w:ind w:firstLine="480" w:firstLineChars="200"/>
        <w:rPr>
          <w:rFonts w:hint="eastAsia" w:ascii="Times New Roman" w:hAnsi="Times New Roman" w:eastAsia="宋体"/>
          <w:snapToGrid w:val="0"/>
          <w:color w:val="auto"/>
          <w:sz w:val="24"/>
          <w:lang w:eastAsia="zh-CN"/>
        </w:rPr>
      </w:pPr>
      <w:r>
        <w:rPr>
          <w:rFonts w:hint="eastAsia" w:ascii="Times New Roman" w:hAnsi="Times New Roman" w:eastAsia="宋体"/>
          <w:snapToGrid w:val="0"/>
          <w:color w:val="auto"/>
          <w:sz w:val="24"/>
          <w:lang w:eastAsia="zh-CN"/>
        </w:rPr>
        <w:t>能源需求不高且沼液和沼渣无法进行土地消纳，废水必须经处理后达标排放或回用的，应采用模式 III 处理工艺。废水进入厌氧反应器之前应先进行固液（干湿）分离，然后再对固体粪渣和废水分别进行处理。模式 III 工艺基本流程如下。</w:t>
      </w:r>
    </w:p>
    <w:p>
      <w:pPr>
        <w:adjustRightInd w:val="0"/>
        <w:snapToGrid w:val="0"/>
        <w:spacing w:line="360" w:lineRule="auto"/>
        <w:rPr>
          <w:rFonts w:hint="eastAsia" w:ascii="Times New Roman" w:hAnsi="Times New Roman" w:eastAsia="宋体"/>
          <w:snapToGrid w:val="0"/>
          <w:color w:val="auto"/>
          <w:sz w:val="24"/>
          <w:lang w:eastAsia="zh-CN"/>
        </w:rPr>
      </w:pPr>
      <w:r>
        <w:rPr>
          <w:rFonts w:hint="default" w:ascii="Times New Roman" w:hAnsi="Times New Roman" w:eastAsia="宋体" w:cs="Times New Roman"/>
          <w:color w:val="auto"/>
          <w:lang w:eastAsia="zh-CN"/>
        </w:rPr>
        <w:drawing>
          <wp:inline distT="0" distB="0" distL="114300" distR="114300">
            <wp:extent cx="5729605" cy="1866900"/>
            <wp:effectExtent l="0" t="0" r="4445" b="0"/>
            <wp:docPr id="32" name="图片 18" descr="1628086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8" descr="1628086776(1)"/>
                    <pic:cNvPicPr>
                      <a:picLocks noChangeAspect="1"/>
                    </pic:cNvPicPr>
                  </pic:nvPicPr>
                  <pic:blipFill>
                    <a:blip r:embed="rId37"/>
                    <a:stretch>
                      <a:fillRect/>
                    </a:stretch>
                  </pic:blipFill>
                  <pic:spPr>
                    <a:xfrm>
                      <a:off x="0" y="0"/>
                      <a:ext cx="5729605" cy="186690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hint="eastAsia" w:ascii="Times New Roman" w:hAnsi="Times New Roman" w:eastAsia="宋体"/>
          <w:b/>
          <w:color w:val="auto"/>
          <w:szCs w:val="21"/>
          <w:lang w:eastAsia="zh-CN"/>
        </w:rPr>
      </w:pPr>
      <w:r>
        <w:rPr>
          <w:rFonts w:hint="eastAsia" w:ascii="Times New Roman" w:hAnsi="Times New Roman" w:eastAsia="宋体"/>
          <w:b/>
          <w:color w:val="auto"/>
          <w:szCs w:val="21"/>
          <w:lang w:eastAsia="zh-CN"/>
        </w:rPr>
        <w:t>图 3</w:t>
      </w:r>
      <w:r>
        <w:rPr>
          <w:rFonts w:hint="eastAsia" w:ascii="Times New Roman" w:hAnsi="Times New Roman" w:eastAsia="宋体"/>
          <w:b/>
          <w:color w:val="auto"/>
          <w:szCs w:val="21"/>
          <w:lang w:val="en-US" w:eastAsia="zh-CN"/>
        </w:rPr>
        <w:t>.5</w:t>
      </w:r>
      <w:r>
        <w:rPr>
          <w:rFonts w:hint="eastAsia" w:ascii="Times New Roman" w:hAnsi="Times New Roman" w:eastAsia="宋体"/>
          <w:b/>
          <w:color w:val="auto"/>
          <w:szCs w:val="21"/>
          <w:lang w:eastAsia="zh-CN"/>
        </w:rPr>
        <w:t>-6 模式Ⅲ工艺基本流程</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snapToGrid w:val="0"/>
          <w:color w:val="auto"/>
          <w:sz w:val="24"/>
          <w:lang w:eastAsia="zh-CN"/>
        </w:rPr>
      </w:pPr>
      <w:r>
        <w:rPr>
          <w:rFonts w:hint="eastAsia" w:ascii="Times New Roman" w:hAnsi="Times New Roman" w:eastAsia="宋体" w:cs="Times New Roman"/>
          <w:color w:val="auto"/>
          <w:sz w:val="24"/>
          <w:szCs w:val="24"/>
          <w:lang w:val="en-US" w:eastAsia="zh-CN"/>
        </w:rPr>
        <w:t>本项目污水处理站采用“</w:t>
      </w:r>
      <w:r>
        <w:rPr>
          <w:rFonts w:hint="eastAsia" w:ascii="Times New Roman" w:hAnsi="Times New Roman" w:eastAsia="宋体" w:cstheme="minorBidi"/>
          <w:b w:val="0"/>
          <w:snapToGrid w:val="0"/>
          <w:color w:val="auto"/>
          <w:kern w:val="2"/>
          <w:sz w:val="24"/>
          <w:szCs w:val="22"/>
          <w:lang w:val="en-US" w:eastAsia="zh-CN" w:bidi="ar-SA"/>
        </w:rPr>
        <w:t>格栅+集粪池+干湿分离机+污泥池+叠螺脱泥机+预沉池+一级光氧塘+A/O组合池+二沉池+深度反应池+终沉池+氧化塘</w:t>
      </w:r>
      <w:r>
        <w:rPr>
          <w:rFonts w:hint="eastAsia" w:ascii="Times New Roman" w:hAnsi="Times New Roman" w:eastAsia="宋体" w:cs="Times New Roman"/>
          <w:color w:val="auto"/>
          <w:sz w:val="24"/>
          <w:szCs w:val="24"/>
          <w:lang w:val="en-US" w:eastAsia="zh-CN"/>
        </w:rPr>
        <w:t>”处理工艺，根据类比以上三种模式，本项目基本符合模式</w:t>
      </w:r>
      <w:r>
        <w:rPr>
          <w:rFonts w:hint="eastAsia" w:ascii="Times New Roman" w:hAnsi="Times New Roman" w:eastAsia="宋体"/>
          <w:snapToGrid w:val="0"/>
          <w:color w:val="auto"/>
          <w:sz w:val="24"/>
          <w:lang w:eastAsia="zh-CN"/>
        </w:rPr>
        <w:t xml:space="preserve"> III 处理工艺。</w:t>
      </w:r>
    </w:p>
    <w:p>
      <w:pPr>
        <w:adjustRightInd w:val="0"/>
        <w:snapToGrid w:val="0"/>
        <w:spacing w:line="360" w:lineRule="auto"/>
        <w:ind w:firstLine="480" w:firstLineChars="200"/>
        <w:rPr>
          <w:rFonts w:hint="eastAsia" w:ascii="Times New Roman" w:hAnsi="Times New Roman" w:eastAsia="宋体"/>
          <w:snapToGrid w:val="0"/>
          <w:color w:val="auto"/>
          <w:sz w:val="24"/>
          <w:lang w:val="en-US" w:eastAsia="zh-CN"/>
        </w:rPr>
      </w:pPr>
      <w:r>
        <w:rPr>
          <w:rFonts w:hint="eastAsia" w:ascii="Times New Roman" w:hAnsi="Times New Roman" w:eastAsia="宋体"/>
          <w:snapToGrid w:val="0"/>
          <w:color w:val="auto"/>
          <w:sz w:val="24"/>
          <w:lang w:val="en-US" w:eastAsia="zh-CN"/>
        </w:rPr>
        <w:t>（2）污水处理工艺</w:t>
      </w:r>
    </w:p>
    <w:p>
      <w:pPr>
        <w:adjustRightInd w:val="0"/>
        <w:snapToGrid w:val="0"/>
        <w:spacing w:line="360" w:lineRule="auto"/>
        <w:ind w:firstLine="480" w:firstLineChars="200"/>
        <w:rPr>
          <w:rFonts w:hint="eastAsia" w:ascii="Times New Roman" w:hAnsi="Times New Roman" w:eastAsia="宋体"/>
          <w:snapToGrid w:val="0"/>
          <w:color w:val="auto"/>
          <w:sz w:val="24"/>
          <w:lang w:eastAsia="zh-CN"/>
        </w:rPr>
      </w:pPr>
      <w:r>
        <w:rPr>
          <w:rFonts w:hint="eastAsia" w:ascii="Times New Roman" w:hAnsi="Times New Roman" w:eastAsia="宋体"/>
          <w:snapToGrid w:val="0"/>
          <w:color w:val="auto"/>
          <w:sz w:val="24"/>
          <w:lang w:eastAsia="zh-CN"/>
        </w:rPr>
        <w:t>养猪场猪粪采用干清粪工艺后，其余粪渣及尿液使用高压水枪进行冲洗，形成的养殖废水经管道收集后会同场区生活污水进入污水处理区。本项目拟设1 座设计日处理规模</w:t>
      </w:r>
      <w:r>
        <w:rPr>
          <w:rFonts w:hint="eastAsia" w:ascii="Times New Roman" w:hAnsi="Times New Roman" w:eastAsia="宋体"/>
          <w:snapToGrid w:val="0"/>
          <w:color w:val="auto"/>
          <w:sz w:val="24"/>
          <w:lang w:val="en-US" w:eastAsia="zh-CN"/>
        </w:rPr>
        <w:t>150</w:t>
      </w:r>
      <w:r>
        <w:rPr>
          <w:rFonts w:hint="eastAsia" w:ascii="Times New Roman" w:hAnsi="Times New Roman" w:eastAsia="宋体"/>
          <w:snapToGrid w:val="0"/>
          <w:color w:val="auto"/>
          <w:sz w:val="24"/>
          <w:lang w:eastAsia="zh-CN"/>
        </w:rPr>
        <w:t>m</w:t>
      </w:r>
      <w:r>
        <w:rPr>
          <w:rFonts w:hint="eastAsia" w:ascii="Times New Roman" w:hAnsi="Times New Roman" w:eastAsia="宋体"/>
          <w:snapToGrid w:val="0"/>
          <w:color w:val="auto"/>
          <w:sz w:val="24"/>
          <w:vertAlign w:val="superscript"/>
          <w:lang w:eastAsia="zh-CN"/>
        </w:rPr>
        <w:t>3</w:t>
      </w:r>
      <w:r>
        <w:rPr>
          <w:rFonts w:hint="eastAsia" w:ascii="Times New Roman" w:hAnsi="Times New Roman" w:eastAsia="宋体"/>
          <w:snapToGrid w:val="0"/>
          <w:color w:val="auto"/>
          <w:sz w:val="24"/>
          <w:lang w:eastAsia="zh-CN"/>
        </w:rPr>
        <w:t>/d 的污水处理区，即“</w:t>
      </w:r>
      <w:r>
        <w:rPr>
          <w:rFonts w:hint="eastAsia" w:ascii="Times New Roman" w:hAnsi="Times New Roman" w:eastAsia="宋体"/>
          <w:snapToGrid w:val="0"/>
          <w:color w:val="auto"/>
          <w:sz w:val="24"/>
          <w:lang w:val="en-US" w:eastAsia="zh-CN"/>
        </w:rPr>
        <w:t>格栅+集粪池+干湿分离机+污泥池+叠螺脱泥机+预沉池+一级光氧塘+A/O组合池+二沉池+深度反应池+终沉池+氧化塘</w:t>
      </w:r>
      <w:r>
        <w:rPr>
          <w:rFonts w:hint="eastAsia" w:ascii="Times New Roman" w:hAnsi="Times New Roman" w:eastAsia="宋体"/>
          <w:snapToGrid w:val="0"/>
          <w:color w:val="auto"/>
          <w:sz w:val="24"/>
          <w:lang w:eastAsia="zh-CN"/>
        </w:rPr>
        <w:t>”工艺；处理后达到《农田灌溉水质标准》（GB5084-2021）旱作标准（NH</w:t>
      </w:r>
      <w:r>
        <w:rPr>
          <w:rFonts w:hint="eastAsia" w:ascii="Times New Roman" w:hAnsi="Times New Roman" w:eastAsia="宋体"/>
          <w:snapToGrid w:val="0"/>
          <w:color w:val="auto"/>
          <w:sz w:val="24"/>
          <w:vertAlign w:val="subscript"/>
          <w:lang w:eastAsia="zh-CN"/>
        </w:rPr>
        <w:t>3</w:t>
      </w:r>
      <w:r>
        <w:rPr>
          <w:rFonts w:hint="eastAsia" w:ascii="Times New Roman" w:hAnsi="Times New Roman" w:eastAsia="宋体"/>
          <w:snapToGrid w:val="0"/>
          <w:color w:val="auto"/>
          <w:sz w:val="24"/>
          <w:lang w:eastAsia="zh-CN"/>
        </w:rPr>
        <w:t>-N、TP 执行《畜禽养殖业污染物排放标准》（GB18596-2001）表 5 中排放限值）后，用于农田灌溉不外排。污水处理工艺如下图所示。</w:t>
      </w:r>
    </w:p>
    <w:p>
      <w:pPr>
        <w:adjustRightInd w:val="0"/>
        <w:snapToGrid w:val="0"/>
        <w:spacing w:line="360" w:lineRule="auto"/>
        <w:rPr>
          <w:color w:val="auto"/>
        </w:rPr>
      </w:pPr>
      <w:r>
        <w:drawing>
          <wp:inline distT="0" distB="0" distL="114300" distR="114300">
            <wp:extent cx="5709920" cy="2244090"/>
            <wp:effectExtent l="0" t="0" r="5080" b="3810"/>
            <wp:docPr id="15"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8"/>
                    <pic:cNvPicPr>
                      <a:picLocks noChangeAspect="1"/>
                    </pic:cNvPicPr>
                  </pic:nvPicPr>
                  <pic:blipFill>
                    <a:blip r:embed="rId27"/>
                    <a:stretch>
                      <a:fillRect/>
                    </a:stretch>
                  </pic:blipFill>
                  <pic:spPr>
                    <a:xfrm>
                      <a:off x="0" y="0"/>
                      <a:ext cx="5709920" cy="224409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hint="eastAsia" w:ascii="Times New Roman" w:hAnsi="Times New Roman" w:eastAsia="宋体"/>
          <w:b/>
          <w:color w:val="auto"/>
          <w:szCs w:val="21"/>
          <w:highlight w:val="none"/>
          <w:lang w:eastAsia="zh-CN"/>
        </w:rPr>
      </w:pPr>
      <w:r>
        <w:rPr>
          <w:rFonts w:hint="eastAsia" w:ascii="Times New Roman" w:hAnsi="Times New Roman" w:eastAsia="宋体"/>
          <w:b/>
          <w:color w:val="auto"/>
          <w:szCs w:val="21"/>
          <w:highlight w:val="none"/>
          <w:lang w:eastAsia="zh-CN"/>
        </w:rPr>
        <w:t>图 3</w:t>
      </w:r>
      <w:r>
        <w:rPr>
          <w:rFonts w:hint="eastAsia" w:ascii="Times New Roman" w:hAnsi="Times New Roman" w:eastAsia="宋体"/>
          <w:b/>
          <w:color w:val="auto"/>
          <w:szCs w:val="21"/>
          <w:highlight w:val="none"/>
          <w:lang w:val="en-US" w:eastAsia="zh-CN"/>
        </w:rPr>
        <w:t>.5</w:t>
      </w:r>
      <w:r>
        <w:rPr>
          <w:rFonts w:hint="eastAsia" w:ascii="Times New Roman" w:hAnsi="Times New Roman" w:eastAsia="宋体"/>
          <w:b/>
          <w:color w:val="auto"/>
          <w:szCs w:val="21"/>
          <w:highlight w:val="none"/>
          <w:lang w:eastAsia="zh-CN"/>
        </w:rPr>
        <w:t>-</w:t>
      </w:r>
      <w:r>
        <w:rPr>
          <w:rFonts w:hint="eastAsia" w:ascii="Times New Roman" w:hAnsi="Times New Roman" w:eastAsia="宋体"/>
          <w:b/>
          <w:color w:val="auto"/>
          <w:szCs w:val="21"/>
          <w:highlight w:val="none"/>
          <w:lang w:val="en-US" w:eastAsia="zh-CN"/>
        </w:rPr>
        <w:t>7</w:t>
      </w:r>
      <w:r>
        <w:rPr>
          <w:rFonts w:hint="eastAsia" w:ascii="Times New Roman" w:hAnsi="Times New Roman" w:eastAsia="宋体"/>
          <w:b/>
          <w:color w:val="auto"/>
          <w:szCs w:val="21"/>
          <w:highlight w:val="none"/>
          <w:lang w:eastAsia="zh-CN"/>
        </w:rPr>
        <w:t xml:space="preserve"> 本项目污水处理基本工艺流程</w:t>
      </w:r>
    </w:p>
    <w:p>
      <w:pPr>
        <w:adjustRightInd w:val="0"/>
        <w:snapToGrid w:val="0"/>
        <w:spacing w:line="360" w:lineRule="auto"/>
        <w:ind w:firstLine="480" w:firstLineChars="200"/>
        <w:rPr>
          <w:rFonts w:hint="eastAsia" w:ascii="Times New Roman" w:hAnsi="Times New Roman" w:eastAsia="宋体"/>
          <w:snapToGrid w:val="0"/>
          <w:color w:val="auto"/>
          <w:sz w:val="24"/>
          <w:highlight w:val="none"/>
          <w:lang w:eastAsia="zh-CN"/>
        </w:rPr>
      </w:pPr>
      <w:r>
        <w:rPr>
          <w:rFonts w:hint="eastAsia" w:ascii="Times New Roman" w:hAnsi="Times New Roman" w:eastAsia="宋体"/>
          <w:snapToGrid w:val="0"/>
          <w:color w:val="auto"/>
          <w:sz w:val="24"/>
          <w:highlight w:val="none"/>
          <w:lang w:eastAsia="zh-CN"/>
        </w:rPr>
        <w:t>养殖废水有机物浓度高、悬浮物多、氨氮含量高、臭味大，主要含有 COD</w:t>
      </w:r>
      <w:r>
        <w:rPr>
          <w:rFonts w:hint="eastAsia" w:ascii="Times New Roman" w:hAnsi="Times New Roman" w:eastAsia="宋体"/>
          <w:snapToGrid w:val="0"/>
          <w:color w:val="auto"/>
          <w:sz w:val="24"/>
          <w:highlight w:val="none"/>
          <w:vertAlign w:val="subscript"/>
          <w:lang w:eastAsia="zh-CN"/>
        </w:rPr>
        <w:t>cr</w:t>
      </w:r>
      <w:r>
        <w:rPr>
          <w:rFonts w:hint="eastAsia" w:ascii="Times New Roman" w:hAnsi="Times New Roman" w:eastAsia="宋体"/>
          <w:snapToGrid w:val="0"/>
          <w:color w:val="auto"/>
          <w:sz w:val="24"/>
          <w:highlight w:val="none"/>
          <w:lang w:eastAsia="zh-CN"/>
        </w:rPr>
        <w:t>、BOD</w:t>
      </w:r>
      <w:r>
        <w:rPr>
          <w:rFonts w:hint="eastAsia" w:ascii="Times New Roman" w:hAnsi="Times New Roman" w:eastAsia="宋体"/>
          <w:snapToGrid w:val="0"/>
          <w:color w:val="auto"/>
          <w:sz w:val="24"/>
          <w:highlight w:val="none"/>
          <w:vertAlign w:val="subscript"/>
          <w:lang w:eastAsia="zh-CN"/>
        </w:rPr>
        <w:t>5</w:t>
      </w:r>
      <w:r>
        <w:rPr>
          <w:rFonts w:hint="eastAsia" w:ascii="Times New Roman" w:hAnsi="Times New Roman" w:eastAsia="宋体"/>
          <w:snapToGrid w:val="0"/>
          <w:color w:val="auto"/>
          <w:sz w:val="24"/>
          <w:highlight w:val="none"/>
          <w:lang w:eastAsia="zh-CN"/>
        </w:rPr>
        <w:t>、氨氮、粪大肠菌群等，属于高浓度有机废水，一般不含有毒物质。冲栏废水中含有大量的有机物，废水必须经处理达标后才能够作农灌用水。本工程拟采用“</w:t>
      </w:r>
      <w:r>
        <w:rPr>
          <w:rFonts w:hint="eastAsia" w:ascii="Times New Roman" w:hAnsi="Times New Roman" w:eastAsia="宋体"/>
          <w:snapToGrid w:val="0"/>
          <w:color w:val="auto"/>
          <w:sz w:val="24"/>
          <w:lang w:val="en-US" w:eastAsia="zh-CN"/>
        </w:rPr>
        <w:t>格栅+集粪池+干湿分离机+污泥池+叠螺脱泥机+预沉池+一级光氧塘+A/O组合池+二沉池+深度反应池+终沉池+氧化塘</w:t>
      </w:r>
      <w:r>
        <w:rPr>
          <w:rFonts w:hint="eastAsia" w:ascii="Times New Roman" w:hAnsi="Times New Roman" w:eastAsia="宋体"/>
          <w:snapToGrid w:val="0"/>
          <w:color w:val="auto"/>
          <w:sz w:val="24"/>
          <w:highlight w:val="none"/>
          <w:lang w:eastAsia="zh-CN"/>
        </w:rPr>
        <w:t>”工艺对废水进行处理，利用该养殖基地周边的大片</w:t>
      </w:r>
      <w:r>
        <w:rPr>
          <w:rFonts w:hint="eastAsia" w:ascii="Times New Roman" w:hAnsi="Times New Roman" w:eastAsia="宋体"/>
          <w:snapToGrid w:val="0"/>
          <w:color w:val="auto"/>
          <w:sz w:val="24"/>
          <w:highlight w:val="none"/>
          <w:lang w:val="en-US" w:eastAsia="zh-CN"/>
        </w:rPr>
        <w:t>果园</w:t>
      </w:r>
      <w:r>
        <w:rPr>
          <w:rFonts w:hint="eastAsia" w:ascii="Times New Roman" w:hAnsi="Times New Roman" w:eastAsia="宋体"/>
          <w:snapToGrid w:val="0"/>
          <w:color w:val="auto"/>
          <w:sz w:val="24"/>
          <w:highlight w:val="none"/>
          <w:lang w:eastAsia="zh-CN"/>
        </w:rPr>
        <w:t>将处理后的污废水作为农灌用水直接还田。项目周边有大量的农田可作为本项目污废水的消纳土地，能够满足项目污废水所需消纳土地的要求。</w:t>
      </w:r>
    </w:p>
    <w:p>
      <w:pPr>
        <w:adjustRightInd w:val="0"/>
        <w:snapToGrid w:val="0"/>
        <w:spacing w:line="360" w:lineRule="auto"/>
        <w:ind w:firstLine="482" w:firstLineChars="200"/>
        <w:rPr>
          <w:rFonts w:hint="eastAsia"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粪污处理工艺流程简介：</w:t>
      </w:r>
    </w:p>
    <w:p>
      <w:pPr>
        <w:widowControl/>
        <w:tabs>
          <w:tab w:val="left" w:pos="1057"/>
          <w:tab w:val="left" w:pos="2809"/>
          <w:tab w:val="center" w:pos="4153"/>
          <w:tab w:val="left" w:pos="6937"/>
        </w:tabs>
        <w:spacing w:line="360" w:lineRule="auto"/>
        <w:ind w:firstLine="482" w:firstLineChars="200"/>
        <w:jc w:val="left"/>
        <w:rPr>
          <w:rFonts w:hint="eastAsia" w:ascii="Times New Roman" w:hAnsi="Times New Roman" w:eastAsia="宋体" w:cs="Times New Roman"/>
          <w:b/>
          <w:bCs/>
          <w:color w:val="auto"/>
          <w:sz w:val="24"/>
          <w:szCs w:val="24"/>
        </w:rPr>
      </w:pPr>
      <w:r>
        <w:rPr>
          <w:rFonts w:hint="eastAsia" w:ascii="Times New Roman" w:hAnsi="Times New Roman" w:eastAsia="宋体" w:cs="Times New Roman"/>
          <w:b/>
          <w:bCs/>
          <w:color w:val="auto"/>
          <w:sz w:val="24"/>
          <w:szCs w:val="24"/>
        </w:rPr>
        <w:t>固液分离机</w:t>
      </w:r>
    </w:p>
    <w:p>
      <w:pPr>
        <w:widowControl/>
        <w:tabs>
          <w:tab w:val="left" w:pos="1057"/>
          <w:tab w:val="left" w:pos="2809"/>
          <w:tab w:val="center" w:pos="4153"/>
          <w:tab w:val="left" w:pos="6937"/>
        </w:tabs>
        <w:spacing w:line="360" w:lineRule="auto"/>
        <w:ind w:firstLine="480" w:firstLineChars="200"/>
        <w:jc w:val="left"/>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固液分离设备选用水力筛网，水力筛网主体由楔形钢棒经精密制成的不锈钢弧形或平面过滤筛面，待处理废水经隙大、排水顺集水池通过溢流堰均匀分布到倾斜筛面上，由于筛网表面间隙小、平滑、背面间畅、不易阻塞，固态物质被截留，过滤后的水从筛板缝隙中流出进入水解调节池，同时在水力作用下固态物质被推到筛板下端排出，经滤水后运至堆粪棚暂存。</w:t>
      </w:r>
    </w:p>
    <w:p>
      <w:pPr>
        <w:widowControl/>
        <w:tabs>
          <w:tab w:val="left" w:pos="1057"/>
          <w:tab w:val="left" w:pos="2809"/>
          <w:tab w:val="center" w:pos="4153"/>
          <w:tab w:val="left" w:pos="6937"/>
        </w:tabs>
        <w:spacing w:line="360" w:lineRule="auto"/>
        <w:ind w:firstLine="482" w:firstLineChars="200"/>
        <w:jc w:val="left"/>
        <w:rPr>
          <w:rFonts w:hint="eastAsia" w:ascii="Times New Roman" w:hAnsi="Times New Roman" w:eastAsia="宋体" w:cs="Times New Roman"/>
          <w:b/>
          <w:bCs/>
          <w:color w:val="auto"/>
          <w:sz w:val="24"/>
          <w:szCs w:val="24"/>
          <w:lang w:eastAsia="zh-CN"/>
        </w:rPr>
      </w:pPr>
      <w:r>
        <w:rPr>
          <w:rFonts w:hint="eastAsia" w:ascii="Times New Roman" w:hAnsi="Times New Roman" w:eastAsia="宋体" w:cs="Times New Roman"/>
          <w:b/>
          <w:bCs/>
          <w:color w:val="auto"/>
          <w:sz w:val="24"/>
          <w:szCs w:val="24"/>
          <w:lang w:eastAsia="zh-CN"/>
        </w:rPr>
        <w:t>叠螺机</w:t>
      </w:r>
    </w:p>
    <w:p>
      <w:pPr>
        <w:widowControl/>
        <w:tabs>
          <w:tab w:val="left" w:pos="1057"/>
          <w:tab w:val="left" w:pos="2809"/>
          <w:tab w:val="center" w:pos="4153"/>
          <w:tab w:val="left" w:pos="6937"/>
        </w:tabs>
        <w:spacing w:line="360" w:lineRule="auto"/>
        <w:ind w:firstLine="480" w:firstLineChars="200"/>
        <w:jc w:val="left"/>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rPr>
        <w:t>经过干湿分离机把粪渣分离出来，再加药进叠螺机进一步分离固体有机物</w:t>
      </w:r>
      <w:r>
        <w:rPr>
          <w:rFonts w:hint="eastAsia" w:ascii="Times New Roman" w:hAnsi="Times New Roman" w:eastAsia="宋体" w:cs="Times New Roman"/>
          <w:color w:val="auto"/>
          <w:sz w:val="24"/>
          <w:szCs w:val="24"/>
          <w:lang w:eastAsia="zh-CN"/>
        </w:rPr>
        <w:t>。</w:t>
      </w:r>
    </w:p>
    <w:p>
      <w:pPr>
        <w:widowControl/>
        <w:tabs>
          <w:tab w:val="left" w:pos="1057"/>
          <w:tab w:val="left" w:pos="2809"/>
          <w:tab w:val="center" w:pos="4153"/>
          <w:tab w:val="left" w:pos="6937"/>
        </w:tabs>
        <w:spacing w:line="360" w:lineRule="auto"/>
        <w:ind w:firstLine="482" w:firstLineChars="200"/>
        <w:jc w:val="left"/>
        <w:rPr>
          <w:rFonts w:hint="eastAsia" w:ascii="Times New Roman" w:hAnsi="Times New Roman" w:eastAsia="宋体" w:cs="Times New Roman"/>
          <w:b/>
          <w:bCs/>
          <w:color w:val="auto"/>
          <w:sz w:val="24"/>
          <w:szCs w:val="24"/>
          <w:lang w:eastAsia="zh-CN"/>
        </w:rPr>
      </w:pPr>
      <w:r>
        <w:rPr>
          <w:rFonts w:hint="eastAsia" w:ascii="Times New Roman" w:hAnsi="Times New Roman" w:eastAsia="宋体" w:cs="Times New Roman"/>
          <w:b/>
          <w:bCs/>
          <w:color w:val="auto"/>
          <w:sz w:val="24"/>
          <w:szCs w:val="24"/>
          <w:lang w:eastAsia="zh-CN"/>
        </w:rPr>
        <w:t>预沉池</w:t>
      </w:r>
    </w:p>
    <w:p>
      <w:pPr>
        <w:widowControl/>
        <w:tabs>
          <w:tab w:val="left" w:pos="1057"/>
          <w:tab w:val="left" w:pos="2809"/>
          <w:tab w:val="center" w:pos="4153"/>
          <w:tab w:val="left" w:pos="6937"/>
        </w:tabs>
        <w:spacing w:line="360" w:lineRule="auto"/>
        <w:ind w:firstLine="480" w:firstLineChars="200"/>
        <w:jc w:val="left"/>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rPr>
        <w:t>预沉淀池进行悬浮物分离</w:t>
      </w:r>
      <w:r>
        <w:rPr>
          <w:rFonts w:hint="eastAsia" w:ascii="Times New Roman" w:hAnsi="Times New Roman" w:eastAsia="宋体" w:cs="Times New Roman"/>
          <w:color w:val="auto"/>
          <w:sz w:val="24"/>
          <w:szCs w:val="24"/>
          <w:lang w:eastAsia="zh-CN"/>
        </w:rPr>
        <w:t>。</w:t>
      </w:r>
    </w:p>
    <w:p>
      <w:pPr>
        <w:widowControl/>
        <w:tabs>
          <w:tab w:val="left" w:pos="1057"/>
          <w:tab w:val="left" w:pos="2809"/>
          <w:tab w:val="center" w:pos="4153"/>
          <w:tab w:val="left" w:pos="6937"/>
        </w:tabs>
        <w:spacing w:line="360" w:lineRule="auto"/>
        <w:ind w:firstLine="482" w:firstLineChars="200"/>
        <w:jc w:val="left"/>
        <w:rPr>
          <w:rFonts w:hint="eastAsia" w:ascii="Times New Roman" w:hAnsi="Times New Roman" w:eastAsia="宋体" w:cs="Times New Roman"/>
          <w:b/>
          <w:bCs/>
          <w:color w:val="auto"/>
          <w:sz w:val="24"/>
          <w:szCs w:val="24"/>
          <w:lang w:eastAsia="zh-CN"/>
        </w:rPr>
      </w:pPr>
      <w:r>
        <w:rPr>
          <w:rFonts w:hint="eastAsia" w:ascii="Times New Roman" w:hAnsi="Times New Roman" w:eastAsia="宋体" w:cs="Times New Roman"/>
          <w:b/>
          <w:bCs/>
          <w:color w:val="auto"/>
          <w:sz w:val="24"/>
          <w:szCs w:val="24"/>
          <w:lang w:eastAsia="zh-CN"/>
        </w:rPr>
        <w:t>一级光氧塘</w:t>
      </w:r>
    </w:p>
    <w:p>
      <w:pPr>
        <w:widowControl/>
        <w:tabs>
          <w:tab w:val="left" w:pos="1057"/>
          <w:tab w:val="left" w:pos="2809"/>
          <w:tab w:val="center" w:pos="4153"/>
          <w:tab w:val="left" w:pos="6937"/>
        </w:tabs>
        <w:spacing w:line="360" w:lineRule="auto"/>
        <w:ind w:firstLine="480" w:firstLineChars="200"/>
        <w:jc w:val="left"/>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rPr>
        <w:t>经</w:t>
      </w:r>
      <w:r>
        <w:rPr>
          <w:rFonts w:hint="eastAsia" w:ascii="Times New Roman" w:hAnsi="Times New Roman" w:eastAsia="宋体" w:cs="Times New Roman"/>
          <w:color w:val="auto"/>
          <w:sz w:val="24"/>
          <w:szCs w:val="24"/>
          <w:lang w:eastAsia="zh-CN"/>
        </w:rPr>
        <w:t>光氧</w:t>
      </w:r>
      <w:r>
        <w:rPr>
          <w:rFonts w:hint="eastAsia" w:ascii="Times New Roman" w:hAnsi="Times New Roman" w:eastAsia="宋体" w:cs="Times New Roman"/>
          <w:color w:val="auto"/>
          <w:sz w:val="24"/>
          <w:szCs w:val="24"/>
        </w:rPr>
        <w:t>塘靠光氧化进行有机物的降解和开环断链，主要是靠光氧化不会产生沼气</w:t>
      </w:r>
      <w:r>
        <w:rPr>
          <w:rFonts w:hint="eastAsia" w:ascii="Times New Roman" w:hAnsi="Times New Roman" w:eastAsia="宋体" w:cs="Times New Roman"/>
          <w:color w:val="auto"/>
          <w:sz w:val="24"/>
          <w:szCs w:val="24"/>
          <w:lang w:eastAsia="zh-CN"/>
        </w:rPr>
        <w:t>。</w:t>
      </w:r>
    </w:p>
    <w:p>
      <w:pPr>
        <w:widowControl/>
        <w:tabs>
          <w:tab w:val="left" w:pos="1057"/>
          <w:tab w:val="left" w:pos="2809"/>
          <w:tab w:val="center" w:pos="4153"/>
          <w:tab w:val="left" w:pos="6937"/>
        </w:tabs>
        <w:spacing w:line="360" w:lineRule="auto"/>
        <w:ind w:firstLine="482" w:firstLineChars="200"/>
        <w:jc w:val="left"/>
        <w:rPr>
          <w:rFonts w:hint="eastAsia" w:ascii="Times New Roman" w:hAnsi="Times New Roman" w:eastAsia="宋体" w:cs="Times New Roman"/>
          <w:b/>
          <w:bCs/>
          <w:color w:val="auto"/>
          <w:sz w:val="24"/>
          <w:szCs w:val="24"/>
          <w:lang w:eastAsia="zh-CN"/>
        </w:rPr>
      </w:pPr>
      <w:r>
        <w:rPr>
          <w:rFonts w:hint="eastAsia" w:ascii="Times New Roman" w:hAnsi="Times New Roman" w:eastAsia="宋体" w:cs="Times New Roman"/>
          <w:b/>
          <w:bCs/>
          <w:color w:val="auto"/>
          <w:sz w:val="24"/>
          <w:szCs w:val="24"/>
          <w:lang w:eastAsia="zh-CN"/>
        </w:rPr>
        <w:t>组合池</w:t>
      </w:r>
    </w:p>
    <w:p>
      <w:pPr>
        <w:widowControl/>
        <w:tabs>
          <w:tab w:val="left" w:pos="1057"/>
          <w:tab w:val="left" w:pos="2809"/>
          <w:tab w:val="center" w:pos="4153"/>
          <w:tab w:val="left" w:pos="6937"/>
        </w:tabs>
        <w:spacing w:line="360" w:lineRule="auto"/>
        <w:ind w:firstLine="480" w:firstLineChars="200"/>
        <w:jc w:val="left"/>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再进</w:t>
      </w:r>
      <w:r>
        <w:rPr>
          <w:rFonts w:hint="eastAsia" w:ascii="Times New Roman" w:hAnsi="Times New Roman" w:eastAsia="宋体" w:cs="Times New Roman"/>
          <w:color w:val="auto"/>
          <w:sz w:val="24"/>
          <w:szCs w:val="24"/>
        </w:rPr>
        <w:t>入组合池进行生物降解，通过好氧菌吸附，硝化细菌与反硝化细菌的降解，达到去除COD，氨氮，总氮等的目的</w:t>
      </w:r>
      <w:r>
        <w:rPr>
          <w:rFonts w:hint="eastAsia" w:ascii="Times New Roman" w:hAnsi="Times New Roman" w:eastAsia="宋体" w:cs="Times New Roman"/>
          <w:color w:val="auto"/>
          <w:sz w:val="24"/>
          <w:szCs w:val="24"/>
          <w:lang w:eastAsia="zh-CN"/>
        </w:rPr>
        <w:t>，最后再经过芬顿进行高级氧化去除难降解的物质而达到达标排放。</w:t>
      </w:r>
    </w:p>
    <w:p>
      <w:pPr>
        <w:widowControl/>
        <w:tabs>
          <w:tab w:val="left" w:pos="1057"/>
          <w:tab w:val="left" w:pos="2809"/>
          <w:tab w:val="center" w:pos="4153"/>
          <w:tab w:val="left" w:pos="6937"/>
        </w:tabs>
        <w:spacing w:line="360" w:lineRule="auto"/>
        <w:ind w:firstLine="482" w:firstLineChars="200"/>
        <w:jc w:val="left"/>
        <w:rPr>
          <w:rFonts w:hint="eastAsia" w:ascii="Times New Roman" w:hAnsi="Times New Roman" w:eastAsia="宋体" w:cs="Times New Roman"/>
          <w:b/>
          <w:bCs/>
          <w:color w:val="auto"/>
          <w:sz w:val="24"/>
          <w:szCs w:val="24"/>
        </w:rPr>
      </w:pPr>
      <w:r>
        <w:rPr>
          <w:rFonts w:hint="eastAsia" w:ascii="Times New Roman" w:hAnsi="Times New Roman" w:eastAsia="宋体" w:cs="Times New Roman"/>
          <w:b/>
          <w:bCs/>
          <w:color w:val="auto"/>
          <w:sz w:val="24"/>
          <w:szCs w:val="24"/>
        </w:rPr>
        <w:t>氧化塘</w:t>
      </w:r>
    </w:p>
    <w:p>
      <w:pPr>
        <w:widowControl/>
        <w:tabs>
          <w:tab w:val="left" w:pos="1057"/>
          <w:tab w:val="left" w:pos="2809"/>
          <w:tab w:val="center" w:pos="4153"/>
          <w:tab w:val="left" w:pos="6937"/>
        </w:tabs>
        <w:spacing w:line="360" w:lineRule="auto"/>
        <w:ind w:firstLine="480" w:firstLineChars="200"/>
        <w:jc w:val="left"/>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氧化塘就是用人工筑成水池或沟槽，底面铺设防渗漏隔水层，种植芦苇一类的维管束植物或根系发达的水生植物，污水由氧化塘的一端通过布水管渠进入，以推流方式与布满生物膜的介质表面和溶解氧进行充分的植物根区接触而获得净化。</w:t>
      </w:r>
    </w:p>
    <w:p>
      <w:pPr>
        <w:widowControl/>
        <w:tabs>
          <w:tab w:val="left" w:pos="1057"/>
          <w:tab w:val="left" w:pos="2809"/>
          <w:tab w:val="center" w:pos="4153"/>
          <w:tab w:val="left" w:pos="6937"/>
        </w:tabs>
        <w:spacing w:line="360" w:lineRule="auto"/>
        <w:ind w:firstLine="482" w:firstLineChars="200"/>
        <w:jc w:val="left"/>
        <w:rPr>
          <w:rFonts w:hint="eastAsia" w:ascii="Times New Roman" w:hAnsi="Times New Roman" w:eastAsia="宋体" w:cs="Times New Roman"/>
          <w:b/>
          <w:bCs/>
          <w:color w:val="auto"/>
          <w:sz w:val="24"/>
          <w:szCs w:val="24"/>
        </w:rPr>
      </w:pPr>
      <w:r>
        <w:rPr>
          <w:rFonts w:hint="eastAsia" w:ascii="Times New Roman" w:hAnsi="Times New Roman" w:eastAsia="宋体" w:cs="Times New Roman"/>
          <w:b/>
          <w:bCs/>
          <w:color w:val="auto"/>
          <w:sz w:val="24"/>
          <w:szCs w:val="24"/>
        </w:rPr>
        <w:t>污泥处理</w:t>
      </w:r>
    </w:p>
    <w:p>
      <w:pPr>
        <w:adjustRightInd w:val="0"/>
        <w:snapToGrid w:val="0"/>
        <w:spacing w:line="360" w:lineRule="auto"/>
        <w:ind w:firstLine="480" w:firstLineChars="200"/>
        <w:rPr>
          <w:rFonts w:hint="eastAsia" w:ascii="Times New Roman" w:hAnsi="Times New Roman" w:eastAsia="宋体"/>
          <w:snapToGrid w:val="0"/>
          <w:color w:val="auto"/>
          <w:sz w:val="24"/>
          <w:highlight w:val="none"/>
          <w:lang w:eastAsia="zh-CN"/>
        </w:rPr>
      </w:pPr>
      <w:r>
        <w:rPr>
          <w:rFonts w:hint="eastAsia" w:ascii="Times New Roman" w:hAnsi="Times New Roman" w:eastAsia="宋体" w:cs="Times New Roman"/>
          <w:color w:val="auto"/>
          <w:sz w:val="24"/>
          <w:szCs w:val="24"/>
        </w:rPr>
        <w:t>生化系统与物化系统排出的剩余污泥进入污泥池，经污泥泵送到污泥脱水机进行脱水，滤液回调节池，干泥送至堆粪棚与猪粪一起堆存。污泥处理系统包括污泥池及污泥泵、脱水机等设施设备</w:t>
      </w:r>
      <w:r>
        <w:rPr>
          <w:rFonts w:hint="eastAsia" w:ascii="Times New Roman" w:hAnsi="Times New Roman" w:eastAsia="宋体"/>
          <w:snapToGrid w:val="0"/>
          <w:color w:val="auto"/>
          <w:sz w:val="24"/>
          <w:highlight w:val="none"/>
          <w:lang w:eastAsia="zh-CN"/>
        </w:rPr>
        <w:t>。</w:t>
      </w:r>
    </w:p>
    <w:p>
      <w:pPr>
        <w:adjustRightInd w:val="0"/>
        <w:snapToGrid w:val="0"/>
        <w:spacing w:line="360" w:lineRule="auto"/>
        <w:ind w:firstLine="480" w:firstLineChars="200"/>
        <w:rPr>
          <w:rFonts w:hint="eastAsia" w:ascii="Times New Roman" w:hAnsi="Times New Roman" w:eastAsia="宋体"/>
          <w:snapToGrid w:val="0"/>
          <w:color w:val="auto"/>
          <w:sz w:val="24"/>
          <w:highlight w:val="none"/>
          <w:lang w:eastAsia="zh-CN"/>
        </w:rPr>
      </w:pPr>
      <w:r>
        <w:rPr>
          <w:rFonts w:hint="eastAsia" w:ascii="Times New Roman" w:hAnsi="Times New Roman" w:eastAsia="宋体"/>
          <w:snapToGrid w:val="0"/>
          <w:color w:val="auto"/>
          <w:sz w:val="24"/>
          <w:highlight w:val="none"/>
          <w:lang w:eastAsia="zh-CN"/>
        </w:rPr>
        <w:t>（</w:t>
      </w:r>
      <w:r>
        <w:rPr>
          <w:rFonts w:hint="eastAsia" w:ascii="Times New Roman" w:hAnsi="Times New Roman" w:eastAsia="宋体"/>
          <w:snapToGrid w:val="0"/>
          <w:color w:val="auto"/>
          <w:sz w:val="24"/>
          <w:highlight w:val="none"/>
          <w:lang w:val="en-US" w:eastAsia="zh-CN"/>
        </w:rPr>
        <w:t>3</w:t>
      </w:r>
      <w:r>
        <w:rPr>
          <w:rFonts w:hint="eastAsia" w:ascii="Times New Roman" w:hAnsi="Times New Roman" w:eastAsia="宋体"/>
          <w:snapToGrid w:val="0"/>
          <w:color w:val="auto"/>
          <w:sz w:val="24"/>
          <w:highlight w:val="none"/>
          <w:lang w:eastAsia="zh-CN"/>
        </w:rPr>
        <w:t>）废水处理情况</w:t>
      </w:r>
    </w:p>
    <w:p>
      <w:pPr>
        <w:adjustRightInd w:val="0"/>
        <w:snapToGrid w:val="0"/>
        <w:spacing w:line="360" w:lineRule="auto"/>
        <w:ind w:firstLine="480" w:firstLineChars="200"/>
        <w:rPr>
          <w:rFonts w:hint="eastAsia" w:ascii="Times New Roman" w:hAnsi="Times New Roman" w:eastAsia="宋体"/>
          <w:snapToGrid w:val="0"/>
          <w:color w:val="auto"/>
          <w:sz w:val="24"/>
          <w:highlight w:val="none"/>
          <w:lang w:eastAsia="zh-CN"/>
        </w:rPr>
      </w:pPr>
      <w:r>
        <w:rPr>
          <w:rFonts w:hint="eastAsia" w:ascii="Times New Roman" w:hAnsi="Times New Roman" w:eastAsia="宋体"/>
          <w:snapToGrid w:val="0"/>
          <w:color w:val="auto"/>
          <w:sz w:val="24"/>
          <w:highlight w:val="none"/>
          <w:lang w:eastAsia="zh-CN"/>
        </w:rPr>
        <w:t>本项目废水经以上工艺处理后处理后达《农田灌溉水质标准》（GB5084-2021）中要求用于农灌。本项目污水处理效率如下表所示。</w:t>
      </w: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hint="eastAsia" w:ascii="Times New Roman" w:hAnsi="Times New Roman" w:eastAsia="宋体"/>
          <w:b/>
          <w:color w:val="auto"/>
          <w:szCs w:val="21"/>
          <w:lang w:eastAsia="zh-CN"/>
        </w:rPr>
      </w:pPr>
      <w:r>
        <w:rPr>
          <w:rFonts w:hint="eastAsia" w:ascii="Times New Roman" w:hAnsi="Times New Roman" w:eastAsia="宋体"/>
          <w:b/>
          <w:color w:val="auto"/>
          <w:szCs w:val="21"/>
          <w:lang w:val="en-US" w:eastAsia="zh-CN"/>
        </w:rPr>
        <w:t>表3.5</w:t>
      </w:r>
      <w:r>
        <w:rPr>
          <w:rFonts w:hint="eastAsia" w:ascii="Times New Roman" w:hAnsi="Times New Roman" w:eastAsia="宋体"/>
          <w:b/>
          <w:color w:val="auto"/>
          <w:szCs w:val="21"/>
        </w:rPr>
        <w:t>-</w:t>
      </w:r>
      <w:r>
        <w:rPr>
          <w:rFonts w:hint="eastAsia" w:ascii="Times New Roman" w:hAnsi="Times New Roman" w:eastAsia="宋体"/>
          <w:b/>
          <w:color w:val="auto"/>
          <w:szCs w:val="21"/>
          <w:lang w:val="en-US" w:eastAsia="zh-CN"/>
        </w:rPr>
        <w:t xml:space="preserve">16 </w:t>
      </w:r>
      <w:r>
        <w:rPr>
          <w:rFonts w:ascii="Times New Roman" w:hAnsi="Times New Roman" w:eastAsia="宋体"/>
          <w:b/>
          <w:color w:val="auto"/>
          <w:szCs w:val="21"/>
        </w:rPr>
        <w:t xml:space="preserve"> </w:t>
      </w:r>
      <w:r>
        <w:rPr>
          <w:rFonts w:hint="eastAsia" w:ascii="Times New Roman" w:hAnsi="Times New Roman" w:eastAsia="宋体"/>
          <w:b/>
          <w:color w:val="auto"/>
          <w:szCs w:val="21"/>
          <w:lang w:eastAsia="zh-CN"/>
        </w:rPr>
        <w:t>综合废水处理情况一览表</w:t>
      </w:r>
    </w:p>
    <w:tbl>
      <w:tblPr>
        <w:tblStyle w:val="35"/>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39"/>
        <w:gridCol w:w="1031"/>
        <w:gridCol w:w="1065"/>
        <w:gridCol w:w="1087"/>
        <w:gridCol w:w="896"/>
        <w:gridCol w:w="896"/>
        <w:gridCol w:w="896"/>
        <w:gridCol w:w="1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07"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项目</w:t>
            </w:r>
          </w:p>
        </w:tc>
        <w:tc>
          <w:tcPr>
            <w:tcW w:w="559"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废水量（</w:t>
            </w:r>
            <w:r>
              <w:rPr>
                <w:rFonts w:cs="Times New Roman"/>
                <w:color w:val="auto"/>
                <w:highlight w:val="none"/>
              </w:rPr>
              <w:t>m</w:t>
            </w:r>
            <w:r>
              <w:rPr>
                <w:rFonts w:cs="Times New Roman"/>
                <w:color w:val="auto"/>
                <w:highlight w:val="none"/>
                <w:vertAlign w:val="superscript"/>
              </w:rPr>
              <w:t>3</w:t>
            </w:r>
            <w:r>
              <w:rPr>
                <w:rFonts w:cs="Times New Roman"/>
                <w:color w:val="auto"/>
                <w:highlight w:val="none"/>
              </w:rPr>
              <w:t>/d</w:t>
            </w:r>
            <w:r>
              <w:rPr>
                <w:rFonts w:hint="eastAsia"/>
                <w:color w:val="auto"/>
                <w:highlight w:val="none"/>
                <w:lang w:val="en-US" w:eastAsia="zh-CN"/>
              </w:rPr>
              <w:t>）</w:t>
            </w:r>
          </w:p>
        </w:tc>
        <w:tc>
          <w:tcPr>
            <w:tcW w:w="578" w:type="pct"/>
            <w:noWrap w:val="0"/>
            <w:vAlign w:val="center"/>
          </w:tcPr>
          <w:p>
            <w:pPr>
              <w:pStyle w:val="98"/>
              <w:keepNext w:val="0"/>
              <w:keepLines w:val="0"/>
              <w:pageBreakBefore w:val="0"/>
              <w:widowControl w:val="0"/>
              <w:kinsoku/>
              <w:wordWrap/>
              <w:overflowPunct/>
              <w:topLinePunct w:val="0"/>
              <w:autoSpaceDE/>
              <w:autoSpaceDN/>
              <w:bidi w:val="0"/>
              <w:snapToGrid/>
              <w:jc w:val="center"/>
              <w:rPr>
                <w:rFonts w:hint="eastAsia"/>
                <w:color w:val="auto"/>
                <w:highlight w:val="none"/>
                <w:lang w:val="en-US" w:eastAsia="zh-CN"/>
              </w:rPr>
            </w:pPr>
            <w:r>
              <w:rPr>
                <w:rFonts w:hint="eastAsia" w:ascii="Times New Roman" w:hAnsi="Times New Roman" w:cs="Times New Roman"/>
                <w:b/>
                <w:bCs/>
                <w:color w:val="auto"/>
                <w:szCs w:val="21"/>
                <w:highlight w:val="none"/>
                <w:lang w:val="en-US" w:eastAsia="zh-CN"/>
              </w:rPr>
              <w:t>COD</w:t>
            </w:r>
            <w:r>
              <w:rPr>
                <w:rFonts w:hint="eastAsia" w:ascii="Times New Roman" w:hAnsi="Times New Roman" w:cs="Times New Roman"/>
                <w:b/>
                <w:bCs/>
                <w:color w:val="auto"/>
                <w:szCs w:val="21"/>
                <w:highlight w:val="none"/>
                <w:vertAlign w:val="subscript"/>
                <w:lang w:val="en-US" w:eastAsia="zh-CN"/>
              </w:rPr>
              <w:t>cr</w:t>
            </w:r>
          </w:p>
        </w:tc>
        <w:tc>
          <w:tcPr>
            <w:tcW w:w="590" w:type="pct"/>
            <w:noWrap w:val="0"/>
            <w:vAlign w:val="center"/>
          </w:tcPr>
          <w:p>
            <w:pPr>
              <w:pStyle w:val="98"/>
              <w:keepNext w:val="0"/>
              <w:keepLines w:val="0"/>
              <w:pageBreakBefore w:val="0"/>
              <w:widowControl w:val="0"/>
              <w:kinsoku/>
              <w:wordWrap/>
              <w:overflowPunct/>
              <w:topLinePunct w:val="0"/>
              <w:autoSpaceDE/>
              <w:autoSpaceDN/>
              <w:bidi w:val="0"/>
              <w:snapToGrid/>
              <w:jc w:val="center"/>
              <w:rPr>
                <w:rFonts w:hint="eastAsia"/>
                <w:color w:val="auto"/>
                <w:highlight w:val="none"/>
                <w:lang w:val="en-US" w:eastAsia="zh-CN"/>
              </w:rPr>
            </w:pPr>
            <w:r>
              <w:rPr>
                <w:rFonts w:hint="eastAsia" w:ascii="Times New Roman" w:hAnsi="Times New Roman" w:cs="Times New Roman"/>
                <w:b/>
                <w:bCs/>
                <w:color w:val="auto"/>
                <w:szCs w:val="21"/>
                <w:highlight w:val="none"/>
                <w:lang w:val="en-US" w:eastAsia="zh-CN"/>
              </w:rPr>
              <w:t>BOD</w:t>
            </w:r>
            <w:r>
              <w:rPr>
                <w:rFonts w:hint="eastAsia" w:ascii="Times New Roman" w:hAnsi="Times New Roman" w:cs="Times New Roman"/>
                <w:b/>
                <w:bCs/>
                <w:color w:val="auto"/>
                <w:szCs w:val="21"/>
                <w:highlight w:val="none"/>
                <w:vertAlign w:val="subscript"/>
                <w:lang w:val="en-US" w:eastAsia="zh-CN"/>
              </w:rPr>
              <w:t>5</w:t>
            </w:r>
          </w:p>
        </w:tc>
        <w:tc>
          <w:tcPr>
            <w:tcW w:w="486" w:type="pct"/>
            <w:noWrap w:val="0"/>
            <w:vAlign w:val="center"/>
          </w:tcPr>
          <w:p>
            <w:pPr>
              <w:pStyle w:val="98"/>
              <w:keepNext w:val="0"/>
              <w:keepLines w:val="0"/>
              <w:pageBreakBefore w:val="0"/>
              <w:widowControl w:val="0"/>
              <w:kinsoku/>
              <w:wordWrap/>
              <w:overflowPunct/>
              <w:topLinePunct w:val="0"/>
              <w:autoSpaceDE/>
              <w:autoSpaceDN/>
              <w:bidi w:val="0"/>
              <w:snapToGrid/>
              <w:jc w:val="center"/>
              <w:rPr>
                <w:rFonts w:hint="eastAsia"/>
                <w:color w:val="auto"/>
                <w:highlight w:val="none"/>
                <w:lang w:val="en-US" w:eastAsia="zh-CN"/>
              </w:rPr>
            </w:pPr>
            <w:r>
              <w:rPr>
                <w:rFonts w:hint="eastAsia" w:ascii="Times New Roman" w:hAnsi="Times New Roman" w:cs="Times New Roman"/>
                <w:b/>
                <w:bCs/>
                <w:color w:val="auto"/>
                <w:szCs w:val="21"/>
                <w:highlight w:val="none"/>
                <w:lang w:val="en-US" w:eastAsia="zh-CN"/>
              </w:rPr>
              <w:t>SS</w:t>
            </w:r>
          </w:p>
        </w:tc>
        <w:tc>
          <w:tcPr>
            <w:tcW w:w="486" w:type="pct"/>
            <w:noWrap w:val="0"/>
            <w:vAlign w:val="center"/>
          </w:tcPr>
          <w:p>
            <w:pPr>
              <w:pStyle w:val="98"/>
              <w:keepNext w:val="0"/>
              <w:keepLines w:val="0"/>
              <w:pageBreakBefore w:val="0"/>
              <w:widowControl w:val="0"/>
              <w:kinsoku/>
              <w:wordWrap/>
              <w:overflowPunct/>
              <w:topLinePunct w:val="0"/>
              <w:autoSpaceDE/>
              <w:autoSpaceDN/>
              <w:bidi w:val="0"/>
              <w:snapToGrid/>
              <w:jc w:val="center"/>
              <w:rPr>
                <w:rFonts w:hint="eastAsia"/>
                <w:color w:val="auto"/>
                <w:highlight w:val="none"/>
                <w:lang w:val="en-US" w:eastAsia="zh-CN"/>
              </w:rPr>
            </w:pPr>
            <w:r>
              <w:rPr>
                <w:rFonts w:hint="eastAsia" w:ascii="Times New Roman" w:hAnsi="Times New Roman" w:cs="Times New Roman"/>
                <w:b/>
                <w:bCs/>
                <w:color w:val="auto"/>
                <w:szCs w:val="21"/>
                <w:highlight w:val="none"/>
                <w:lang w:val="en-US" w:eastAsia="zh-CN"/>
              </w:rPr>
              <w:t>NH</w:t>
            </w:r>
            <w:r>
              <w:rPr>
                <w:rFonts w:hint="eastAsia" w:ascii="Times New Roman" w:hAnsi="Times New Roman" w:cs="Times New Roman"/>
                <w:b/>
                <w:bCs/>
                <w:color w:val="auto"/>
                <w:szCs w:val="21"/>
                <w:highlight w:val="none"/>
                <w:vertAlign w:val="subscript"/>
                <w:lang w:val="en-US" w:eastAsia="zh-CN"/>
              </w:rPr>
              <w:t>3</w:t>
            </w:r>
            <w:r>
              <w:rPr>
                <w:rFonts w:hint="eastAsia" w:ascii="Times New Roman" w:hAnsi="Times New Roman" w:cs="Times New Roman"/>
                <w:b/>
                <w:bCs/>
                <w:color w:val="auto"/>
                <w:szCs w:val="21"/>
                <w:highlight w:val="none"/>
                <w:lang w:val="en-US" w:eastAsia="zh-CN"/>
              </w:rPr>
              <w:t>-N</w:t>
            </w:r>
          </w:p>
        </w:tc>
        <w:tc>
          <w:tcPr>
            <w:tcW w:w="486" w:type="pct"/>
            <w:noWrap w:val="0"/>
            <w:vAlign w:val="center"/>
          </w:tcPr>
          <w:p>
            <w:pPr>
              <w:pStyle w:val="98"/>
              <w:keepNext w:val="0"/>
              <w:keepLines w:val="0"/>
              <w:pageBreakBefore w:val="0"/>
              <w:widowControl w:val="0"/>
              <w:kinsoku/>
              <w:wordWrap/>
              <w:overflowPunct/>
              <w:topLinePunct w:val="0"/>
              <w:autoSpaceDE/>
              <w:autoSpaceDN/>
              <w:bidi w:val="0"/>
              <w:snapToGrid/>
              <w:jc w:val="center"/>
              <w:rPr>
                <w:rFonts w:hint="eastAsia"/>
                <w:color w:val="auto"/>
                <w:highlight w:val="none"/>
                <w:lang w:val="en-US" w:eastAsia="zh-CN"/>
              </w:rPr>
            </w:pPr>
            <w:r>
              <w:rPr>
                <w:rFonts w:hint="eastAsia" w:ascii="Times New Roman" w:hAnsi="Times New Roman" w:cs="Times New Roman"/>
                <w:b/>
                <w:bCs/>
                <w:color w:val="auto"/>
                <w:szCs w:val="21"/>
                <w:highlight w:val="none"/>
                <w:lang w:val="en-US" w:eastAsia="zh-CN"/>
              </w:rPr>
              <w:t>TP</w:t>
            </w:r>
          </w:p>
        </w:tc>
        <w:tc>
          <w:tcPr>
            <w:tcW w:w="704" w:type="pct"/>
            <w:noWrap w:val="0"/>
            <w:vAlign w:val="center"/>
          </w:tcPr>
          <w:p>
            <w:pPr>
              <w:pStyle w:val="98"/>
              <w:keepNext w:val="0"/>
              <w:keepLines w:val="0"/>
              <w:pageBreakBefore w:val="0"/>
              <w:widowControl w:val="0"/>
              <w:kinsoku/>
              <w:wordWrap/>
              <w:overflowPunct/>
              <w:topLinePunct w:val="0"/>
              <w:autoSpaceDE/>
              <w:autoSpaceDN/>
              <w:bidi w:val="0"/>
              <w:snapToGrid/>
              <w:jc w:val="center"/>
              <w:rPr>
                <w:rFonts w:hint="eastAsia"/>
                <w:color w:val="auto"/>
                <w:highlight w:val="none"/>
                <w:lang w:val="en-US" w:eastAsia="zh-CN"/>
              </w:rPr>
            </w:pPr>
            <w:r>
              <w:rPr>
                <w:rFonts w:hint="eastAsia" w:ascii="Times New Roman" w:hAnsi="Times New Roman" w:cs="Times New Roman"/>
                <w:b/>
                <w:bCs/>
                <w:color w:val="auto"/>
                <w:szCs w:val="21"/>
                <w:highlight w:val="none"/>
                <w:lang w:val="en-US" w:eastAsia="zh-CN"/>
              </w:rPr>
              <w:t>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107"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产生浓度（mg/L）</w:t>
            </w:r>
          </w:p>
        </w:tc>
        <w:tc>
          <w:tcPr>
            <w:tcW w:w="559" w:type="pct"/>
            <w:vMerge w:val="restar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s="Times New Roman"/>
                <w:color w:val="auto"/>
                <w:szCs w:val="21"/>
                <w:highlight w:val="none"/>
                <w:lang w:val="en-US" w:eastAsia="zh-CN"/>
              </w:rPr>
              <w:t>24941.95</w:t>
            </w:r>
          </w:p>
        </w:tc>
        <w:tc>
          <w:tcPr>
            <w:tcW w:w="578" w:type="pct"/>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center"/>
              <w:rPr>
                <w:rFonts w:hint="default"/>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10908.93 </w:t>
            </w:r>
          </w:p>
        </w:tc>
        <w:tc>
          <w:tcPr>
            <w:tcW w:w="590" w:type="pct"/>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center"/>
              <w:rPr>
                <w:rFonts w:hint="default"/>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925.35 </w:t>
            </w:r>
          </w:p>
        </w:tc>
        <w:tc>
          <w:tcPr>
            <w:tcW w:w="486" w:type="pct"/>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center"/>
              <w:rPr>
                <w:rFonts w:hint="default"/>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473.50 </w:t>
            </w:r>
          </w:p>
        </w:tc>
        <w:tc>
          <w:tcPr>
            <w:tcW w:w="486" w:type="pct"/>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center"/>
              <w:rPr>
                <w:rFonts w:hint="default"/>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365.65 </w:t>
            </w:r>
          </w:p>
        </w:tc>
        <w:tc>
          <w:tcPr>
            <w:tcW w:w="486" w:type="pct"/>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center"/>
              <w:rPr>
                <w:rFonts w:hint="default"/>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46.91 </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center"/>
              <w:rPr>
                <w:rFonts w:hint="default"/>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500.36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07"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产生量（t/a）</w:t>
            </w:r>
          </w:p>
        </w:tc>
        <w:tc>
          <w:tcPr>
            <w:tcW w:w="559" w:type="pct"/>
            <w:vMerge w:val="continue"/>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p>
        </w:tc>
        <w:tc>
          <w:tcPr>
            <w:tcW w:w="578" w:type="pct"/>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center"/>
              <w:rPr>
                <w:rFonts w:hint="default"/>
                <w:color w:val="auto"/>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272.09</w:t>
            </w:r>
          </w:p>
        </w:tc>
        <w:tc>
          <w:tcPr>
            <w:tcW w:w="590" w:type="pct"/>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center"/>
              <w:rPr>
                <w:rFonts w:hint="default"/>
                <w:color w:val="auto"/>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23.08</w:t>
            </w:r>
          </w:p>
        </w:tc>
        <w:tc>
          <w:tcPr>
            <w:tcW w:w="486" w:type="pct"/>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center"/>
              <w:rPr>
                <w:rFonts w:hint="default"/>
                <w:color w:val="auto"/>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11.81</w:t>
            </w:r>
          </w:p>
        </w:tc>
        <w:tc>
          <w:tcPr>
            <w:tcW w:w="486" w:type="pct"/>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center"/>
              <w:rPr>
                <w:rFonts w:hint="default"/>
                <w:color w:val="auto"/>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9.12</w:t>
            </w:r>
          </w:p>
        </w:tc>
        <w:tc>
          <w:tcPr>
            <w:tcW w:w="486" w:type="pct"/>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center"/>
              <w:rPr>
                <w:rFonts w:hint="default"/>
                <w:color w:val="auto"/>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1.17</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center"/>
              <w:rPr>
                <w:rFonts w:hint="default"/>
                <w:color w:val="auto"/>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12.48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000" w:type="pct"/>
            <w:gridSpan w:val="8"/>
            <w:noWrap w:val="0"/>
            <w:vAlign w:val="center"/>
          </w:tcPr>
          <w:p>
            <w:pPr>
              <w:pStyle w:val="98"/>
              <w:keepNext w:val="0"/>
              <w:keepLines w:val="0"/>
              <w:pageBreakBefore w:val="0"/>
              <w:kinsoku/>
              <w:wordWrap/>
              <w:overflowPunct/>
              <w:topLinePunct w:val="0"/>
              <w:autoSpaceDE/>
              <w:autoSpaceDN/>
              <w:bidi w:val="0"/>
              <w:snapToGrid/>
              <w:jc w:val="center"/>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预反应及预沉淀池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07"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效率（%）</w:t>
            </w:r>
          </w:p>
        </w:tc>
        <w:tc>
          <w:tcPr>
            <w:tcW w:w="559" w:type="pct"/>
            <w:vMerge w:val="restar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s="Times New Roman"/>
                <w:color w:val="auto"/>
                <w:szCs w:val="21"/>
                <w:highlight w:val="none"/>
                <w:lang w:val="en-US" w:eastAsia="zh-CN"/>
              </w:rPr>
              <w:t>24941.95</w:t>
            </w:r>
          </w:p>
        </w:tc>
        <w:tc>
          <w:tcPr>
            <w:tcW w:w="578"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20%</w:t>
            </w:r>
          </w:p>
        </w:tc>
        <w:tc>
          <w:tcPr>
            <w:tcW w:w="590"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20%</w:t>
            </w:r>
          </w:p>
        </w:tc>
        <w:tc>
          <w:tcPr>
            <w:tcW w:w="486"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30%</w:t>
            </w:r>
          </w:p>
        </w:tc>
        <w:tc>
          <w:tcPr>
            <w:tcW w:w="486"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0</w:t>
            </w:r>
          </w:p>
        </w:tc>
        <w:tc>
          <w:tcPr>
            <w:tcW w:w="486"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0</w:t>
            </w:r>
          </w:p>
        </w:tc>
        <w:tc>
          <w:tcPr>
            <w:tcW w:w="704"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07"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出水水质（mg/L）</w:t>
            </w:r>
          </w:p>
        </w:tc>
        <w:tc>
          <w:tcPr>
            <w:tcW w:w="559" w:type="pct"/>
            <w:vMerge w:val="continue"/>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p>
        </w:tc>
        <w:tc>
          <w:tcPr>
            <w:tcW w:w="1065"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 xml:space="preserve">8727.14 </w:t>
            </w:r>
          </w:p>
        </w:tc>
        <w:tc>
          <w:tcPr>
            <w:tcW w:w="1087"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 xml:space="preserve">740.28 </w:t>
            </w:r>
          </w:p>
        </w:tc>
        <w:tc>
          <w:tcPr>
            <w:tcW w:w="89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 xml:space="preserve">331.45 </w:t>
            </w:r>
          </w:p>
        </w:tc>
        <w:tc>
          <w:tcPr>
            <w:tcW w:w="89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 xml:space="preserve">365.65 </w:t>
            </w:r>
          </w:p>
        </w:tc>
        <w:tc>
          <w:tcPr>
            <w:tcW w:w="89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 xml:space="preserve">46.91 </w:t>
            </w:r>
          </w:p>
        </w:tc>
        <w:tc>
          <w:tcPr>
            <w:tcW w:w="1303"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 xml:space="preserve">500.36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000" w:type="pct"/>
            <w:gridSpan w:val="8"/>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一级光氧塘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07"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ind w:firstLine="0" w:firstLineChars="0"/>
              <w:jc w:val="center"/>
              <w:rPr>
                <w:rFonts w:hint="eastAsia" w:ascii="Times New Roman" w:hAnsi="Times New Roman" w:eastAsia="宋体" w:cs="Times New Roman"/>
                <w:snapToGrid w:val="0"/>
                <w:color w:val="auto"/>
                <w:kern w:val="2"/>
                <w:sz w:val="21"/>
                <w:szCs w:val="21"/>
                <w:highlight w:val="none"/>
                <w:lang w:val="en-US" w:eastAsia="zh-CN" w:bidi="ar-SA"/>
              </w:rPr>
            </w:pPr>
            <w:r>
              <w:rPr>
                <w:rFonts w:hint="eastAsia"/>
                <w:color w:val="auto"/>
                <w:highlight w:val="none"/>
                <w:lang w:val="en-US" w:eastAsia="zh-CN"/>
              </w:rPr>
              <w:t>效率（%）</w:t>
            </w:r>
          </w:p>
        </w:tc>
        <w:tc>
          <w:tcPr>
            <w:tcW w:w="559" w:type="pct"/>
            <w:vMerge w:val="restar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s="Times New Roman"/>
                <w:color w:val="auto"/>
                <w:szCs w:val="21"/>
                <w:highlight w:val="none"/>
                <w:lang w:val="en-US" w:eastAsia="zh-CN"/>
              </w:rPr>
              <w:t>24941.95</w:t>
            </w:r>
          </w:p>
        </w:tc>
        <w:tc>
          <w:tcPr>
            <w:tcW w:w="109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80%</w:t>
            </w:r>
          </w:p>
        </w:tc>
        <w:tc>
          <w:tcPr>
            <w:tcW w:w="1079"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80%</w:t>
            </w:r>
          </w:p>
        </w:tc>
        <w:tc>
          <w:tcPr>
            <w:tcW w:w="891"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20%</w:t>
            </w:r>
          </w:p>
        </w:tc>
        <w:tc>
          <w:tcPr>
            <w:tcW w:w="891"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40%</w:t>
            </w:r>
          </w:p>
        </w:tc>
        <w:tc>
          <w:tcPr>
            <w:tcW w:w="891"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30%</w:t>
            </w:r>
          </w:p>
        </w:tc>
        <w:tc>
          <w:tcPr>
            <w:tcW w:w="1299"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07"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ind w:firstLine="0" w:firstLineChars="0"/>
              <w:jc w:val="center"/>
              <w:rPr>
                <w:rFonts w:hint="eastAsia" w:ascii="Times New Roman" w:hAnsi="Times New Roman" w:eastAsia="宋体" w:cs="Times New Roman"/>
                <w:snapToGrid w:val="0"/>
                <w:color w:val="auto"/>
                <w:kern w:val="2"/>
                <w:sz w:val="21"/>
                <w:szCs w:val="21"/>
                <w:highlight w:val="none"/>
                <w:lang w:val="en-US" w:eastAsia="zh-CN" w:bidi="ar-SA"/>
              </w:rPr>
            </w:pPr>
            <w:r>
              <w:rPr>
                <w:rFonts w:hint="eastAsia"/>
                <w:color w:val="auto"/>
                <w:highlight w:val="none"/>
                <w:lang w:val="en-US" w:eastAsia="zh-CN"/>
              </w:rPr>
              <w:t>出水水质（mg/L）</w:t>
            </w:r>
          </w:p>
        </w:tc>
        <w:tc>
          <w:tcPr>
            <w:tcW w:w="559" w:type="pct"/>
            <w:vMerge w:val="continue"/>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p>
        </w:tc>
        <w:tc>
          <w:tcPr>
            <w:tcW w:w="109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 xml:space="preserve">1745.43 </w:t>
            </w:r>
          </w:p>
        </w:tc>
        <w:tc>
          <w:tcPr>
            <w:tcW w:w="1079"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 xml:space="preserve">148.06 </w:t>
            </w:r>
          </w:p>
        </w:tc>
        <w:tc>
          <w:tcPr>
            <w:tcW w:w="891"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 xml:space="preserve">265.16 </w:t>
            </w:r>
          </w:p>
        </w:tc>
        <w:tc>
          <w:tcPr>
            <w:tcW w:w="891"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 xml:space="preserve">219.39 </w:t>
            </w:r>
          </w:p>
        </w:tc>
        <w:tc>
          <w:tcPr>
            <w:tcW w:w="891"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 xml:space="preserve">32.84 </w:t>
            </w:r>
          </w:p>
        </w:tc>
        <w:tc>
          <w:tcPr>
            <w:tcW w:w="1299"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 xml:space="preserve">400.29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000" w:type="pct"/>
            <w:gridSpan w:val="8"/>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A/O池+二沉池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07"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ind w:firstLine="0" w:firstLineChars="0"/>
              <w:jc w:val="center"/>
              <w:rPr>
                <w:rFonts w:hint="eastAsia" w:ascii="Times New Roman" w:hAnsi="Times New Roman" w:eastAsia="宋体" w:cs="Times New Roman"/>
                <w:snapToGrid w:val="0"/>
                <w:color w:val="auto"/>
                <w:kern w:val="2"/>
                <w:sz w:val="21"/>
                <w:szCs w:val="21"/>
                <w:highlight w:val="none"/>
                <w:lang w:val="en-US" w:eastAsia="zh-CN" w:bidi="ar-SA"/>
              </w:rPr>
            </w:pPr>
            <w:r>
              <w:rPr>
                <w:rFonts w:hint="eastAsia"/>
                <w:color w:val="auto"/>
                <w:highlight w:val="none"/>
                <w:lang w:val="en-US" w:eastAsia="zh-CN"/>
              </w:rPr>
              <w:t>效率（%）</w:t>
            </w:r>
          </w:p>
        </w:tc>
        <w:tc>
          <w:tcPr>
            <w:tcW w:w="559" w:type="pct"/>
            <w:vMerge w:val="restar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ind w:firstLine="0" w:firstLineChars="0"/>
              <w:jc w:val="center"/>
              <w:rPr>
                <w:rFonts w:hint="eastAsia" w:ascii="Times New Roman" w:hAnsi="Times New Roman" w:eastAsia="宋体" w:cs="Times New Roman"/>
                <w:snapToGrid w:val="0"/>
                <w:color w:val="auto"/>
                <w:kern w:val="2"/>
                <w:sz w:val="21"/>
                <w:szCs w:val="21"/>
                <w:highlight w:val="none"/>
                <w:lang w:val="en-US" w:eastAsia="zh-CN" w:bidi="ar-SA"/>
              </w:rPr>
            </w:pPr>
            <w:r>
              <w:rPr>
                <w:rFonts w:hint="eastAsia" w:cs="Times New Roman"/>
                <w:color w:val="auto"/>
                <w:szCs w:val="21"/>
                <w:highlight w:val="none"/>
                <w:lang w:val="en-US" w:eastAsia="zh-CN"/>
              </w:rPr>
              <w:t>24941.95</w:t>
            </w:r>
          </w:p>
        </w:tc>
        <w:tc>
          <w:tcPr>
            <w:tcW w:w="578"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80%</w:t>
            </w:r>
          </w:p>
        </w:tc>
        <w:tc>
          <w:tcPr>
            <w:tcW w:w="590"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80%</w:t>
            </w:r>
          </w:p>
        </w:tc>
        <w:tc>
          <w:tcPr>
            <w:tcW w:w="486"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80%</w:t>
            </w:r>
          </w:p>
        </w:tc>
        <w:tc>
          <w:tcPr>
            <w:tcW w:w="486"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60%</w:t>
            </w:r>
          </w:p>
        </w:tc>
        <w:tc>
          <w:tcPr>
            <w:tcW w:w="486"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20%</w:t>
            </w:r>
          </w:p>
        </w:tc>
        <w:tc>
          <w:tcPr>
            <w:tcW w:w="704"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07"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ind w:firstLine="0" w:firstLineChars="0"/>
              <w:jc w:val="center"/>
              <w:rPr>
                <w:rFonts w:hint="eastAsia" w:ascii="Times New Roman" w:hAnsi="Times New Roman" w:eastAsia="宋体" w:cs="Times New Roman"/>
                <w:snapToGrid w:val="0"/>
                <w:color w:val="auto"/>
                <w:kern w:val="2"/>
                <w:sz w:val="21"/>
                <w:szCs w:val="21"/>
                <w:highlight w:val="none"/>
                <w:lang w:val="en-US" w:eastAsia="zh-CN" w:bidi="ar-SA"/>
              </w:rPr>
            </w:pPr>
            <w:r>
              <w:rPr>
                <w:rFonts w:hint="eastAsia"/>
                <w:color w:val="auto"/>
                <w:highlight w:val="none"/>
                <w:lang w:val="en-US" w:eastAsia="zh-CN"/>
              </w:rPr>
              <w:t>出水水质（mg/L）</w:t>
            </w:r>
          </w:p>
        </w:tc>
        <w:tc>
          <w:tcPr>
            <w:tcW w:w="559" w:type="pct"/>
            <w:vMerge w:val="continue"/>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ind w:firstLine="0" w:firstLineChars="0"/>
              <w:jc w:val="center"/>
              <w:rPr>
                <w:rFonts w:hint="eastAsia" w:ascii="Times New Roman" w:hAnsi="Times New Roman" w:eastAsia="宋体" w:cs="Times New Roman"/>
                <w:snapToGrid w:val="0"/>
                <w:color w:val="auto"/>
                <w:kern w:val="2"/>
                <w:sz w:val="21"/>
                <w:szCs w:val="21"/>
                <w:highlight w:val="none"/>
                <w:lang w:val="en-US" w:eastAsia="zh-CN" w:bidi="ar-SA"/>
              </w:rPr>
            </w:pPr>
          </w:p>
        </w:tc>
        <w:tc>
          <w:tcPr>
            <w:tcW w:w="120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 xml:space="preserve">349.09 </w:t>
            </w:r>
          </w:p>
        </w:tc>
        <w:tc>
          <w:tcPr>
            <w:tcW w:w="109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 xml:space="preserve">29.61 </w:t>
            </w:r>
          </w:p>
        </w:tc>
        <w:tc>
          <w:tcPr>
            <w:tcW w:w="87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 xml:space="preserve">53.03 </w:t>
            </w:r>
          </w:p>
        </w:tc>
        <w:tc>
          <w:tcPr>
            <w:tcW w:w="87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 xml:space="preserve">87.76 </w:t>
            </w:r>
          </w:p>
        </w:tc>
        <w:tc>
          <w:tcPr>
            <w:tcW w:w="87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 xml:space="preserve">26.27 </w:t>
            </w:r>
          </w:p>
        </w:tc>
        <w:tc>
          <w:tcPr>
            <w:tcW w:w="1238"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 xml:space="preserve">160.12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000" w:type="pct"/>
            <w:gridSpan w:val="8"/>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深度反应池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07"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ind w:firstLine="0" w:firstLineChars="0"/>
              <w:jc w:val="center"/>
              <w:rPr>
                <w:rFonts w:hint="eastAsia" w:ascii="Times New Roman" w:hAnsi="Times New Roman" w:eastAsia="宋体" w:cs="Times New Roman"/>
                <w:snapToGrid w:val="0"/>
                <w:color w:val="auto"/>
                <w:kern w:val="2"/>
                <w:sz w:val="21"/>
                <w:szCs w:val="21"/>
                <w:highlight w:val="none"/>
                <w:lang w:val="en-US" w:eastAsia="zh-CN" w:bidi="ar-SA"/>
              </w:rPr>
            </w:pPr>
            <w:r>
              <w:rPr>
                <w:rFonts w:hint="eastAsia"/>
                <w:color w:val="auto"/>
                <w:highlight w:val="none"/>
                <w:lang w:val="en-US" w:eastAsia="zh-CN"/>
              </w:rPr>
              <w:t>效率（%）</w:t>
            </w:r>
          </w:p>
        </w:tc>
        <w:tc>
          <w:tcPr>
            <w:tcW w:w="559" w:type="pct"/>
            <w:vMerge w:val="restar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ind w:firstLine="0" w:firstLineChars="0"/>
              <w:jc w:val="center"/>
              <w:rPr>
                <w:rFonts w:hint="eastAsia" w:ascii="Times New Roman" w:hAnsi="Times New Roman" w:eastAsia="宋体" w:cs="Times New Roman"/>
                <w:snapToGrid w:val="0"/>
                <w:color w:val="auto"/>
                <w:kern w:val="2"/>
                <w:sz w:val="21"/>
                <w:szCs w:val="21"/>
                <w:highlight w:val="none"/>
                <w:lang w:val="en-US" w:eastAsia="zh-CN" w:bidi="ar-SA"/>
              </w:rPr>
            </w:pPr>
            <w:r>
              <w:rPr>
                <w:rFonts w:hint="eastAsia" w:cs="Times New Roman"/>
                <w:color w:val="auto"/>
                <w:szCs w:val="21"/>
                <w:highlight w:val="none"/>
                <w:lang w:val="en-US" w:eastAsia="zh-CN"/>
              </w:rPr>
              <w:t>24941.95</w:t>
            </w:r>
          </w:p>
        </w:tc>
        <w:tc>
          <w:tcPr>
            <w:tcW w:w="120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40%</w:t>
            </w:r>
          </w:p>
        </w:tc>
        <w:tc>
          <w:tcPr>
            <w:tcW w:w="109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40%</w:t>
            </w:r>
          </w:p>
        </w:tc>
        <w:tc>
          <w:tcPr>
            <w:tcW w:w="87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40%</w:t>
            </w:r>
          </w:p>
        </w:tc>
        <w:tc>
          <w:tcPr>
            <w:tcW w:w="87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60%</w:t>
            </w:r>
          </w:p>
        </w:tc>
        <w:tc>
          <w:tcPr>
            <w:tcW w:w="87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80%</w:t>
            </w:r>
          </w:p>
        </w:tc>
        <w:tc>
          <w:tcPr>
            <w:tcW w:w="1238"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07"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ind w:firstLine="0" w:firstLineChars="0"/>
              <w:jc w:val="center"/>
              <w:rPr>
                <w:rFonts w:hint="eastAsia" w:ascii="Times New Roman" w:hAnsi="Times New Roman" w:eastAsia="宋体" w:cs="Times New Roman"/>
                <w:snapToGrid w:val="0"/>
                <w:color w:val="auto"/>
                <w:kern w:val="2"/>
                <w:sz w:val="21"/>
                <w:szCs w:val="21"/>
                <w:highlight w:val="none"/>
                <w:lang w:val="en-US" w:eastAsia="zh-CN" w:bidi="ar-SA"/>
              </w:rPr>
            </w:pPr>
            <w:r>
              <w:rPr>
                <w:rFonts w:hint="eastAsia"/>
                <w:color w:val="auto"/>
                <w:highlight w:val="none"/>
                <w:lang w:val="en-US" w:eastAsia="zh-CN"/>
              </w:rPr>
              <w:t>出水水质（mg/L）</w:t>
            </w:r>
          </w:p>
        </w:tc>
        <w:tc>
          <w:tcPr>
            <w:tcW w:w="559" w:type="pct"/>
            <w:vMerge w:val="continue"/>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ind w:firstLine="0" w:firstLineChars="0"/>
              <w:jc w:val="center"/>
              <w:rPr>
                <w:rFonts w:hint="eastAsia" w:ascii="Times New Roman" w:hAnsi="Times New Roman" w:eastAsia="宋体" w:cs="Times New Roman"/>
                <w:snapToGrid w:val="0"/>
                <w:color w:val="auto"/>
                <w:kern w:val="2"/>
                <w:sz w:val="21"/>
                <w:szCs w:val="21"/>
                <w:highlight w:val="none"/>
                <w:lang w:val="en-US" w:eastAsia="zh-CN" w:bidi="ar-SA"/>
              </w:rPr>
            </w:pPr>
          </w:p>
        </w:tc>
        <w:tc>
          <w:tcPr>
            <w:tcW w:w="1065"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 xml:space="preserve">209.45 </w:t>
            </w:r>
          </w:p>
        </w:tc>
        <w:tc>
          <w:tcPr>
            <w:tcW w:w="1087"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 xml:space="preserve">17.77 </w:t>
            </w:r>
          </w:p>
        </w:tc>
        <w:tc>
          <w:tcPr>
            <w:tcW w:w="89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 xml:space="preserve">31.82 </w:t>
            </w:r>
          </w:p>
        </w:tc>
        <w:tc>
          <w:tcPr>
            <w:tcW w:w="89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 xml:space="preserve">35.10 </w:t>
            </w:r>
          </w:p>
        </w:tc>
        <w:tc>
          <w:tcPr>
            <w:tcW w:w="89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 xml:space="preserve">5.25 </w:t>
            </w:r>
          </w:p>
        </w:tc>
        <w:tc>
          <w:tcPr>
            <w:tcW w:w="1303"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 xml:space="preserve">64.05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000" w:type="pct"/>
            <w:gridSpan w:val="8"/>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终沉池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07"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ind w:firstLine="0" w:firstLineChars="0"/>
              <w:jc w:val="center"/>
              <w:rPr>
                <w:rFonts w:hint="eastAsia"/>
                <w:color w:val="auto"/>
                <w:highlight w:val="none"/>
                <w:lang w:val="en-US" w:eastAsia="zh-CN"/>
              </w:rPr>
            </w:pPr>
            <w:r>
              <w:rPr>
                <w:rFonts w:hint="eastAsia"/>
                <w:color w:val="auto"/>
                <w:highlight w:val="none"/>
                <w:lang w:val="en-US" w:eastAsia="zh-CN"/>
              </w:rPr>
              <w:t>效率（%）</w:t>
            </w:r>
          </w:p>
        </w:tc>
        <w:tc>
          <w:tcPr>
            <w:tcW w:w="559" w:type="pct"/>
            <w:vMerge w:val="restar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ind w:firstLine="0" w:firstLineChars="0"/>
              <w:jc w:val="center"/>
              <w:rPr>
                <w:rFonts w:hint="eastAsia" w:ascii="Times New Roman" w:hAnsi="Times New Roman" w:eastAsia="宋体" w:cs="Times New Roman"/>
                <w:snapToGrid w:val="0"/>
                <w:color w:val="auto"/>
                <w:kern w:val="2"/>
                <w:sz w:val="21"/>
                <w:szCs w:val="21"/>
                <w:highlight w:val="none"/>
                <w:lang w:val="en-US" w:eastAsia="zh-CN" w:bidi="ar-SA"/>
              </w:rPr>
            </w:pPr>
            <w:r>
              <w:rPr>
                <w:rFonts w:hint="eastAsia" w:cs="Times New Roman"/>
                <w:color w:val="auto"/>
                <w:szCs w:val="21"/>
                <w:highlight w:val="none"/>
                <w:lang w:val="en-US" w:eastAsia="zh-CN"/>
              </w:rPr>
              <w:t>24941.95</w:t>
            </w:r>
          </w:p>
        </w:tc>
        <w:tc>
          <w:tcPr>
            <w:tcW w:w="578"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0</w:t>
            </w:r>
          </w:p>
        </w:tc>
        <w:tc>
          <w:tcPr>
            <w:tcW w:w="590"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0</w:t>
            </w:r>
          </w:p>
        </w:tc>
        <w:tc>
          <w:tcPr>
            <w:tcW w:w="486"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80%</w:t>
            </w:r>
          </w:p>
        </w:tc>
        <w:tc>
          <w:tcPr>
            <w:tcW w:w="486"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0</w:t>
            </w:r>
          </w:p>
        </w:tc>
        <w:tc>
          <w:tcPr>
            <w:tcW w:w="486"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0</w:t>
            </w:r>
          </w:p>
        </w:tc>
        <w:tc>
          <w:tcPr>
            <w:tcW w:w="704"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07"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ind w:firstLine="0" w:firstLineChars="0"/>
              <w:jc w:val="center"/>
              <w:rPr>
                <w:rFonts w:hint="eastAsia"/>
                <w:color w:val="auto"/>
                <w:highlight w:val="none"/>
                <w:lang w:val="en-US" w:eastAsia="zh-CN"/>
              </w:rPr>
            </w:pPr>
            <w:r>
              <w:rPr>
                <w:rFonts w:hint="eastAsia"/>
                <w:color w:val="auto"/>
                <w:highlight w:val="none"/>
                <w:lang w:val="en-US" w:eastAsia="zh-CN"/>
              </w:rPr>
              <w:t>出水水质（mg/L）</w:t>
            </w:r>
          </w:p>
        </w:tc>
        <w:tc>
          <w:tcPr>
            <w:tcW w:w="559" w:type="pct"/>
            <w:vMerge w:val="continue"/>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ind w:firstLine="0" w:firstLineChars="0"/>
              <w:jc w:val="center"/>
              <w:rPr>
                <w:rFonts w:hint="eastAsia" w:ascii="Times New Roman" w:hAnsi="Times New Roman" w:eastAsia="宋体" w:cs="Times New Roman"/>
                <w:snapToGrid w:val="0"/>
                <w:color w:val="auto"/>
                <w:kern w:val="2"/>
                <w:sz w:val="21"/>
                <w:szCs w:val="21"/>
                <w:highlight w:val="none"/>
                <w:lang w:val="en-US" w:eastAsia="zh-CN" w:bidi="ar-SA"/>
              </w:rPr>
            </w:pPr>
          </w:p>
        </w:tc>
        <w:tc>
          <w:tcPr>
            <w:tcW w:w="1065"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 xml:space="preserve">209.45 </w:t>
            </w:r>
          </w:p>
        </w:tc>
        <w:tc>
          <w:tcPr>
            <w:tcW w:w="1087"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 xml:space="preserve">17.77 </w:t>
            </w:r>
          </w:p>
        </w:tc>
        <w:tc>
          <w:tcPr>
            <w:tcW w:w="89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 xml:space="preserve">6.36 </w:t>
            </w:r>
          </w:p>
        </w:tc>
        <w:tc>
          <w:tcPr>
            <w:tcW w:w="89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 xml:space="preserve">35.10 </w:t>
            </w:r>
          </w:p>
        </w:tc>
        <w:tc>
          <w:tcPr>
            <w:tcW w:w="89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 xml:space="preserve">5.25 </w:t>
            </w:r>
          </w:p>
        </w:tc>
        <w:tc>
          <w:tcPr>
            <w:tcW w:w="1303"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 xml:space="preserve">64.05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000" w:type="pct"/>
            <w:gridSpan w:val="8"/>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氧化塘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07"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ind w:firstLine="0" w:firstLineChars="0"/>
              <w:jc w:val="center"/>
              <w:rPr>
                <w:rFonts w:hint="eastAsia"/>
                <w:color w:val="auto"/>
                <w:highlight w:val="none"/>
                <w:lang w:val="en-US" w:eastAsia="zh-CN"/>
              </w:rPr>
            </w:pPr>
            <w:r>
              <w:rPr>
                <w:rFonts w:hint="eastAsia"/>
                <w:color w:val="auto"/>
                <w:highlight w:val="none"/>
                <w:lang w:val="en-US" w:eastAsia="zh-CN"/>
              </w:rPr>
              <w:t>效率（%）</w:t>
            </w:r>
          </w:p>
        </w:tc>
        <w:tc>
          <w:tcPr>
            <w:tcW w:w="559" w:type="pct"/>
            <w:vMerge w:val="restar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ind w:firstLine="0" w:firstLineChars="0"/>
              <w:jc w:val="center"/>
              <w:rPr>
                <w:rFonts w:hint="eastAsia" w:ascii="Times New Roman" w:hAnsi="Times New Roman" w:eastAsia="宋体" w:cs="Times New Roman"/>
                <w:snapToGrid w:val="0"/>
                <w:color w:val="auto"/>
                <w:kern w:val="2"/>
                <w:sz w:val="21"/>
                <w:szCs w:val="21"/>
                <w:highlight w:val="none"/>
                <w:lang w:val="en-US" w:eastAsia="zh-CN" w:bidi="ar-SA"/>
              </w:rPr>
            </w:pPr>
            <w:r>
              <w:rPr>
                <w:rFonts w:hint="eastAsia" w:cs="Times New Roman"/>
                <w:color w:val="auto"/>
                <w:szCs w:val="21"/>
                <w:highlight w:val="none"/>
                <w:lang w:val="en-US" w:eastAsia="zh-CN"/>
              </w:rPr>
              <w:t>24941.95</w:t>
            </w:r>
          </w:p>
        </w:tc>
        <w:tc>
          <w:tcPr>
            <w:tcW w:w="578"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10%</w:t>
            </w:r>
          </w:p>
        </w:tc>
        <w:tc>
          <w:tcPr>
            <w:tcW w:w="590"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10%</w:t>
            </w:r>
          </w:p>
        </w:tc>
        <w:tc>
          <w:tcPr>
            <w:tcW w:w="486"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10%</w:t>
            </w:r>
          </w:p>
        </w:tc>
        <w:tc>
          <w:tcPr>
            <w:tcW w:w="486"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0</w:t>
            </w:r>
          </w:p>
        </w:tc>
        <w:tc>
          <w:tcPr>
            <w:tcW w:w="486"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0</w:t>
            </w:r>
          </w:p>
        </w:tc>
        <w:tc>
          <w:tcPr>
            <w:tcW w:w="704"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07"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ind w:firstLine="0" w:firstLineChars="0"/>
              <w:jc w:val="center"/>
              <w:rPr>
                <w:rFonts w:hint="eastAsia"/>
                <w:color w:val="auto"/>
                <w:highlight w:val="none"/>
                <w:lang w:val="en-US" w:eastAsia="zh-CN"/>
              </w:rPr>
            </w:pPr>
            <w:r>
              <w:rPr>
                <w:rFonts w:hint="eastAsia"/>
                <w:color w:val="auto"/>
                <w:highlight w:val="none"/>
                <w:lang w:val="en-US" w:eastAsia="zh-CN"/>
              </w:rPr>
              <w:t>出水水质（mg/L）</w:t>
            </w:r>
          </w:p>
        </w:tc>
        <w:tc>
          <w:tcPr>
            <w:tcW w:w="559" w:type="pct"/>
            <w:vMerge w:val="continue"/>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ind w:firstLine="0" w:firstLineChars="0"/>
              <w:jc w:val="center"/>
              <w:rPr>
                <w:rFonts w:hint="eastAsia" w:ascii="Times New Roman" w:hAnsi="Times New Roman" w:eastAsia="宋体" w:cs="Times New Roman"/>
                <w:snapToGrid w:val="0"/>
                <w:color w:val="auto"/>
                <w:kern w:val="2"/>
                <w:sz w:val="21"/>
                <w:szCs w:val="21"/>
                <w:highlight w:val="none"/>
                <w:lang w:val="en-US" w:eastAsia="zh-CN" w:bidi="ar-SA"/>
              </w:rPr>
            </w:pPr>
          </w:p>
        </w:tc>
        <w:tc>
          <w:tcPr>
            <w:tcW w:w="1065"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 xml:space="preserve">188.51 </w:t>
            </w:r>
          </w:p>
        </w:tc>
        <w:tc>
          <w:tcPr>
            <w:tcW w:w="1087"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 xml:space="preserve">15.99 </w:t>
            </w:r>
          </w:p>
        </w:tc>
        <w:tc>
          <w:tcPr>
            <w:tcW w:w="89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 xml:space="preserve">5.73 </w:t>
            </w:r>
          </w:p>
        </w:tc>
        <w:tc>
          <w:tcPr>
            <w:tcW w:w="89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 xml:space="preserve">35.10 </w:t>
            </w:r>
          </w:p>
        </w:tc>
        <w:tc>
          <w:tcPr>
            <w:tcW w:w="89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 xml:space="preserve">5.25 </w:t>
            </w:r>
          </w:p>
        </w:tc>
        <w:tc>
          <w:tcPr>
            <w:tcW w:w="1303"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 xml:space="preserve">64.05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67" w:type="pct"/>
            <w:gridSpan w:val="2"/>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《农田灌溉水质标准》（GB5084-2021）中旱作标准</w:t>
            </w:r>
          </w:p>
        </w:tc>
        <w:tc>
          <w:tcPr>
            <w:tcW w:w="578"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200</w:t>
            </w:r>
          </w:p>
        </w:tc>
        <w:tc>
          <w:tcPr>
            <w:tcW w:w="590"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100</w:t>
            </w:r>
          </w:p>
        </w:tc>
        <w:tc>
          <w:tcPr>
            <w:tcW w:w="486"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100</w:t>
            </w:r>
          </w:p>
        </w:tc>
        <w:tc>
          <w:tcPr>
            <w:tcW w:w="486"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80</w:t>
            </w:r>
          </w:p>
        </w:tc>
        <w:tc>
          <w:tcPr>
            <w:tcW w:w="486"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8</w:t>
            </w:r>
          </w:p>
        </w:tc>
        <w:tc>
          <w:tcPr>
            <w:tcW w:w="704"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67" w:type="pct"/>
            <w:gridSpan w:val="2"/>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达标情况</w:t>
            </w:r>
          </w:p>
        </w:tc>
        <w:tc>
          <w:tcPr>
            <w:tcW w:w="578"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达标</w:t>
            </w:r>
          </w:p>
        </w:tc>
        <w:tc>
          <w:tcPr>
            <w:tcW w:w="590"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达标</w:t>
            </w:r>
          </w:p>
        </w:tc>
        <w:tc>
          <w:tcPr>
            <w:tcW w:w="486"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达标</w:t>
            </w:r>
          </w:p>
        </w:tc>
        <w:tc>
          <w:tcPr>
            <w:tcW w:w="486"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达标</w:t>
            </w:r>
          </w:p>
        </w:tc>
        <w:tc>
          <w:tcPr>
            <w:tcW w:w="486"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达标</w:t>
            </w:r>
          </w:p>
        </w:tc>
        <w:tc>
          <w:tcPr>
            <w:tcW w:w="704"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67" w:type="pct"/>
            <w:gridSpan w:val="2"/>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备注</w:t>
            </w:r>
          </w:p>
        </w:tc>
        <w:tc>
          <w:tcPr>
            <w:tcW w:w="3332" w:type="pct"/>
            <w:gridSpan w:val="6"/>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ascii="Times New Roman" w:hAnsi="Times New Roman" w:eastAsia="宋体" w:cs="Times New Roman"/>
                <w:color w:val="auto"/>
                <w:szCs w:val="21"/>
                <w:highlight w:val="none"/>
              </w:rPr>
            </w:pPr>
            <w:r>
              <w:rPr>
                <w:rFonts w:hint="eastAsia" w:cs="Times New Roman"/>
                <w:color w:val="auto"/>
                <w:szCs w:val="21"/>
                <w:highlight w:val="none"/>
                <w:lang w:val="en-US" w:eastAsia="zh-CN"/>
              </w:rPr>
              <w:t>1、</w:t>
            </w:r>
            <w:r>
              <w:rPr>
                <w:rFonts w:hint="eastAsia" w:cs="Times New Roman"/>
                <w:color w:val="auto"/>
                <w:szCs w:val="21"/>
                <w:highlight w:val="none"/>
                <w:lang w:eastAsia="zh-CN"/>
              </w:rPr>
              <w:t>氨氮、总磷参照</w:t>
            </w:r>
            <w:r>
              <w:rPr>
                <w:rFonts w:hint="eastAsia" w:ascii="Times New Roman" w:hAnsi="Times New Roman" w:eastAsia="宋体" w:cs="Times New Roman"/>
                <w:color w:val="auto"/>
                <w:szCs w:val="21"/>
                <w:highlight w:val="none"/>
              </w:rPr>
              <w:t>《畜禽养殖业污染物排放标准》（GB18596-2001）</w:t>
            </w:r>
          </w:p>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2、本项目废水经处理后不外排，全部用于周边农田灌溉</w:t>
            </w:r>
          </w:p>
        </w:tc>
      </w:tr>
    </w:tbl>
    <w:p>
      <w:pPr>
        <w:adjustRightInd w:val="0"/>
        <w:snapToGrid w:val="0"/>
        <w:spacing w:line="360" w:lineRule="auto"/>
        <w:ind w:firstLine="480" w:firstLineChars="200"/>
        <w:rPr>
          <w:rFonts w:hint="eastAsia" w:ascii="Times New Roman" w:hAnsi="Times New Roman" w:eastAsia="宋体"/>
          <w:snapToGrid w:val="0"/>
          <w:color w:val="auto"/>
          <w:sz w:val="24"/>
          <w:lang w:eastAsia="zh-CN"/>
        </w:rPr>
      </w:pPr>
      <w:r>
        <w:rPr>
          <w:rFonts w:hint="eastAsia" w:ascii="Times New Roman" w:hAnsi="Times New Roman" w:eastAsia="宋体"/>
          <w:snapToGrid w:val="0"/>
          <w:color w:val="auto"/>
          <w:sz w:val="24"/>
          <w:lang w:eastAsia="zh-CN"/>
        </w:rPr>
        <w:t>本项目采用干清粪工艺，实行粪尿分离，采用漏缝板模式，有利于猪尿排放，以便减少水冲和污水排放量。本项目收集后按顺序流入</w:t>
      </w:r>
      <w:r>
        <w:rPr>
          <w:rFonts w:hint="eastAsia" w:ascii="Times New Roman" w:hAnsi="Times New Roman" w:eastAsia="宋体"/>
          <w:snapToGrid w:val="0"/>
          <w:color w:val="auto"/>
          <w:sz w:val="24"/>
          <w:lang w:val="en-US" w:eastAsia="zh-CN"/>
        </w:rPr>
        <w:t>集粪池、预沉池+一级光氧塘+A/O组合池、二沉池、深度反应池、终沉池、氧化塘</w:t>
      </w:r>
      <w:r>
        <w:rPr>
          <w:rFonts w:hint="eastAsia" w:ascii="Times New Roman" w:hAnsi="Times New Roman" w:eastAsia="宋体"/>
          <w:snapToGrid w:val="0"/>
          <w:color w:val="auto"/>
          <w:sz w:val="24"/>
          <w:lang w:eastAsia="zh-CN"/>
        </w:rPr>
        <w:t>进行处理，处理后达《农田灌溉水质标准》（GB5084-2021）中要求用于农灌。</w:t>
      </w:r>
    </w:p>
    <w:p>
      <w:pPr>
        <w:adjustRightInd w:val="0"/>
        <w:snapToGrid w:val="0"/>
        <w:spacing w:line="360" w:lineRule="auto"/>
        <w:ind w:firstLine="480" w:firstLineChars="200"/>
        <w:rPr>
          <w:rFonts w:hint="eastAsia" w:ascii="Times New Roman" w:hAnsi="Times New Roman" w:eastAsia="宋体"/>
          <w:snapToGrid w:val="0"/>
          <w:color w:val="auto"/>
          <w:sz w:val="24"/>
          <w:lang w:eastAsia="zh-CN"/>
        </w:rPr>
      </w:pPr>
      <w:r>
        <w:rPr>
          <w:rFonts w:hint="eastAsia" w:ascii="Times New Roman" w:hAnsi="Times New Roman" w:eastAsia="宋体"/>
          <w:snapToGrid w:val="0"/>
          <w:color w:val="auto"/>
          <w:sz w:val="24"/>
          <w:lang w:eastAsia="zh-CN"/>
        </w:rPr>
        <w:t>为防止二次污染，本环评提出以下要求：</w:t>
      </w:r>
    </w:p>
    <w:p>
      <w:pPr>
        <w:adjustRightInd w:val="0"/>
        <w:snapToGrid w:val="0"/>
        <w:spacing w:line="360" w:lineRule="auto"/>
        <w:ind w:firstLine="480" w:firstLineChars="200"/>
        <w:rPr>
          <w:rFonts w:hint="eastAsia" w:ascii="Times New Roman" w:hAnsi="Times New Roman" w:eastAsia="宋体"/>
          <w:snapToGrid w:val="0"/>
          <w:color w:val="auto"/>
          <w:sz w:val="24"/>
          <w:lang w:eastAsia="zh-CN"/>
        </w:rPr>
      </w:pPr>
      <w:r>
        <w:rPr>
          <w:rFonts w:hint="eastAsia" w:ascii="Times New Roman" w:hAnsi="Times New Roman" w:eastAsia="宋体"/>
          <w:snapToGrid w:val="0"/>
          <w:color w:val="auto"/>
          <w:sz w:val="24"/>
          <w:lang w:eastAsia="zh-CN"/>
        </w:rPr>
        <w:t>①雨水、污水收集及排放管道应尽可能不交叉，避免迂回曲折和相互干扰；</w:t>
      </w:r>
    </w:p>
    <w:p>
      <w:pPr>
        <w:adjustRightInd w:val="0"/>
        <w:snapToGrid w:val="0"/>
        <w:spacing w:line="360" w:lineRule="auto"/>
        <w:ind w:firstLine="480" w:firstLineChars="200"/>
        <w:rPr>
          <w:rFonts w:hint="eastAsia" w:ascii="Times New Roman" w:hAnsi="Times New Roman" w:eastAsia="宋体"/>
          <w:snapToGrid w:val="0"/>
          <w:color w:val="auto"/>
          <w:sz w:val="24"/>
          <w:lang w:eastAsia="zh-CN"/>
        </w:rPr>
      </w:pPr>
      <w:r>
        <w:rPr>
          <w:rFonts w:hint="eastAsia" w:ascii="Times New Roman" w:hAnsi="Times New Roman" w:eastAsia="宋体"/>
          <w:snapToGrid w:val="0"/>
          <w:color w:val="auto"/>
          <w:sz w:val="24"/>
          <w:lang w:eastAsia="zh-CN"/>
        </w:rPr>
        <w:t>②按照《畜禽养殖业污染防治技术规范》中的要求，采用重力式清粪工艺，分离后干粪应及时运输至堆粪间；购置专用的清运设施，确保运输、转运过程中的遗漏、渗漏；</w:t>
      </w:r>
    </w:p>
    <w:p>
      <w:pPr>
        <w:adjustRightInd w:val="0"/>
        <w:snapToGrid w:val="0"/>
        <w:spacing w:line="360" w:lineRule="auto"/>
        <w:ind w:firstLine="480" w:firstLineChars="200"/>
        <w:rPr>
          <w:rFonts w:hint="eastAsia" w:ascii="Times New Roman" w:hAnsi="Times New Roman" w:eastAsia="宋体"/>
          <w:snapToGrid w:val="0"/>
          <w:color w:val="auto"/>
          <w:sz w:val="24"/>
          <w:lang w:eastAsia="zh-CN"/>
        </w:rPr>
      </w:pPr>
      <w:r>
        <w:rPr>
          <w:rFonts w:hint="eastAsia" w:ascii="Times New Roman" w:hAnsi="Times New Roman" w:eastAsia="宋体"/>
          <w:snapToGrid w:val="0"/>
          <w:color w:val="auto"/>
          <w:sz w:val="24"/>
          <w:lang w:eastAsia="zh-CN"/>
        </w:rPr>
        <w:t>③废水输送必须采取暗沟式且采取密闭防渗，避免恶臭、溢流影响周围环境。</w:t>
      </w:r>
    </w:p>
    <w:p>
      <w:pPr>
        <w:adjustRightInd w:val="0"/>
        <w:snapToGrid w:val="0"/>
        <w:spacing w:line="360" w:lineRule="auto"/>
        <w:ind w:firstLine="480" w:firstLineChars="200"/>
        <w:rPr>
          <w:rFonts w:hint="eastAsia" w:ascii="Times New Roman" w:hAnsi="Times New Roman" w:eastAsia="宋体"/>
          <w:snapToGrid w:val="0"/>
          <w:color w:val="auto"/>
          <w:sz w:val="24"/>
          <w:lang w:eastAsia="zh-CN"/>
        </w:rPr>
        <w:sectPr>
          <w:pgSz w:w="11906" w:h="16838"/>
          <w:pgMar w:top="1440" w:right="1451" w:bottom="1440" w:left="1451" w:header="851" w:footer="992" w:gutter="0"/>
          <w:pgBorders>
            <w:top w:val="none" w:sz="0" w:space="0"/>
            <w:left w:val="none" w:sz="0" w:space="0"/>
            <w:bottom w:val="none" w:sz="0" w:space="0"/>
            <w:right w:val="none" w:sz="0" w:space="0"/>
          </w:pgBorders>
          <w:pgNumType w:fmt="decimal"/>
          <w:cols w:space="0" w:num="1"/>
          <w:rtlGutter w:val="0"/>
          <w:docGrid w:type="lines" w:linePitch="321" w:charSpace="0"/>
        </w:sectPr>
      </w:pPr>
      <w:r>
        <w:rPr>
          <w:rFonts w:hint="eastAsia" w:ascii="Times New Roman" w:hAnsi="Times New Roman" w:eastAsia="宋体"/>
          <w:snapToGrid w:val="0"/>
          <w:color w:val="auto"/>
          <w:sz w:val="24"/>
          <w:lang w:eastAsia="zh-CN"/>
        </w:rPr>
        <w:t>通过上述措施后，项目产生的废水基本不会对环境产生影响。</w:t>
      </w:r>
      <w:r>
        <w:rPr>
          <w:rFonts w:hint="eastAsia" w:ascii="Times New Roman" w:hAnsi="Times New Roman" w:eastAsia="宋体"/>
          <w:snapToGrid w:val="0"/>
          <w:color w:val="auto"/>
          <w:sz w:val="24"/>
          <w:lang w:val="en-US" w:eastAsia="zh-CN"/>
        </w:rPr>
        <w:t>综上，本项目废水产生情况及治理情况见下表。</w:t>
      </w:r>
    </w:p>
    <w:p>
      <w:pPr>
        <w:pStyle w:val="16"/>
        <w:rPr>
          <w:rFonts w:hint="eastAsia"/>
          <w:color w:val="auto"/>
          <w:lang w:eastAsia="zh-CN"/>
        </w:rPr>
      </w:pPr>
    </w:p>
    <w:p>
      <w:pPr>
        <w:pStyle w:val="10"/>
        <w:ind w:firstLine="422"/>
        <w:jc w:val="center"/>
        <w:rPr>
          <w:rFonts w:hint="default" w:ascii="Times New Roman" w:hAnsi="Times New Roman" w:eastAsia="宋体" w:cs="Times New Roman"/>
          <w:b/>
          <w:bCs/>
          <w:color w:val="auto"/>
          <w:sz w:val="21"/>
          <w:szCs w:val="21"/>
        </w:rPr>
      </w:pPr>
      <w:bookmarkStart w:id="125" w:name="_Toc20177"/>
      <w:r>
        <w:rPr>
          <w:rFonts w:hint="default" w:ascii="Times New Roman" w:hAnsi="Times New Roman" w:eastAsia="宋体" w:cs="Times New Roman"/>
          <w:b/>
          <w:bCs/>
          <w:color w:val="auto"/>
          <w:sz w:val="21"/>
          <w:szCs w:val="21"/>
        </w:rPr>
        <w:t>表3.</w:t>
      </w:r>
      <w:r>
        <w:rPr>
          <w:rFonts w:hint="eastAsia" w:ascii="Times New Roman" w:hAnsi="Times New Roman" w:eastAsia="宋体" w:cs="Times New Roman"/>
          <w:b/>
          <w:bCs/>
          <w:color w:val="auto"/>
          <w:sz w:val="21"/>
          <w:szCs w:val="21"/>
          <w:lang w:val="en-US" w:eastAsia="zh-CN"/>
        </w:rPr>
        <w:t>5</w:t>
      </w:r>
      <w:r>
        <w:rPr>
          <w:rFonts w:hint="default" w:ascii="Times New Roman" w:hAnsi="Times New Roman" w:eastAsia="宋体" w:cs="Times New Roman"/>
          <w:b/>
          <w:bCs/>
          <w:color w:val="auto"/>
          <w:sz w:val="21"/>
          <w:szCs w:val="21"/>
        </w:rPr>
        <w:t>-</w:t>
      </w:r>
      <w:r>
        <w:rPr>
          <w:rFonts w:hint="eastAsia" w:ascii="Times New Roman" w:hAnsi="Times New Roman" w:eastAsia="宋体" w:cs="Times New Roman"/>
          <w:b/>
          <w:bCs/>
          <w:color w:val="auto"/>
          <w:sz w:val="21"/>
          <w:szCs w:val="21"/>
          <w:lang w:val="en-US" w:eastAsia="zh-CN"/>
        </w:rPr>
        <w:t>17</w:t>
      </w:r>
      <w:r>
        <w:rPr>
          <w:rFonts w:hint="default" w:ascii="Times New Roman" w:hAnsi="Times New Roman" w:eastAsia="宋体" w:cs="Times New Roman"/>
          <w:b/>
          <w:bCs/>
          <w:color w:val="auto"/>
          <w:sz w:val="21"/>
          <w:szCs w:val="21"/>
        </w:rPr>
        <w:t xml:space="preserve"> 工序/生产线产生废水污染源源强核算结果及相关参数一览表</w:t>
      </w:r>
    </w:p>
    <w:tbl>
      <w:tblPr>
        <w:tblStyle w:val="35"/>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5"/>
        <w:gridCol w:w="710"/>
        <w:gridCol w:w="760"/>
        <w:gridCol w:w="913"/>
        <w:gridCol w:w="505"/>
        <w:gridCol w:w="1154"/>
        <w:gridCol w:w="1261"/>
        <w:gridCol w:w="1216"/>
        <w:gridCol w:w="1630"/>
        <w:gridCol w:w="558"/>
        <w:gridCol w:w="570"/>
        <w:gridCol w:w="1060"/>
        <w:gridCol w:w="1556"/>
        <w:gridCol w:w="1344"/>
        <w:gridCol w:w="4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 w:type="pct"/>
            <w:vMerge w:val="restar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工序</w:t>
            </w:r>
          </w:p>
        </w:tc>
        <w:tc>
          <w:tcPr>
            <w:tcW w:w="251" w:type="pct"/>
            <w:vMerge w:val="restar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装置</w:t>
            </w:r>
          </w:p>
        </w:tc>
        <w:tc>
          <w:tcPr>
            <w:tcW w:w="268" w:type="pct"/>
            <w:vMerge w:val="restar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污染源</w:t>
            </w:r>
          </w:p>
        </w:tc>
        <w:tc>
          <w:tcPr>
            <w:tcW w:w="322" w:type="pct"/>
            <w:vMerge w:val="restar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污染物</w:t>
            </w:r>
          </w:p>
        </w:tc>
        <w:tc>
          <w:tcPr>
            <w:tcW w:w="1459" w:type="pct"/>
            <w:gridSpan w:val="4"/>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污染物产生</w:t>
            </w:r>
          </w:p>
        </w:tc>
        <w:tc>
          <w:tcPr>
            <w:tcW w:w="772" w:type="pct"/>
            <w:gridSpan w:val="2"/>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治理措施</w:t>
            </w:r>
          </w:p>
        </w:tc>
        <w:tc>
          <w:tcPr>
            <w:tcW w:w="1598" w:type="pct"/>
            <w:gridSpan w:val="4"/>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污染物排放</w:t>
            </w:r>
          </w:p>
        </w:tc>
        <w:tc>
          <w:tcPr>
            <w:tcW w:w="166" w:type="pct"/>
            <w:vMerge w:val="restar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排放</w:t>
            </w:r>
          </w:p>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时间/h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251"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268"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22"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178" w:type="pc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核算方法</w:t>
            </w:r>
          </w:p>
        </w:tc>
        <w:tc>
          <w:tcPr>
            <w:tcW w:w="407" w:type="pc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产生废水量（t/a）</w:t>
            </w:r>
          </w:p>
        </w:tc>
        <w:tc>
          <w:tcPr>
            <w:tcW w:w="445" w:type="pc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产生浓度/</w:t>
            </w:r>
          </w:p>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（mg/m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w:t>
            </w:r>
          </w:p>
        </w:tc>
        <w:tc>
          <w:tcPr>
            <w:tcW w:w="428" w:type="pc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产生量/</w:t>
            </w:r>
          </w:p>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（t/a）</w:t>
            </w:r>
          </w:p>
        </w:tc>
        <w:tc>
          <w:tcPr>
            <w:tcW w:w="575" w:type="pc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工艺</w:t>
            </w:r>
          </w:p>
        </w:tc>
        <w:tc>
          <w:tcPr>
            <w:tcW w:w="196" w:type="pc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效率/%</w:t>
            </w:r>
          </w:p>
        </w:tc>
        <w:tc>
          <w:tcPr>
            <w:tcW w:w="201" w:type="pc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核算方法</w:t>
            </w:r>
          </w:p>
        </w:tc>
        <w:tc>
          <w:tcPr>
            <w:tcW w:w="374" w:type="pc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排放废水量（t/a）</w:t>
            </w:r>
          </w:p>
        </w:tc>
        <w:tc>
          <w:tcPr>
            <w:tcW w:w="549" w:type="pc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排放浓度/</w:t>
            </w:r>
          </w:p>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（mg/m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w:t>
            </w:r>
          </w:p>
        </w:tc>
        <w:tc>
          <w:tcPr>
            <w:tcW w:w="473" w:type="pc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排放量/</w:t>
            </w:r>
          </w:p>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（t/a）</w:t>
            </w:r>
          </w:p>
        </w:tc>
        <w:tc>
          <w:tcPr>
            <w:tcW w:w="166"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 w:type="pct"/>
            <w:vMerge w:val="restar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养殖</w:t>
            </w:r>
          </w:p>
        </w:tc>
        <w:tc>
          <w:tcPr>
            <w:tcW w:w="251" w:type="pct"/>
            <w:vMerge w:val="restar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养殖区</w:t>
            </w:r>
          </w:p>
        </w:tc>
        <w:tc>
          <w:tcPr>
            <w:tcW w:w="268" w:type="pct"/>
            <w:vMerge w:val="restar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养殖废水</w:t>
            </w:r>
          </w:p>
        </w:tc>
        <w:tc>
          <w:tcPr>
            <w:tcW w:w="322" w:type="pc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COD</w:t>
            </w:r>
            <w:r>
              <w:rPr>
                <w:rFonts w:hint="default" w:ascii="Times New Roman" w:hAnsi="Times New Roman" w:eastAsia="宋体" w:cs="Times New Roman"/>
                <w:color w:val="auto"/>
                <w:sz w:val="21"/>
                <w:szCs w:val="21"/>
                <w:vertAlign w:val="subscript"/>
                <w:lang w:val="en-US" w:eastAsia="zh-CN"/>
              </w:rPr>
              <w:t>Cr</w:t>
            </w:r>
          </w:p>
        </w:tc>
        <w:tc>
          <w:tcPr>
            <w:tcW w:w="178" w:type="pct"/>
            <w:vMerge w:val="restar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类比法</w:t>
            </w:r>
          </w:p>
        </w:tc>
        <w:tc>
          <w:tcPr>
            <w:tcW w:w="407" w:type="pct"/>
            <w:vMerge w:val="restar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22605.95</w:t>
            </w:r>
          </w:p>
        </w:tc>
        <w:tc>
          <w:tcPr>
            <w:tcW w:w="445" w:type="pc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12000</w:t>
            </w:r>
          </w:p>
        </w:tc>
        <w:tc>
          <w:tcPr>
            <w:tcW w:w="428" w:type="pc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zh-CN"/>
              </w:rPr>
            </w:pPr>
            <w:r>
              <w:rPr>
                <w:rFonts w:hint="eastAsia" w:ascii="Times New Roman" w:hAnsi="Times New Roman" w:eastAsia="宋体" w:cs="Times New Roman"/>
                <w:color w:val="auto"/>
                <w:kern w:val="2"/>
                <w:sz w:val="21"/>
                <w:szCs w:val="21"/>
                <w:lang w:val="en-US" w:eastAsia="zh-CN" w:bidi="zh-CN"/>
              </w:rPr>
              <w:t>271.27</w:t>
            </w:r>
          </w:p>
        </w:tc>
        <w:tc>
          <w:tcPr>
            <w:tcW w:w="575" w:type="pct"/>
            <w:vMerge w:val="restar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zh-CN"/>
              </w:rPr>
            </w:pPr>
            <w:r>
              <w:rPr>
                <w:rFonts w:hint="eastAsia" w:ascii="Times New Roman" w:hAnsi="Times New Roman" w:eastAsia="宋体" w:cs="Times New Roman"/>
                <w:color w:val="auto"/>
                <w:kern w:val="0"/>
                <w:sz w:val="21"/>
                <w:szCs w:val="21"/>
                <w:lang w:eastAsia="zh-CN"/>
              </w:rPr>
              <w:t>养殖废水与生活废水进入</w:t>
            </w:r>
            <w:r>
              <w:rPr>
                <w:rFonts w:hint="default" w:ascii="Times New Roman" w:hAnsi="Times New Roman" w:eastAsia="宋体" w:cs="Times New Roman"/>
                <w:color w:val="auto"/>
                <w:kern w:val="0"/>
                <w:sz w:val="21"/>
                <w:szCs w:val="21"/>
                <w:lang w:eastAsia="zh-CN"/>
              </w:rPr>
              <w:t>集水池</w:t>
            </w:r>
            <w:r>
              <w:rPr>
                <w:rFonts w:hint="eastAsia" w:ascii="Times New Roman" w:hAnsi="Times New Roman" w:eastAsia="宋体" w:cs="Times New Roman"/>
                <w:color w:val="auto"/>
                <w:kern w:val="0"/>
                <w:sz w:val="21"/>
                <w:szCs w:val="21"/>
                <w:lang w:eastAsia="zh-CN"/>
              </w:rPr>
              <w:t>综合</w:t>
            </w:r>
            <w:r>
              <w:rPr>
                <w:rFonts w:hint="default" w:ascii="Times New Roman" w:hAnsi="Times New Roman" w:eastAsia="宋体" w:cs="Times New Roman"/>
                <w:color w:val="auto"/>
                <w:kern w:val="0"/>
                <w:sz w:val="21"/>
                <w:szCs w:val="21"/>
                <w:lang w:eastAsia="zh-CN"/>
              </w:rPr>
              <w:t>，</w:t>
            </w:r>
            <w:r>
              <w:rPr>
                <w:rFonts w:hint="default" w:ascii="Times New Roman" w:hAnsi="Times New Roman" w:eastAsia="宋体" w:cs="Times New Roman"/>
                <w:color w:val="auto"/>
                <w:kern w:val="0"/>
                <w:sz w:val="21"/>
                <w:szCs w:val="21"/>
              </w:rPr>
              <w:t>收集后</w:t>
            </w:r>
            <w:r>
              <w:rPr>
                <w:rFonts w:hint="default" w:ascii="Times New Roman" w:hAnsi="Times New Roman" w:eastAsia="宋体" w:cs="Times New Roman"/>
                <w:color w:val="auto"/>
                <w:kern w:val="0"/>
                <w:sz w:val="21"/>
                <w:szCs w:val="21"/>
                <w:lang w:eastAsia="zh-CN"/>
              </w:rPr>
              <w:t>进入</w:t>
            </w:r>
            <w:r>
              <w:rPr>
                <w:rFonts w:hint="eastAsia" w:ascii="Times New Roman" w:hAnsi="Times New Roman" w:eastAsia="宋体" w:cs="Times New Roman"/>
                <w:color w:val="auto"/>
                <w:kern w:val="0"/>
                <w:sz w:val="21"/>
                <w:szCs w:val="21"/>
                <w:lang w:eastAsia="zh-CN"/>
              </w:rPr>
              <w:t>污水处理区处理达标后</w:t>
            </w:r>
            <w:r>
              <w:rPr>
                <w:rFonts w:hint="default" w:ascii="Times New Roman" w:hAnsi="Times New Roman" w:eastAsia="宋体" w:cs="Times New Roman"/>
                <w:color w:val="auto"/>
                <w:kern w:val="0"/>
                <w:sz w:val="21"/>
                <w:szCs w:val="21"/>
                <w:lang w:eastAsia="zh-CN"/>
              </w:rPr>
              <w:t>用作</w:t>
            </w:r>
            <w:r>
              <w:rPr>
                <w:rFonts w:hint="eastAsia" w:ascii="Times New Roman" w:hAnsi="Times New Roman" w:eastAsia="宋体" w:cs="Times New Roman"/>
                <w:color w:val="auto"/>
                <w:kern w:val="0"/>
                <w:sz w:val="21"/>
                <w:szCs w:val="21"/>
                <w:lang w:eastAsia="zh-CN"/>
              </w:rPr>
              <w:t>周边农田灌溉</w:t>
            </w:r>
          </w:p>
        </w:tc>
        <w:tc>
          <w:tcPr>
            <w:tcW w:w="196" w:type="pc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zh-CN"/>
              </w:rPr>
            </w:pPr>
            <w:r>
              <w:rPr>
                <w:rFonts w:hint="default" w:ascii="Times New Roman" w:hAnsi="Times New Roman" w:eastAsia="宋体" w:cs="Times New Roman"/>
                <w:color w:val="auto"/>
                <w:kern w:val="2"/>
                <w:sz w:val="21"/>
                <w:szCs w:val="21"/>
                <w:lang w:val="en-US" w:eastAsia="zh-CN" w:bidi="zh-CN"/>
              </w:rPr>
              <w:t>/</w:t>
            </w:r>
          </w:p>
        </w:tc>
        <w:tc>
          <w:tcPr>
            <w:tcW w:w="201" w:type="pct"/>
            <w:vMerge w:val="restar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2"/>
                <w:sz w:val="21"/>
                <w:szCs w:val="21"/>
                <w:lang w:val="en-US" w:eastAsia="zh-CN" w:bidi="zh-CN"/>
              </w:rPr>
              <w:t>系数法</w:t>
            </w:r>
          </w:p>
        </w:tc>
        <w:tc>
          <w:tcPr>
            <w:tcW w:w="374" w:type="pct"/>
            <w:vMerge w:val="restar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Cs w:val="21"/>
                <w:lang w:val="en-US" w:eastAsia="zh-CN"/>
              </w:rPr>
              <w:t>24941.95</w:t>
            </w:r>
          </w:p>
        </w:tc>
        <w:tc>
          <w:tcPr>
            <w:tcW w:w="549" w:type="pct"/>
            <w:vMerge w:val="restar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COD：188.51</w:t>
            </w:r>
          </w:p>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BOD</w:t>
            </w:r>
            <w:r>
              <w:rPr>
                <w:rFonts w:hint="default" w:ascii="Times New Roman" w:hAnsi="Times New Roman" w:eastAsia="宋体" w:cs="Times New Roman"/>
                <w:color w:val="auto"/>
                <w:sz w:val="21"/>
                <w:szCs w:val="21"/>
                <w:vertAlign w:val="subscript"/>
                <w:lang w:val="en-US" w:eastAsia="zh-CN"/>
              </w:rPr>
              <w:t>5</w:t>
            </w:r>
            <w:r>
              <w:rPr>
                <w:rFonts w:hint="eastAsia" w:ascii="Times New Roman" w:hAnsi="Times New Roman" w:cs="Times New Roman"/>
                <w:color w:val="auto"/>
                <w:sz w:val="21"/>
                <w:szCs w:val="21"/>
                <w:lang w:val="en-US" w:eastAsia="zh-CN"/>
              </w:rPr>
              <w:t>：15.99</w:t>
            </w:r>
          </w:p>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SS：5.73</w:t>
            </w:r>
          </w:p>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NH</w:t>
            </w:r>
            <w:r>
              <w:rPr>
                <w:rFonts w:hint="default" w:ascii="Times New Roman" w:hAnsi="Times New Roman" w:eastAsia="宋体" w:cs="Times New Roman"/>
                <w:color w:val="auto"/>
                <w:sz w:val="21"/>
                <w:szCs w:val="21"/>
                <w:vertAlign w:val="subscript"/>
                <w:lang w:val="en-US" w:eastAsia="zh-CN"/>
              </w:rPr>
              <w:t>3</w:t>
            </w:r>
            <w:r>
              <w:rPr>
                <w:rFonts w:hint="default" w:ascii="Times New Roman" w:hAnsi="Times New Roman" w:eastAsia="宋体" w:cs="Times New Roman"/>
                <w:color w:val="auto"/>
                <w:sz w:val="21"/>
                <w:szCs w:val="21"/>
                <w:lang w:val="en-US" w:eastAsia="zh-CN"/>
              </w:rPr>
              <w:t>-N</w:t>
            </w:r>
            <w:r>
              <w:rPr>
                <w:rFonts w:hint="eastAsia" w:ascii="Times New Roman" w:hAnsi="Times New Roman" w:cs="Times New Roman"/>
                <w:color w:val="auto"/>
                <w:sz w:val="21"/>
                <w:szCs w:val="21"/>
                <w:lang w:val="en-US" w:eastAsia="zh-CN"/>
              </w:rPr>
              <w:t>：35.10</w:t>
            </w:r>
          </w:p>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TP</w:t>
            </w:r>
            <w:r>
              <w:rPr>
                <w:rFonts w:hint="eastAsia" w:ascii="Times New Roman" w:hAnsi="Times New Roman" w:cs="Times New Roman"/>
                <w:color w:val="auto"/>
                <w:sz w:val="21"/>
                <w:szCs w:val="21"/>
                <w:lang w:val="en-US" w:eastAsia="zh-CN"/>
              </w:rPr>
              <w:t>：5.25</w:t>
            </w:r>
          </w:p>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TN</w:t>
            </w:r>
            <w:r>
              <w:rPr>
                <w:rFonts w:hint="eastAsia" w:ascii="Times New Roman" w:hAnsi="Times New Roman" w:cs="Times New Roman"/>
                <w:color w:val="auto"/>
                <w:sz w:val="21"/>
                <w:szCs w:val="21"/>
                <w:lang w:val="en-US" w:eastAsia="zh-CN"/>
              </w:rPr>
              <w:t>：64.05</w:t>
            </w:r>
          </w:p>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lang w:val="en-US" w:eastAsia="zh-CN"/>
              </w:rPr>
            </w:pPr>
          </w:p>
        </w:tc>
        <w:tc>
          <w:tcPr>
            <w:tcW w:w="473" w:type="pct"/>
            <w:vMerge w:val="restar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COD：4.70</w:t>
            </w:r>
          </w:p>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BOD</w:t>
            </w:r>
            <w:r>
              <w:rPr>
                <w:rFonts w:hint="default" w:ascii="Times New Roman" w:hAnsi="Times New Roman" w:eastAsia="宋体" w:cs="Times New Roman"/>
                <w:color w:val="auto"/>
                <w:sz w:val="21"/>
                <w:szCs w:val="21"/>
                <w:vertAlign w:val="subscript"/>
                <w:lang w:val="en-US" w:eastAsia="zh-CN"/>
              </w:rPr>
              <w:t>5</w:t>
            </w:r>
            <w:r>
              <w:rPr>
                <w:rFonts w:hint="eastAsia" w:ascii="Times New Roman" w:hAnsi="Times New Roman" w:cs="Times New Roman"/>
                <w:color w:val="auto"/>
                <w:sz w:val="21"/>
                <w:szCs w:val="21"/>
                <w:lang w:val="en-US" w:eastAsia="zh-CN"/>
              </w:rPr>
              <w:t>：0.40</w:t>
            </w:r>
          </w:p>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SS：0.14</w:t>
            </w:r>
          </w:p>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NH</w:t>
            </w:r>
            <w:r>
              <w:rPr>
                <w:rFonts w:hint="default" w:ascii="Times New Roman" w:hAnsi="Times New Roman" w:eastAsia="宋体" w:cs="Times New Roman"/>
                <w:color w:val="auto"/>
                <w:sz w:val="21"/>
                <w:szCs w:val="21"/>
                <w:vertAlign w:val="subscript"/>
                <w:lang w:val="en-US" w:eastAsia="zh-CN"/>
              </w:rPr>
              <w:t>3</w:t>
            </w:r>
            <w:r>
              <w:rPr>
                <w:rFonts w:hint="default" w:ascii="Times New Roman" w:hAnsi="Times New Roman" w:eastAsia="宋体" w:cs="Times New Roman"/>
                <w:color w:val="auto"/>
                <w:sz w:val="21"/>
                <w:szCs w:val="21"/>
                <w:lang w:val="en-US" w:eastAsia="zh-CN"/>
              </w:rPr>
              <w:t>-N</w:t>
            </w:r>
            <w:r>
              <w:rPr>
                <w:rFonts w:hint="eastAsia" w:ascii="Times New Roman" w:hAnsi="Times New Roman" w:cs="Times New Roman"/>
                <w:color w:val="auto"/>
                <w:sz w:val="21"/>
                <w:szCs w:val="21"/>
                <w:lang w:val="en-US" w:eastAsia="zh-CN"/>
              </w:rPr>
              <w:t>：0.88</w:t>
            </w:r>
          </w:p>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TP</w:t>
            </w:r>
            <w:r>
              <w:rPr>
                <w:rFonts w:hint="eastAsia" w:ascii="Times New Roman" w:hAnsi="Times New Roman" w:cs="Times New Roman"/>
                <w:color w:val="auto"/>
                <w:sz w:val="21"/>
                <w:szCs w:val="21"/>
                <w:lang w:val="en-US" w:eastAsia="zh-CN"/>
              </w:rPr>
              <w:t>：0.13</w:t>
            </w:r>
          </w:p>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TN</w:t>
            </w:r>
            <w:r>
              <w:rPr>
                <w:rFonts w:hint="eastAsia" w:ascii="Times New Roman" w:hAnsi="Times New Roman" w:cs="Times New Roman"/>
                <w:color w:val="auto"/>
                <w:sz w:val="21"/>
                <w:szCs w:val="21"/>
                <w:lang w:val="en-US" w:eastAsia="zh-CN"/>
              </w:rPr>
              <w:t>：1.60</w:t>
            </w:r>
          </w:p>
        </w:tc>
        <w:tc>
          <w:tcPr>
            <w:tcW w:w="166" w:type="pct"/>
            <w:vMerge w:val="restar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2"/>
                <w:sz w:val="21"/>
                <w:szCs w:val="21"/>
                <w:lang w:val="en-US" w:eastAsia="zh-CN" w:bidi="zh-CN"/>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251"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268"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22" w:type="pc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zh-CN"/>
              </w:rPr>
            </w:pPr>
            <w:r>
              <w:rPr>
                <w:rFonts w:hint="default" w:ascii="Times New Roman" w:hAnsi="Times New Roman" w:eastAsia="宋体" w:cs="Times New Roman"/>
                <w:color w:val="auto"/>
                <w:sz w:val="21"/>
                <w:szCs w:val="21"/>
                <w:lang w:val="en-US" w:eastAsia="zh-CN"/>
              </w:rPr>
              <w:t>BOD</w:t>
            </w:r>
            <w:r>
              <w:rPr>
                <w:rFonts w:hint="default" w:ascii="Times New Roman" w:hAnsi="Times New Roman" w:eastAsia="宋体" w:cs="Times New Roman"/>
                <w:color w:val="auto"/>
                <w:sz w:val="21"/>
                <w:szCs w:val="21"/>
                <w:vertAlign w:val="subscript"/>
                <w:lang w:val="en-US" w:eastAsia="zh-CN"/>
              </w:rPr>
              <w:t>5</w:t>
            </w:r>
          </w:p>
        </w:tc>
        <w:tc>
          <w:tcPr>
            <w:tcW w:w="178"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zh-CN"/>
              </w:rPr>
            </w:pPr>
          </w:p>
        </w:tc>
        <w:tc>
          <w:tcPr>
            <w:tcW w:w="407"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zh-CN"/>
              </w:rPr>
            </w:pPr>
          </w:p>
        </w:tc>
        <w:tc>
          <w:tcPr>
            <w:tcW w:w="445" w:type="pc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zh-CN"/>
              </w:rPr>
            </w:pPr>
            <w:r>
              <w:rPr>
                <w:rFonts w:hint="eastAsia" w:ascii="Times New Roman" w:hAnsi="Times New Roman" w:eastAsia="宋体" w:cs="Times New Roman"/>
                <w:color w:val="auto"/>
                <w:kern w:val="2"/>
                <w:sz w:val="21"/>
                <w:szCs w:val="21"/>
                <w:lang w:val="en-US" w:eastAsia="zh-CN" w:bidi="zh-CN"/>
              </w:rPr>
              <w:t>1000</w:t>
            </w:r>
          </w:p>
        </w:tc>
        <w:tc>
          <w:tcPr>
            <w:tcW w:w="428" w:type="pc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zh-CN"/>
              </w:rPr>
            </w:pPr>
            <w:r>
              <w:rPr>
                <w:rFonts w:hint="eastAsia" w:ascii="Times New Roman" w:hAnsi="Times New Roman" w:eastAsia="宋体" w:cs="Times New Roman"/>
                <w:color w:val="auto"/>
                <w:kern w:val="2"/>
                <w:sz w:val="21"/>
                <w:szCs w:val="21"/>
                <w:lang w:val="en-US" w:eastAsia="zh-CN" w:bidi="zh-CN"/>
              </w:rPr>
              <w:t>22.61</w:t>
            </w:r>
          </w:p>
        </w:tc>
        <w:tc>
          <w:tcPr>
            <w:tcW w:w="575"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zh-CN"/>
              </w:rPr>
            </w:pPr>
          </w:p>
        </w:tc>
        <w:tc>
          <w:tcPr>
            <w:tcW w:w="196" w:type="pc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zh-CN"/>
              </w:rPr>
            </w:pPr>
            <w:r>
              <w:rPr>
                <w:rFonts w:hint="default" w:ascii="Times New Roman" w:hAnsi="Times New Roman" w:eastAsia="宋体" w:cs="Times New Roman"/>
                <w:color w:val="auto"/>
                <w:kern w:val="2"/>
                <w:sz w:val="21"/>
                <w:szCs w:val="21"/>
                <w:lang w:val="en-US" w:eastAsia="zh-CN" w:bidi="zh-CN"/>
              </w:rPr>
              <w:t>/</w:t>
            </w:r>
          </w:p>
        </w:tc>
        <w:tc>
          <w:tcPr>
            <w:tcW w:w="201"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zh-CN"/>
              </w:rPr>
            </w:pPr>
          </w:p>
        </w:tc>
        <w:tc>
          <w:tcPr>
            <w:tcW w:w="374"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zh-CN"/>
              </w:rPr>
            </w:pPr>
          </w:p>
        </w:tc>
        <w:tc>
          <w:tcPr>
            <w:tcW w:w="549"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zh-CN"/>
              </w:rPr>
            </w:pPr>
          </w:p>
        </w:tc>
        <w:tc>
          <w:tcPr>
            <w:tcW w:w="473"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166"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251"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268"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22" w:type="pc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zh-CN"/>
              </w:rPr>
            </w:pPr>
            <w:r>
              <w:rPr>
                <w:rFonts w:hint="default" w:ascii="Times New Roman" w:hAnsi="Times New Roman" w:eastAsia="宋体" w:cs="Times New Roman"/>
                <w:color w:val="auto"/>
                <w:sz w:val="21"/>
                <w:szCs w:val="21"/>
                <w:lang w:val="en-US" w:eastAsia="zh-CN"/>
              </w:rPr>
              <w:t>SS</w:t>
            </w:r>
          </w:p>
        </w:tc>
        <w:tc>
          <w:tcPr>
            <w:tcW w:w="178"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zh-CN"/>
              </w:rPr>
            </w:pPr>
          </w:p>
        </w:tc>
        <w:tc>
          <w:tcPr>
            <w:tcW w:w="407"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zh-CN"/>
              </w:rPr>
            </w:pPr>
          </w:p>
        </w:tc>
        <w:tc>
          <w:tcPr>
            <w:tcW w:w="445" w:type="pc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zh-CN"/>
              </w:rPr>
            </w:pPr>
            <w:r>
              <w:rPr>
                <w:rFonts w:hint="eastAsia" w:ascii="Times New Roman" w:hAnsi="Times New Roman" w:eastAsia="宋体" w:cs="Times New Roman"/>
                <w:color w:val="auto"/>
                <w:kern w:val="2"/>
                <w:sz w:val="21"/>
                <w:szCs w:val="21"/>
                <w:lang w:val="en-US" w:eastAsia="zh-CN" w:bidi="zh-CN"/>
              </w:rPr>
              <w:t>500</w:t>
            </w:r>
          </w:p>
        </w:tc>
        <w:tc>
          <w:tcPr>
            <w:tcW w:w="428" w:type="pc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kern w:val="2"/>
                <w:sz w:val="21"/>
                <w:szCs w:val="21"/>
                <w:lang w:val="en-US" w:eastAsia="zh-CN" w:bidi="zh-CN"/>
              </w:rPr>
            </w:pPr>
            <w:r>
              <w:rPr>
                <w:rFonts w:hint="eastAsia" w:ascii="Times New Roman" w:hAnsi="Times New Roman" w:cs="Times New Roman"/>
                <w:color w:val="auto"/>
                <w:kern w:val="2"/>
                <w:sz w:val="21"/>
                <w:szCs w:val="21"/>
                <w:lang w:val="en-US" w:eastAsia="zh-CN" w:bidi="zh-CN"/>
              </w:rPr>
              <w:t>11.30</w:t>
            </w:r>
          </w:p>
        </w:tc>
        <w:tc>
          <w:tcPr>
            <w:tcW w:w="575"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zh-CN"/>
              </w:rPr>
            </w:pPr>
          </w:p>
        </w:tc>
        <w:tc>
          <w:tcPr>
            <w:tcW w:w="196" w:type="pc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zh-CN"/>
              </w:rPr>
            </w:pPr>
            <w:r>
              <w:rPr>
                <w:rFonts w:hint="default" w:ascii="Times New Roman" w:hAnsi="Times New Roman" w:eastAsia="宋体" w:cs="Times New Roman"/>
                <w:color w:val="auto"/>
                <w:kern w:val="2"/>
                <w:sz w:val="21"/>
                <w:szCs w:val="21"/>
                <w:lang w:val="en-US" w:eastAsia="zh-CN" w:bidi="zh-CN"/>
              </w:rPr>
              <w:t>/</w:t>
            </w:r>
          </w:p>
        </w:tc>
        <w:tc>
          <w:tcPr>
            <w:tcW w:w="201"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zh-CN"/>
              </w:rPr>
            </w:pPr>
          </w:p>
        </w:tc>
        <w:tc>
          <w:tcPr>
            <w:tcW w:w="374"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zh-CN"/>
              </w:rPr>
            </w:pPr>
          </w:p>
        </w:tc>
        <w:tc>
          <w:tcPr>
            <w:tcW w:w="549"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473"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166"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251"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268"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22" w:type="pc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zh-CN"/>
              </w:rPr>
            </w:pPr>
            <w:r>
              <w:rPr>
                <w:rFonts w:hint="default" w:ascii="Times New Roman" w:hAnsi="Times New Roman" w:eastAsia="宋体" w:cs="Times New Roman"/>
                <w:color w:val="auto"/>
                <w:sz w:val="21"/>
                <w:szCs w:val="21"/>
                <w:lang w:val="en-US" w:eastAsia="zh-CN"/>
              </w:rPr>
              <w:t>NH</w:t>
            </w:r>
            <w:r>
              <w:rPr>
                <w:rFonts w:hint="default" w:ascii="Times New Roman" w:hAnsi="Times New Roman" w:eastAsia="宋体" w:cs="Times New Roman"/>
                <w:color w:val="auto"/>
                <w:sz w:val="21"/>
                <w:szCs w:val="21"/>
                <w:vertAlign w:val="subscript"/>
                <w:lang w:val="en-US" w:eastAsia="zh-CN"/>
              </w:rPr>
              <w:t>3</w:t>
            </w:r>
            <w:r>
              <w:rPr>
                <w:rFonts w:hint="default" w:ascii="Times New Roman" w:hAnsi="Times New Roman" w:eastAsia="宋体" w:cs="Times New Roman"/>
                <w:color w:val="auto"/>
                <w:sz w:val="21"/>
                <w:szCs w:val="21"/>
                <w:lang w:val="en-US" w:eastAsia="zh-CN"/>
              </w:rPr>
              <w:t>-N</w:t>
            </w:r>
          </w:p>
        </w:tc>
        <w:tc>
          <w:tcPr>
            <w:tcW w:w="178"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zh-CN"/>
              </w:rPr>
            </w:pPr>
          </w:p>
        </w:tc>
        <w:tc>
          <w:tcPr>
            <w:tcW w:w="407"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zh-CN"/>
              </w:rPr>
            </w:pPr>
          </w:p>
        </w:tc>
        <w:tc>
          <w:tcPr>
            <w:tcW w:w="445" w:type="pc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zh-CN"/>
              </w:rPr>
            </w:pPr>
            <w:r>
              <w:rPr>
                <w:rFonts w:hint="eastAsia" w:ascii="Times New Roman" w:hAnsi="Times New Roman" w:eastAsia="宋体" w:cs="Times New Roman"/>
                <w:color w:val="auto"/>
                <w:kern w:val="2"/>
                <w:sz w:val="21"/>
                <w:szCs w:val="21"/>
                <w:lang w:val="en-US" w:eastAsia="zh-CN" w:bidi="zh-CN"/>
              </w:rPr>
              <w:t>400</w:t>
            </w:r>
          </w:p>
        </w:tc>
        <w:tc>
          <w:tcPr>
            <w:tcW w:w="428" w:type="pc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9.04</w:t>
            </w:r>
          </w:p>
        </w:tc>
        <w:tc>
          <w:tcPr>
            <w:tcW w:w="575"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196" w:type="pc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lang w:val="en-US" w:eastAsia="zh-CN" w:bidi="zh-CN"/>
              </w:rPr>
              <w:t>/</w:t>
            </w:r>
          </w:p>
        </w:tc>
        <w:tc>
          <w:tcPr>
            <w:tcW w:w="201"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374"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549"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473"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166"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251"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268"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22" w:type="pc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zh-CN"/>
              </w:rPr>
            </w:pPr>
            <w:r>
              <w:rPr>
                <w:rFonts w:hint="default" w:ascii="Times New Roman" w:hAnsi="Times New Roman" w:eastAsia="宋体" w:cs="Times New Roman"/>
                <w:color w:val="auto"/>
                <w:sz w:val="21"/>
                <w:szCs w:val="21"/>
                <w:lang w:val="en-US" w:eastAsia="zh-CN"/>
              </w:rPr>
              <w:t>TP</w:t>
            </w:r>
          </w:p>
        </w:tc>
        <w:tc>
          <w:tcPr>
            <w:tcW w:w="178"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zh-CN"/>
              </w:rPr>
            </w:pPr>
          </w:p>
        </w:tc>
        <w:tc>
          <w:tcPr>
            <w:tcW w:w="407"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zh-CN"/>
              </w:rPr>
            </w:pPr>
          </w:p>
        </w:tc>
        <w:tc>
          <w:tcPr>
            <w:tcW w:w="445" w:type="pc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50</w:t>
            </w:r>
          </w:p>
        </w:tc>
        <w:tc>
          <w:tcPr>
            <w:tcW w:w="428" w:type="pc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1.13</w:t>
            </w:r>
          </w:p>
        </w:tc>
        <w:tc>
          <w:tcPr>
            <w:tcW w:w="575"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196" w:type="pc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lang w:val="en-US" w:eastAsia="zh-CN" w:bidi="zh-CN"/>
              </w:rPr>
              <w:t>/</w:t>
            </w:r>
          </w:p>
        </w:tc>
        <w:tc>
          <w:tcPr>
            <w:tcW w:w="201"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374"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549"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473"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166"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251"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268"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22" w:type="pc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zh-CN"/>
              </w:rPr>
            </w:pPr>
            <w:r>
              <w:rPr>
                <w:rFonts w:hint="default" w:ascii="Times New Roman" w:hAnsi="Times New Roman" w:eastAsia="宋体" w:cs="Times New Roman"/>
                <w:color w:val="auto"/>
                <w:sz w:val="21"/>
                <w:szCs w:val="21"/>
                <w:lang w:val="en-US" w:eastAsia="zh-CN"/>
              </w:rPr>
              <w:t>TN</w:t>
            </w:r>
          </w:p>
        </w:tc>
        <w:tc>
          <w:tcPr>
            <w:tcW w:w="178"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zh-CN"/>
              </w:rPr>
            </w:pPr>
          </w:p>
        </w:tc>
        <w:tc>
          <w:tcPr>
            <w:tcW w:w="407"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445" w:type="pc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550</w:t>
            </w:r>
          </w:p>
        </w:tc>
        <w:tc>
          <w:tcPr>
            <w:tcW w:w="428" w:type="pc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12.43</w:t>
            </w:r>
          </w:p>
        </w:tc>
        <w:tc>
          <w:tcPr>
            <w:tcW w:w="575"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196" w:type="pc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lang w:val="en-US" w:eastAsia="zh-CN" w:bidi="zh-CN"/>
              </w:rPr>
              <w:t>/</w:t>
            </w:r>
          </w:p>
        </w:tc>
        <w:tc>
          <w:tcPr>
            <w:tcW w:w="201"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374"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549"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473"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166"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251"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268"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22" w:type="pc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粪大肠菌群</w:t>
            </w:r>
          </w:p>
        </w:tc>
        <w:tc>
          <w:tcPr>
            <w:tcW w:w="178"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407"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445" w:type="pc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24000个 /100mL</w:t>
            </w:r>
          </w:p>
        </w:tc>
        <w:tc>
          <w:tcPr>
            <w:tcW w:w="428" w:type="pct"/>
            <w:noWrap w:val="0"/>
            <w:vAlign w:val="center"/>
          </w:tcPr>
          <w:p>
            <w:pPr>
              <w:pStyle w:val="48"/>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lang w:val="en-US" w:eastAsia="zh-CN"/>
              </w:rPr>
              <w:t>5.42</w:t>
            </w:r>
            <w:r>
              <w:rPr>
                <w:rFonts w:hint="default" w:ascii="Times New Roman" w:hAnsi="Times New Roman" w:eastAsia="宋体" w:cs="Times New Roman"/>
                <w:color w:val="auto"/>
                <w:sz w:val="21"/>
                <w:szCs w:val="21"/>
                <w:lang w:val="en-US" w:eastAsia="zh-CN"/>
              </w:rPr>
              <w:t>×10</w:t>
            </w:r>
            <w:r>
              <w:rPr>
                <w:rFonts w:hint="default" w:ascii="Times New Roman" w:hAnsi="Times New Roman" w:eastAsia="宋体" w:cs="Times New Roman"/>
                <w:color w:val="auto"/>
                <w:sz w:val="21"/>
                <w:szCs w:val="21"/>
                <w:vertAlign w:val="superscript"/>
                <w:lang w:val="en-US" w:eastAsia="zh-CN"/>
              </w:rPr>
              <w:t>12</w:t>
            </w:r>
            <w:r>
              <w:rPr>
                <w:rFonts w:hint="default" w:ascii="Times New Roman" w:hAnsi="Times New Roman" w:eastAsia="宋体" w:cs="Times New Roman"/>
                <w:color w:val="auto"/>
                <w:sz w:val="21"/>
                <w:szCs w:val="21"/>
                <w:vertAlign w:val="baseline"/>
                <w:lang w:val="en-US" w:eastAsia="zh-CN"/>
              </w:rPr>
              <w:t>个/a</w:t>
            </w:r>
          </w:p>
        </w:tc>
        <w:tc>
          <w:tcPr>
            <w:tcW w:w="575"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196" w:type="pc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lang w:val="en-US" w:eastAsia="zh-CN" w:bidi="zh-CN"/>
              </w:rPr>
              <w:t>/</w:t>
            </w:r>
          </w:p>
        </w:tc>
        <w:tc>
          <w:tcPr>
            <w:tcW w:w="201"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374"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549"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473"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166"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 w:type="pct"/>
            <w:vMerge w:val="restar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生活</w:t>
            </w:r>
          </w:p>
        </w:tc>
        <w:tc>
          <w:tcPr>
            <w:tcW w:w="251" w:type="pct"/>
            <w:vMerge w:val="restar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生活区</w:t>
            </w:r>
          </w:p>
        </w:tc>
        <w:tc>
          <w:tcPr>
            <w:tcW w:w="268" w:type="pct"/>
            <w:vMerge w:val="restar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生活废水</w:t>
            </w:r>
          </w:p>
        </w:tc>
        <w:tc>
          <w:tcPr>
            <w:tcW w:w="322" w:type="pc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COD</w:t>
            </w:r>
            <w:r>
              <w:rPr>
                <w:rFonts w:hint="default" w:ascii="Times New Roman" w:hAnsi="Times New Roman" w:eastAsia="宋体" w:cs="Times New Roman"/>
                <w:color w:val="auto"/>
                <w:sz w:val="21"/>
                <w:szCs w:val="21"/>
                <w:vertAlign w:val="subscript"/>
                <w:lang w:val="en-US" w:eastAsia="zh-CN"/>
              </w:rPr>
              <w:t>Cr</w:t>
            </w:r>
          </w:p>
        </w:tc>
        <w:tc>
          <w:tcPr>
            <w:tcW w:w="178"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407" w:type="pct"/>
            <w:vMerge w:val="restar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2336</w:t>
            </w:r>
          </w:p>
        </w:tc>
        <w:tc>
          <w:tcPr>
            <w:tcW w:w="445" w:type="pc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350</w:t>
            </w:r>
          </w:p>
        </w:tc>
        <w:tc>
          <w:tcPr>
            <w:tcW w:w="428" w:type="pc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0.82</w:t>
            </w:r>
          </w:p>
        </w:tc>
        <w:tc>
          <w:tcPr>
            <w:tcW w:w="575"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zh-CN"/>
              </w:rPr>
            </w:pPr>
          </w:p>
        </w:tc>
        <w:tc>
          <w:tcPr>
            <w:tcW w:w="196" w:type="pct"/>
            <w:noWrap w:val="0"/>
            <w:vAlign w:val="center"/>
          </w:tcPr>
          <w:p>
            <w:pPr>
              <w:pStyle w:val="98"/>
              <w:jc w:val="center"/>
              <w:rPr>
                <w:rFonts w:hint="default" w:ascii="Times New Roman" w:hAnsi="Times New Roman" w:eastAsia="宋体" w:cs="Times New Roman"/>
                <w:color w:val="auto"/>
                <w:kern w:val="2"/>
                <w:sz w:val="21"/>
                <w:szCs w:val="21"/>
                <w:lang w:val="en-US" w:eastAsia="zh-CN" w:bidi="zh-CN"/>
              </w:rPr>
            </w:pPr>
          </w:p>
        </w:tc>
        <w:tc>
          <w:tcPr>
            <w:tcW w:w="201" w:type="pct"/>
            <w:vMerge w:val="continue"/>
            <w:noWrap w:val="0"/>
            <w:vAlign w:val="center"/>
          </w:tcPr>
          <w:p>
            <w:pPr>
              <w:pStyle w:val="98"/>
              <w:jc w:val="center"/>
              <w:rPr>
                <w:rFonts w:hint="default" w:ascii="Times New Roman" w:hAnsi="Times New Roman" w:eastAsia="宋体" w:cs="Times New Roman"/>
                <w:color w:val="auto"/>
                <w:kern w:val="2"/>
                <w:sz w:val="21"/>
                <w:szCs w:val="21"/>
                <w:lang w:val="en-US" w:eastAsia="zh-CN" w:bidi="zh-CN"/>
              </w:rPr>
            </w:pPr>
          </w:p>
        </w:tc>
        <w:tc>
          <w:tcPr>
            <w:tcW w:w="374" w:type="pct"/>
            <w:vMerge w:val="continue"/>
            <w:noWrap w:val="0"/>
            <w:vAlign w:val="center"/>
          </w:tcPr>
          <w:p>
            <w:pPr>
              <w:pStyle w:val="98"/>
              <w:jc w:val="center"/>
              <w:rPr>
                <w:rFonts w:hint="default" w:ascii="Times New Roman" w:hAnsi="Times New Roman" w:eastAsia="宋体" w:cs="Times New Roman"/>
                <w:color w:val="auto"/>
                <w:kern w:val="2"/>
                <w:sz w:val="21"/>
                <w:szCs w:val="21"/>
                <w:lang w:val="en-US" w:eastAsia="zh-CN" w:bidi="zh-CN"/>
              </w:rPr>
            </w:pPr>
          </w:p>
        </w:tc>
        <w:tc>
          <w:tcPr>
            <w:tcW w:w="549" w:type="pct"/>
            <w:vMerge w:val="continue"/>
            <w:noWrap w:val="0"/>
            <w:vAlign w:val="center"/>
          </w:tcPr>
          <w:p>
            <w:pPr>
              <w:pStyle w:val="98"/>
              <w:jc w:val="center"/>
              <w:rPr>
                <w:rFonts w:hint="default" w:ascii="Times New Roman" w:hAnsi="Times New Roman" w:eastAsia="宋体" w:cs="Times New Roman"/>
                <w:color w:val="auto"/>
                <w:kern w:val="2"/>
                <w:sz w:val="21"/>
                <w:szCs w:val="21"/>
                <w:lang w:val="en-US" w:eastAsia="zh-CN" w:bidi="zh-CN"/>
              </w:rPr>
            </w:pPr>
          </w:p>
        </w:tc>
        <w:tc>
          <w:tcPr>
            <w:tcW w:w="473" w:type="pct"/>
            <w:vMerge w:val="continue"/>
            <w:noWrap w:val="0"/>
            <w:vAlign w:val="center"/>
          </w:tcPr>
          <w:p>
            <w:pPr>
              <w:pStyle w:val="98"/>
              <w:jc w:val="center"/>
              <w:rPr>
                <w:rFonts w:hint="default" w:ascii="Times New Roman" w:hAnsi="Times New Roman" w:eastAsia="宋体" w:cs="Times New Roman"/>
                <w:color w:val="auto"/>
                <w:kern w:val="2"/>
                <w:sz w:val="21"/>
                <w:szCs w:val="21"/>
                <w:lang w:val="en-US" w:eastAsia="zh-CN" w:bidi="zh-CN"/>
              </w:rPr>
            </w:pPr>
          </w:p>
        </w:tc>
        <w:tc>
          <w:tcPr>
            <w:tcW w:w="166" w:type="pct"/>
            <w:vMerge w:val="continue"/>
            <w:noWrap w:val="0"/>
            <w:vAlign w:val="center"/>
          </w:tcPr>
          <w:p>
            <w:pPr>
              <w:pStyle w:val="98"/>
              <w:jc w:val="center"/>
              <w:rPr>
                <w:rFonts w:hint="default" w:ascii="Times New Roman" w:hAnsi="Times New Roman" w:eastAsia="宋体" w:cs="Times New Roman"/>
                <w:color w:val="auto"/>
                <w:kern w:val="2"/>
                <w:sz w:val="21"/>
                <w:szCs w:val="21"/>
                <w:lang w:val="en-US" w:eastAsia="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251"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268"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22" w:type="pc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BOD</w:t>
            </w:r>
            <w:r>
              <w:rPr>
                <w:rFonts w:hint="default" w:ascii="Times New Roman" w:hAnsi="Times New Roman" w:eastAsia="宋体" w:cs="Times New Roman"/>
                <w:color w:val="auto"/>
                <w:sz w:val="21"/>
                <w:szCs w:val="21"/>
                <w:vertAlign w:val="subscript"/>
                <w:lang w:val="en-US" w:eastAsia="zh-CN"/>
              </w:rPr>
              <w:t>5</w:t>
            </w:r>
          </w:p>
        </w:tc>
        <w:tc>
          <w:tcPr>
            <w:tcW w:w="178"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407"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445" w:type="pc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200</w:t>
            </w:r>
          </w:p>
        </w:tc>
        <w:tc>
          <w:tcPr>
            <w:tcW w:w="428" w:type="pc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0.47</w:t>
            </w:r>
          </w:p>
        </w:tc>
        <w:tc>
          <w:tcPr>
            <w:tcW w:w="575"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196" w:type="pc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lang w:val="en-US" w:eastAsia="zh-CN" w:bidi="zh-CN"/>
              </w:rPr>
              <w:t>/</w:t>
            </w:r>
          </w:p>
        </w:tc>
        <w:tc>
          <w:tcPr>
            <w:tcW w:w="201"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374"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549"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473"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166"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251"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268"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22" w:type="pc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SS</w:t>
            </w:r>
          </w:p>
        </w:tc>
        <w:tc>
          <w:tcPr>
            <w:tcW w:w="178"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407"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445" w:type="pc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220</w:t>
            </w:r>
          </w:p>
        </w:tc>
        <w:tc>
          <w:tcPr>
            <w:tcW w:w="428" w:type="pc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0.51</w:t>
            </w:r>
          </w:p>
        </w:tc>
        <w:tc>
          <w:tcPr>
            <w:tcW w:w="575"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196" w:type="pc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lang w:val="en-US" w:eastAsia="zh-CN" w:bidi="zh-CN"/>
              </w:rPr>
              <w:t>/</w:t>
            </w:r>
          </w:p>
        </w:tc>
        <w:tc>
          <w:tcPr>
            <w:tcW w:w="201"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374"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549"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473"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166"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251"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268"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22" w:type="pc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NH</w:t>
            </w:r>
            <w:r>
              <w:rPr>
                <w:rFonts w:hint="default" w:ascii="Times New Roman" w:hAnsi="Times New Roman" w:eastAsia="宋体" w:cs="Times New Roman"/>
                <w:color w:val="auto"/>
                <w:sz w:val="21"/>
                <w:szCs w:val="21"/>
                <w:vertAlign w:val="subscript"/>
                <w:lang w:val="en-US" w:eastAsia="zh-CN"/>
              </w:rPr>
              <w:t>3</w:t>
            </w:r>
            <w:r>
              <w:rPr>
                <w:rFonts w:hint="default" w:ascii="Times New Roman" w:hAnsi="Times New Roman" w:eastAsia="宋体" w:cs="Times New Roman"/>
                <w:color w:val="auto"/>
                <w:sz w:val="21"/>
                <w:szCs w:val="21"/>
                <w:lang w:val="en-US" w:eastAsia="zh-CN"/>
              </w:rPr>
              <w:t>-N</w:t>
            </w:r>
          </w:p>
        </w:tc>
        <w:tc>
          <w:tcPr>
            <w:tcW w:w="178"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407"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445" w:type="pc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35</w:t>
            </w:r>
          </w:p>
        </w:tc>
        <w:tc>
          <w:tcPr>
            <w:tcW w:w="428" w:type="pc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0.08</w:t>
            </w:r>
          </w:p>
        </w:tc>
        <w:tc>
          <w:tcPr>
            <w:tcW w:w="575"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196" w:type="pc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lang w:val="en-US" w:eastAsia="zh-CN" w:bidi="zh-CN"/>
              </w:rPr>
              <w:t>/</w:t>
            </w:r>
          </w:p>
        </w:tc>
        <w:tc>
          <w:tcPr>
            <w:tcW w:w="201"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374"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549"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473"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166"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251"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268"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22" w:type="pc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TP</w:t>
            </w:r>
          </w:p>
        </w:tc>
        <w:tc>
          <w:tcPr>
            <w:tcW w:w="178"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407"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445" w:type="pc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15</w:t>
            </w:r>
          </w:p>
        </w:tc>
        <w:tc>
          <w:tcPr>
            <w:tcW w:w="428" w:type="pc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0.04</w:t>
            </w:r>
          </w:p>
        </w:tc>
        <w:tc>
          <w:tcPr>
            <w:tcW w:w="575"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196" w:type="pc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lang w:val="en-US" w:eastAsia="zh-CN" w:bidi="zh-CN"/>
              </w:rPr>
              <w:t>/</w:t>
            </w:r>
          </w:p>
        </w:tc>
        <w:tc>
          <w:tcPr>
            <w:tcW w:w="201"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374"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549"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473"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166"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251"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268"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22" w:type="pc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TN</w:t>
            </w:r>
          </w:p>
        </w:tc>
        <w:tc>
          <w:tcPr>
            <w:tcW w:w="178"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407"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445" w:type="pc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w:t>
            </w:r>
          </w:p>
        </w:tc>
        <w:tc>
          <w:tcPr>
            <w:tcW w:w="428" w:type="pc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0.05</w:t>
            </w:r>
          </w:p>
        </w:tc>
        <w:tc>
          <w:tcPr>
            <w:tcW w:w="575"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196" w:type="pct"/>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lang w:val="en-US" w:eastAsia="zh-CN" w:bidi="zh-CN"/>
              </w:rPr>
              <w:t>/</w:t>
            </w:r>
          </w:p>
        </w:tc>
        <w:tc>
          <w:tcPr>
            <w:tcW w:w="201"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374"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549"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473"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166" w:type="pct"/>
            <w:vMerge w:val="continue"/>
            <w:noWrap w:val="0"/>
            <w:vAlign w:val="center"/>
          </w:tcPr>
          <w:p>
            <w:pPr>
              <w:pStyle w:val="9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r>
    </w:tbl>
    <w:p>
      <w:pPr>
        <w:adjustRightInd w:val="0"/>
        <w:snapToGrid w:val="0"/>
        <w:spacing w:line="360" w:lineRule="auto"/>
        <w:outlineLvl w:val="2"/>
        <w:rPr>
          <w:rFonts w:hint="eastAsia" w:ascii="Times New Roman" w:hAnsi="Times New Roman" w:eastAsia="宋体"/>
          <w:b/>
          <w:bCs/>
          <w:color w:val="0000FF"/>
          <w:sz w:val="28"/>
          <w:szCs w:val="28"/>
          <w:lang w:eastAsia="zh-CN"/>
        </w:rPr>
        <w:sectPr>
          <w:pgSz w:w="16838" w:h="11906" w:orient="landscape"/>
          <w:pgMar w:top="1451" w:right="1440" w:bottom="1451" w:left="1440" w:header="851" w:footer="992" w:gutter="0"/>
          <w:pgBorders>
            <w:top w:val="none" w:sz="0" w:space="0"/>
            <w:left w:val="none" w:sz="0" w:space="0"/>
            <w:bottom w:val="none" w:sz="0" w:space="0"/>
            <w:right w:val="none" w:sz="0" w:space="0"/>
          </w:pgBorders>
          <w:pgNumType w:fmt="decimal"/>
          <w:cols w:space="0" w:num="1"/>
          <w:rtlGutter w:val="0"/>
          <w:docGrid w:type="lines" w:linePitch="321" w:charSpace="0"/>
        </w:sectPr>
      </w:pPr>
    </w:p>
    <w:p>
      <w:pPr>
        <w:pStyle w:val="16"/>
        <w:rPr>
          <w:rFonts w:hint="eastAsia"/>
          <w:color w:val="auto"/>
          <w:lang w:eastAsia="zh-CN"/>
        </w:rPr>
      </w:pPr>
    </w:p>
    <w:p>
      <w:pPr>
        <w:adjustRightInd w:val="0"/>
        <w:snapToGrid w:val="0"/>
        <w:spacing w:line="360" w:lineRule="auto"/>
        <w:outlineLvl w:val="2"/>
        <w:rPr>
          <w:rFonts w:ascii="Times New Roman" w:hAnsi="Times New Roman" w:eastAsia="宋体"/>
          <w:b/>
          <w:bCs/>
          <w:color w:val="auto"/>
          <w:sz w:val="28"/>
          <w:szCs w:val="28"/>
        </w:rPr>
      </w:pPr>
      <w:r>
        <w:rPr>
          <w:rFonts w:hint="eastAsia" w:ascii="Times New Roman" w:hAnsi="Times New Roman" w:eastAsia="宋体"/>
          <w:b/>
          <w:bCs/>
          <w:color w:val="auto"/>
          <w:sz w:val="28"/>
          <w:szCs w:val="28"/>
        </w:rPr>
        <w:t>3.5.3噪声</w:t>
      </w:r>
      <w:bookmarkEnd w:id="125"/>
      <w:r>
        <w:rPr>
          <w:rFonts w:hint="eastAsia" w:ascii="Times New Roman" w:hAnsi="Times New Roman" w:eastAsia="宋体"/>
          <w:b/>
          <w:bCs/>
          <w:color w:val="auto"/>
          <w:sz w:val="28"/>
          <w:szCs w:val="28"/>
        </w:rPr>
        <w:t>污染源分析</w:t>
      </w:r>
    </w:p>
    <w:p>
      <w:pPr>
        <w:spacing w:line="360" w:lineRule="auto"/>
        <w:ind w:firstLine="480" w:firstLineChars="200"/>
        <w:rPr>
          <w:rFonts w:ascii="Times New Roman" w:hAnsi="Times New Roman" w:eastAsia="宋体" w:cs="Times New Roman"/>
          <w:color w:val="auto"/>
          <w:sz w:val="24"/>
          <w:szCs w:val="24"/>
        </w:rPr>
      </w:pPr>
      <w:bookmarkStart w:id="126" w:name="_Toc18442"/>
      <w:r>
        <w:rPr>
          <w:rFonts w:hint="eastAsia" w:ascii="Times New Roman" w:hAnsi="Times New Roman" w:eastAsia="宋体" w:cs="Times New Roman"/>
          <w:color w:val="auto"/>
          <w:sz w:val="24"/>
          <w:szCs w:val="24"/>
        </w:rPr>
        <w:t>本项目营运期噪声主要来自于猪叫声（70～80dB（A））、猪舍水泵（80～90dB（A））、风机（85～95dB（A））、发电机（85～9</w:t>
      </w:r>
      <w:r>
        <w:rPr>
          <w:rFonts w:hint="eastAsia" w:ascii="Times New Roman" w:hAnsi="Times New Roman" w:eastAsia="宋体" w:cs="Times New Roman"/>
          <w:color w:val="auto"/>
          <w:sz w:val="24"/>
          <w:szCs w:val="24"/>
          <w:lang w:val="en-US" w:eastAsia="zh-CN"/>
        </w:rPr>
        <w:t>0</w:t>
      </w:r>
      <w:r>
        <w:rPr>
          <w:rFonts w:hint="eastAsia" w:ascii="Times New Roman" w:hAnsi="Times New Roman" w:eastAsia="宋体" w:cs="Times New Roman"/>
          <w:color w:val="auto"/>
          <w:sz w:val="24"/>
          <w:szCs w:val="24"/>
        </w:rPr>
        <w:t>dB（A））、</w:t>
      </w:r>
      <w:r>
        <w:rPr>
          <w:rFonts w:hint="eastAsia" w:ascii="Times New Roman" w:hAnsi="Times New Roman" w:eastAsia="宋体" w:cs="Times New Roman"/>
          <w:color w:val="auto"/>
          <w:sz w:val="24"/>
          <w:szCs w:val="24"/>
          <w:lang w:eastAsia="zh-CN"/>
        </w:rPr>
        <w:t>污水处理区</w:t>
      </w:r>
      <w:r>
        <w:rPr>
          <w:rFonts w:hint="eastAsia" w:ascii="Times New Roman" w:hAnsi="Times New Roman" w:eastAsia="宋体" w:cs="Times New Roman"/>
          <w:color w:val="auto"/>
          <w:sz w:val="24"/>
          <w:szCs w:val="24"/>
        </w:rPr>
        <w:t>等设备噪声以及进出车辆噪声等。猪只叫声一般只在喂料的时候发出，持续时间约为 10～20min。工程主要噪声设施源强和治理措施情况见下表：</w:t>
      </w:r>
    </w:p>
    <w:p>
      <w:pPr>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表</w:t>
      </w:r>
      <w:r>
        <w:rPr>
          <w:rFonts w:hint="eastAsia" w:ascii="Times New Roman" w:hAnsi="Times New Roman" w:eastAsia="宋体" w:cs="Times New Roman"/>
          <w:b/>
          <w:color w:val="auto"/>
          <w:szCs w:val="21"/>
        </w:rPr>
        <w:t>3.5</w:t>
      </w:r>
      <w:r>
        <w:rPr>
          <w:rFonts w:ascii="Times New Roman" w:hAnsi="Times New Roman" w:eastAsia="宋体" w:cs="Times New Roman"/>
          <w:b/>
          <w:color w:val="auto"/>
          <w:szCs w:val="21"/>
        </w:rPr>
        <w:t>-</w:t>
      </w:r>
      <w:r>
        <w:rPr>
          <w:rFonts w:hint="eastAsia" w:ascii="Times New Roman" w:hAnsi="Times New Roman" w:eastAsia="宋体" w:cs="Times New Roman"/>
          <w:b/>
          <w:color w:val="auto"/>
          <w:szCs w:val="21"/>
          <w:lang w:val="en-US" w:eastAsia="zh-CN"/>
        </w:rPr>
        <w:t xml:space="preserve">18  </w:t>
      </w:r>
      <w:r>
        <w:rPr>
          <w:rFonts w:hint="eastAsia" w:ascii="Times New Roman" w:hAnsi="Times New Roman" w:eastAsia="宋体" w:cs="Times New Roman"/>
          <w:b/>
          <w:color w:val="auto"/>
          <w:szCs w:val="21"/>
        </w:rPr>
        <w:t>运营期噪声源强</w:t>
      </w:r>
    </w:p>
    <w:tbl>
      <w:tblPr>
        <w:tblStyle w:val="35"/>
        <w:tblW w:w="4996"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34"/>
        <w:gridCol w:w="1055"/>
        <w:gridCol w:w="1049"/>
        <w:gridCol w:w="710"/>
        <w:gridCol w:w="4755"/>
        <w:gridCol w:w="121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36" w:type="pct"/>
            <w:tcBorders>
              <w:tl2br w:val="nil"/>
              <w:tr2bl w:val="nil"/>
            </w:tcBorders>
            <w:vAlign w:val="center"/>
          </w:tcPr>
          <w:p>
            <w:pPr>
              <w:jc w:val="center"/>
              <w:rPr>
                <w:rFonts w:ascii="Times New Roman" w:hAnsi="Times New Roman" w:eastAsia="宋体" w:cs="Times New Roman"/>
                <w:b/>
                <w:bCs w:val="0"/>
                <w:color w:val="auto"/>
                <w:szCs w:val="21"/>
              </w:rPr>
            </w:pPr>
            <w:r>
              <w:rPr>
                <w:rFonts w:hint="eastAsia" w:ascii="Times New Roman" w:hAnsi="Times New Roman" w:eastAsia="宋体" w:cs="Times New Roman"/>
                <w:b/>
                <w:bCs w:val="0"/>
                <w:color w:val="auto"/>
                <w:szCs w:val="21"/>
              </w:rPr>
              <w:t>序号</w:t>
            </w:r>
          </w:p>
        </w:tc>
        <w:tc>
          <w:tcPr>
            <w:tcW w:w="572" w:type="pct"/>
            <w:tcBorders>
              <w:tl2br w:val="nil"/>
              <w:tr2bl w:val="nil"/>
            </w:tcBorders>
            <w:vAlign w:val="center"/>
          </w:tcPr>
          <w:p>
            <w:pPr>
              <w:jc w:val="center"/>
              <w:rPr>
                <w:rFonts w:ascii="Times New Roman" w:hAnsi="Times New Roman" w:eastAsia="宋体" w:cs="Times New Roman"/>
                <w:b/>
                <w:bCs w:val="0"/>
                <w:color w:val="auto"/>
                <w:szCs w:val="21"/>
              </w:rPr>
            </w:pPr>
            <w:r>
              <w:rPr>
                <w:rFonts w:hint="eastAsia" w:ascii="Times New Roman" w:hAnsi="Times New Roman" w:eastAsia="宋体" w:cs="Times New Roman"/>
                <w:b/>
                <w:bCs w:val="0"/>
                <w:color w:val="auto"/>
                <w:szCs w:val="21"/>
              </w:rPr>
              <w:t>名称</w:t>
            </w:r>
          </w:p>
        </w:tc>
        <w:tc>
          <w:tcPr>
            <w:tcW w:w="569" w:type="pct"/>
            <w:tcBorders>
              <w:tl2br w:val="nil"/>
              <w:tr2bl w:val="nil"/>
            </w:tcBorders>
            <w:vAlign w:val="center"/>
          </w:tcPr>
          <w:p>
            <w:pPr>
              <w:jc w:val="center"/>
              <w:rPr>
                <w:rFonts w:hint="eastAsia" w:ascii="Times New Roman" w:hAnsi="Times New Roman" w:eastAsia="宋体" w:cs="Times New Roman"/>
                <w:b/>
                <w:bCs w:val="0"/>
                <w:color w:val="auto"/>
                <w:szCs w:val="21"/>
              </w:rPr>
            </w:pPr>
            <w:r>
              <w:rPr>
                <w:rFonts w:hint="eastAsia" w:ascii="Times New Roman" w:hAnsi="Times New Roman" w:eastAsia="宋体" w:cs="Times New Roman"/>
                <w:b/>
                <w:bCs w:val="0"/>
                <w:color w:val="auto"/>
                <w:szCs w:val="21"/>
              </w:rPr>
              <w:t>单台</w:t>
            </w:r>
          </w:p>
          <w:p>
            <w:pPr>
              <w:jc w:val="center"/>
              <w:rPr>
                <w:rFonts w:ascii="Times New Roman" w:hAnsi="Times New Roman" w:eastAsia="宋体" w:cs="Times New Roman"/>
                <w:b/>
                <w:bCs w:val="0"/>
                <w:color w:val="auto"/>
                <w:szCs w:val="21"/>
              </w:rPr>
            </w:pPr>
            <w:r>
              <w:rPr>
                <w:rFonts w:hint="eastAsia" w:ascii="Times New Roman" w:hAnsi="Times New Roman" w:eastAsia="宋体" w:cs="Times New Roman"/>
                <w:b/>
                <w:bCs w:val="0"/>
                <w:color w:val="auto"/>
                <w:szCs w:val="21"/>
              </w:rPr>
              <w:t>源强</w:t>
            </w:r>
          </w:p>
        </w:tc>
        <w:tc>
          <w:tcPr>
            <w:tcW w:w="385" w:type="pct"/>
            <w:tcBorders>
              <w:tl2br w:val="nil"/>
              <w:tr2bl w:val="nil"/>
            </w:tcBorders>
            <w:vAlign w:val="center"/>
          </w:tcPr>
          <w:p>
            <w:pPr>
              <w:jc w:val="center"/>
              <w:rPr>
                <w:rFonts w:hint="eastAsia" w:ascii="Times New Roman" w:hAnsi="Times New Roman" w:eastAsia="宋体" w:cs="Times New Roman"/>
                <w:b/>
                <w:bCs w:val="0"/>
                <w:color w:val="auto"/>
                <w:szCs w:val="21"/>
                <w:lang w:val="en-US" w:eastAsia="zh-CN"/>
              </w:rPr>
            </w:pPr>
            <w:r>
              <w:rPr>
                <w:rFonts w:hint="eastAsia" w:ascii="Times New Roman" w:hAnsi="Times New Roman" w:eastAsia="宋体" w:cs="Times New Roman"/>
                <w:b/>
                <w:bCs w:val="0"/>
                <w:color w:val="auto"/>
                <w:szCs w:val="21"/>
                <w:lang w:val="en-US" w:eastAsia="zh-CN"/>
              </w:rPr>
              <w:t>产生方式</w:t>
            </w:r>
          </w:p>
        </w:tc>
        <w:tc>
          <w:tcPr>
            <w:tcW w:w="2579" w:type="pct"/>
            <w:tcBorders>
              <w:tl2br w:val="nil"/>
              <w:tr2bl w:val="nil"/>
            </w:tcBorders>
            <w:vAlign w:val="center"/>
          </w:tcPr>
          <w:p>
            <w:pPr>
              <w:jc w:val="center"/>
              <w:rPr>
                <w:rFonts w:ascii="Times New Roman" w:hAnsi="Times New Roman" w:eastAsia="宋体" w:cs="Times New Roman"/>
                <w:b/>
                <w:bCs w:val="0"/>
                <w:color w:val="auto"/>
                <w:szCs w:val="21"/>
              </w:rPr>
            </w:pPr>
            <w:r>
              <w:rPr>
                <w:rFonts w:hint="eastAsia" w:ascii="Times New Roman" w:hAnsi="Times New Roman" w:eastAsia="宋体" w:cs="Times New Roman"/>
                <w:b/>
                <w:bCs w:val="0"/>
                <w:color w:val="auto"/>
                <w:szCs w:val="21"/>
              </w:rPr>
              <w:t>降噪措施</w:t>
            </w:r>
          </w:p>
        </w:tc>
        <w:tc>
          <w:tcPr>
            <w:tcW w:w="656" w:type="pct"/>
            <w:tcBorders>
              <w:tl2br w:val="nil"/>
              <w:tr2bl w:val="nil"/>
            </w:tcBorders>
            <w:vAlign w:val="center"/>
          </w:tcPr>
          <w:p>
            <w:pPr>
              <w:jc w:val="center"/>
              <w:rPr>
                <w:rFonts w:ascii="Times New Roman" w:hAnsi="Times New Roman" w:eastAsia="宋体" w:cs="Times New Roman"/>
                <w:b/>
                <w:bCs w:val="0"/>
                <w:color w:val="auto"/>
                <w:szCs w:val="21"/>
              </w:rPr>
            </w:pPr>
            <w:r>
              <w:rPr>
                <w:rFonts w:hint="eastAsia" w:ascii="Times New Roman" w:hAnsi="Times New Roman" w:eastAsia="宋体" w:cs="Times New Roman"/>
                <w:b/>
                <w:bCs w:val="0"/>
                <w:color w:val="auto"/>
                <w:szCs w:val="21"/>
              </w:rPr>
              <w:t>治理后声级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36" w:type="pct"/>
            <w:tcBorders>
              <w:tl2br w:val="nil"/>
              <w:tr2bl w:val="nil"/>
            </w:tcBorders>
            <w:vAlign w:val="center"/>
          </w:tcPr>
          <w:p>
            <w:pPr>
              <w:jc w:val="center"/>
              <w:rPr>
                <w:rFonts w:ascii="Times New Roman" w:hAnsi="Times New Roman" w:eastAsia="宋体" w:cs="Times New Roman"/>
                <w:bCs/>
                <w:color w:val="auto"/>
                <w:szCs w:val="21"/>
              </w:rPr>
            </w:pPr>
            <w:r>
              <w:rPr>
                <w:rFonts w:hint="eastAsia" w:ascii="Times New Roman" w:hAnsi="Times New Roman" w:eastAsia="宋体" w:cs="Times New Roman"/>
                <w:bCs/>
                <w:color w:val="auto"/>
                <w:szCs w:val="21"/>
              </w:rPr>
              <w:t>1</w:t>
            </w:r>
          </w:p>
        </w:tc>
        <w:tc>
          <w:tcPr>
            <w:tcW w:w="572" w:type="pct"/>
            <w:tcBorders>
              <w:tl2br w:val="nil"/>
              <w:tr2bl w:val="nil"/>
            </w:tcBorders>
            <w:vAlign w:val="center"/>
          </w:tcPr>
          <w:p>
            <w:pPr>
              <w:jc w:val="center"/>
              <w:rPr>
                <w:rFonts w:ascii="Times New Roman" w:hAnsi="Times New Roman" w:eastAsia="宋体" w:cs="Times New Roman"/>
                <w:bCs/>
                <w:color w:val="auto"/>
                <w:szCs w:val="21"/>
              </w:rPr>
            </w:pPr>
            <w:r>
              <w:rPr>
                <w:rFonts w:hint="eastAsia" w:ascii="Times New Roman" w:hAnsi="Times New Roman" w:eastAsia="宋体" w:cs="Times New Roman"/>
                <w:bCs/>
                <w:color w:val="auto"/>
                <w:szCs w:val="21"/>
              </w:rPr>
              <w:t>泵类</w:t>
            </w:r>
          </w:p>
        </w:tc>
        <w:tc>
          <w:tcPr>
            <w:tcW w:w="569" w:type="pct"/>
            <w:tcBorders>
              <w:tl2br w:val="nil"/>
              <w:tr2bl w:val="nil"/>
            </w:tcBorders>
            <w:vAlign w:val="center"/>
          </w:tcPr>
          <w:p>
            <w:pPr>
              <w:jc w:val="center"/>
              <w:rPr>
                <w:rFonts w:ascii="Times New Roman" w:hAnsi="Times New Roman" w:eastAsia="宋体" w:cs="Times New Roman"/>
                <w:bCs/>
                <w:color w:val="auto"/>
                <w:szCs w:val="21"/>
              </w:rPr>
            </w:pPr>
            <w:r>
              <w:rPr>
                <w:rFonts w:hint="eastAsia" w:ascii="Times New Roman" w:hAnsi="Times New Roman" w:eastAsia="宋体" w:cs="Times New Roman"/>
                <w:bCs/>
                <w:color w:val="auto"/>
                <w:szCs w:val="21"/>
              </w:rPr>
              <w:t>85dB（A）</w:t>
            </w:r>
          </w:p>
        </w:tc>
        <w:tc>
          <w:tcPr>
            <w:tcW w:w="385" w:type="pct"/>
            <w:tcBorders>
              <w:tl2br w:val="nil"/>
              <w:tr2bl w:val="nil"/>
            </w:tcBorders>
            <w:vAlign w:val="center"/>
          </w:tcPr>
          <w:p>
            <w:pPr>
              <w:jc w:val="center"/>
              <w:rPr>
                <w:rFonts w:hint="eastAsia" w:ascii="Times New Roman" w:hAnsi="Times New Roman" w:eastAsia="宋体" w:cs="Times New Roman"/>
                <w:bCs/>
                <w:color w:val="auto"/>
                <w:szCs w:val="21"/>
                <w:lang w:eastAsia="zh-CN"/>
              </w:rPr>
            </w:pPr>
            <w:r>
              <w:rPr>
                <w:rFonts w:hint="eastAsia" w:ascii="Times New Roman" w:hAnsi="Times New Roman" w:eastAsia="宋体" w:cs="Times New Roman"/>
                <w:bCs/>
                <w:color w:val="auto"/>
                <w:szCs w:val="21"/>
                <w:lang w:eastAsia="zh-CN"/>
              </w:rPr>
              <w:t>连续</w:t>
            </w:r>
          </w:p>
        </w:tc>
        <w:tc>
          <w:tcPr>
            <w:tcW w:w="2579" w:type="pct"/>
            <w:tcBorders>
              <w:tl2br w:val="nil"/>
              <w:tr2bl w:val="nil"/>
            </w:tcBorders>
            <w:vAlign w:val="center"/>
          </w:tcPr>
          <w:p>
            <w:pPr>
              <w:jc w:val="center"/>
              <w:rPr>
                <w:rFonts w:hint="eastAsia" w:ascii="Times New Roman" w:hAnsi="Times New Roman" w:eastAsia="宋体" w:cs="Times New Roman"/>
                <w:bCs/>
                <w:color w:val="auto"/>
                <w:szCs w:val="21"/>
                <w:lang w:eastAsia="zh-CN"/>
              </w:rPr>
            </w:pPr>
            <w:r>
              <w:rPr>
                <w:rFonts w:hint="eastAsia" w:ascii="Times New Roman" w:hAnsi="Times New Roman" w:eastAsia="宋体" w:cs="Times New Roman"/>
                <w:bCs/>
                <w:color w:val="auto"/>
                <w:szCs w:val="21"/>
                <w:lang w:eastAsia="zh-CN"/>
              </w:rPr>
              <w:t>车间墙体隔音、加装减振措施</w:t>
            </w:r>
          </w:p>
        </w:tc>
        <w:tc>
          <w:tcPr>
            <w:tcW w:w="656" w:type="pct"/>
            <w:tcBorders>
              <w:tl2br w:val="nil"/>
              <w:tr2bl w:val="nil"/>
            </w:tcBorders>
            <w:vAlign w:val="center"/>
          </w:tcPr>
          <w:p>
            <w:pPr>
              <w:jc w:val="center"/>
              <w:rPr>
                <w:rFonts w:ascii="Times New Roman" w:hAnsi="Times New Roman" w:eastAsia="宋体" w:cs="Times New Roman"/>
                <w:bCs/>
                <w:color w:val="auto"/>
                <w:szCs w:val="21"/>
              </w:rPr>
            </w:pPr>
            <w:r>
              <w:rPr>
                <w:rFonts w:hint="eastAsia" w:ascii="Times New Roman" w:hAnsi="Times New Roman" w:eastAsia="宋体"/>
                <w:bCs/>
                <w:color w:val="auto"/>
                <w:szCs w:val="21"/>
                <w:lang w:val="en-US" w:eastAsia="zh-CN"/>
              </w:rPr>
              <w:t>70</w:t>
            </w:r>
            <w:r>
              <w:rPr>
                <w:rFonts w:hint="eastAsia" w:ascii="Times New Roman" w:hAnsi="Times New Roman" w:eastAsia="宋体" w:cs="Times New Roman"/>
                <w:bCs/>
                <w:color w:val="auto"/>
                <w:szCs w:val="21"/>
              </w:rPr>
              <w:t>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36" w:type="pct"/>
            <w:tcBorders>
              <w:tl2br w:val="nil"/>
              <w:tr2bl w:val="nil"/>
            </w:tcBorders>
            <w:vAlign w:val="center"/>
          </w:tcPr>
          <w:p>
            <w:pPr>
              <w:jc w:val="center"/>
              <w:rPr>
                <w:rFonts w:ascii="Times New Roman" w:hAnsi="Times New Roman" w:eastAsia="宋体" w:cs="Times New Roman"/>
                <w:bCs/>
                <w:color w:val="auto"/>
                <w:szCs w:val="21"/>
              </w:rPr>
            </w:pPr>
            <w:r>
              <w:rPr>
                <w:rFonts w:hint="eastAsia" w:ascii="Times New Roman" w:hAnsi="Times New Roman" w:eastAsia="宋体" w:cs="Times New Roman"/>
                <w:bCs/>
                <w:color w:val="auto"/>
                <w:szCs w:val="21"/>
              </w:rPr>
              <w:t>2</w:t>
            </w:r>
          </w:p>
        </w:tc>
        <w:tc>
          <w:tcPr>
            <w:tcW w:w="572" w:type="pct"/>
            <w:tcBorders>
              <w:tl2br w:val="nil"/>
              <w:tr2bl w:val="nil"/>
            </w:tcBorders>
            <w:vAlign w:val="center"/>
          </w:tcPr>
          <w:p>
            <w:pPr>
              <w:jc w:val="center"/>
              <w:rPr>
                <w:rFonts w:hint="eastAsia" w:ascii="Times New Roman" w:hAnsi="Times New Roman" w:eastAsia="宋体" w:cs="Times New Roman"/>
                <w:bCs/>
                <w:color w:val="auto"/>
                <w:szCs w:val="21"/>
                <w:lang w:eastAsia="zh-CN"/>
              </w:rPr>
            </w:pPr>
            <w:r>
              <w:rPr>
                <w:rFonts w:hint="eastAsia" w:ascii="Times New Roman" w:hAnsi="Times New Roman" w:eastAsia="宋体" w:cs="Times New Roman"/>
                <w:bCs/>
                <w:color w:val="auto"/>
                <w:szCs w:val="21"/>
                <w:lang w:eastAsia="zh-CN"/>
              </w:rPr>
              <w:t>猪叫</w:t>
            </w:r>
          </w:p>
        </w:tc>
        <w:tc>
          <w:tcPr>
            <w:tcW w:w="569" w:type="pct"/>
            <w:tcBorders>
              <w:tl2br w:val="nil"/>
              <w:tr2bl w:val="nil"/>
            </w:tcBorders>
            <w:vAlign w:val="center"/>
          </w:tcPr>
          <w:p>
            <w:pPr>
              <w:jc w:val="center"/>
              <w:rPr>
                <w:rFonts w:ascii="Times New Roman" w:hAnsi="Times New Roman" w:eastAsia="宋体" w:cs="Times New Roman"/>
                <w:bCs/>
                <w:color w:val="auto"/>
                <w:szCs w:val="21"/>
              </w:rPr>
            </w:pPr>
            <w:r>
              <w:rPr>
                <w:rFonts w:ascii="Times New Roman" w:hAnsi="Times New Roman" w:eastAsia="宋体"/>
                <w:bCs/>
                <w:color w:val="auto"/>
                <w:szCs w:val="21"/>
              </w:rPr>
              <w:t>8</w:t>
            </w:r>
            <w:r>
              <w:rPr>
                <w:rFonts w:hint="eastAsia" w:ascii="Times New Roman" w:hAnsi="Times New Roman" w:eastAsia="宋体"/>
                <w:bCs/>
                <w:color w:val="auto"/>
                <w:szCs w:val="21"/>
                <w:lang w:val="en-US" w:eastAsia="zh-CN"/>
              </w:rPr>
              <w:t>0</w:t>
            </w:r>
            <w:r>
              <w:rPr>
                <w:rFonts w:hint="eastAsia" w:ascii="Times New Roman" w:hAnsi="Times New Roman" w:eastAsia="宋体" w:cs="Times New Roman"/>
                <w:bCs/>
                <w:color w:val="auto"/>
                <w:szCs w:val="21"/>
              </w:rPr>
              <w:t>dB（A）</w:t>
            </w:r>
          </w:p>
        </w:tc>
        <w:tc>
          <w:tcPr>
            <w:tcW w:w="385" w:type="pct"/>
            <w:tcBorders>
              <w:tl2br w:val="nil"/>
              <w:tr2bl w:val="nil"/>
            </w:tcBorders>
            <w:vAlign w:val="center"/>
          </w:tcPr>
          <w:p>
            <w:pPr>
              <w:jc w:val="center"/>
              <w:rPr>
                <w:rFonts w:hint="eastAsia" w:ascii="Times New Roman" w:hAnsi="Times New Roman" w:eastAsia="宋体"/>
                <w:bCs/>
                <w:color w:val="auto"/>
                <w:szCs w:val="21"/>
                <w:lang w:eastAsia="zh-CN"/>
              </w:rPr>
            </w:pPr>
            <w:r>
              <w:rPr>
                <w:rFonts w:hint="eastAsia" w:ascii="Times New Roman" w:hAnsi="Times New Roman" w:eastAsia="宋体"/>
                <w:bCs/>
                <w:color w:val="auto"/>
                <w:szCs w:val="21"/>
                <w:lang w:eastAsia="zh-CN"/>
              </w:rPr>
              <w:t>偶发</w:t>
            </w:r>
          </w:p>
        </w:tc>
        <w:tc>
          <w:tcPr>
            <w:tcW w:w="2579" w:type="pct"/>
            <w:tcBorders>
              <w:tl2br w:val="nil"/>
              <w:tr2bl w:val="nil"/>
            </w:tcBorders>
            <w:vAlign w:val="center"/>
          </w:tcPr>
          <w:p>
            <w:pPr>
              <w:jc w:val="center"/>
              <w:rPr>
                <w:rFonts w:hint="eastAsia" w:ascii="Times New Roman" w:hAnsi="Times New Roman" w:eastAsia="宋体" w:cs="Times New Roman"/>
                <w:bCs/>
                <w:color w:val="auto"/>
                <w:szCs w:val="21"/>
                <w:lang w:eastAsia="zh-CN"/>
              </w:rPr>
            </w:pPr>
            <w:r>
              <w:rPr>
                <w:rFonts w:hint="eastAsia" w:ascii="Times New Roman" w:hAnsi="Times New Roman" w:eastAsia="宋体" w:cs="Times New Roman"/>
                <w:bCs/>
                <w:color w:val="auto"/>
                <w:szCs w:val="21"/>
                <w:lang w:eastAsia="zh-CN"/>
              </w:rPr>
              <w:t>猪舍隔音</w:t>
            </w:r>
          </w:p>
        </w:tc>
        <w:tc>
          <w:tcPr>
            <w:tcW w:w="656" w:type="pct"/>
            <w:tcBorders>
              <w:tl2br w:val="nil"/>
              <w:tr2bl w:val="nil"/>
            </w:tcBorders>
            <w:vAlign w:val="center"/>
          </w:tcPr>
          <w:p>
            <w:pPr>
              <w:jc w:val="center"/>
              <w:rPr>
                <w:rFonts w:ascii="Times New Roman" w:hAnsi="Times New Roman" w:eastAsia="宋体"/>
                <w:bCs/>
                <w:color w:val="auto"/>
                <w:szCs w:val="21"/>
              </w:rPr>
            </w:pPr>
            <w:r>
              <w:rPr>
                <w:rFonts w:hint="eastAsia" w:ascii="Times New Roman" w:hAnsi="Times New Roman" w:eastAsia="宋体"/>
                <w:bCs/>
                <w:color w:val="auto"/>
                <w:szCs w:val="21"/>
                <w:lang w:val="en-US" w:eastAsia="zh-CN"/>
              </w:rPr>
              <w:t>70</w:t>
            </w:r>
            <w:r>
              <w:rPr>
                <w:rFonts w:hint="eastAsia" w:ascii="Times New Roman" w:hAnsi="Times New Roman" w:eastAsia="宋体" w:cs="Times New Roman"/>
                <w:bCs/>
                <w:color w:val="auto"/>
                <w:szCs w:val="21"/>
              </w:rPr>
              <w:t>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236" w:type="pct"/>
            <w:tcBorders>
              <w:tl2br w:val="nil"/>
              <w:tr2bl w:val="nil"/>
            </w:tcBorders>
            <w:vAlign w:val="center"/>
          </w:tcPr>
          <w:p>
            <w:pPr>
              <w:jc w:val="center"/>
              <w:rPr>
                <w:rFonts w:ascii="Times New Roman" w:hAnsi="Times New Roman" w:eastAsia="宋体" w:cs="Times New Roman"/>
                <w:bCs/>
                <w:color w:val="auto"/>
                <w:szCs w:val="21"/>
              </w:rPr>
            </w:pPr>
            <w:r>
              <w:rPr>
                <w:rFonts w:hint="eastAsia" w:ascii="Times New Roman" w:hAnsi="Times New Roman" w:eastAsia="宋体" w:cs="Times New Roman"/>
                <w:bCs/>
                <w:color w:val="auto"/>
                <w:szCs w:val="21"/>
              </w:rPr>
              <w:t>3</w:t>
            </w:r>
          </w:p>
        </w:tc>
        <w:tc>
          <w:tcPr>
            <w:tcW w:w="572" w:type="pct"/>
            <w:tcBorders>
              <w:tl2br w:val="nil"/>
              <w:tr2bl w:val="nil"/>
            </w:tcBorders>
            <w:vAlign w:val="center"/>
          </w:tcPr>
          <w:p>
            <w:pPr>
              <w:jc w:val="center"/>
              <w:rPr>
                <w:rFonts w:ascii="Times New Roman" w:hAnsi="Times New Roman" w:eastAsia="宋体"/>
                <w:bCs/>
                <w:color w:val="auto"/>
                <w:szCs w:val="21"/>
              </w:rPr>
            </w:pPr>
            <w:r>
              <w:rPr>
                <w:rFonts w:hint="eastAsia" w:ascii="Times New Roman" w:hAnsi="Times New Roman" w:eastAsia="宋体"/>
                <w:bCs/>
                <w:color w:val="auto"/>
                <w:szCs w:val="21"/>
              </w:rPr>
              <w:t>风机</w:t>
            </w:r>
          </w:p>
        </w:tc>
        <w:tc>
          <w:tcPr>
            <w:tcW w:w="569" w:type="pct"/>
            <w:tcBorders>
              <w:tl2br w:val="nil"/>
              <w:tr2bl w:val="nil"/>
            </w:tcBorders>
            <w:vAlign w:val="center"/>
          </w:tcPr>
          <w:p>
            <w:pPr>
              <w:jc w:val="center"/>
              <w:rPr>
                <w:rFonts w:ascii="Times New Roman" w:hAnsi="Times New Roman" w:eastAsia="宋体"/>
                <w:bCs/>
                <w:color w:val="auto"/>
                <w:szCs w:val="21"/>
              </w:rPr>
            </w:pPr>
            <w:r>
              <w:rPr>
                <w:rFonts w:hint="eastAsia" w:ascii="Times New Roman" w:hAnsi="Times New Roman" w:eastAsia="宋体" w:cs="Times New Roman"/>
                <w:bCs/>
                <w:color w:val="auto"/>
                <w:szCs w:val="21"/>
                <w:lang w:val="en-US" w:eastAsia="zh-CN"/>
              </w:rPr>
              <w:t>70</w:t>
            </w:r>
            <w:r>
              <w:rPr>
                <w:rFonts w:hint="eastAsia" w:ascii="Times New Roman" w:hAnsi="Times New Roman" w:eastAsia="宋体" w:cs="Times New Roman"/>
                <w:bCs/>
                <w:color w:val="auto"/>
                <w:szCs w:val="21"/>
              </w:rPr>
              <w:t>dB（A）</w:t>
            </w:r>
          </w:p>
        </w:tc>
        <w:tc>
          <w:tcPr>
            <w:tcW w:w="385" w:type="pct"/>
            <w:tcBorders>
              <w:tl2br w:val="nil"/>
              <w:tr2bl w:val="nil"/>
            </w:tcBorders>
            <w:vAlign w:val="center"/>
          </w:tcPr>
          <w:p>
            <w:pPr>
              <w:jc w:val="center"/>
              <w:rPr>
                <w:rFonts w:hint="eastAsia" w:ascii="Times New Roman" w:hAnsi="Times New Roman" w:eastAsia="宋体" w:cs="Times New Roman"/>
                <w:bCs/>
                <w:color w:val="auto"/>
                <w:szCs w:val="21"/>
              </w:rPr>
            </w:pPr>
            <w:r>
              <w:rPr>
                <w:rFonts w:hint="eastAsia" w:ascii="Times New Roman" w:hAnsi="Times New Roman" w:eastAsia="宋体" w:cs="Times New Roman"/>
                <w:bCs/>
                <w:color w:val="auto"/>
                <w:szCs w:val="21"/>
                <w:lang w:eastAsia="zh-CN"/>
              </w:rPr>
              <w:t>连续</w:t>
            </w:r>
          </w:p>
        </w:tc>
        <w:tc>
          <w:tcPr>
            <w:tcW w:w="2579" w:type="pct"/>
            <w:tcBorders>
              <w:tl2br w:val="nil"/>
              <w:tr2bl w:val="nil"/>
            </w:tcBorders>
            <w:vAlign w:val="center"/>
          </w:tcPr>
          <w:p>
            <w:pPr>
              <w:jc w:val="center"/>
              <w:rPr>
                <w:rFonts w:hint="eastAsia" w:ascii="Times New Roman" w:hAnsi="Times New Roman" w:eastAsia="宋体" w:cs="Times New Roman"/>
                <w:bCs/>
                <w:color w:val="auto"/>
                <w:szCs w:val="21"/>
                <w:lang w:eastAsia="zh-CN"/>
              </w:rPr>
            </w:pPr>
            <w:r>
              <w:rPr>
                <w:rFonts w:hint="eastAsia" w:ascii="Times New Roman" w:hAnsi="Times New Roman" w:eastAsia="宋体" w:cs="Times New Roman"/>
                <w:bCs/>
                <w:color w:val="auto"/>
                <w:szCs w:val="21"/>
                <w:lang w:eastAsia="zh-CN"/>
              </w:rPr>
              <w:t>选用低噪声设备，风机布置在车间内，基础安装减振垫；风机进风口安装消声器，风口与处采用软管连接</w:t>
            </w:r>
          </w:p>
        </w:tc>
        <w:tc>
          <w:tcPr>
            <w:tcW w:w="656" w:type="pct"/>
            <w:tcBorders>
              <w:tl2br w:val="nil"/>
              <w:tr2bl w:val="nil"/>
            </w:tcBorders>
            <w:vAlign w:val="center"/>
          </w:tcPr>
          <w:p>
            <w:pPr>
              <w:jc w:val="center"/>
              <w:rPr>
                <w:rFonts w:ascii="Times New Roman" w:hAnsi="Times New Roman" w:eastAsia="宋体"/>
                <w:bCs/>
                <w:color w:val="auto"/>
                <w:szCs w:val="21"/>
              </w:rPr>
            </w:pPr>
            <w:r>
              <w:rPr>
                <w:rFonts w:hint="eastAsia" w:ascii="Times New Roman" w:hAnsi="Times New Roman" w:eastAsia="宋体" w:cs="Times New Roman"/>
                <w:bCs/>
                <w:color w:val="auto"/>
                <w:szCs w:val="21"/>
                <w:lang w:val="en-US" w:eastAsia="zh-CN"/>
              </w:rPr>
              <w:t>60</w:t>
            </w:r>
            <w:r>
              <w:rPr>
                <w:rFonts w:hint="eastAsia" w:ascii="Times New Roman" w:hAnsi="Times New Roman" w:eastAsia="宋体" w:cs="Times New Roman"/>
                <w:bCs/>
                <w:color w:val="auto"/>
                <w:szCs w:val="21"/>
              </w:rPr>
              <w:t>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36" w:type="pct"/>
            <w:tcBorders>
              <w:tl2br w:val="nil"/>
              <w:tr2bl w:val="nil"/>
            </w:tcBorders>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4</w:t>
            </w:r>
          </w:p>
        </w:tc>
        <w:tc>
          <w:tcPr>
            <w:tcW w:w="572" w:type="pct"/>
            <w:tcBorders>
              <w:tl2br w:val="nil"/>
              <w:tr2bl w:val="nil"/>
            </w:tcBorders>
            <w:vAlign w:val="center"/>
          </w:tcPr>
          <w:p>
            <w:pPr>
              <w:jc w:val="center"/>
              <w:rPr>
                <w:rFonts w:hint="eastAsia" w:ascii="Times New Roman" w:hAnsi="Times New Roman" w:eastAsia="宋体"/>
                <w:bCs/>
                <w:color w:val="auto"/>
                <w:szCs w:val="21"/>
              </w:rPr>
            </w:pPr>
            <w:r>
              <w:rPr>
                <w:rFonts w:eastAsia="宋体"/>
                <w:color w:val="auto"/>
                <w:sz w:val="21"/>
                <w:szCs w:val="21"/>
                <w:highlight w:val="none"/>
              </w:rPr>
              <w:t>高压清洗机</w:t>
            </w:r>
          </w:p>
        </w:tc>
        <w:tc>
          <w:tcPr>
            <w:tcW w:w="569" w:type="pct"/>
            <w:tcBorders>
              <w:tl2br w:val="nil"/>
              <w:tr2bl w:val="nil"/>
            </w:tcBorders>
            <w:vAlign w:val="center"/>
          </w:tcPr>
          <w:p>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70</w:t>
            </w:r>
            <w:r>
              <w:rPr>
                <w:rFonts w:hint="eastAsia" w:ascii="Times New Roman" w:hAnsi="Times New Roman" w:eastAsia="宋体" w:cs="Times New Roman"/>
                <w:bCs/>
                <w:color w:val="auto"/>
                <w:szCs w:val="21"/>
              </w:rPr>
              <w:t>dB（A）</w:t>
            </w:r>
          </w:p>
        </w:tc>
        <w:tc>
          <w:tcPr>
            <w:tcW w:w="385" w:type="pct"/>
            <w:tcBorders>
              <w:tl2br w:val="nil"/>
              <w:tr2bl w:val="nil"/>
            </w:tcBorders>
            <w:vAlign w:val="center"/>
          </w:tcPr>
          <w:p>
            <w:pPr>
              <w:jc w:val="center"/>
              <w:rPr>
                <w:rFonts w:hint="eastAsia" w:ascii="Times New Roman" w:hAnsi="Times New Roman" w:eastAsia="宋体" w:cs="Times New Roman"/>
                <w:bCs/>
                <w:color w:val="auto"/>
                <w:szCs w:val="21"/>
                <w:lang w:eastAsia="zh-CN"/>
              </w:rPr>
            </w:pPr>
            <w:r>
              <w:rPr>
                <w:rFonts w:hint="eastAsia" w:ascii="Times New Roman" w:hAnsi="Times New Roman" w:eastAsia="宋体"/>
                <w:bCs/>
                <w:color w:val="auto"/>
                <w:szCs w:val="21"/>
                <w:lang w:eastAsia="zh-CN"/>
              </w:rPr>
              <w:t>偶发</w:t>
            </w:r>
          </w:p>
        </w:tc>
        <w:tc>
          <w:tcPr>
            <w:tcW w:w="2579" w:type="pct"/>
            <w:tcBorders>
              <w:tl2br w:val="nil"/>
              <w:tr2bl w:val="nil"/>
            </w:tcBorders>
            <w:vAlign w:val="center"/>
          </w:tcPr>
          <w:p>
            <w:pPr>
              <w:jc w:val="center"/>
              <w:rPr>
                <w:rFonts w:hint="eastAsia" w:ascii="Times New Roman" w:hAnsi="Times New Roman" w:eastAsia="宋体" w:cs="Times New Roman"/>
                <w:bCs/>
                <w:color w:val="auto"/>
                <w:szCs w:val="21"/>
                <w:lang w:eastAsia="zh-CN"/>
              </w:rPr>
            </w:pPr>
            <w:r>
              <w:rPr>
                <w:rFonts w:hint="eastAsia" w:ascii="Times New Roman" w:hAnsi="Times New Roman" w:eastAsia="宋体" w:cs="Times New Roman"/>
                <w:bCs/>
                <w:color w:val="auto"/>
                <w:szCs w:val="21"/>
                <w:lang w:eastAsia="zh-CN"/>
              </w:rPr>
              <w:t>选用低噪声设备，车间墙体隔音</w:t>
            </w:r>
          </w:p>
        </w:tc>
        <w:tc>
          <w:tcPr>
            <w:tcW w:w="656" w:type="pct"/>
            <w:tcBorders>
              <w:tl2br w:val="nil"/>
              <w:tr2bl w:val="nil"/>
            </w:tcBorders>
            <w:vAlign w:val="center"/>
          </w:tcPr>
          <w:p>
            <w:pPr>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val="en-US" w:eastAsia="zh-CN"/>
              </w:rPr>
              <w:t>60</w:t>
            </w:r>
            <w:r>
              <w:rPr>
                <w:rFonts w:hint="eastAsia" w:ascii="Times New Roman" w:hAnsi="Times New Roman" w:eastAsia="宋体" w:cs="Times New Roman"/>
                <w:bCs/>
                <w:color w:val="auto"/>
                <w:szCs w:val="21"/>
              </w:rPr>
              <w:t>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36" w:type="pct"/>
            <w:tcBorders>
              <w:tl2br w:val="nil"/>
              <w:tr2bl w:val="nil"/>
            </w:tcBorders>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5</w:t>
            </w:r>
          </w:p>
        </w:tc>
        <w:tc>
          <w:tcPr>
            <w:tcW w:w="572" w:type="pct"/>
            <w:tcBorders>
              <w:tl2br w:val="nil"/>
              <w:tr2bl w:val="nil"/>
            </w:tcBorders>
            <w:vAlign w:val="center"/>
          </w:tcPr>
          <w:p>
            <w:pPr>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rPr>
              <w:t>排气扇</w:t>
            </w:r>
          </w:p>
        </w:tc>
        <w:tc>
          <w:tcPr>
            <w:tcW w:w="569" w:type="pct"/>
            <w:tcBorders>
              <w:tl2br w:val="nil"/>
              <w:tr2bl w:val="nil"/>
            </w:tcBorders>
            <w:vAlign w:val="center"/>
          </w:tcPr>
          <w:p>
            <w:pPr>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rPr>
              <w:t>70dB（A）</w:t>
            </w:r>
          </w:p>
        </w:tc>
        <w:tc>
          <w:tcPr>
            <w:tcW w:w="385" w:type="pct"/>
            <w:tcBorders>
              <w:tl2br w:val="nil"/>
              <w:tr2bl w:val="nil"/>
            </w:tcBorders>
            <w:vAlign w:val="center"/>
          </w:tcPr>
          <w:p>
            <w:pPr>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eastAsia="zh-CN"/>
              </w:rPr>
              <w:t>连续</w:t>
            </w:r>
          </w:p>
        </w:tc>
        <w:tc>
          <w:tcPr>
            <w:tcW w:w="2579" w:type="pct"/>
            <w:tcBorders>
              <w:tl2br w:val="nil"/>
              <w:tr2bl w:val="nil"/>
            </w:tcBorders>
            <w:vAlign w:val="center"/>
          </w:tcPr>
          <w:p>
            <w:pPr>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eastAsia="zh-CN"/>
              </w:rPr>
              <w:t>选用低噪声设备，车间墙体隔音、加装减振措施</w:t>
            </w:r>
          </w:p>
        </w:tc>
        <w:tc>
          <w:tcPr>
            <w:tcW w:w="656" w:type="pct"/>
            <w:tcBorders>
              <w:tl2br w:val="nil"/>
              <w:tr2bl w:val="nil"/>
            </w:tcBorders>
            <w:vAlign w:val="center"/>
          </w:tcPr>
          <w:p>
            <w:pPr>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val="en-US" w:eastAsia="zh-CN"/>
              </w:rPr>
              <w:t>60</w:t>
            </w:r>
            <w:r>
              <w:rPr>
                <w:rFonts w:hint="eastAsia" w:ascii="Times New Roman" w:hAnsi="Times New Roman" w:eastAsia="宋体" w:cs="Times New Roman"/>
                <w:bCs/>
                <w:color w:val="auto"/>
                <w:szCs w:val="21"/>
              </w:rPr>
              <w:t>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36" w:type="pct"/>
            <w:tcBorders>
              <w:tl2br w:val="nil"/>
              <w:tr2bl w:val="nil"/>
            </w:tcBorders>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6</w:t>
            </w:r>
          </w:p>
        </w:tc>
        <w:tc>
          <w:tcPr>
            <w:tcW w:w="572" w:type="pct"/>
            <w:tcBorders>
              <w:tl2br w:val="nil"/>
              <w:tr2bl w:val="nil"/>
            </w:tcBorders>
            <w:vAlign w:val="center"/>
          </w:tcPr>
          <w:p>
            <w:pPr>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rPr>
              <w:t>发电机</w:t>
            </w:r>
          </w:p>
        </w:tc>
        <w:tc>
          <w:tcPr>
            <w:tcW w:w="569" w:type="pct"/>
            <w:tcBorders>
              <w:tl2br w:val="nil"/>
              <w:tr2bl w:val="nil"/>
            </w:tcBorders>
            <w:vAlign w:val="center"/>
          </w:tcPr>
          <w:p>
            <w:pPr>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rPr>
              <w:t>85dB（A）</w:t>
            </w:r>
          </w:p>
        </w:tc>
        <w:tc>
          <w:tcPr>
            <w:tcW w:w="385" w:type="pct"/>
            <w:tcBorders>
              <w:tl2br w:val="nil"/>
              <w:tr2bl w:val="nil"/>
            </w:tcBorders>
            <w:vAlign w:val="center"/>
          </w:tcPr>
          <w:p>
            <w:pPr>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bCs/>
                <w:color w:val="auto"/>
                <w:szCs w:val="21"/>
                <w:lang w:eastAsia="zh-CN"/>
              </w:rPr>
              <w:t>偶发</w:t>
            </w:r>
          </w:p>
        </w:tc>
        <w:tc>
          <w:tcPr>
            <w:tcW w:w="2579" w:type="pct"/>
            <w:tcBorders>
              <w:tl2br w:val="nil"/>
              <w:tr2bl w:val="nil"/>
            </w:tcBorders>
            <w:vAlign w:val="center"/>
          </w:tcPr>
          <w:p>
            <w:pPr>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eastAsia="zh-CN"/>
              </w:rPr>
              <w:t>选用低噪声设备，车间墙体隔音、加装减振措施</w:t>
            </w:r>
          </w:p>
        </w:tc>
        <w:tc>
          <w:tcPr>
            <w:tcW w:w="656" w:type="pct"/>
            <w:tcBorders>
              <w:tl2br w:val="nil"/>
              <w:tr2bl w:val="nil"/>
            </w:tcBorders>
            <w:vAlign w:val="center"/>
          </w:tcPr>
          <w:p>
            <w:pPr>
              <w:jc w:val="center"/>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bCs/>
                <w:color w:val="auto"/>
                <w:szCs w:val="21"/>
                <w:lang w:val="en-US" w:eastAsia="zh-CN"/>
              </w:rPr>
              <w:t>70</w:t>
            </w:r>
            <w:r>
              <w:rPr>
                <w:rFonts w:hint="eastAsia" w:ascii="Times New Roman" w:hAnsi="Times New Roman" w:eastAsia="宋体" w:cs="Times New Roman"/>
                <w:bCs/>
                <w:color w:val="auto"/>
                <w:szCs w:val="21"/>
              </w:rPr>
              <w:t>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36" w:type="pct"/>
            <w:tcBorders>
              <w:tl2br w:val="nil"/>
              <w:tr2bl w:val="nil"/>
            </w:tcBorders>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7</w:t>
            </w:r>
          </w:p>
        </w:tc>
        <w:tc>
          <w:tcPr>
            <w:tcW w:w="572" w:type="pct"/>
            <w:tcBorders>
              <w:tl2br w:val="nil"/>
              <w:tr2bl w:val="nil"/>
            </w:tcBorders>
            <w:vAlign w:val="center"/>
          </w:tcPr>
          <w:p>
            <w:pPr>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rPr>
              <w:t>固液分离机</w:t>
            </w:r>
          </w:p>
        </w:tc>
        <w:tc>
          <w:tcPr>
            <w:tcW w:w="569" w:type="pct"/>
            <w:tcBorders>
              <w:tl2br w:val="nil"/>
              <w:tr2bl w:val="nil"/>
            </w:tcBorders>
            <w:vAlign w:val="center"/>
          </w:tcPr>
          <w:p>
            <w:pPr>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rPr>
              <w:t>70dB（A）</w:t>
            </w:r>
          </w:p>
        </w:tc>
        <w:tc>
          <w:tcPr>
            <w:tcW w:w="385" w:type="pct"/>
            <w:tcBorders>
              <w:tl2br w:val="nil"/>
              <w:tr2bl w:val="nil"/>
            </w:tcBorders>
            <w:vAlign w:val="center"/>
          </w:tcPr>
          <w:p>
            <w:pPr>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eastAsia="zh-CN"/>
              </w:rPr>
              <w:t>连续</w:t>
            </w:r>
          </w:p>
        </w:tc>
        <w:tc>
          <w:tcPr>
            <w:tcW w:w="2579" w:type="pct"/>
            <w:tcBorders>
              <w:tl2br w:val="nil"/>
              <w:tr2bl w:val="nil"/>
            </w:tcBorders>
            <w:vAlign w:val="center"/>
          </w:tcPr>
          <w:p>
            <w:pPr>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eastAsia="zh-CN"/>
              </w:rPr>
              <w:t>选用低噪声设备，车间墙体隔音、加装减振措施</w:t>
            </w:r>
          </w:p>
        </w:tc>
        <w:tc>
          <w:tcPr>
            <w:tcW w:w="656" w:type="pct"/>
            <w:tcBorders>
              <w:tl2br w:val="nil"/>
              <w:tr2bl w:val="nil"/>
            </w:tcBorders>
            <w:vAlign w:val="center"/>
          </w:tcPr>
          <w:p>
            <w:pPr>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val="en-US" w:eastAsia="zh-CN"/>
              </w:rPr>
              <w:t>60</w:t>
            </w:r>
            <w:r>
              <w:rPr>
                <w:rFonts w:hint="eastAsia" w:ascii="Times New Roman" w:hAnsi="Times New Roman" w:eastAsia="宋体" w:cs="Times New Roman"/>
                <w:bCs/>
                <w:color w:val="auto"/>
                <w:szCs w:val="21"/>
              </w:rPr>
              <w:t>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36" w:type="pct"/>
            <w:tcBorders>
              <w:tl2br w:val="nil"/>
              <w:tr2bl w:val="nil"/>
            </w:tcBorders>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8</w:t>
            </w:r>
          </w:p>
        </w:tc>
        <w:tc>
          <w:tcPr>
            <w:tcW w:w="572" w:type="pct"/>
            <w:tcBorders>
              <w:tl2br w:val="nil"/>
              <w:tr2bl w:val="nil"/>
            </w:tcBorders>
            <w:vAlign w:val="center"/>
          </w:tcPr>
          <w:p>
            <w:pPr>
              <w:jc w:val="center"/>
              <w:rPr>
                <w:rFonts w:hint="eastAsia" w:ascii="Times New Roman" w:hAnsi="Times New Roman" w:eastAsia="宋体" w:cs="Times New Roman"/>
                <w:bCs/>
                <w:color w:val="auto"/>
                <w:kern w:val="2"/>
                <w:sz w:val="21"/>
                <w:szCs w:val="21"/>
                <w:lang w:val="en-US" w:eastAsia="zh-CN" w:bidi="ar-SA"/>
              </w:rPr>
            </w:pPr>
            <w:r>
              <w:rPr>
                <w:color w:val="auto"/>
                <w:kern w:val="0"/>
                <w:sz w:val="21"/>
                <w:szCs w:val="21"/>
                <w:highlight w:val="none"/>
              </w:rPr>
              <w:t>潜水搅拌机</w:t>
            </w:r>
          </w:p>
        </w:tc>
        <w:tc>
          <w:tcPr>
            <w:tcW w:w="569" w:type="pct"/>
            <w:tcBorders>
              <w:tl2br w:val="nil"/>
              <w:tr2bl w:val="nil"/>
            </w:tcBorders>
            <w:vAlign w:val="center"/>
          </w:tcPr>
          <w:p>
            <w:pPr>
              <w:jc w:val="center"/>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kern w:val="2"/>
                <w:sz w:val="21"/>
                <w:szCs w:val="21"/>
                <w:lang w:val="en-US" w:eastAsia="zh-CN" w:bidi="ar-SA"/>
              </w:rPr>
              <w:t>70</w:t>
            </w:r>
            <w:r>
              <w:rPr>
                <w:rFonts w:hint="eastAsia" w:ascii="Times New Roman" w:hAnsi="Times New Roman" w:eastAsia="宋体" w:cs="Times New Roman"/>
                <w:bCs/>
                <w:color w:val="auto"/>
                <w:szCs w:val="21"/>
              </w:rPr>
              <w:t>dB（A）</w:t>
            </w:r>
          </w:p>
        </w:tc>
        <w:tc>
          <w:tcPr>
            <w:tcW w:w="385" w:type="pct"/>
            <w:tcBorders>
              <w:tl2br w:val="nil"/>
              <w:tr2bl w:val="nil"/>
            </w:tcBorders>
            <w:vAlign w:val="center"/>
          </w:tcPr>
          <w:p>
            <w:pPr>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eastAsia="zh-CN"/>
              </w:rPr>
              <w:t>连续</w:t>
            </w:r>
          </w:p>
        </w:tc>
        <w:tc>
          <w:tcPr>
            <w:tcW w:w="2579" w:type="pct"/>
            <w:tcBorders>
              <w:tl2br w:val="nil"/>
              <w:tr2bl w:val="nil"/>
            </w:tcBorders>
            <w:vAlign w:val="center"/>
          </w:tcPr>
          <w:p>
            <w:pPr>
              <w:jc w:val="center"/>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eastAsia="zh-CN"/>
              </w:rPr>
              <w:t>选用低噪声设备，</w:t>
            </w:r>
            <w:r>
              <w:rPr>
                <w:rFonts w:hint="eastAsia" w:ascii="Times New Roman" w:hAnsi="Times New Roman" w:eastAsia="宋体" w:cs="Times New Roman"/>
                <w:bCs/>
                <w:color w:val="auto"/>
                <w:szCs w:val="21"/>
                <w:lang w:val="en-US" w:eastAsia="zh-CN"/>
              </w:rPr>
              <w:t>水中隔声</w:t>
            </w:r>
          </w:p>
        </w:tc>
        <w:tc>
          <w:tcPr>
            <w:tcW w:w="656" w:type="pct"/>
            <w:tcBorders>
              <w:tl2br w:val="nil"/>
              <w:tr2bl w:val="nil"/>
            </w:tcBorders>
            <w:vAlign w:val="center"/>
          </w:tcPr>
          <w:p>
            <w:pPr>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val="en-US" w:eastAsia="zh-CN"/>
              </w:rPr>
              <w:t>55</w:t>
            </w:r>
            <w:r>
              <w:rPr>
                <w:rFonts w:hint="eastAsia" w:ascii="Times New Roman" w:hAnsi="Times New Roman" w:eastAsia="宋体" w:cs="Times New Roman"/>
                <w:bCs/>
                <w:color w:val="auto"/>
                <w:szCs w:val="21"/>
              </w:rPr>
              <w:t>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36" w:type="pct"/>
            <w:tcBorders>
              <w:tl2br w:val="nil"/>
              <w:tr2bl w:val="nil"/>
            </w:tcBorders>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9</w:t>
            </w:r>
          </w:p>
        </w:tc>
        <w:tc>
          <w:tcPr>
            <w:tcW w:w="572" w:type="pct"/>
            <w:tcBorders>
              <w:tl2br w:val="nil"/>
              <w:tr2bl w:val="nil"/>
            </w:tcBorders>
            <w:vAlign w:val="center"/>
          </w:tcPr>
          <w:p>
            <w:pPr>
              <w:jc w:val="center"/>
              <w:rPr>
                <w:rFonts w:hint="eastAsia" w:ascii="Times New Roman" w:hAnsi="Times New Roman" w:eastAsia="宋体" w:cs="Times New Roman"/>
                <w:bCs/>
                <w:color w:val="auto"/>
                <w:kern w:val="2"/>
                <w:sz w:val="21"/>
                <w:szCs w:val="21"/>
                <w:lang w:val="en-US" w:eastAsia="zh-CN" w:bidi="ar-SA"/>
              </w:rPr>
            </w:pPr>
            <w:r>
              <w:rPr>
                <w:color w:val="auto"/>
                <w:kern w:val="0"/>
                <w:sz w:val="21"/>
                <w:szCs w:val="21"/>
                <w:highlight w:val="none"/>
              </w:rPr>
              <w:t>污泥脱水机</w:t>
            </w:r>
          </w:p>
        </w:tc>
        <w:tc>
          <w:tcPr>
            <w:tcW w:w="569" w:type="pct"/>
            <w:tcBorders>
              <w:tl2br w:val="nil"/>
              <w:tr2bl w:val="nil"/>
            </w:tcBorders>
            <w:vAlign w:val="center"/>
          </w:tcPr>
          <w:p>
            <w:pPr>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rPr>
              <w:t>85dB（A）</w:t>
            </w:r>
          </w:p>
        </w:tc>
        <w:tc>
          <w:tcPr>
            <w:tcW w:w="385" w:type="pct"/>
            <w:tcBorders>
              <w:tl2br w:val="nil"/>
              <w:tr2bl w:val="nil"/>
            </w:tcBorders>
            <w:vAlign w:val="center"/>
          </w:tcPr>
          <w:p>
            <w:pPr>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bCs/>
                <w:color w:val="auto"/>
                <w:szCs w:val="21"/>
                <w:lang w:eastAsia="zh-CN"/>
              </w:rPr>
              <w:t>偶发</w:t>
            </w:r>
          </w:p>
        </w:tc>
        <w:tc>
          <w:tcPr>
            <w:tcW w:w="2579" w:type="pct"/>
            <w:tcBorders>
              <w:tl2br w:val="nil"/>
              <w:tr2bl w:val="nil"/>
            </w:tcBorders>
            <w:vAlign w:val="center"/>
          </w:tcPr>
          <w:p>
            <w:pPr>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eastAsia="zh-CN"/>
              </w:rPr>
              <w:t>选用低噪声设备，车间墙体隔音、加装减振措施</w:t>
            </w:r>
          </w:p>
        </w:tc>
        <w:tc>
          <w:tcPr>
            <w:tcW w:w="656" w:type="pct"/>
            <w:tcBorders>
              <w:tl2br w:val="nil"/>
              <w:tr2bl w:val="nil"/>
            </w:tcBorders>
            <w:vAlign w:val="center"/>
          </w:tcPr>
          <w:p>
            <w:pPr>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bCs/>
                <w:color w:val="auto"/>
                <w:szCs w:val="21"/>
                <w:lang w:val="en-US" w:eastAsia="zh-CN"/>
              </w:rPr>
              <w:t>70</w:t>
            </w:r>
            <w:r>
              <w:rPr>
                <w:rFonts w:hint="eastAsia" w:ascii="Times New Roman" w:hAnsi="Times New Roman" w:eastAsia="宋体" w:cs="Times New Roman"/>
                <w:bCs/>
                <w:color w:val="auto"/>
                <w:szCs w:val="21"/>
              </w:rPr>
              <w:t>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36" w:type="pct"/>
            <w:tcBorders>
              <w:tl2br w:val="nil"/>
              <w:tr2bl w:val="nil"/>
            </w:tcBorders>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10</w:t>
            </w:r>
          </w:p>
        </w:tc>
        <w:tc>
          <w:tcPr>
            <w:tcW w:w="572" w:type="pct"/>
            <w:tcBorders>
              <w:tl2br w:val="nil"/>
              <w:tr2bl w:val="nil"/>
            </w:tcBorders>
            <w:vAlign w:val="center"/>
          </w:tcPr>
          <w:p>
            <w:pPr>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rPr>
              <w:t>汽车噪声</w:t>
            </w:r>
          </w:p>
        </w:tc>
        <w:tc>
          <w:tcPr>
            <w:tcW w:w="569" w:type="pct"/>
            <w:tcBorders>
              <w:tl2br w:val="nil"/>
              <w:tr2bl w:val="nil"/>
            </w:tcBorders>
            <w:vAlign w:val="center"/>
          </w:tcPr>
          <w:p>
            <w:pPr>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rPr>
              <w:t>70dB（A）</w:t>
            </w:r>
          </w:p>
        </w:tc>
        <w:tc>
          <w:tcPr>
            <w:tcW w:w="385" w:type="pct"/>
            <w:tcBorders>
              <w:tl2br w:val="nil"/>
              <w:tr2bl w:val="nil"/>
            </w:tcBorders>
            <w:vAlign w:val="center"/>
          </w:tcPr>
          <w:p>
            <w:pPr>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bCs/>
                <w:color w:val="auto"/>
                <w:szCs w:val="21"/>
                <w:lang w:eastAsia="zh-CN"/>
              </w:rPr>
              <w:t>偶发</w:t>
            </w:r>
          </w:p>
        </w:tc>
        <w:tc>
          <w:tcPr>
            <w:tcW w:w="2579" w:type="pct"/>
            <w:tcBorders>
              <w:tl2br w:val="nil"/>
              <w:tr2bl w:val="nil"/>
            </w:tcBorders>
            <w:vAlign w:val="center"/>
          </w:tcPr>
          <w:p>
            <w:pPr>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eastAsia="zh-CN"/>
              </w:rPr>
              <w:t>减速行驶，禁止鸣笛</w:t>
            </w:r>
          </w:p>
        </w:tc>
        <w:tc>
          <w:tcPr>
            <w:tcW w:w="656" w:type="pct"/>
            <w:tcBorders>
              <w:tl2br w:val="nil"/>
              <w:tr2bl w:val="nil"/>
            </w:tcBorders>
            <w:vAlign w:val="center"/>
          </w:tcPr>
          <w:p>
            <w:pPr>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val="en-US" w:eastAsia="zh-CN"/>
              </w:rPr>
              <w:t>60</w:t>
            </w:r>
            <w:r>
              <w:rPr>
                <w:rFonts w:hint="eastAsia" w:ascii="Times New Roman" w:hAnsi="Times New Roman" w:eastAsia="宋体" w:cs="Times New Roman"/>
                <w:bCs/>
                <w:color w:val="auto"/>
                <w:szCs w:val="21"/>
              </w:rPr>
              <w:t>dB（A）</w:t>
            </w:r>
          </w:p>
        </w:tc>
      </w:tr>
    </w:tbl>
    <w:p>
      <w:pPr>
        <w:adjustRightInd w:val="0"/>
        <w:snapToGrid w:val="0"/>
        <w:spacing w:line="360" w:lineRule="auto"/>
        <w:ind w:firstLine="480" w:firstLineChars="200"/>
        <w:rPr>
          <w:rFonts w:hint="eastAsia" w:ascii="Times New Roman" w:hAnsi="Times New Roman" w:eastAsia="宋体" w:cs="宋体"/>
          <w:bCs/>
          <w:color w:val="auto"/>
          <w:sz w:val="24"/>
          <w:szCs w:val="24"/>
          <w:lang w:eastAsia="zh-CN"/>
        </w:rPr>
      </w:pPr>
      <w:r>
        <w:rPr>
          <w:rFonts w:hint="eastAsia" w:ascii="Times New Roman" w:hAnsi="Times New Roman" w:eastAsia="宋体" w:cs="宋体"/>
          <w:bCs/>
          <w:color w:val="auto"/>
          <w:sz w:val="24"/>
          <w:szCs w:val="24"/>
          <w:lang w:eastAsia="zh-CN"/>
        </w:rPr>
        <w:t>项目主要采取的措施有：</w:t>
      </w:r>
    </w:p>
    <w:p>
      <w:pPr>
        <w:numPr>
          <w:ilvl w:val="0"/>
          <w:numId w:val="13"/>
        </w:numPr>
        <w:adjustRightInd w:val="0"/>
        <w:snapToGrid w:val="0"/>
        <w:spacing w:line="360" w:lineRule="auto"/>
        <w:ind w:firstLine="482" w:firstLineChars="200"/>
        <w:rPr>
          <w:rFonts w:hint="eastAsia" w:ascii="Times New Roman" w:hAnsi="Times New Roman" w:eastAsia="宋体" w:cs="宋体"/>
          <w:b/>
          <w:bCs w:val="0"/>
          <w:color w:val="auto"/>
          <w:sz w:val="24"/>
          <w:szCs w:val="24"/>
          <w:lang w:eastAsia="zh-CN"/>
        </w:rPr>
      </w:pPr>
      <w:r>
        <w:rPr>
          <w:rFonts w:hint="eastAsia" w:ascii="Times New Roman" w:hAnsi="Times New Roman" w:eastAsia="宋体" w:cs="宋体"/>
          <w:b/>
          <w:bCs w:val="0"/>
          <w:color w:val="auto"/>
          <w:sz w:val="24"/>
          <w:szCs w:val="24"/>
          <w:lang w:eastAsia="zh-CN"/>
        </w:rPr>
        <w:t>猪叫声</w:t>
      </w:r>
    </w:p>
    <w:p>
      <w:pPr>
        <w:adjustRightInd w:val="0"/>
        <w:snapToGrid w:val="0"/>
        <w:spacing w:line="360" w:lineRule="auto"/>
        <w:ind w:firstLine="480" w:firstLineChars="200"/>
        <w:rPr>
          <w:rFonts w:hint="eastAsia" w:ascii="Times New Roman" w:hAnsi="Times New Roman" w:eastAsia="宋体" w:cs="宋体"/>
          <w:bCs/>
          <w:color w:val="auto"/>
          <w:sz w:val="24"/>
          <w:szCs w:val="24"/>
          <w:lang w:eastAsia="zh-CN"/>
        </w:rPr>
      </w:pPr>
      <w:r>
        <w:rPr>
          <w:rFonts w:hint="eastAsia" w:ascii="Times New Roman" w:hAnsi="Times New Roman" w:eastAsia="宋体" w:cs="宋体"/>
          <w:bCs/>
          <w:color w:val="auto"/>
          <w:sz w:val="24"/>
          <w:szCs w:val="24"/>
          <w:lang w:eastAsia="zh-CN"/>
        </w:rPr>
        <w:t xml:space="preserve">猪舍较为集中，噪声为间歇噪声，声压级约 </w:t>
      </w:r>
      <w:r>
        <w:rPr>
          <w:rFonts w:hint="eastAsia" w:ascii="Times New Roman" w:hAnsi="Times New Roman" w:eastAsia="宋体" w:cs="宋体"/>
          <w:bCs/>
          <w:color w:val="auto"/>
          <w:sz w:val="24"/>
          <w:szCs w:val="24"/>
          <w:lang w:val="en-US" w:eastAsia="zh-CN"/>
        </w:rPr>
        <w:t>80</w:t>
      </w:r>
      <w:r>
        <w:rPr>
          <w:rFonts w:hint="eastAsia" w:ascii="Times New Roman" w:hAnsi="Times New Roman" w:eastAsia="宋体" w:cs="宋体"/>
          <w:bCs/>
          <w:color w:val="auto"/>
          <w:sz w:val="24"/>
          <w:szCs w:val="24"/>
          <w:lang w:eastAsia="zh-CN"/>
        </w:rPr>
        <w:t>dB（A），属于低频段为主的噪声。</w:t>
      </w:r>
    </w:p>
    <w:p>
      <w:pPr>
        <w:adjustRightInd w:val="0"/>
        <w:snapToGrid w:val="0"/>
        <w:spacing w:line="360" w:lineRule="auto"/>
        <w:ind w:firstLine="482" w:firstLineChars="200"/>
        <w:rPr>
          <w:rFonts w:hint="eastAsia" w:ascii="Times New Roman" w:hAnsi="Times New Roman" w:eastAsia="宋体" w:cs="宋体"/>
          <w:bCs/>
          <w:color w:val="auto"/>
          <w:sz w:val="24"/>
          <w:szCs w:val="24"/>
          <w:lang w:eastAsia="zh-CN"/>
        </w:rPr>
      </w:pPr>
      <w:r>
        <w:rPr>
          <w:rFonts w:hint="eastAsia" w:ascii="Times New Roman" w:hAnsi="Times New Roman" w:eastAsia="宋体" w:cs="宋体"/>
          <w:b/>
          <w:bCs w:val="0"/>
          <w:color w:val="auto"/>
          <w:sz w:val="24"/>
          <w:szCs w:val="24"/>
          <w:lang w:eastAsia="zh-CN"/>
        </w:rPr>
        <w:t>治理措施：</w:t>
      </w:r>
      <w:r>
        <w:rPr>
          <w:rFonts w:hint="eastAsia" w:ascii="Times New Roman" w:hAnsi="Times New Roman" w:eastAsia="宋体" w:cs="宋体"/>
          <w:bCs/>
          <w:color w:val="auto"/>
          <w:sz w:val="24"/>
          <w:szCs w:val="24"/>
          <w:lang w:eastAsia="zh-CN"/>
        </w:rPr>
        <w:t>禁止非工作人员随意进场，减少对猪圈的干扰；猪舍为全封闭设计，猪舍墙壁为砖砌墙，墙中加 60mm 厚聚苯保温板，有效隔声降噪；同时加强管理，定时投食，减少猪叫声。</w:t>
      </w:r>
    </w:p>
    <w:p>
      <w:pPr>
        <w:adjustRightInd w:val="0"/>
        <w:snapToGrid w:val="0"/>
        <w:spacing w:line="360" w:lineRule="auto"/>
        <w:ind w:firstLine="482" w:firstLineChars="200"/>
        <w:rPr>
          <w:rFonts w:hint="eastAsia" w:ascii="Times New Roman" w:hAnsi="Times New Roman" w:eastAsia="宋体" w:cs="宋体"/>
          <w:b/>
          <w:bCs w:val="0"/>
          <w:color w:val="auto"/>
          <w:sz w:val="24"/>
          <w:szCs w:val="24"/>
          <w:lang w:eastAsia="zh-CN"/>
        </w:rPr>
      </w:pPr>
      <w:r>
        <w:rPr>
          <w:rFonts w:hint="eastAsia" w:ascii="Times New Roman" w:hAnsi="Times New Roman" w:eastAsia="宋体" w:cs="宋体"/>
          <w:b/>
          <w:bCs w:val="0"/>
          <w:color w:val="auto"/>
          <w:sz w:val="24"/>
          <w:szCs w:val="24"/>
          <w:lang w:eastAsia="zh-CN"/>
        </w:rPr>
        <w:t>（</w:t>
      </w:r>
      <w:r>
        <w:rPr>
          <w:rFonts w:hint="eastAsia" w:ascii="Times New Roman" w:hAnsi="Times New Roman" w:eastAsia="宋体" w:cs="宋体"/>
          <w:b/>
          <w:bCs w:val="0"/>
          <w:color w:val="auto"/>
          <w:sz w:val="24"/>
          <w:szCs w:val="24"/>
          <w:lang w:val="en-US" w:eastAsia="zh-CN"/>
        </w:rPr>
        <w:t>2</w:t>
      </w:r>
      <w:r>
        <w:rPr>
          <w:rFonts w:hint="eastAsia" w:ascii="Times New Roman" w:hAnsi="Times New Roman" w:eastAsia="宋体" w:cs="宋体"/>
          <w:b/>
          <w:bCs w:val="0"/>
          <w:color w:val="auto"/>
          <w:sz w:val="24"/>
          <w:szCs w:val="24"/>
          <w:lang w:eastAsia="zh-CN"/>
        </w:rPr>
        <w:t>）设备噪声</w:t>
      </w:r>
    </w:p>
    <w:p>
      <w:pPr>
        <w:adjustRightInd w:val="0"/>
        <w:snapToGrid w:val="0"/>
        <w:spacing w:line="360" w:lineRule="auto"/>
        <w:ind w:firstLine="480" w:firstLineChars="200"/>
        <w:rPr>
          <w:rFonts w:hint="eastAsia" w:ascii="Times New Roman" w:hAnsi="Times New Roman" w:eastAsia="宋体" w:cs="宋体"/>
          <w:bCs/>
          <w:color w:val="auto"/>
          <w:sz w:val="24"/>
          <w:szCs w:val="24"/>
          <w:lang w:eastAsia="zh-CN"/>
        </w:rPr>
      </w:pPr>
      <w:r>
        <w:rPr>
          <w:rFonts w:hint="eastAsia" w:ascii="Times New Roman" w:hAnsi="Times New Roman" w:eastAsia="宋体" w:cs="宋体"/>
          <w:bCs/>
          <w:color w:val="auto"/>
          <w:sz w:val="24"/>
          <w:szCs w:val="24"/>
          <w:lang w:eastAsia="zh-CN"/>
        </w:rPr>
        <w:t>生产中主要产噪设备为水泵、风机、发电机等。水泵均设置在池体内；风机主要为猪舍通风用，位于猪舍墙面上并设有水帘；固液分离机在堆粪间内；柴油发电机位于配电房内。另外，生活区配备有空调，空调均为挂壁式空调，不设置中央空调及冷却塔。拟采取的治理措施如下：</w:t>
      </w:r>
    </w:p>
    <w:p>
      <w:pPr>
        <w:adjustRightInd w:val="0"/>
        <w:snapToGrid w:val="0"/>
        <w:spacing w:line="360" w:lineRule="auto"/>
        <w:ind w:firstLine="480" w:firstLineChars="200"/>
        <w:rPr>
          <w:rFonts w:hint="eastAsia" w:ascii="Times New Roman" w:hAnsi="Times New Roman" w:eastAsia="宋体" w:cs="宋体"/>
          <w:bCs/>
          <w:color w:val="auto"/>
          <w:sz w:val="24"/>
          <w:szCs w:val="24"/>
          <w:lang w:eastAsia="zh-CN"/>
        </w:rPr>
      </w:pPr>
      <w:r>
        <w:rPr>
          <w:rFonts w:hint="eastAsia" w:ascii="Times New Roman" w:hAnsi="Times New Roman" w:eastAsia="宋体" w:cs="宋体"/>
          <w:bCs/>
          <w:color w:val="auto"/>
          <w:sz w:val="24"/>
          <w:szCs w:val="24"/>
          <w:lang w:eastAsia="zh-CN"/>
        </w:rPr>
        <w:t>①发电机等设备选型时，优先选用性能较好和自带消声器的设备，柴油发电机设置于单独的砖混发电机房内，采取建筑隔声等降噪措施；</w:t>
      </w:r>
    </w:p>
    <w:p>
      <w:pPr>
        <w:adjustRightInd w:val="0"/>
        <w:snapToGrid w:val="0"/>
        <w:spacing w:line="360" w:lineRule="auto"/>
        <w:ind w:firstLine="480" w:firstLineChars="200"/>
        <w:rPr>
          <w:rFonts w:hint="eastAsia" w:ascii="Times New Roman" w:hAnsi="Times New Roman" w:eastAsia="宋体" w:cs="宋体"/>
          <w:bCs/>
          <w:color w:val="auto"/>
          <w:sz w:val="24"/>
          <w:szCs w:val="24"/>
          <w:lang w:eastAsia="zh-CN"/>
        </w:rPr>
      </w:pPr>
      <w:r>
        <w:rPr>
          <w:rFonts w:hint="eastAsia" w:ascii="Times New Roman" w:hAnsi="Times New Roman" w:eastAsia="宋体" w:cs="宋体"/>
          <w:bCs/>
          <w:color w:val="auto"/>
          <w:sz w:val="24"/>
          <w:szCs w:val="24"/>
          <w:lang w:eastAsia="zh-CN"/>
        </w:rPr>
        <w:t>②合理设置风机，远离敏感点，风机选用低噪声设备，进出口设置软接头，风机进出口风管处安装消声设备；水泵设置于池体内，产生的噪声影响较小；</w:t>
      </w:r>
    </w:p>
    <w:p>
      <w:pPr>
        <w:adjustRightInd w:val="0"/>
        <w:snapToGrid w:val="0"/>
        <w:spacing w:line="360" w:lineRule="auto"/>
        <w:ind w:firstLine="480" w:firstLineChars="200"/>
        <w:rPr>
          <w:rFonts w:hint="eastAsia" w:ascii="Times New Roman" w:hAnsi="Times New Roman" w:eastAsia="宋体" w:cs="宋体"/>
          <w:bCs/>
          <w:color w:val="auto"/>
          <w:sz w:val="24"/>
          <w:szCs w:val="24"/>
          <w:lang w:eastAsia="zh-CN"/>
        </w:rPr>
      </w:pPr>
      <w:r>
        <w:rPr>
          <w:rFonts w:hint="eastAsia" w:ascii="Times New Roman" w:hAnsi="Times New Roman" w:eastAsia="宋体" w:cs="宋体"/>
          <w:bCs/>
          <w:color w:val="auto"/>
          <w:sz w:val="24"/>
          <w:szCs w:val="24"/>
          <w:lang w:eastAsia="zh-CN"/>
        </w:rPr>
        <w:t>③在运营过程中应加强设备的维护和管理，保持设备处于良好运转状态，避免设备运转不正常产生的高噪声；</w:t>
      </w:r>
    </w:p>
    <w:p>
      <w:pPr>
        <w:adjustRightInd w:val="0"/>
        <w:snapToGrid w:val="0"/>
        <w:spacing w:line="360" w:lineRule="auto"/>
        <w:ind w:firstLine="480" w:firstLineChars="200"/>
        <w:rPr>
          <w:rFonts w:hint="eastAsia" w:ascii="Times New Roman" w:hAnsi="Times New Roman" w:eastAsia="宋体" w:cs="宋体"/>
          <w:bCs/>
          <w:color w:val="auto"/>
          <w:sz w:val="24"/>
          <w:szCs w:val="24"/>
          <w:lang w:eastAsia="zh-CN"/>
        </w:rPr>
      </w:pPr>
      <w:r>
        <w:rPr>
          <w:rFonts w:hint="eastAsia" w:ascii="Times New Roman" w:hAnsi="Times New Roman" w:eastAsia="宋体" w:cs="宋体"/>
          <w:bCs/>
          <w:color w:val="auto"/>
          <w:sz w:val="24"/>
          <w:szCs w:val="24"/>
          <w:lang w:eastAsia="zh-CN"/>
        </w:rPr>
        <w:t>④场内对车辆采取限速、禁鸣的要求，减少车辆启停，可以有效降低车辆带来的噪声；</w:t>
      </w:r>
    </w:p>
    <w:p>
      <w:pPr>
        <w:adjustRightInd w:val="0"/>
        <w:snapToGrid w:val="0"/>
        <w:spacing w:line="360" w:lineRule="auto"/>
        <w:ind w:firstLine="480" w:firstLineChars="200"/>
        <w:rPr>
          <w:rFonts w:hint="eastAsia" w:ascii="Times New Roman" w:hAnsi="Times New Roman" w:eastAsia="宋体" w:cs="宋体"/>
          <w:bCs/>
          <w:color w:val="auto"/>
          <w:sz w:val="24"/>
          <w:szCs w:val="24"/>
          <w:lang w:eastAsia="zh-CN"/>
        </w:rPr>
      </w:pPr>
      <w:r>
        <w:rPr>
          <w:rFonts w:hint="eastAsia" w:ascii="Times New Roman" w:hAnsi="Times New Roman" w:eastAsia="宋体" w:cs="宋体"/>
          <w:bCs/>
          <w:color w:val="auto"/>
          <w:sz w:val="24"/>
          <w:szCs w:val="24"/>
          <w:lang w:eastAsia="zh-CN"/>
        </w:rPr>
        <w:t>⑤加强厂区内绿化种植高大乔木，建立隔声绿化带，充分利用绿化带阻隔噪声传播。经上述治理措施后，本项目厂界噪声均能够达到《工业企业厂界环境噪声排放标准》（GB12348-2008）2 类标准的要求。</w:t>
      </w:r>
    </w:p>
    <w:p>
      <w:pPr>
        <w:adjustRightInd w:val="0"/>
        <w:snapToGrid w:val="0"/>
        <w:spacing w:line="360" w:lineRule="auto"/>
        <w:ind w:firstLine="480" w:firstLineChars="200"/>
        <w:rPr>
          <w:rFonts w:hint="eastAsia"/>
          <w:color w:val="auto"/>
          <w:lang w:eastAsia="zh-CN"/>
        </w:rPr>
      </w:pPr>
      <w:r>
        <w:rPr>
          <w:rFonts w:hint="eastAsia" w:ascii="Times New Roman" w:hAnsi="Times New Roman" w:eastAsia="宋体" w:cs="宋体"/>
          <w:bCs/>
          <w:color w:val="auto"/>
          <w:sz w:val="24"/>
          <w:szCs w:val="24"/>
          <w:lang w:val="en-US" w:eastAsia="zh-CN"/>
        </w:rPr>
        <w:t>综上，本项目噪声产生情况及治理情况见下表</w:t>
      </w:r>
      <w:r>
        <w:rPr>
          <w:rFonts w:hint="eastAsia" w:ascii="Times New Roman" w:hAnsi="Times New Roman" w:eastAsia="宋体" w:cs="宋体"/>
          <w:bCs/>
          <w:color w:val="auto"/>
          <w:sz w:val="24"/>
          <w:szCs w:val="24"/>
          <w:lang w:eastAsia="zh-CN"/>
        </w:rPr>
        <w:t>。</w:t>
      </w:r>
    </w:p>
    <w:p>
      <w:pPr>
        <w:ind w:firstLine="386" w:firstLineChars="183"/>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表3.</w:t>
      </w:r>
      <w:r>
        <w:rPr>
          <w:rFonts w:hint="eastAsia" w:ascii="Times New Roman" w:hAnsi="Times New Roman" w:eastAsia="宋体" w:cs="Times New Roman"/>
          <w:b/>
          <w:bCs/>
          <w:color w:val="auto"/>
          <w:sz w:val="21"/>
          <w:szCs w:val="21"/>
          <w:highlight w:val="none"/>
          <w:lang w:val="en-US" w:eastAsia="zh-CN"/>
        </w:rPr>
        <w:t>5</w:t>
      </w:r>
      <w:r>
        <w:rPr>
          <w:rFonts w:hint="default" w:ascii="Times New Roman" w:hAnsi="Times New Roman" w:eastAsia="宋体" w:cs="Times New Roman"/>
          <w:b/>
          <w:bCs/>
          <w:color w:val="auto"/>
          <w:sz w:val="21"/>
          <w:szCs w:val="21"/>
          <w:highlight w:val="none"/>
        </w:rPr>
        <w:t>-</w:t>
      </w:r>
      <w:r>
        <w:rPr>
          <w:rFonts w:hint="default" w:ascii="Times New Roman" w:hAnsi="Times New Roman" w:eastAsia="宋体" w:cs="Times New Roman"/>
          <w:b/>
          <w:bCs/>
          <w:color w:val="auto"/>
          <w:sz w:val="21"/>
          <w:szCs w:val="21"/>
          <w:highlight w:val="none"/>
          <w:lang w:val="en-US" w:eastAsia="zh-CN"/>
        </w:rPr>
        <w:t>1</w:t>
      </w:r>
      <w:r>
        <w:rPr>
          <w:rFonts w:hint="eastAsia" w:ascii="Times New Roman" w:hAnsi="Times New Roman" w:eastAsia="宋体" w:cs="Times New Roman"/>
          <w:b/>
          <w:bCs/>
          <w:color w:val="auto"/>
          <w:sz w:val="21"/>
          <w:szCs w:val="21"/>
          <w:highlight w:val="none"/>
          <w:lang w:val="en-US" w:eastAsia="zh-CN"/>
        </w:rPr>
        <w:t>9</w:t>
      </w:r>
      <w:r>
        <w:rPr>
          <w:rFonts w:hint="default" w:ascii="Times New Roman" w:hAnsi="Times New Roman" w:eastAsia="宋体" w:cs="Times New Roman"/>
          <w:b/>
          <w:bCs/>
          <w:color w:val="auto"/>
          <w:sz w:val="21"/>
          <w:szCs w:val="21"/>
          <w:highlight w:val="none"/>
        </w:rPr>
        <w:t xml:space="preserve"> </w:t>
      </w:r>
      <w:r>
        <w:rPr>
          <w:rFonts w:hint="default" w:ascii="Times New Roman" w:hAnsi="Times New Roman" w:eastAsia="宋体" w:cs="Times New Roman"/>
          <w:b/>
          <w:bCs/>
          <w:color w:val="auto"/>
          <w:sz w:val="21"/>
          <w:szCs w:val="21"/>
          <w:highlight w:val="none"/>
          <w:lang w:val="en-US" w:eastAsia="zh-CN"/>
        </w:rPr>
        <w:t>噪声</w:t>
      </w:r>
      <w:r>
        <w:rPr>
          <w:rFonts w:hint="default" w:ascii="Times New Roman" w:hAnsi="Times New Roman" w:eastAsia="宋体" w:cs="Times New Roman"/>
          <w:b/>
          <w:bCs/>
          <w:color w:val="auto"/>
          <w:sz w:val="21"/>
          <w:szCs w:val="21"/>
          <w:highlight w:val="none"/>
        </w:rPr>
        <w:t>污染源源强核算结果及相关参数一览表</w:t>
      </w:r>
    </w:p>
    <w:tbl>
      <w:tblPr>
        <w:tblStyle w:val="35"/>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700"/>
        <w:gridCol w:w="922"/>
        <w:gridCol w:w="958"/>
        <w:gridCol w:w="741"/>
        <w:gridCol w:w="678"/>
        <w:gridCol w:w="1525"/>
        <w:gridCol w:w="687"/>
        <w:gridCol w:w="658"/>
        <w:gridCol w:w="649"/>
        <w:gridCol w:w="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vMerge w:val="restart"/>
            <w:noWrap w:val="0"/>
            <w:vAlign w:val="center"/>
          </w:tcPr>
          <w:p>
            <w:pPr>
              <w:pStyle w:val="48"/>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工序/生产线</w:t>
            </w:r>
          </w:p>
        </w:tc>
        <w:tc>
          <w:tcPr>
            <w:tcW w:w="380" w:type="pct"/>
            <w:vMerge w:val="restart"/>
            <w:noWrap w:val="0"/>
            <w:vAlign w:val="center"/>
          </w:tcPr>
          <w:p>
            <w:pPr>
              <w:pStyle w:val="48"/>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装置</w:t>
            </w:r>
          </w:p>
        </w:tc>
        <w:tc>
          <w:tcPr>
            <w:tcW w:w="500" w:type="pct"/>
            <w:vMerge w:val="restart"/>
            <w:noWrap w:val="0"/>
            <w:vAlign w:val="center"/>
          </w:tcPr>
          <w:p>
            <w:pPr>
              <w:pStyle w:val="48"/>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噪声源</w:t>
            </w:r>
          </w:p>
        </w:tc>
        <w:tc>
          <w:tcPr>
            <w:tcW w:w="520" w:type="pct"/>
            <w:vMerge w:val="restart"/>
            <w:noWrap w:val="0"/>
            <w:vAlign w:val="center"/>
          </w:tcPr>
          <w:p>
            <w:pPr>
              <w:pStyle w:val="48"/>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声源类型（频发、偶发）</w:t>
            </w:r>
          </w:p>
        </w:tc>
        <w:tc>
          <w:tcPr>
            <w:tcW w:w="770" w:type="pct"/>
            <w:gridSpan w:val="2"/>
            <w:noWrap w:val="0"/>
            <w:vAlign w:val="center"/>
          </w:tcPr>
          <w:p>
            <w:pPr>
              <w:pStyle w:val="48"/>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噪声源强</w:t>
            </w:r>
          </w:p>
        </w:tc>
        <w:tc>
          <w:tcPr>
            <w:tcW w:w="1200" w:type="pct"/>
            <w:gridSpan w:val="2"/>
            <w:noWrap w:val="0"/>
            <w:vAlign w:val="center"/>
          </w:tcPr>
          <w:p>
            <w:pPr>
              <w:pStyle w:val="48"/>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降噪措施</w:t>
            </w:r>
          </w:p>
        </w:tc>
        <w:tc>
          <w:tcPr>
            <w:tcW w:w="709" w:type="pct"/>
            <w:gridSpan w:val="2"/>
            <w:noWrap w:val="0"/>
            <w:vAlign w:val="center"/>
          </w:tcPr>
          <w:p>
            <w:pPr>
              <w:pStyle w:val="48"/>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噪声排放值</w:t>
            </w:r>
          </w:p>
        </w:tc>
        <w:tc>
          <w:tcPr>
            <w:tcW w:w="439" w:type="pct"/>
            <w:vMerge w:val="restart"/>
            <w:noWrap w:val="0"/>
            <w:vAlign w:val="center"/>
          </w:tcPr>
          <w:p>
            <w:pPr>
              <w:pStyle w:val="48"/>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持续时间/h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80"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500"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520"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402" w:type="pct"/>
            <w:noWrap w:val="0"/>
            <w:vAlign w:val="center"/>
          </w:tcPr>
          <w:p>
            <w:pPr>
              <w:pStyle w:val="48"/>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核算方法</w:t>
            </w:r>
          </w:p>
        </w:tc>
        <w:tc>
          <w:tcPr>
            <w:tcW w:w="368" w:type="pct"/>
            <w:noWrap w:val="0"/>
            <w:vAlign w:val="center"/>
          </w:tcPr>
          <w:p>
            <w:pPr>
              <w:pStyle w:val="48"/>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噪声值</w:t>
            </w:r>
          </w:p>
        </w:tc>
        <w:tc>
          <w:tcPr>
            <w:tcW w:w="827" w:type="pct"/>
            <w:noWrap w:val="0"/>
            <w:vAlign w:val="center"/>
          </w:tcPr>
          <w:p>
            <w:pPr>
              <w:pStyle w:val="48"/>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工艺</w:t>
            </w:r>
          </w:p>
        </w:tc>
        <w:tc>
          <w:tcPr>
            <w:tcW w:w="373" w:type="pct"/>
            <w:noWrap w:val="0"/>
            <w:vAlign w:val="center"/>
          </w:tcPr>
          <w:p>
            <w:pPr>
              <w:pStyle w:val="48"/>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降噪效果</w:t>
            </w:r>
          </w:p>
        </w:tc>
        <w:tc>
          <w:tcPr>
            <w:tcW w:w="357" w:type="pct"/>
            <w:noWrap w:val="0"/>
            <w:vAlign w:val="center"/>
          </w:tcPr>
          <w:p>
            <w:pPr>
              <w:pStyle w:val="48"/>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核算方法</w:t>
            </w:r>
          </w:p>
        </w:tc>
        <w:tc>
          <w:tcPr>
            <w:tcW w:w="352" w:type="pct"/>
            <w:noWrap w:val="0"/>
            <w:vAlign w:val="center"/>
          </w:tcPr>
          <w:p>
            <w:pPr>
              <w:pStyle w:val="48"/>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噪声值</w:t>
            </w:r>
          </w:p>
        </w:tc>
        <w:tc>
          <w:tcPr>
            <w:tcW w:w="439"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vMerge w:val="restar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养殖区</w:t>
            </w:r>
          </w:p>
        </w:tc>
        <w:tc>
          <w:tcPr>
            <w:tcW w:w="380" w:type="pct"/>
            <w:vMerge w:val="restart"/>
            <w:noWrap w:val="0"/>
            <w:vAlign w:val="center"/>
          </w:tcPr>
          <w:p>
            <w:pPr>
              <w:pStyle w:val="128"/>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猪舍</w:t>
            </w:r>
          </w:p>
        </w:tc>
        <w:tc>
          <w:tcPr>
            <w:tcW w:w="500" w:type="pct"/>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szCs w:val="21"/>
                <w:lang w:val="en-US" w:eastAsia="zh-CN"/>
              </w:rPr>
              <w:t>猪叫</w:t>
            </w:r>
          </w:p>
        </w:tc>
        <w:tc>
          <w:tcPr>
            <w:tcW w:w="520" w:type="pct"/>
            <w:noWrap w:val="0"/>
            <w:vAlign w:val="center"/>
          </w:tcPr>
          <w:p>
            <w:pPr>
              <w:pStyle w:val="128"/>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频发</w:t>
            </w:r>
          </w:p>
        </w:tc>
        <w:tc>
          <w:tcPr>
            <w:tcW w:w="402" w:type="pct"/>
            <w:vMerge w:val="restar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类比法</w:t>
            </w:r>
          </w:p>
        </w:tc>
        <w:tc>
          <w:tcPr>
            <w:tcW w:w="368" w:type="pct"/>
            <w:noWrap w:val="0"/>
            <w:vAlign w:val="center"/>
          </w:tcPr>
          <w:p>
            <w:pPr>
              <w:pStyle w:val="128"/>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80</w:t>
            </w:r>
          </w:p>
        </w:tc>
        <w:tc>
          <w:tcPr>
            <w:tcW w:w="827" w:type="pc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合理安排饲养时间、注意管理</w:t>
            </w:r>
            <w:r>
              <w:rPr>
                <w:rFonts w:hint="eastAsia" w:ascii="Times New Roman" w:hAnsi="Times New Roman" w:cs="Times New Roman"/>
                <w:color w:val="auto"/>
                <w:sz w:val="21"/>
                <w:szCs w:val="21"/>
                <w:lang w:val="en-US" w:eastAsia="zh-CN"/>
              </w:rPr>
              <w:t>、猪舍隔音</w:t>
            </w:r>
          </w:p>
        </w:tc>
        <w:tc>
          <w:tcPr>
            <w:tcW w:w="373" w:type="pct"/>
            <w:vMerge w:val="restart"/>
            <w:noWrap w:val="0"/>
            <w:vAlign w:val="center"/>
          </w:tcPr>
          <w:p>
            <w:pPr>
              <w:pStyle w:val="128"/>
              <w:spacing w:line="276" w:lineRule="auto"/>
              <w:ind w:firstLine="0" w:firstLineChars="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噪声降低5-10</w:t>
            </w:r>
          </w:p>
          <w:p>
            <w:pPr>
              <w:pStyle w:val="128"/>
              <w:spacing w:line="276" w:lineRule="auto"/>
              <w:ind w:firstLine="0" w:firstLineChars="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dB</w:t>
            </w:r>
          </w:p>
        </w:tc>
        <w:tc>
          <w:tcPr>
            <w:tcW w:w="357" w:type="pct"/>
            <w:vMerge w:val="restar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类比法</w:t>
            </w:r>
          </w:p>
        </w:tc>
        <w:tc>
          <w:tcPr>
            <w:tcW w:w="352" w:type="pct"/>
            <w:noWrap w:val="0"/>
            <w:vAlign w:val="center"/>
          </w:tcPr>
          <w:p>
            <w:pPr>
              <w:pStyle w:val="128"/>
              <w:spacing w:line="276"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70</w:t>
            </w:r>
          </w:p>
        </w:tc>
        <w:tc>
          <w:tcPr>
            <w:tcW w:w="439" w:type="pct"/>
            <w:vMerge w:val="restar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间断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80" w:type="pct"/>
            <w:vMerge w:val="continue"/>
            <w:noWrap w:val="0"/>
            <w:vAlign w:val="center"/>
          </w:tcPr>
          <w:p>
            <w:pPr>
              <w:pStyle w:val="128"/>
              <w:spacing w:line="240" w:lineRule="auto"/>
              <w:ind w:firstLine="0" w:firstLineChars="0"/>
              <w:rPr>
                <w:rFonts w:hint="default" w:ascii="Times New Roman" w:hAnsi="Times New Roman" w:eastAsia="宋体" w:cs="Times New Roman"/>
                <w:color w:val="auto"/>
                <w:kern w:val="2"/>
                <w:sz w:val="21"/>
                <w:szCs w:val="21"/>
                <w:lang w:val="en-US" w:eastAsia="zh-CN" w:bidi="ar-SA"/>
              </w:rPr>
            </w:pPr>
          </w:p>
        </w:tc>
        <w:tc>
          <w:tcPr>
            <w:tcW w:w="500" w:type="pct"/>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szCs w:val="21"/>
                <w:lang w:val="en-US" w:eastAsia="zh-CN"/>
              </w:rPr>
              <w:t>排风扇</w:t>
            </w:r>
          </w:p>
        </w:tc>
        <w:tc>
          <w:tcPr>
            <w:tcW w:w="520" w:type="pct"/>
            <w:noWrap w:val="0"/>
            <w:vAlign w:val="center"/>
          </w:tcPr>
          <w:p>
            <w:pPr>
              <w:pStyle w:val="128"/>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频发</w:t>
            </w:r>
          </w:p>
        </w:tc>
        <w:tc>
          <w:tcPr>
            <w:tcW w:w="402"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68" w:type="pct"/>
            <w:noWrap w:val="0"/>
            <w:vAlign w:val="center"/>
          </w:tcPr>
          <w:p>
            <w:pPr>
              <w:pStyle w:val="128"/>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70</w:t>
            </w:r>
          </w:p>
        </w:tc>
        <w:tc>
          <w:tcPr>
            <w:tcW w:w="827" w:type="pct"/>
            <w:vMerge w:val="restar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选用低噪声设备，基础安装减振垫</w:t>
            </w:r>
          </w:p>
        </w:tc>
        <w:tc>
          <w:tcPr>
            <w:tcW w:w="373" w:type="pct"/>
            <w:vMerge w:val="continue"/>
            <w:noWrap w:val="0"/>
            <w:vAlign w:val="center"/>
          </w:tcPr>
          <w:p>
            <w:pPr>
              <w:pStyle w:val="128"/>
              <w:spacing w:line="276" w:lineRule="auto"/>
              <w:ind w:firstLine="0" w:firstLineChars="0"/>
              <w:rPr>
                <w:rFonts w:hint="default" w:ascii="Times New Roman" w:hAnsi="Times New Roman" w:eastAsia="宋体" w:cs="Times New Roman"/>
                <w:color w:val="auto"/>
                <w:sz w:val="21"/>
                <w:szCs w:val="21"/>
                <w:lang w:val="en-US" w:eastAsia="zh-CN"/>
              </w:rPr>
            </w:pPr>
          </w:p>
        </w:tc>
        <w:tc>
          <w:tcPr>
            <w:tcW w:w="357"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52" w:type="pct"/>
            <w:noWrap w:val="0"/>
            <w:vAlign w:val="center"/>
          </w:tcPr>
          <w:p>
            <w:pPr>
              <w:pStyle w:val="128"/>
              <w:spacing w:line="276"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60</w:t>
            </w:r>
          </w:p>
        </w:tc>
        <w:tc>
          <w:tcPr>
            <w:tcW w:w="439"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80" w:type="pct"/>
            <w:vMerge w:val="continue"/>
            <w:noWrap w:val="0"/>
            <w:vAlign w:val="center"/>
          </w:tcPr>
          <w:p>
            <w:pPr>
              <w:pStyle w:val="128"/>
              <w:spacing w:line="240" w:lineRule="auto"/>
              <w:ind w:firstLine="0" w:firstLineChars="0"/>
              <w:rPr>
                <w:rFonts w:hint="default" w:ascii="Times New Roman" w:hAnsi="Times New Roman" w:eastAsia="宋体" w:cs="Times New Roman"/>
                <w:color w:val="auto"/>
                <w:kern w:val="2"/>
                <w:sz w:val="21"/>
                <w:szCs w:val="21"/>
                <w:lang w:val="en-US" w:eastAsia="zh-CN" w:bidi="ar-SA"/>
              </w:rPr>
            </w:pPr>
          </w:p>
        </w:tc>
        <w:tc>
          <w:tcPr>
            <w:tcW w:w="500" w:type="pct"/>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bCs/>
                <w:color w:val="auto"/>
                <w:szCs w:val="21"/>
              </w:rPr>
              <w:t>风机</w:t>
            </w:r>
          </w:p>
        </w:tc>
        <w:tc>
          <w:tcPr>
            <w:tcW w:w="520" w:type="pct"/>
            <w:noWrap w:val="0"/>
            <w:vAlign w:val="center"/>
          </w:tcPr>
          <w:p>
            <w:pPr>
              <w:pStyle w:val="128"/>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频发</w:t>
            </w:r>
          </w:p>
        </w:tc>
        <w:tc>
          <w:tcPr>
            <w:tcW w:w="402"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68" w:type="pct"/>
            <w:noWrap w:val="0"/>
            <w:vAlign w:val="center"/>
          </w:tcPr>
          <w:p>
            <w:pPr>
              <w:pStyle w:val="128"/>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70</w:t>
            </w:r>
          </w:p>
        </w:tc>
        <w:tc>
          <w:tcPr>
            <w:tcW w:w="827"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73" w:type="pct"/>
            <w:vMerge w:val="continue"/>
            <w:noWrap w:val="0"/>
            <w:vAlign w:val="center"/>
          </w:tcPr>
          <w:p>
            <w:pPr>
              <w:pStyle w:val="128"/>
              <w:spacing w:line="276" w:lineRule="auto"/>
              <w:ind w:firstLine="0" w:firstLineChars="0"/>
              <w:rPr>
                <w:rFonts w:hint="default" w:ascii="Times New Roman" w:hAnsi="Times New Roman" w:eastAsia="宋体" w:cs="Times New Roman"/>
                <w:color w:val="auto"/>
                <w:sz w:val="21"/>
                <w:szCs w:val="21"/>
                <w:lang w:val="en-US" w:eastAsia="zh-CN"/>
              </w:rPr>
            </w:pPr>
          </w:p>
        </w:tc>
        <w:tc>
          <w:tcPr>
            <w:tcW w:w="357"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52" w:type="pct"/>
            <w:noWrap w:val="0"/>
            <w:vAlign w:val="center"/>
          </w:tcPr>
          <w:p>
            <w:pPr>
              <w:pStyle w:val="128"/>
              <w:spacing w:line="276"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60</w:t>
            </w:r>
          </w:p>
        </w:tc>
        <w:tc>
          <w:tcPr>
            <w:tcW w:w="439"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80" w:type="pct"/>
            <w:vMerge w:val="continue"/>
            <w:noWrap w:val="0"/>
            <w:vAlign w:val="center"/>
          </w:tcPr>
          <w:p>
            <w:pPr>
              <w:pStyle w:val="128"/>
              <w:spacing w:line="240" w:lineRule="auto"/>
              <w:ind w:firstLine="0" w:firstLineChars="0"/>
              <w:rPr>
                <w:rFonts w:hint="default" w:ascii="Times New Roman" w:hAnsi="Times New Roman" w:eastAsia="宋体" w:cs="Times New Roman"/>
                <w:color w:val="auto"/>
                <w:kern w:val="2"/>
                <w:sz w:val="21"/>
                <w:szCs w:val="21"/>
                <w:lang w:val="en-US" w:eastAsia="zh-CN" w:bidi="ar-SA"/>
              </w:rPr>
            </w:pPr>
          </w:p>
        </w:tc>
        <w:tc>
          <w:tcPr>
            <w:tcW w:w="500" w:type="pct"/>
            <w:noWrap w:val="0"/>
            <w:vAlign w:val="center"/>
          </w:tcPr>
          <w:p>
            <w:pPr>
              <w:jc w:val="center"/>
              <w:rPr>
                <w:rFonts w:hint="eastAsia" w:ascii="Times New Roman" w:hAnsi="Times New Roman" w:eastAsia="宋体"/>
                <w:bCs/>
                <w:color w:val="auto"/>
                <w:szCs w:val="21"/>
              </w:rPr>
            </w:pPr>
            <w:r>
              <w:rPr>
                <w:rFonts w:eastAsia="宋体"/>
                <w:color w:val="auto"/>
                <w:sz w:val="21"/>
                <w:szCs w:val="21"/>
                <w:highlight w:val="none"/>
              </w:rPr>
              <w:t>高压清洗机</w:t>
            </w:r>
          </w:p>
        </w:tc>
        <w:tc>
          <w:tcPr>
            <w:tcW w:w="520" w:type="pct"/>
            <w:noWrap w:val="0"/>
            <w:vAlign w:val="center"/>
          </w:tcPr>
          <w:p>
            <w:pPr>
              <w:pStyle w:val="128"/>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偶发</w:t>
            </w:r>
          </w:p>
        </w:tc>
        <w:tc>
          <w:tcPr>
            <w:tcW w:w="402"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68" w:type="pct"/>
            <w:noWrap w:val="0"/>
            <w:vAlign w:val="center"/>
          </w:tcPr>
          <w:p>
            <w:pPr>
              <w:pStyle w:val="128"/>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70</w:t>
            </w:r>
          </w:p>
        </w:tc>
        <w:tc>
          <w:tcPr>
            <w:tcW w:w="827"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73" w:type="pct"/>
            <w:vMerge w:val="continue"/>
            <w:noWrap w:val="0"/>
            <w:vAlign w:val="center"/>
          </w:tcPr>
          <w:p>
            <w:pPr>
              <w:pStyle w:val="128"/>
              <w:spacing w:line="276" w:lineRule="auto"/>
              <w:ind w:firstLine="0" w:firstLineChars="0"/>
              <w:rPr>
                <w:rFonts w:hint="default" w:ascii="Times New Roman" w:hAnsi="Times New Roman" w:eastAsia="宋体" w:cs="Times New Roman"/>
                <w:color w:val="auto"/>
                <w:sz w:val="21"/>
                <w:szCs w:val="21"/>
                <w:lang w:val="en-US" w:eastAsia="zh-CN"/>
              </w:rPr>
            </w:pPr>
          </w:p>
        </w:tc>
        <w:tc>
          <w:tcPr>
            <w:tcW w:w="357"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52" w:type="pct"/>
            <w:noWrap w:val="0"/>
            <w:vAlign w:val="center"/>
          </w:tcPr>
          <w:p>
            <w:pPr>
              <w:pStyle w:val="128"/>
              <w:spacing w:line="276"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60</w:t>
            </w:r>
          </w:p>
        </w:tc>
        <w:tc>
          <w:tcPr>
            <w:tcW w:w="439"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vMerge w:val="restar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粪污处理区</w:t>
            </w:r>
          </w:p>
        </w:tc>
        <w:tc>
          <w:tcPr>
            <w:tcW w:w="380" w:type="pct"/>
            <w:vMerge w:val="restart"/>
            <w:noWrap w:val="0"/>
            <w:vAlign w:val="center"/>
          </w:tcPr>
          <w:p>
            <w:pPr>
              <w:pStyle w:val="128"/>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堆粪棚</w:t>
            </w:r>
          </w:p>
        </w:tc>
        <w:tc>
          <w:tcPr>
            <w:tcW w:w="500" w:type="pct"/>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泵类</w:t>
            </w:r>
          </w:p>
        </w:tc>
        <w:tc>
          <w:tcPr>
            <w:tcW w:w="520" w:type="pct"/>
            <w:noWrap w:val="0"/>
            <w:vAlign w:val="center"/>
          </w:tcPr>
          <w:p>
            <w:pPr>
              <w:pStyle w:val="128"/>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频发</w:t>
            </w:r>
          </w:p>
        </w:tc>
        <w:tc>
          <w:tcPr>
            <w:tcW w:w="402"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68" w:type="pct"/>
            <w:noWrap w:val="0"/>
            <w:vAlign w:val="center"/>
          </w:tcPr>
          <w:p>
            <w:pPr>
              <w:pStyle w:val="128"/>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85</w:t>
            </w:r>
          </w:p>
        </w:tc>
        <w:tc>
          <w:tcPr>
            <w:tcW w:w="827"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73" w:type="pct"/>
            <w:vMerge w:val="continue"/>
            <w:noWrap w:val="0"/>
            <w:vAlign w:val="center"/>
          </w:tcPr>
          <w:p>
            <w:pPr>
              <w:pStyle w:val="128"/>
              <w:spacing w:line="276" w:lineRule="auto"/>
              <w:ind w:firstLine="0" w:firstLineChars="0"/>
              <w:rPr>
                <w:rFonts w:hint="default" w:ascii="Times New Roman" w:hAnsi="Times New Roman" w:eastAsia="宋体" w:cs="Times New Roman"/>
                <w:color w:val="auto"/>
                <w:sz w:val="21"/>
                <w:szCs w:val="21"/>
                <w:lang w:val="en-US" w:eastAsia="zh-CN"/>
              </w:rPr>
            </w:pPr>
          </w:p>
        </w:tc>
        <w:tc>
          <w:tcPr>
            <w:tcW w:w="357"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52" w:type="pct"/>
            <w:noWrap w:val="0"/>
            <w:vAlign w:val="center"/>
          </w:tcPr>
          <w:p>
            <w:pPr>
              <w:pStyle w:val="128"/>
              <w:spacing w:line="276"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70</w:t>
            </w:r>
          </w:p>
        </w:tc>
        <w:tc>
          <w:tcPr>
            <w:tcW w:w="439"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80" w:type="pct"/>
            <w:vMerge w:val="continue"/>
            <w:noWrap w:val="0"/>
            <w:vAlign w:val="center"/>
          </w:tcPr>
          <w:p>
            <w:pPr>
              <w:pStyle w:val="128"/>
              <w:spacing w:line="240" w:lineRule="auto"/>
              <w:ind w:firstLine="0" w:firstLineChars="0"/>
              <w:rPr>
                <w:rFonts w:hint="default" w:ascii="Times New Roman" w:hAnsi="Times New Roman" w:eastAsia="宋体" w:cs="Times New Roman"/>
                <w:color w:val="auto"/>
                <w:kern w:val="2"/>
                <w:sz w:val="21"/>
                <w:szCs w:val="21"/>
                <w:lang w:val="en-US" w:eastAsia="zh-CN" w:bidi="ar-SA"/>
              </w:rPr>
            </w:pPr>
          </w:p>
        </w:tc>
        <w:tc>
          <w:tcPr>
            <w:tcW w:w="500" w:type="pct"/>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szCs w:val="21"/>
              </w:rPr>
              <w:t>固液分离机</w:t>
            </w:r>
          </w:p>
        </w:tc>
        <w:tc>
          <w:tcPr>
            <w:tcW w:w="520" w:type="pct"/>
            <w:noWrap w:val="0"/>
            <w:vAlign w:val="center"/>
          </w:tcPr>
          <w:p>
            <w:pPr>
              <w:pStyle w:val="128"/>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频发</w:t>
            </w:r>
          </w:p>
        </w:tc>
        <w:tc>
          <w:tcPr>
            <w:tcW w:w="402"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68" w:type="pct"/>
            <w:noWrap w:val="0"/>
            <w:vAlign w:val="center"/>
          </w:tcPr>
          <w:p>
            <w:pPr>
              <w:pStyle w:val="128"/>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70</w:t>
            </w:r>
          </w:p>
        </w:tc>
        <w:tc>
          <w:tcPr>
            <w:tcW w:w="827"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73" w:type="pct"/>
            <w:vMerge w:val="continue"/>
            <w:noWrap w:val="0"/>
            <w:vAlign w:val="center"/>
          </w:tcPr>
          <w:p>
            <w:pPr>
              <w:pStyle w:val="128"/>
              <w:spacing w:line="276" w:lineRule="auto"/>
              <w:ind w:firstLine="0" w:firstLineChars="0"/>
              <w:rPr>
                <w:rFonts w:hint="default" w:ascii="Times New Roman" w:hAnsi="Times New Roman" w:eastAsia="宋体" w:cs="Times New Roman"/>
                <w:color w:val="auto"/>
                <w:sz w:val="21"/>
                <w:szCs w:val="21"/>
                <w:lang w:val="en-US" w:eastAsia="zh-CN"/>
              </w:rPr>
            </w:pPr>
          </w:p>
        </w:tc>
        <w:tc>
          <w:tcPr>
            <w:tcW w:w="357"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52" w:type="pct"/>
            <w:noWrap w:val="0"/>
            <w:vAlign w:val="center"/>
          </w:tcPr>
          <w:p>
            <w:pPr>
              <w:pStyle w:val="128"/>
              <w:spacing w:line="276"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60</w:t>
            </w:r>
          </w:p>
        </w:tc>
        <w:tc>
          <w:tcPr>
            <w:tcW w:w="439"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80" w:type="pct"/>
            <w:vMerge w:val="restart"/>
            <w:noWrap w:val="0"/>
            <w:vAlign w:val="center"/>
          </w:tcPr>
          <w:p>
            <w:pPr>
              <w:pStyle w:val="128"/>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污水处理站</w:t>
            </w:r>
          </w:p>
        </w:tc>
        <w:tc>
          <w:tcPr>
            <w:tcW w:w="500" w:type="pct"/>
            <w:noWrap w:val="0"/>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潜水搅拌机</w:t>
            </w:r>
          </w:p>
        </w:tc>
        <w:tc>
          <w:tcPr>
            <w:tcW w:w="520" w:type="pct"/>
            <w:noWrap w:val="0"/>
            <w:vAlign w:val="center"/>
          </w:tcPr>
          <w:p>
            <w:pPr>
              <w:pStyle w:val="128"/>
              <w:spacing w:line="240" w:lineRule="auto"/>
              <w:ind w:firstLine="0" w:firstLineChars="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频发</w:t>
            </w:r>
          </w:p>
        </w:tc>
        <w:tc>
          <w:tcPr>
            <w:tcW w:w="402"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68" w:type="pct"/>
            <w:noWrap w:val="0"/>
            <w:vAlign w:val="center"/>
          </w:tcPr>
          <w:p>
            <w:pPr>
              <w:pStyle w:val="128"/>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70</w:t>
            </w:r>
          </w:p>
        </w:tc>
        <w:tc>
          <w:tcPr>
            <w:tcW w:w="827"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73" w:type="pct"/>
            <w:vMerge w:val="continue"/>
            <w:noWrap w:val="0"/>
            <w:vAlign w:val="center"/>
          </w:tcPr>
          <w:p>
            <w:pPr>
              <w:pStyle w:val="128"/>
              <w:spacing w:line="276" w:lineRule="auto"/>
              <w:ind w:firstLine="0" w:firstLineChars="0"/>
              <w:rPr>
                <w:rFonts w:hint="default" w:ascii="Times New Roman" w:hAnsi="Times New Roman" w:eastAsia="宋体" w:cs="Times New Roman"/>
                <w:color w:val="auto"/>
                <w:sz w:val="21"/>
                <w:szCs w:val="21"/>
                <w:lang w:val="en-US" w:eastAsia="zh-CN"/>
              </w:rPr>
            </w:pPr>
          </w:p>
        </w:tc>
        <w:tc>
          <w:tcPr>
            <w:tcW w:w="357"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52" w:type="pct"/>
            <w:noWrap w:val="0"/>
            <w:vAlign w:val="center"/>
          </w:tcPr>
          <w:p>
            <w:pPr>
              <w:pStyle w:val="128"/>
              <w:spacing w:line="276"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55</w:t>
            </w:r>
          </w:p>
        </w:tc>
        <w:tc>
          <w:tcPr>
            <w:tcW w:w="439"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80" w:type="pct"/>
            <w:vMerge w:val="continue"/>
            <w:noWrap w:val="0"/>
            <w:vAlign w:val="center"/>
          </w:tcPr>
          <w:p>
            <w:pPr>
              <w:pStyle w:val="128"/>
              <w:spacing w:line="240" w:lineRule="auto"/>
              <w:ind w:firstLine="0" w:firstLineChars="0"/>
              <w:rPr>
                <w:rFonts w:hint="default" w:ascii="Times New Roman" w:hAnsi="Times New Roman" w:eastAsia="宋体" w:cs="Times New Roman"/>
                <w:color w:val="auto"/>
                <w:kern w:val="2"/>
                <w:sz w:val="21"/>
                <w:szCs w:val="21"/>
                <w:lang w:val="en-US" w:eastAsia="zh-CN" w:bidi="ar-SA"/>
              </w:rPr>
            </w:pPr>
          </w:p>
        </w:tc>
        <w:tc>
          <w:tcPr>
            <w:tcW w:w="500" w:type="pct"/>
            <w:noWrap w:val="0"/>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污泥脱水机</w:t>
            </w:r>
          </w:p>
        </w:tc>
        <w:tc>
          <w:tcPr>
            <w:tcW w:w="520" w:type="pct"/>
            <w:noWrap w:val="0"/>
            <w:vAlign w:val="center"/>
          </w:tcPr>
          <w:p>
            <w:pPr>
              <w:pStyle w:val="128"/>
              <w:spacing w:line="240" w:lineRule="auto"/>
              <w:ind w:firstLine="0" w:firstLineChars="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频发</w:t>
            </w:r>
          </w:p>
        </w:tc>
        <w:tc>
          <w:tcPr>
            <w:tcW w:w="402"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68" w:type="pct"/>
            <w:noWrap w:val="0"/>
            <w:vAlign w:val="center"/>
          </w:tcPr>
          <w:p>
            <w:pPr>
              <w:pStyle w:val="128"/>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85</w:t>
            </w:r>
          </w:p>
        </w:tc>
        <w:tc>
          <w:tcPr>
            <w:tcW w:w="827"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73" w:type="pct"/>
            <w:vMerge w:val="continue"/>
            <w:noWrap w:val="0"/>
            <w:vAlign w:val="center"/>
          </w:tcPr>
          <w:p>
            <w:pPr>
              <w:pStyle w:val="128"/>
              <w:spacing w:line="276" w:lineRule="auto"/>
              <w:ind w:firstLine="0" w:firstLineChars="0"/>
              <w:rPr>
                <w:rFonts w:hint="default" w:ascii="Times New Roman" w:hAnsi="Times New Roman" w:eastAsia="宋体" w:cs="Times New Roman"/>
                <w:color w:val="auto"/>
                <w:sz w:val="21"/>
                <w:szCs w:val="21"/>
                <w:lang w:val="en-US" w:eastAsia="zh-CN"/>
              </w:rPr>
            </w:pPr>
          </w:p>
        </w:tc>
        <w:tc>
          <w:tcPr>
            <w:tcW w:w="357"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52" w:type="pct"/>
            <w:noWrap w:val="0"/>
            <w:vAlign w:val="center"/>
          </w:tcPr>
          <w:p>
            <w:pPr>
              <w:pStyle w:val="128"/>
              <w:spacing w:line="276"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70</w:t>
            </w:r>
          </w:p>
        </w:tc>
        <w:tc>
          <w:tcPr>
            <w:tcW w:w="439"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noWrap w:val="0"/>
            <w:vAlign w:val="center"/>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附属设施区</w:t>
            </w:r>
          </w:p>
        </w:tc>
        <w:tc>
          <w:tcPr>
            <w:tcW w:w="380" w:type="pct"/>
            <w:noWrap w:val="0"/>
            <w:vAlign w:val="center"/>
          </w:tcPr>
          <w:p>
            <w:pPr>
              <w:pStyle w:val="128"/>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发电机房</w:t>
            </w:r>
          </w:p>
        </w:tc>
        <w:tc>
          <w:tcPr>
            <w:tcW w:w="500" w:type="pct"/>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szCs w:val="21"/>
              </w:rPr>
              <w:t>发电机</w:t>
            </w:r>
          </w:p>
        </w:tc>
        <w:tc>
          <w:tcPr>
            <w:tcW w:w="520" w:type="pct"/>
            <w:noWrap w:val="0"/>
            <w:vAlign w:val="center"/>
          </w:tcPr>
          <w:p>
            <w:pPr>
              <w:pStyle w:val="128"/>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偶发</w:t>
            </w:r>
          </w:p>
        </w:tc>
        <w:tc>
          <w:tcPr>
            <w:tcW w:w="402"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68" w:type="pct"/>
            <w:noWrap w:val="0"/>
            <w:vAlign w:val="center"/>
          </w:tcPr>
          <w:p>
            <w:pPr>
              <w:pStyle w:val="128"/>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85</w:t>
            </w:r>
          </w:p>
        </w:tc>
        <w:tc>
          <w:tcPr>
            <w:tcW w:w="827"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73" w:type="pct"/>
            <w:vMerge w:val="continue"/>
            <w:noWrap w:val="0"/>
            <w:vAlign w:val="center"/>
          </w:tcPr>
          <w:p>
            <w:pPr>
              <w:pStyle w:val="128"/>
              <w:spacing w:line="276" w:lineRule="auto"/>
              <w:ind w:firstLine="0" w:firstLineChars="0"/>
              <w:rPr>
                <w:rFonts w:hint="default" w:ascii="Times New Roman" w:hAnsi="Times New Roman" w:eastAsia="宋体" w:cs="Times New Roman"/>
                <w:color w:val="auto"/>
                <w:sz w:val="21"/>
                <w:szCs w:val="21"/>
                <w:lang w:val="en-US" w:eastAsia="zh-CN"/>
              </w:rPr>
            </w:pPr>
          </w:p>
        </w:tc>
        <w:tc>
          <w:tcPr>
            <w:tcW w:w="357"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c>
          <w:tcPr>
            <w:tcW w:w="352" w:type="pct"/>
            <w:noWrap w:val="0"/>
            <w:vAlign w:val="center"/>
          </w:tcPr>
          <w:p>
            <w:pPr>
              <w:pStyle w:val="128"/>
              <w:spacing w:line="276"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70</w:t>
            </w:r>
          </w:p>
        </w:tc>
        <w:tc>
          <w:tcPr>
            <w:tcW w:w="439" w:type="pct"/>
            <w:vMerge w:val="continue"/>
            <w:noWrap w:val="0"/>
            <w:vAlign w:val="center"/>
          </w:tcPr>
          <w:p>
            <w:pPr>
              <w:pStyle w:val="48"/>
              <w:jc w:val="center"/>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noWrap w:val="0"/>
            <w:vAlign w:val="top"/>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厂区道路</w:t>
            </w:r>
          </w:p>
        </w:tc>
        <w:tc>
          <w:tcPr>
            <w:tcW w:w="380" w:type="pct"/>
            <w:noWrap w:val="0"/>
            <w:vAlign w:val="center"/>
          </w:tcPr>
          <w:p>
            <w:pPr>
              <w:pStyle w:val="128"/>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车辆</w:t>
            </w:r>
          </w:p>
        </w:tc>
        <w:tc>
          <w:tcPr>
            <w:tcW w:w="500" w:type="pct"/>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szCs w:val="21"/>
              </w:rPr>
              <w:t>汽车噪声</w:t>
            </w:r>
          </w:p>
        </w:tc>
        <w:tc>
          <w:tcPr>
            <w:tcW w:w="520" w:type="pct"/>
            <w:noWrap w:val="0"/>
            <w:vAlign w:val="center"/>
          </w:tcPr>
          <w:p>
            <w:pPr>
              <w:pStyle w:val="128"/>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偶发</w:t>
            </w:r>
          </w:p>
        </w:tc>
        <w:tc>
          <w:tcPr>
            <w:tcW w:w="402" w:type="pct"/>
            <w:vMerge w:val="continue"/>
            <w:noWrap w:val="0"/>
            <w:vAlign w:val="top"/>
          </w:tcPr>
          <w:p>
            <w:pPr>
              <w:pStyle w:val="48"/>
              <w:jc w:val="center"/>
              <w:rPr>
                <w:rFonts w:hint="default" w:ascii="Times New Roman" w:hAnsi="Times New Roman" w:eastAsia="宋体" w:cs="Times New Roman"/>
                <w:color w:val="auto"/>
                <w:sz w:val="21"/>
                <w:szCs w:val="21"/>
                <w:lang w:val="en-US" w:eastAsia="zh-CN"/>
              </w:rPr>
            </w:pPr>
          </w:p>
        </w:tc>
        <w:tc>
          <w:tcPr>
            <w:tcW w:w="368" w:type="pct"/>
            <w:noWrap w:val="0"/>
            <w:vAlign w:val="center"/>
          </w:tcPr>
          <w:p>
            <w:pPr>
              <w:pStyle w:val="128"/>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70</w:t>
            </w:r>
          </w:p>
        </w:tc>
        <w:tc>
          <w:tcPr>
            <w:tcW w:w="827" w:type="pct"/>
            <w:noWrap w:val="0"/>
            <w:vAlign w:val="top"/>
          </w:tcPr>
          <w:p>
            <w:pPr>
              <w:pStyle w:val="48"/>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采取限速、禁鸣的要求</w:t>
            </w:r>
          </w:p>
        </w:tc>
        <w:tc>
          <w:tcPr>
            <w:tcW w:w="373" w:type="pct"/>
            <w:vMerge w:val="continue"/>
            <w:noWrap w:val="0"/>
            <w:vAlign w:val="center"/>
          </w:tcPr>
          <w:p>
            <w:pPr>
              <w:pStyle w:val="128"/>
              <w:spacing w:line="276" w:lineRule="auto"/>
              <w:ind w:firstLine="0" w:firstLineChars="0"/>
              <w:rPr>
                <w:rFonts w:hint="default" w:ascii="Times New Roman" w:hAnsi="Times New Roman" w:eastAsia="宋体" w:cs="Times New Roman"/>
                <w:color w:val="auto"/>
                <w:sz w:val="21"/>
                <w:szCs w:val="21"/>
                <w:lang w:val="en-US" w:eastAsia="zh-CN"/>
              </w:rPr>
            </w:pPr>
          </w:p>
        </w:tc>
        <w:tc>
          <w:tcPr>
            <w:tcW w:w="357" w:type="pct"/>
            <w:vMerge w:val="continue"/>
            <w:noWrap w:val="0"/>
            <w:vAlign w:val="top"/>
          </w:tcPr>
          <w:p>
            <w:pPr>
              <w:pStyle w:val="48"/>
              <w:jc w:val="center"/>
              <w:rPr>
                <w:rFonts w:hint="default" w:ascii="Times New Roman" w:hAnsi="Times New Roman" w:eastAsia="宋体" w:cs="Times New Roman"/>
                <w:color w:val="auto"/>
                <w:sz w:val="21"/>
                <w:szCs w:val="21"/>
                <w:lang w:val="en-US" w:eastAsia="zh-CN"/>
              </w:rPr>
            </w:pPr>
          </w:p>
        </w:tc>
        <w:tc>
          <w:tcPr>
            <w:tcW w:w="352" w:type="pct"/>
            <w:noWrap w:val="0"/>
            <w:vAlign w:val="center"/>
          </w:tcPr>
          <w:p>
            <w:pPr>
              <w:pStyle w:val="128"/>
              <w:spacing w:line="276"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60</w:t>
            </w:r>
          </w:p>
        </w:tc>
        <w:tc>
          <w:tcPr>
            <w:tcW w:w="439" w:type="pct"/>
            <w:vMerge w:val="continue"/>
            <w:noWrap w:val="0"/>
            <w:vAlign w:val="top"/>
          </w:tcPr>
          <w:p>
            <w:pPr>
              <w:pStyle w:val="48"/>
              <w:jc w:val="center"/>
              <w:rPr>
                <w:rFonts w:hint="default" w:ascii="Times New Roman" w:hAnsi="Times New Roman" w:eastAsia="宋体" w:cs="Times New Roman"/>
                <w:color w:val="auto"/>
                <w:sz w:val="21"/>
                <w:szCs w:val="21"/>
                <w:lang w:val="en-US" w:eastAsia="zh-CN"/>
              </w:rPr>
            </w:pPr>
          </w:p>
        </w:tc>
      </w:tr>
    </w:tbl>
    <w:p>
      <w:pPr>
        <w:pStyle w:val="6"/>
        <w:adjustRightInd w:val="0"/>
        <w:snapToGrid w:val="0"/>
        <w:spacing w:before="0" w:after="0" w:line="360" w:lineRule="auto"/>
        <w:rPr>
          <w:rFonts w:ascii="Times New Roman" w:hAnsi="Times New Roman" w:eastAsia="宋体"/>
          <w:color w:val="auto"/>
          <w:sz w:val="28"/>
          <w:szCs w:val="28"/>
        </w:rPr>
      </w:pPr>
      <w:r>
        <w:rPr>
          <w:rFonts w:hint="eastAsia" w:ascii="Times New Roman" w:hAnsi="Times New Roman" w:eastAsia="宋体"/>
          <w:color w:val="auto"/>
          <w:sz w:val="28"/>
          <w:szCs w:val="28"/>
        </w:rPr>
        <w:t>3.5.4</w:t>
      </w:r>
      <w:r>
        <w:rPr>
          <w:rFonts w:ascii="Times New Roman" w:hAnsi="Times New Roman" w:eastAsia="宋体"/>
          <w:color w:val="auto"/>
          <w:sz w:val="28"/>
          <w:szCs w:val="28"/>
        </w:rPr>
        <w:t>固废</w:t>
      </w:r>
      <w:bookmarkEnd w:id="126"/>
      <w:r>
        <w:rPr>
          <w:rFonts w:hint="eastAsia" w:ascii="Times New Roman" w:hAnsi="Times New Roman" w:eastAsia="宋体"/>
          <w:color w:val="auto"/>
          <w:sz w:val="28"/>
          <w:szCs w:val="28"/>
        </w:rPr>
        <w:t>污染源分析</w:t>
      </w:r>
    </w:p>
    <w:p>
      <w:pPr>
        <w:adjustRightInd w:val="0"/>
        <w:snapToGrid w:val="0"/>
        <w:spacing w:line="360" w:lineRule="auto"/>
        <w:ind w:firstLine="480" w:firstLineChars="200"/>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lang w:eastAsia="zh-CN"/>
        </w:rPr>
        <w:t>本项目生产过程产生的固体废弃物主要分为一般固体废弃物和危险废物。</w:t>
      </w:r>
    </w:p>
    <w:p>
      <w:pPr>
        <w:pStyle w:val="16"/>
        <w:ind w:left="0"/>
        <w:rPr>
          <w:rFonts w:hint="eastAsia" w:ascii="Times New Roman" w:hAnsi="Times New Roman" w:eastAsia="宋体"/>
          <w:color w:val="auto"/>
          <w:sz w:val="21"/>
          <w:szCs w:val="21"/>
        </w:rPr>
      </w:pPr>
      <w:r>
        <w:rPr>
          <w:rFonts w:ascii="Times New Roman" w:hAnsi="Times New Roman" w:eastAsia="宋体" w:cs="Times New Roman"/>
          <w:color w:val="auto"/>
          <w:sz w:val="21"/>
          <w:szCs w:val="21"/>
        </w:rPr>
        <w:t>表3.</w:t>
      </w:r>
      <w:r>
        <w:rPr>
          <w:rFonts w:hint="eastAsia" w:ascii="Times New Roman" w:hAnsi="Times New Roman" w:eastAsia="宋体" w:cs="Times New Roman"/>
          <w:color w:val="auto"/>
          <w:sz w:val="21"/>
          <w:szCs w:val="21"/>
        </w:rPr>
        <w:t>5</w:t>
      </w:r>
      <w:r>
        <w:rPr>
          <w:rFonts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 xml:space="preserve">20  </w:t>
      </w:r>
      <w:r>
        <w:rPr>
          <w:rFonts w:hint="eastAsia" w:ascii="Times New Roman" w:hAnsi="Times New Roman" w:eastAsia="宋体"/>
          <w:color w:val="auto"/>
          <w:sz w:val="21"/>
          <w:szCs w:val="21"/>
        </w:rPr>
        <w:t>固废产生环节及主要污染物</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9"/>
        <w:gridCol w:w="2730"/>
        <w:gridCol w:w="2836"/>
        <w:gridCol w:w="2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9" w:type="dxa"/>
            <w:vAlign w:val="center"/>
          </w:tcPr>
          <w:p>
            <w:pPr>
              <w:adjustRightInd w:val="0"/>
              <w:snapToGrid w:val="0"/>
              <w:jc w:val="center"/>
              <w:rPr>
                <w:rFonts w:hint="eastAsia" w:ascii="Times New Roman" w:hAnsi="Times New Roman" w:eastAsia="宋体" w:cs="Times New Roman"/>
                <w:b/>
                <w:bCs/>
                <w:color w:val="auto"/>
                <w:sz w:val="21"/>
                <w:szCs w:val="21"/>
                <w:lang w:eastAsia="zh-CN"/>
              </w:rPr>
            </w:pPr>
            <w:r>
              <w:rPr>
                <w:rFonts w:hint="eastAsia" w:ascii="Times New Roman" w:hAnsi="Times New Roman" w:eastAsia="宋体" w:cs="Times New Roman"/>
                <w:b/>
                <w:bCs/>
                <w:color w:val="auto"/>
                <w:sz w:val="21"/>
                <w:szCs w:val="21"/>
                <w:lang w:eastAsia="zh-CN"/>
              </w:rPr>
              <w:t>序号</w:t>
            </w:r>
          </w:p>
        </w:tc>
        <w:tc>
          <w:tcPr>
            <w:tcW w:w="2730" w:type="dxa"/>
            <w:vAlign w:val="center"/>
          </w:tcPr>
          <w:p>
            <w:pPr>
              <w:adjustRightInd w:val="0"/>
              <w:snapToGrid w:val="0"/>
              <w:jc w:val="center"/>
              <w:rPr>
                <w:rFonts w:hint="eastAsia" w:ascii="Times New Roman" w:hAnsi="Times New Roman" w:eastAsia="宋体" w:cs="Times New Roman"/>
                <w:b/>
                <w:bCs/>
                <w:color w:val="auto"/>
                <w:sz w:val="21"/>
                <w:szCs w:val="21"/>
                <w:lang w:eastAsia="zh-CN"/>
              </w:rPr>
            </w:pPr>
            <w:r>
              <w:rPr>
                <w:rFonts w:hint="eastAsia" w:ascii="Times New Roman" w:hAnsi="Times New Roman" w:eastAsia="宋体" w:cs="Times New Roman"/>
                <w:b/>
                <w:bCs/>
                <w:color w:val="auto"/>
                <w:sz w:val="21"/>
                <w:szCs w:val="21"/>
                <w:lang w:eastAsia="zh-CN"/>
              </w:rPr>
              <w:t>产生环节</w:t>
            </w:r>
          </w:p>
        </w:tc>
        <w:tc>
          <w:tcPr>
            <w:tcW w:w="2836" w:type="dxa"/>
            <w:vAlign w:val="center"/>
          </w:tcPr>
          <w:p>
            <w:pPr>
              <w:adjustRightInd w:val="0"/>
              <w:snapToGrid w:val="0"/>
              <w:jc w:val="center"/>
              <w:rPr>
                <w:rFonts w:hint="eastAsia" w:ascii="Times New Roman" w:hAnsi="Times New Roman" w:eastAsia="宋体" w:cs="Times New Roman"/>
                <w:b/>
                <w:bCs/>
                <w:color w:val="auto"/>
                <w:sz w:val="21"/>
                <w:szCs w:val="21"/>
                <w:lang w:eastAsia="zh-CN"/>
              </w:rPr>
            </w:pPr>
            <w:r>
              <w:rPr>
                <w:rFonts w:hint="eastAsia" w:ascii="Times New Roman" w:hAnsi="Times New Roman" w:eastAsia="宋体" w:cs="Times New Roman"/>
                <w:b/>
                <w:bCs/>
                <w:color w:val="auto"/>
                <w:sz w:val="21"/>
                <w:szCs w:val="21"/>
                <w:lang w:eastAsia="zh-CN"/>
              </w:rPr>
              <w:t>主要污染物</w:t>
            </w:r>
          </w:p>
        </w:tc>
        <w:tc>
          <w:tcPr>
            <w:tcW w:w="2305" w:type="dxa"/>
            <w:vAlign w:val="center"/>
          </w:tcPr>
          <w:p>
            <w:pPr>
              <w:adjustRightInd w:val="0"/>
              <w:snapToGrid w:val="0"/>
              <w:jc w:val="center"/>
              <w:rPr>
                <w:rFonts w:hint="eastAsia" w:ascii="Times New Roman" w:hAnsi="Times New Roman" w:eastAsia="宋体" w:cs="Times New Roman"/>
                <w:b/>
                <w:bCs/>
                <w:color w:val="auto"/>
                <w:sz w:val="21"/>
                <w:szCs w:val="21"/>
                <w:lang w:eastAsia="zh-CN"/>
              </w:rPr>
            </w:pPr>
            <w:r>
              <w:rPr>
                <w:rFonts w:hint="eastAsia" w:ascii="Times New Roman" w:hAnsi="Times New Roman" w:eastAsia="宋体" w:cs="Times New Roman"/>
                <w:b/>
                <w:bCs/>
                <w:color w:val="auto"/>
                <w:sz w:val="21"/>
                <w:szCs w:val="21"/>
                <w:lang w:eastAsia="zh-CN"/>
              </w:rPr>
              <w:t>废物类别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9" w:type="dxa"/>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c>
          <w:tcPr>
            <w:tcW w:w="2730" w:type="dxa"/>
            <w:vMerge w:val="restart"/>
            <w:vAlign w:val="center"/>
          </w:tcPr>
          <w:p>
            <w:pPr>
              <w:adjustRightInd w:val="0"/>
              <w:snapToGrid w:val="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办公生活区</w:t>
            </w:r>
          </w:p>
        </w:tc>
        <w:tc>
          <w:tcPr>
            <w:tcW w:w="2836" w:type="dxa"/>
            <w:vAlign w:val="center"/>
          </w:tcPr>
          <w:p>
            <w:pPr>
              <w:adjustRightInd w:val="0"/>
              <w:snapToGrid w:val="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职工生活垃圾</w:t>
            </w:r>
          </w:p>
        </w:tc>
        <w:tc>
          <w:tcPr>
            <w:tcW w:w="2305" w:type="dxa"/>
            <w:vMerge w:val="restart"/>
            <w:vAlign w:val="center"/>
          </w:tcPr>
          <w:p>
            <w:pPr>
              <w:adjustRightInd w:val="0"/>
              <w:snapToGrid w:val="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一般固废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9" w:type="dxa"/>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p>
        </w:tc>
        <w:tc>
          <w:tcPr>
            <w:tcW w:w="2730" w:type="dxa"/>
            <w:vMerge w:val="continue"/>
            <w:vAlign w:val="center"/>
          </w:tcPr>
          <w:p>
            <w:pPr>
              <w:adjustRightInd w:val="0"/>
              <w:snapToGrid w:val="0"/>
              <w:jc w:val="center"/>
              <w:rPr>
                <w:rFonts w:hint="eastAsia" w:ascii="Times New Roman" w:hAnsi="Times New Roman" w:eastAsia="宋体" w:cs="Times New Roman"/>
                <w:color w:val="auto"/>
                <w:sz w:val="21"/>
                <w:szCs w:val="21"/>
                <w:lang w:eastAsia="zh-CN"/>
              </w:rPr>
            </w:pPr>
          </w:p>
        </w:tc>
        <w:tc>
          <w:tcPr>
            <w:tcW w:w="2836" w:type="dxa"/>
            <w:vAlign w:val="center"/>
          </w:tcPr>
          <w:p>
            <w:pPr>
              <w:adjustRightInd w:val="0"/>
              <w:snapToGrid w:val="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食堂废油脂</w:t>
            </w:r>
          </w:p>
        </w:tc>
        <w:tc>
          <w:tcPr>
            <w:tcW w:w="2305" w:type="dxa"/>
            <w:vMerge w:val="continue"/>
            <w:vAlign w:val="center"/>
          </w:tcPr>
          <w:p>
            <w:pPr>
              <w:adjustRightInd w:val="0"/>
              <w:snapToGrid w:val="0"/>
              <w:jc w:val="center"/>
              <w:rPr>
                <w:rFonts w:hint="eastAsia" w:ascii="Times New Roman" w:hAnsi="Times New Roman" w:eastAsia="宋体" w:cs="Times New Roman"/>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9" w:type="dxa"/>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w:t>
            </w:r>
          </w:p>
        </w:tc>
        <w:tc>
          <w:tcPr>
            <w:tcW w:w="2730" w:type="dxa"/>
            <w:vAlign w:val="center"/>
          </w:tcPr>
          <w:p>
            <w:pPr>
              <w:adjustRightInd w:val="0"/>
              <w:snapToGrid w:val="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养殖区</w:t>
            </w:r>
          </w:p>
        </w:tc>
        <w:tc>
          <w:tcPr>
            <w:tcW w:w="2836" w:type="dxa"/>
            <w:vAlign w:val="center"/>
          </w:tcPr>
          <w:p>
            <w:pPr>
              <w:adjustRightInd w:val="0"/>
              <w:snapToGrid w:val="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猪粪</w:t>
            </w:r>
          </w:p>
        </w:tc>
        <w:tc>
          <w:tcPr>
            <w:tcW w:w="2305" w:type="dxa"/>
            <w:vMerge w:val="continue"/>
            <w:vAlign w:val="center"/>
          </w:tcPr>
          <w:p>
            <w:pPr>
              <w:adjustRightInd w:val="0"/>
              <w:snapToGrid w:val="0"/>
              <w:jc w:val="center"/>
              <w:rPr>
                <w:rFonts w:hint="eastAsia" w:ascii="Times New Roman" w:hAnsi="Times New Roman" w:eastAsia="宋体" w:cs="Times New Roman"/>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9" w:type="dxa"/>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w:t>
            </w:r>
          </w:p>
        </w:tc>
        <w:tc>
          <w:tcPr>
            <w:tcW w:w="2730" w:type="dxa"/>
            <w:vAlign w:val="center"/>
          </w:tcPr>
          <w:p>
            <w:pPr>
              <w:adjustRightInd w:val="0"/>
              <w:snapToGrid w:val="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饲料</w:t>
            </w:r>
          </w:p>
        </w:tc>
        <w:tc>
          <w:tcPr>
            <w:tcW w:w="2836" w:type="dxa"/>
            <w:vAlign w:val="center"/>
          </w:tcPr>
          <w:p>
            <w:pPr>
              <w:adjustRightInd w:val="0"/>
              <w:snapToGrid w:val="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废包装材料</w:t>
            </w:r>
          </w:p>
        </w:tc>
        <w:tc>
          <w:tcPr>
            <w:tcW w:w="2305" w:type="dxa"/>
            <w:vMerge w:val="continue"/>
            <w:vAlign w:val="center"/>
          </w:tcPr>
          <w:p>
            <w:pPr>
              <w:adjustRightInd w:val="0"/>
              <w:snapToGrid w:val="0"/>
              <w:jc w:val="center"/>
              <w:rPr>
                <w:rFonts w:hint="eastAsia" w:ascii="Times New Roman" w:hAnsi="Times New Roman" w:eastAsia="宋体" w:cs="Times New Roman"/>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9" w:type="dxa"/>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w:t>
            </w:r>
          </w:p>
        </w:tc>
        <w:tc>
          <w:tcPr>
            <w:tcW w:w="2730" w:type="dxa"/>
            <w:vAlign w:val="center"/>
          </w:tcPr>
          <w:p>
            <w:pPr>
              <w:adjustRightInd w:val="0"/>
              <w:snapToGrid w:val="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养殖区</w:t>
            </w:r>
          </w:p>
        </w:tc>
        <w:tc>
          <w:tcPr>
            <w:tcW w:w="2836" w:type="dxa"/>
            <w:vAlign w:val="center"/>
          </w:tcPr>
          <w:p>
            <w:pPr>
              <w:adjustRightInd w:val="0"/>
              <w:snapToGrid w:val="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病死猪</w:t>
            </w:r>
          </w:p>
        </w:tc>
        <w:tc>
          <w:tcPr>
            <w:tcW w:w="2305" w:type="dxa"/>
            <w:vMerge w:val="continue"/>
            <w:vAlign w:val="center"/>
          </w:tcPr>
          <w:p>
            <w:pPr>
              <w:adjustRightInd w:val="0"/>
              <w:snapToGrid w:val="0"/>
              <w:jc w:val="center"/>
              <w:rPr>
                <w:rFonts w:hint="eastAsia" w:ascii="Times New Roman" w:hAnsi="Times New Roman" w:eastAsia="宋体" w:cs="Times New Roman"/>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9" w:type="dxa"/>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w:t>
            </w:r>
          </w:p>
        </w:tc>
        <w:tc>
          <w:tcPr>
            <w:tcW w:w="2730" w:type="dxa"/>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eastAsia="zh-CN"/>
              </w:rPr>
              <w:t>污水处理区</w:t>
            </w:r>
          </w:p>
        </w:tc>
        <w:tc>
          <w:tcPr>
            <w:tcW w:w="2836" w:type="dxa"/>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eastAsia="zh-CN"/>
              </w:rPr>
              <w:t>污泥</w:t>
            </w:r>
          </w:p>
        </w:tc>
        <w:tc>
          <w:tcPr>
            <w:tcW w:w="2305" w:type="dxa"/>
            <w:vMerge w:val="continue"/>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9" w:type="dxa"/>
            <w:vAlign w:val="center"/>
          </w:tcPr>
          <w:p>
            <w:pPr>
              <w:adjustRightInd w:val="0"/>
              <w:snapToGrid w:val="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w:t>
            </w:r>
          </w:p>
        </w:tc>
        <w:tc>
          <w:tcPr>
            <w:tcW w:w="2730" w:type="dxa"/>
            <w:vAlign w:val="center"/>
          </w:tcPr>
          <w:p>
            <w:pPr>
              <w:adjustRightInd w:val="0"/>
              <w:snapToGrid w:val="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防疫过程</w:t>
            </w:r>
          </w:p>
        </w:tc>
        <w:tc>
          <w:tcPr>
            <w:tcW w:w="2836" w:type="dxa"/>
            <w:vAlign w:val="center"/>
          </w:tcPr>
          <w:p>
            <w:pPr>
              <w:adjustRightInd w:val="0"/>
              <w:snapToGrid w:val="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废疫苗瓶、废消毒剂瓶和废弃针头</w:t>
            </w:r>
          </w:p>
        </w:tc>
        <w:tc>
          <w:tcPr>
            <w:tcW w:w="2305" w:type="dxa"/>
            <w:vAlign w:val="center"/>
          </w:tcPr>
          <w:p>
            <w:pPr>
              <w:adjustRightInd w:val="0"/>
              <w:snapToGrid w:val="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危险废物</w:t>
            </w:r>
          </w:p>
        </w:tc>
      </w:tr>
    </w:tbl>
    <w:p>
      <w:pPr>
        <w:adjustRightInd w:val="0"/>
        <w:snapToGrid w:val="0"/>
        <w:spacing w:line="360" w:lineRule="auto"/>
        <w:ind w:firstLine="482" w:firstLineChars="200"/>
        <w:rPr>
          <w:rFonts w:hint="eastAsia" w:ascii="Times New Roman" w:hAnsi="Times New Roman" w:eastAsia="宋体" w:cs="Times New Roman"/>
          <w:b/>
          <w:bCs w:val="0"/>
          <w:color w:val="auto"/>
          <w:sz w:val="24"/>
          <w:szCs w:val="24"/>
          <w:lang w:eastAsia="zh-CN"/>
        </w:rPr>
      </w:pPr>
      <w:r>
        <w:rPr>
          <w:rFonts w:hint="eastAsia" w:ascii="Times New Roman" w:hAnsi="Times New Roman" w:eastAsia="宋体" w:cs="Times New Roman"/>
          <w:b/>
          <w:bCs w:val="0"/>
          <w:color w:val="auto"/>
          <w:sz w:val="24"/>
          <w:szCs w:val="24"/>
          <w:lang w:val="en-US" w:eastAsia="zh-CN"/>
        </w:rPr>
        <w:t>1、</w:t>
      </w:r>
      <w:r>
        <w:rPr>
          <w:rFonts w:hint="eastAsia" w:ascii="Times New Roman" w:hAnsi="Times New Roman" w:eastAsia="宋体" w:cs="Times New Roman"/>
          <w:b/>
          <w:bCs w:val="0"/>
          <w:color w:val="auto"/>
          <w:sz w:val="24"/>
          <w:szCs w:val="24"/>
          <w:lang w:eastAsia="zh-CN"/>
        </w:rPr>
        <w:t>一般固废</w:t>
      </w:r>
    </w:p>
    <w:p>
      <w:pPr>
        <w:adjustRightInd w:val="0"/>
        <w:snapToGrid w:val="0"/>
        <w:spacing w:line="360" w:lineRule="auto"/>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一般固体废弃物主要为：职工生活垃圾、食堂废油脂、猪粪、废包装材料</w:t>
      </w:r>
      <w:r>
        <w:rPr>
          <w:rFonts w:hint="eastAsia" w:ascii="Times New Roman" w:hAnsi="Times New Roman" w:eastAsia="宋体" w:cs="Times New Roman"/>
          <w:bCs/>
          <w:color w:val="auto"/>
          <w:sz w:val="24"/>
          <w:szCs w:val="24"/>
          <w:lang w:eastAsia="zh-CN"/>
        </w:rPr>
        <w:t>、</w:t>
      </w:r>
      <w:r>
        <w:rPr>
          <w:rFonts w:hint="eastAsia" w:ascii="Times New Roman" w:hAnsi="Times New Roman" w:eastAsia="宋体" w:cs="Times New Roman"/>
          <w:bCs/>
          <w:color w:val="auto"/>
          <w:sz w:val="24"/>
          <w:szCs w:val="24"/>
        </w:rPr>
        <w:t>病死猪</w:t>
      </w:r>
      <w:r>
        <w:rPr>
          <w:rFonts w:hint="eastAsia" w:ascii="Times New Roman" w:hAnsi="Times New Roman" w:eastAsia="宋体" w:cs="Times New Roman"/>
          <w:bCs/>
          <w:color w:val="auto"/>
          <w:sz w:val="24"/>
          <w:szCs w:val="24"/>
          <w:lang w:eastAsia="zh-CN"/>
        </w:rPr>
        <w:t>、污水处理区污泥、脱硫剂</w:t>
      </w:r>
      <w:r>
        <w:rPr>
          <w:rFonts w:hint="eastAsia" w:ascii="Times New Roman" w:hAnsi="Times New Roman" w:eastAsia="宋体" w:cs="Times New Roman"/>
          <w:bCs/>
          <w:color w:val="auto"/>
          <w:sz w:val="24"/>
          <w:szCs w:val="24"/>
        </w:rPr>
        <w:t>等。</w:t>
      </w:r>
    </w:p>
    <w:p>
      <w:pPr>
        <w:adjustRightInd w:val="0"/>
        <w:snapToGrid w:val="0"/>
        <w:spacing w:line="360" w:lineRule="auto"/>
        <w:ind w:firstLine="480" w:firstLineChars="200"/>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lang w:eastAsia="zh-CN"/>
        </w:rPr>
        <w:t>（</w:t>
      </w:r>
      <w:r>
        <w:rPr>
          <w:rFonts w:hint="eastAsia" w:ascii="Times New Roman" w:hAnsi="Times New Roman" w:eastAsia="宋体" w:cs="Times New Roman"/>
          <w:bCs/>
          <w:color w:val="auto"/>
          <w:sz w:val="24"/>
          <w:szCs w:val="24"/>
          <w:lang w:val="en-US" w:eastAsia="zh-CN"/>
        </w:rPr>
        <w:t>1</w:t>
      </w:r>
      <w:r>
        <w:rPr>
          <w:rFonts w:hint="eastAsia" w:ascii="Times New Roman" w:hAnsi="Times New Roman" w:eastAsia="宋体" w:cs="Times New Roman"/>
          <w:bCs/>
          <w:color w:val="auto"/>
          <w:sz w:val="24"/>
          <w:szCs w:val="24"/>
          <w:lang w:eastAsia="zh-CN"/>
        </w:rPr>
        <w:t>）</w:t>
      </w:r>
      <w:r>
        <w:rPr>
          <w:rFonts w:hint="eastAsia" w:ascii="Times New Roman" w:hAnsi="Times New Roman" w:eastAsia="宋体" w:cs="Times New Roman"/>
          <w:bCs/>
          <w:color w:val="auto"/>
          <w:sz w:val="24"/>
          <w:szCs w:val="24"/>
        </w:rPr>
        <w:t>职工生活垃圾</w:t>
      </w:r>
    </w:p>
    <w:p>
      <w:p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本项目劳动</w:t>
      </w:r>
      <w:r>
        <w:rPr>
          <w:rFonts w:hint="eastAsia" w:ascii="Times New Roman" w:hAnsi="Times New Roman" w:eastAsia="宋体" w:cs="Times New Roman"/>
          <w:bCs/>
          <w:color w:val="auto"/>
          <w:sz w:val="24"/>
          <w:szCs w:val="24"/>
          <w:lang w:eastAsia="zh-CN"/>
        </w:rPr>
        <w:t>定员50</w:t>
      </w:r>
      <w:r>
        <w:rPr>
          <w:rFonts w:hint="eastAsia" w:ascii="Times New Roman" w:hAnsi="Times New Roman" w:eastAsia="宋体" w:cs="Times New Roman"/>
          <w:bCs/>
          <w:color w:val="auto"/>
          <w:sz w:val="24"/>
          <w:szCs w:val="24"/>
        </w:rPr>
        <w:t>人，人均生活垃圾的产生量按照 0.5kg/d 计算，则生活垃圾的产生量为</w:t>
      </w:r>
      <w:r>
        <w:rPr>
          <w:rFonts w:hint="eastAsia" w:ascii="Times New Roman" w:hAnsi="Times New Roman" w:eastAsia="宋体" w:cs="Times New Roman"/>
          <w:bCs/>
          <w:color w:val="auto"/>
          <w:sz w:val="24"/>
          <w:szCs w:val="24"/>
          <w:lang w:val="en-US" w:eastAsia="zh-CN"/>
        </w:rPr>
        <w:t>9.125</w:t>
      </w:r>
      <w:r>
        <w:rPr>
          <w:rFonts w:hint="eastAsia" w:ascii="Times New Roman" w:hAnsi="Times New Roman" w:eastAsia="宋体" w:cs="Times New Roman"/>
          <w:bCs/>
          <w:color w:val="auto"/>
          <w:sz w:val="24"/>
          <w:szCs w:val="24"/>
        </w:rPr>
        <w:t>t/a，收集后由村环卫部门清运至定点垃圾收集点再行转运处理。</w:t>
      </w:r>
    </w:p>
    <w:p>
      <w:p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lang w:eastAsia="zh-CN"/>
        </w:rPr>
        <w:t>（</w:t>
      </w:r>
      <w:r>
        <w:rPr>
          <w:rFonts w:hint="eastAsia" w:ascii="Times New Roman" w:hAnsi="Times New Roman" w:eastAsia="宋体" w:cs="Times New Roman"/>
          <w:bCs/>
          <w:color w:val="auto"/>
          <w:sz w:val="24"/>
          <w:szCs w:val="24"/>
          <w:lang w:val="en-US" w:eastAsia="zh-CN"/>
        </w:rPr>
        <w:t>2</w:t>
      </w:r>
      <w:r>
        <w:rPr>
          <w:rFonts w:hint="eastAsia" w:ascii="Times New Roman" w:hAnsi="Times New Roman" w:eastAsia="宋体" w:cs="Times New Roman"/>
          <w:bCs/>
          <w:color w:val="auto"/>
          <w:sz w:val="24"/>
          <w:szCs w:val="24"/>
          <w:lang w:eastAsia="zh-CN"/>
        </w:rPr>
        <w:t>）</w:t>
      </w:r>
      <w:r>
        <w:rPr>
          <w:rFonts w:hint="eastAsia" w:ascii="Times New Roman" w:hAnsi="Times New Roman" w:eastAsia="宋体" w:cs="Times New Roman"/>
          <w:bCs/>
          <w:color w:val="auto"/>
          <w:sz w:val="24"/>
          <w:szCs w:val="24"/>
        </w:rPr>
        <w:t>食堂废油脂</w:t>
      </w:r>
    </w:p>
    <w:p>
      <w:p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本项目设有食堂，食堂废水经隔油池处理后</w:t>
      </w:r>
      <w:r>
        <w:rPr>
          <w:rFonts w:hint="eastAsia" w:ascii="Times New Roman" w:hAnsi="Times New Roman" w:eastAsia="宋体" w:cs="Times New Roman"/>
          <w:bCs/>
          <w:color w:val="auto"/>
          <w:sz w:val="24"/>
          <w:szCs w:val="24"/>
          <w:lang w:eastAsia="zh-CN"/>
        </w:rPr>
        <w:t>同养殖废水一起经过污水处理区处理</w:t>
      </w:r>
      <w:r>
        <w:rPr>
          <w:rFonts w:hint="eastAsia" w:ascii="Times New Roman" w:hAnsi="Times New Roman" w:eastAsia="宋体" w:cs="Times New Roman"/>
          <w:bCs/>
          <w:color w:val="auto"/>
          <w:sz w:val="24"/>
          <w:szCs w:val="24"/>
        </w:rPr>
        <w:t xml:space="preserve">，隔油池会产生一定量的废油脂，废油脂产生量按食用油的10%计，项目年使用食物油 </w:t>
      </w:r>
      <w:r>
        <w:rPr>
          <w:rFonts w:hint="eastAsia" w:ascii="Times New Roman" w:hAnsi="Times New Roman" w:eastAsia="宋体" w:cs="Times New Roman"/>
          <w:bCs/>
          <w:color w:val="auto"/>
          <w:sz w:val="24"/>
          <w:szCs w:val="24"/>
          <w:lang w:val="en-US" w:eastAsia="zh-CN"/>
        </w:rPr>
        <w:t>0.55</w:t>
      </w:r>
      <w:r>
        <w:rPr>
          <w:rFonts w:hint="eastAsia" w:ascii="Times New Roman" w:hAnsi="Times New Roman" w:eastAsia="宋体" w:cs="Times New Roman"/>
          <w:bCs/>
          <w:color w:val="auto"/>
          <w:sz w:val="24"/>
          <w:szCs w:val="24"/>
        </w:rPr>
        <w:t>t/a，则废油脂产生量约为</w:t>
      </w:r>
      <w:r>
        <w:rPr>
          <w:rFonts w:hint="eastAsia" w:ascii="Times New Roman" w:hAnsi="Times New Roman" w:eastAsia="宋体" w:cs="Times New Roman"/>
          <w:bCs/>
          <w:color w:val="auto"/>
          <w:sz w:val="24"/>
          <w:szCs w:val="24"/>
          <w:lang w:val="en-US" w:eastAsia="zh-CN"/>
        </w:rPr>
        <w:t>0.055</w:t>
      </w:r>
      <w:r>
        <w:rPr>
          <w:rFonts w:hint="eastAsia" w:ascii="Times New Roman" w:hAnsi="Times New Roman" w:eastAsia="宋体" w:cs="Times New Roman"/>
          <w:bCs/>
          <w:color w:val="auto"/>
          <w:sz w:val="24"/>
          <w:szCs w:val="24"/>
        </w:rPr>
        <w:t>t/a，收集后交由有</w:t>
      </w:r>
      <w:r>
        <w:rPr>
          <w:rFonts w:hint="eastAsia" w:ascii="Times New Roman" w:hAnsi="Times New Roman" w:eastAsia="宋体" w:cs="Times New Roman"/>
          <w:bCs/>
          <w:color w:val="auto"/>
          <w:sz w:val="24"/>
          <w:szCs w:val="24"/>
          <w:lang w:eastAsia="zh-CN"/>
        </w:rPr>
        <w:t>环卫部门</w:t>
      </w:r>
      <w:r>
        <w:rPr>
          <w:rFonts w:hint="eastAsia" w:ascii="Times New Roman" w:hAnsi="Times New Roman" w:eastAsia="宋体" w:cs="Times New Roman"/>
          <w:bCs/>
          <w:color w:val="auto"/>
          <w:sz w:val="24"/>
          <w:szCs w:val="24"/>
        </w:rPr>
        <w:t>处理。</w:t>
      </w:r>
    </w:p>
    <w:p>
      <w:p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lang w:eastAsia="zh-CN"/>
        </w:rPr>
        <w:t>（</w:t>
      </w:r>
      <w:r>
        <w:rPr>
          <w:rFonts w:hint="eastAsia" w:ascii="Times New Roman" w:hAnsi="Times New Roman" w:eastAsia="宋体" w:cs="Times New Roman"/>
          <w:bCs/>
          <w:color w:val="auto"/>
          <w:sz w:val="24"/>
          <w:szCs w:val="24"/>
          <w:lang w:val="en-US" w:eastAsia="zh-CN"/>
        </w:rPr>
        <w:t>3</w:t>
      </w:r>
      <w:r>
        <w:rPr>
          <w:rFonts w:hint="eastAsia" w:ascii="Times New Roman" w:hAnsi="Times New Roman" w:eastAsia="宋体" w:cs="Times New Roman"/>
          <w:bCs/>
          <w:color w:val="auto"/>
          <w:sz w:val="24"/>
          <w:szCs w:val="24"/>
          <w:lang w:eastAsia="zh-CN"/>
        </w:rPr>
        <w:t>）</w:t>
      </w:r>
      <w:r>
        <w:rPr>
          <w:rFonts w:hint="eastAsia" w:ascii="Times New Roman" w:hAnsi="Times New Roman" w:eastAsia="宋体" w:cs="Times New Roman"/>
          <w:bCs/>
          <w:color w:val="auto"/>
          <w:sz w:val="24"/>
          <w:szCs w:val="24"/>
        </w:rPr>
        <w:t>猪粪</w:t>
      </w:r>
    </w:p>
    <w:p>
      <w:pPr>
        <w:adjustRightInd w:val="0"/>
        <w:snapToGrid w:val="0"/>
        <w:spacing w:line="360" w:lineRule="auto"/>
        <w:ind w:firstLine="482" w:firstLineChars="200"/>
        <w:rPr>
          <w:rFonts w:hint="eastAsia" w:ascii="Times New Roman" w:hAnsi="Times New Roman" w:eastAsia="宋体" w:cs="Times New Roman"/>
          <w:b/>
          <w:bCs w:val="0"/>
          <w:color w:val="auto"/>
          <w:sz w:val="24"/>
          <w:szCs w:val="24"/>
          <w:lang w:eastAsia="zh-CN"/>
        </w:rPr>
      </w:pPr>
      <w:r>
        <w:rPr>
          <w:rFonts w:hint="eastAsia" w:ascii="Times New Roman" w:hAnsi="Times New Roman" w:eastAsia="宋体" w:cs="Times New Roman"/>
          <w:b/>
          <w:bCs w:val="0"/>
          <w:color w:val="auto"/>
          <w:sz w:val="24"/>
          <w:szCs w:val="24"/>
          <w:lang w:eastAsia="zh-CN"/>
        </w:rPr>
        <w:t>产生情况：</w:t>
      </w:r>
    </w:p>
    <w:p>
      <w:pPr>
        <w:adjustRightInd w:val="0"/>
        <w:snapToGrid w:val="0"/>
        <w:spacing w:line="360" w:lineRule="auto"/>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根据《畜禽养殖业污染治理工程技术规范》（HJ497-2009）附录 A 中成猪粪产生定额约为2.0kg/d·头，计算出猪粪的产生量为</w:t>
      </w:r>
      <w:r>
        <w:rPr>
          <w:rFonts w:hint="eastAsia" w:ascii="Times New Roman" w:hAnsi="Times New Roman" w:eastAsia="宋体" w:cs="Times New Roman"/>
          <w:bCs/>
          <w:color w:val="auto"/>
          <w:sz w:val="24"/>
          <w:szCs w:val="24"/>
          <w:lang w:val="en-US" w:eastAsia="zh-CN"/>
        </w:rPr>
        <w:t>30</w:t>
      </w:r>
      <w:r>
        <w:rPr>
          <w:rFonts w:hint="eastAsia" w:ascii="Times New Roman" w:hAnsi="Times New Roman" w:eastAsia="宋体" w:cs="Times New Roman"/>
          <w:bCs/>
          <w:color w:val="auto"/>
          <w:sz w:val="24"/>
          <w:szCs w:val="24"/>
        </w:rPr>
        <w:t>t/d（</w:t>
      </w:r>
      <w:r>
        <w:rPr>
          <w:rFonts w:hint="eastAsia" w:ascii="Times New Roman" w:hAnsi="Times New Roman" w:eastAsia="宋体" w:cs="Times New Roman"/>
          <w:bCs/>
          <w:color w:val="auto"/>
          <w:sz w:val="24"/>
          <w:szCs w:val="24"/>
          <w:lang w:val="en-US" w:eastAsia="zh-CN"/>
        </w:rPr>
        <w:t>10950</w:t>
      </w:r>
      <w:r>
        <w:rPr>
          <w:rFonts w:hint="eastAsia" w:ascii="Times New Roman" w:hAnsi="Times New Roman" w:eastAsia="宋体" w:cs="Times New Roman"/>
          <w:bCs/>
          <w:color w:val="auto"/>
          <w:sz w:val="24"/>
          <w:szCs w:val="24"/>
        </w:rPr>
        <w:t>t/a）。</w:t>
      </w:r>
    </w:p>
    <w:p>
      <w:pPr>
        <w:pStyle w:val="16"/>
        <w:ind w:left="0"/>
        <w:rPr>
          <w:rFonts w:hint="eastAsia" w:ascii="Times New Roman" w:hAnsi="Times New Roman" w:eastAsia="宋体"/>
          <w:color w:val="auto"/>
          <w:sz w:val="21"/>
          <w:szCs w:val="21"/>
        </w:rPr>
      </w:pPr>
      <w:r>
        <w:rPr>
          <w:rFonts w:ascii="Times New Roman" w:hAnsi="Times New Roman" w:eastAsia="宋体" w:cs="Times New Roman"/>
          <w:color w:val="auto"/>
          <w:sz w:val="21"/>
          <w:szCs w:val="21"/>
        </w:rPr>
        <w:t>表3.</w:t>
      </w:r>
      <w:r>
        <w:rPr>
          <w:rFonts w:hint="eastAsia" w:ascii="Times New Roman" w:hAnsi="Times New Roman" w:eastAsia="宋体" w:cs="Times New Roman"/>
          <w:color w:val="auto"/>
          <w:sz w:val="21"/>
          <w:szCs w:val="21"/>
        </w:rPr>
        <w:t>5</w:t>
      </w:r>
      <w:r>
        <w:rPr>
          <w:rFonts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 xml:space="preserve">21  </w:t>
      </w:r>
      <w:r>
        <w:rPr>
          <w:rFonts w:hint="eastAsia" w:ascii="Times New Roman" w:hAnsi="Times New Roman" w:eastAsia="宋体"/>
          <w:color w:val="auto"/>
          <w:sz w:val="21"/>
          <w:szCs w:val="21"/>
        </w:rPr>
        <w:t>项目猪粪的组成</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4"/>
        <w:gridCol w:w="1844"/>
        <w:gridCol w:w="1844"/>
        <w:gridCol w:w="1844"/>
        <w:gridCol w:w="1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vAlign w:val="center"/>
          </w:tcPr>
          <w:p>
            <w:pPr>
              <w:adjustRightInd w:val="0"/>
              <w:snapToGrid w:val="0"/>
              <w:jc w:val="center"/>
              <w:rPr>
                <w:rFonts w:hint="eastAsia" w:ascii="Times New Roman" w:hAnsi="Times New Roman" w:eastAsia="宋体" w:cs="Times New Roman"/>
                <w:b/>
                <w:bCs/>
                <w:color w:val="auto"/>
                <w:sz w:val="21"/>
                <w:szCs w:val="21"/>
                <w:lang w:eastAsia="zh-CN"/>
              </w:rPr>
            </w:pPr>
            <w:r>
              <w:rPr>
                <w:rFonts w:hint="eastAsia" w:ascii="Times New Roman" w:hAnsi="Times New Roman" w:eastAsia="宋体" w:cs="Times New Roman"/>
                <w:b/>
                <w:bCs/>
                <w:color w:val="auto"/>
                <w:sz w:val="21"/>
                <w:szCs w:val="21"/>
                <w:lang w:eastAsia="zh-CN"/>
              </w:rPr>
              <w:t>猪粪组成</w:t>
            </w:r>
          </w:p>
        </w:tc>
        <w:tc>
          <w:tcPr>
            <w:tcW w:w="1844" w:type="dxa"/>
            <w:vAlign w:val="center"/>
          </w:tcPr>
          <w:p>
            <w:pPr>
              <w:adjustRightInd w:val="0"/>
              <w:snapToGrid w:val="0"/>
              <w:jc w:val="center"/>
              <w:rPr>
                <w:rFonts w:hint="eastAsia" w:ascii="Times New Roman" w:hAnsi="Times New Roman" w:eastAsia="宋体" w:cs="Times New Roman"/>
                <w:b/>
                <w:bCs/>
                <w:color w:val="auto"/>
                <w:sz w:val="21"/>
                <w:szCs w:val="21"/>
                <w:lang w:eastAsia="zh-CN"/>
              </w:rPr>
            </w:pPr>
            <w:r>
              <w:rPr>
                <w:rFonts w:hint="eastAsia" w:ascii="Times New Roman" w:hAnsi="Times New Roman" w:eastAsia="宋体" w:cs="Times New Roman"/>
                <w:b/>
                <w:bCs/>
                <w:color w:val="auto"/>
                <w:sz w:val="21"/>
                <w:szCs w:val="21"/>
                <w:lang w:eastAsia="zh-CN"/>
              </w:rPr>
              <w:t>挥发性固体</w:t>
            </w:r>
          </w:p>
        </w:tc>
        <w:tc>
          <w:tcPr>
            <w:tcW w:w="1844" w:type="dxa"/>
            <w:vAlign w:val="center"/>
          </w:tcPr>
          <w:p>
            <w:pPr>
              <w:adjustRightInd w:val="0"/>
              <w:snapToGrid w:val="0"/>
              <w:jc w:val="center"/>
              <w:rPr>
                <w:rFonts w:hint="eastAsia" w:ascii="Times New Roman" w:hAnsi="Times New Roman" w:eastAsia="宋体" w:cs="Times New Roman"/>
                <w:b/>
                <w:bCs/>
                <w:color w:val="auto"/>
                <w:sz w:val="21"/>
                <w:szCs w:val="21"/>
                <w:lang w:eastAsia="zh-CN"/>
              </w:rPr>
            </w:pPr>
            <w:r>
              <w:rPr>
                <w:rFonts w:hint="eastAsia" w:ascii="Times New Roman" w:hAnsi="Times New Roman" w:eastAsia="宋体" w:cs="Times New Roman"/>
                <w:b/>
                <w:bCs/>
                <w:color w:val="auto"/>
                <w:sz w:val="21"/>
                <w:szCs w:val="21"/>
                <w:lang w:eastAsia="zh-CN"/>
              </w:rPr>
              <w:t>粗脂肪</w:t>
            </w:r>
          </w:p>
        </w:tc>
        <w:tc>
          <w:tcPr>
            <w:tcW w:w="1844" w:type="dxa"/>
            <w:vAlign w:val="center"/>
          </w:tcPr>
          <w:p>
            <w:pPr>
              <w:adjustRightInd w:val="0"/>
              <w:snapToGrid w:val="0"/>
              <w:jc w:val="center"/>
              <w:rPr>
                <w:rFonts w:hint="eastAsia" w:ascii="Times New Roman" w:hAnsi="Times New Roman" w:eastAsia="宋体" w:cs="Times New Roman"/>
                <w:b/>
                <w:bCs/>
                <w:color w:val="auto"/>
                <w:sz w:val="21"/>
                <w:szCs w:val="21"/>
                <w:lang w:eastAsia="zh-CN"/>
              </w:rPr>
            </w:pPr>
            <w:r>
              <w:rPr>
                <w:rFonts w:hint="eastAsia" w:ascii="Times New Roman" w:hAnsi="Times New Roman" w:eastAsia="宋体" w:cs="Times New Roman"/>
                <w:b/>
                <w:bCs/>
                <w:color w:val="auto"/>
                <w:sz w:val="21"/>
                <w:szCs w:val="21"/>
                <w:lang w:eastAsia="zh-CN"/>
              </w:rPr>
              <w:t>木质素</w:t>
            </w:r>
          </w:p>
        </w:tc>
        <w:tc>
          <w:tcPr>
            <w:tcW w:w="1844" w:type="dxa"/>
            <w:vAlign w:val="center"/>
          </w:tcPr>
          <w:p>
            <w:pPr>
              <w:adjustRightInd w:val="0"/>
              <w:snapToGrid w:val="0"/>
              <w:jc w:val="center"/>
              <w:rPr>
                <w:rFonts w:hint="eastAsia" w:ascii="Times New Roman" w:hAnsi="Times New Roman" w:eastAsia="宋体" w:cs="Times New Roman"/>
                <w:b/>
                <w:bCs/>
                <w:color w:val="auto"/>
                <w:sz w:val="21"/>
                <w:szCs w:val="21"/>
                <w:lang w:eastAsia="zh-CN"/>
              </w:rPr>
            </w:pPr>
            <w:r>
              <w:rPr>
                <w:rFonts w:hint="eastAsia" w:ascii="Times New Roman" w:hAnsi="Times New Roman" w:eastAsia="宋体" w:cs="Times New Roman"/>
                <w:b/>
                <w:bCs/>
                <w:color w:val="auto"/>
                <w:sz w:val="21"/>
                <w:szCs w:val="21"/>
                <w:lang w:eastAsia="zh-CN"/>
              </w:rPr>
              <w:t>纤维素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vAlign w:val="center"/>
          </w:tcPr>
          <w:p>
            <w:pPr>
              <w:adjustRightInd w:val="0"/>
              <w:snapToGrid w:val="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含量（</w:t>
            </w:r>
            <w:r>
              <w:rPr>
                <w:rFonts w:hint="eastAsia"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eastAsia="zh-CN"/>
              </w:rPr>
              <w:t>）</w:t>
            </w:r>
          </w:p>
        </w:tc>
        <w:tc>
          <w:tcPr>
            <w:tcW w:w="1844" w:type="dxa"/>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76.54</w:t>
            </w:r>
          </w:p>
        </w:tc>
        <w:tc>
          <w:tcPr>
            <w:tcW w:w="1844" w:type="dxa"/>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1844" w:type="dxa"/>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21.49</w:t>
            </w:r>
          </w:p>
        </w:tc>
        <w:tc>
          <w:tcPr>
            <w:tcW w:w="1844" w:type="dxa"/>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59.95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vAlign w:val="center"/>
          </w:tcPr>
          <w:p>
            <w:pPr>
              <w:adjustRightInd w:val="0"/>
              <w:snapToGrid w:val="0"/>
              <w:jc w:val="center"/>
              <w:rPr>
                <w:rFonts w:hint="eastAsia" w:ascii="Times New Roman" w:hAnsi="Times New Roman" w:eastAsia="宋体" w:cs="Times New Roman"/>
                <w:b/>
                <w:bCs/>
                <w:color w:val="auto"/>
                <w:sz w:val="21"/>
                <w:szCs w:val="21"/>
                <w:lang w:eastAsia="zh-CN"/>
              </w:rPr>
            </w:pPr>
            <w:r>
              <w:rPr>
                <w:rFonts w:hint="eastAsia" w:ascii="Times New Roman" w:hAnsi="Times New Roman" w:eastAsia="宋体" w:cs="Times New Roman"/>
                <w:b/>
                <w:bCs/>
                <w:color w:val="auto"/>
                <w:sz w:val="21"/>
                <w:szCs w:val="21"/>
                <w:lang w:eastAsia="zh-CN"/>
              </w:rPr>
              <w:t>猪粪组成</w:t>
            </w:r>
          </w:p>
        </w:tc>
        <w:tc>
          <w:tcPr>
            <w:tcW w:w="1844" w:type="dxa"/>
            <w:vAlign w:val="center"/>
          </w:tcPr>
          <w:p>
            <w:pPr>
              <w:adjustRightInd w:val="0"/>
              <w:snapToGrid w:val="0"/>
              <w:jc w:val="center"/>
              <w:rPr>
                <w:rFonts w:hint="eastAsia" w:ascii="Times New Roman" w:hAnsi="Times New Roman" w:eastAsia="宋体" w:cs="Times New Roman"/>
                <w:b/>
                <w:bCs/>
                <w:color w:val="auto"/>
                <w:sz w:val="21"/>
                <w:szCs w:val="21"/>
                <w:lang w:eastAsia="zh-CN"/>
              </w:rPr>
            </w:pPr>
            <w:r>
              <w:rPr>
                <w:rFonts w:hint="eastAsia" w:ascii="Times New Roman" w:hAnsi="Times New Roman" w:eastAsia="宋体" w:cs="Times New Roman"/>
                <w:b/>
                <w:bCs/>
                <w:color w:val="auto"/>
                <w:sz w:val="21"/>
                <w:szCs w:val="21"/>
                <w:lang w:eastAsia="zh-CN"/>
              </w:rPr>
              <w:t>蛋白质</w:t>
            </w:r>
          </w:p>
        </w:tc>
        <w:tc>
          <w:tcPr>
            <w:tcW w:w="1844" w:type="dxa"/>
            <w:vAlign w:val="center"/>
          </w:tcPr>
          <w:p>
            <w:pPr>
              <w:adjustRightInd w:val="0"/>
              <w:snapToGrid w:val="0"/>
              <w:jc w:val="center"/>
              <w:rPr>
                <w:rFonts w:hint="eastAsia" w:ascii="Times New Roman" w:hAnsi="Times New Roman" w:eastAsia="宋体" w:cs="Times New Roman"/>
                <w:b/>
                <w:bCs/>
                <w:color w:val="auto"/>
                <w:sz w:val="21"/>
                <w:szCs w:val="21"/>
                <w:lang w:eastAsia="zh-CN"/>
              </w:rPr>
            </w:pPr>
            <w:r>
              <w:rPr>
                <w:rFonts w:hint="eastAsia" w:ascii="Times New Roman" w:hAnsi="Times New Roman" w:eastAsia="宋体" w:cs="Times New Roman"/>
                <w:b/>
                <w:bCs/>
                <w:color w:val="auto"/>
                <w:sz w:val="21"/>
                <w:szCs w:val="21"/>
                <w:lang w:eastAsia="zh-CN"/>
              </w:rPr>
              <w:t>含氮量</w:t>
            </w:r>
          </w:p>
        </w:tc>
        <w:tc>
          <w:tcPr>
            <w:tcW w:w="1844" w:type="dxa"/>
            <w:vAlign w:val="center"/>
          </w:tcPr>
          <w:p>
            <w:pPr>
              <w:adjustRightInd w:val="0"/>
              <w:snapToGrid w:val="0"/>
              <w:jc w:val="center"/>
              <w:rPr>
                <w:rFonts w:hint="eastAsia" w:ascii="Times New Roman" w:hAnsi="Times New Roman" w:eastAsia="宋体" w:cs="Times New Roman"/>
                <w:b/>
                <w:bCs/>
                <w:color w:val="auto"/>
                <w:sz w:val="21"/>
                <w:szCs w:val="21"/>
                <w:lang w:eastAsia="zh-CN"/>
              </w:rPr>
            </w:pPr>
            <w:r>
              <w:rPr>
                <w:rFonts w:hint="eastAsia" w:ascii="Times New Roman" w:hAnsi="Times New Roman" w:eastAsia="宋体" w:cs="Times New Roman"/>
                <w:b/>
                <w:bCs/>
                <w:color w:val="auto"/>
                <w:sz w:val="21"/>
                <w:szCs w:val="21"/>
                <w:lang w:eastAsia="zh-CN"/>
              </w:rPr>
              <w:t>含碳量</w:t>
            </w:r>
          </w:p>
        </w:tc>
        <w:tc>
          <w:tcPr>
            <w:tcW w:w="1844" w:type="dxa"/>
            <w:vAlign w:val="center"/>
          </w:tcPr>
          <w:p>
            <w:pPr>
              <w:adjustRightInd w:val="0"/>
              <w:snapToGrid w:val="0"/>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eastAsia="zh-CN"/>
              </w:rPr>
              <w:t>碳氮比</w:t>
            </w:r>
            <w:r>
              <w:rPr>
                <w:rFonts w:hint="eastAsia" w:ascii="Times New Roman" w:hAnsi="Times New Roman" w:eastAsia="宋体" w:cs="Times New Roman"/>
                <w:b/>
                <w:bCs/>
                <w:color w:val="auto"/>
                <w:sz w:val="21"/>
                <w:szCs w:val="21"/>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vAlign w:val="center"/>
          </w:tcPr>
          <w:p>
            <w:pPr>
              <w:adjustRightInd w:val="0"/>
              <w:snapToGrid w:val="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含量</w:t>
            </w:r>
          </w:p>
        </w:tc>
        <w:tc>
          <w:tcPr>
            <w:tcW w:w="1844" w:type="dxa"/>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10.95</w:t>
            </w:r>
          </w:p>
        </w:tc>
        <w:tc>
          <w:tcPr>
            <w:tcW w:w="1844" w:type="dxa"/>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0.6</w:t>
            </w:r>
          </w:p>
        </w:tc>
        <w:tc>
          <w:tcPr>
            <w:tcW w:w="1844" w:type="dxa"/>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7.8</w:t>
            </w:r>
          </w:p>
        </w:tc>
        <w:tc>
          <w:tcPr>
            <w:tcW w:w="1844" w:type="dxa"/>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13:01</w:t>
            </w:r>
          </w:p>
        </w:tc>
      </w:tr>
    </w:tbl>
    <w:p>
      <w:pPr>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治理措施：</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本项目猪粪采用“重力</w:t>
      </w:r>
      <w:r>
        <w:rPr>
          <w:rFonts w:hint="eastAsia" w:ascii="Times New Roman" w:hAnsi="Times New Roman" w:eastAsia="宋体" w:cs="Times New Roman"/>
          <w:color w:val="auto"/>
          <w:sz w:val="24"/>
          <w:szCs w:val="24"/>
          <w:lang w:val="en-US" w:eastAsia="zh-CN"/>
        </w:rPr>
        <w:t>式</w:t>
      </w:r>
      <w:r>
        <w:rPr>
          <w:rFonts w:hint="default" w:ascii="Times New Roman" w:hAnsi="Times New Roman" w:eastAsia="宋体" w:cs="Times New Roman"/>
          <w:color w:val="auto"/>
          <w:sz w:val="24"/>
          <w:szCs w:val="24"/>
          <w:lang w:val="en-US" w:eastAsia="zh-CN"/>
        </w:rPr>
        <w:t>干清粪工艺”，圈舍</w:t>
      </w:r>
      <w:r>
        <w:rPr>
          <w:rFonts w:hint="eastAsia" w:ascii="Times New Roman" w:hAnsi="Times New Roman" w:eastAsia="宋体" w:cs="Times New Roman"/>
          <w:color w:val="auto"/>
          <w:sz w:val="24"/>
          <w:szCs w:val="24"/>
          <w:lang w:val="en-US" w:eastAsia="zh-CN"/>
        </w:rPr>
        <w:t>猪粪依靠重力</w:t>
      </w:r>
      <w:r>
        <w:rPr>
          <w:rFonts w:hint="default" w:ascii="Times New Roman" w:hAnsi="Times New Roman" w:eastAsia="宋体" w:cs="Times New Roman"/>
          <w:color w:val="auto"/>
          <w:sz w:val="24"/>
          <w:szCs w:val="24"/>
          <w:lang w:val="en-US" w:eastAsia="zh-CN"/>
        </w:rPr>
        <w:t>排粪方式由管道直接排入</w:t>
      </w:r>
      <w:r>
        <w:rPr>
          <w:rFonts w:hint="eastAsia" w:ascii="Times New Roman" w:hAnsi="Times New Roman" w:eastAsia="宋体" w:cs="Times New Roman"/>
          <w:color w:val="auto"/>
          <w:sz w:val="24"/>
          <w:szCs w:val="24"/>
          <w:lang w:val="en-US" w:eastAsia="zh-CN"/>
        </w:rPr>
        <w:t>集粪池</w:t>
      </w:r>
      <w:r>
        <w:rPr>
          <w:rFonts w:hint="default" w:ascii="Times New Roman" w:hAnsi="Times New Roman" w:eastAsia="宋体" w:cs="Times New Roman"/>
          <w:color w:val="auto"/>
          <w:sz w:val="24"/>
          <w:szCs w:val="24"/>
          <w:lang w:val="en-US" w:eastAsia="zh-CN"/>
        </w:rPr>
        <w:t>进行固液分离后，粪渣</w:t>
      </w:r>
      <w:r>
        <w:rPr>
          <w:rFonts w:hint="eastAsia" w:ascii="Times New Roman" w:hAnsi="Times New Roman" w:eastAsia="宋体" w:cs="Times New Roman"/>
          <w:color w:val="auto"/>
          <w:sz w:val="24"/>
          <w:szCs w:val="24"/>
          <w:lang w:val="en-US" w:eastAsia="zh-CN"/>
        </w:rPr>
        <w:t>进入堆粪间，湿粪进入污水处理区</w:t>
      </w:r>
      <w:r>
        <w:rPr>
          <w:rFonts w:hint="default" w:ascii="Times New Roman" w:hAnsi="Times New Roman" w:eastAsia="宋体" w:cs="Times New Roman"/>
          <w:color w:val="auto"/>
          <w:sz w:val="24"/>
          <w:szCs w:val="24"/>
          <w:lang w:val="en-US" w:eastAsia="zh-CN"/>
        </w:rPr>
        <w:t>。本项目固废分离机设置在堆粪车间内部，固液分离后，粪便直接从分离机中由输送机排出，堆于</w:t>
      </w:r>
      <w:r>
        <w:rPr>
          <w:rFonts w:hint="eastAsia" w:ascii="Times New Roman" w:hAnsi="Times New Roman" w:eastAsia="宋体" w:cs="Times New Roman"/>
          <w:color w:val="auto"/>
          <w:sz w:val="24"/>
          <w:szCs w:val="24"/>
          <w:lang w:val="en-US" w:eastAsia="zh-CN"/>
        </w:rPr>
        <w:t>堆粪间</w:t>
      </w:r>
      <w:r>
        <w:rPr>
          <w:rFonts w:hint="default" w:ascii="Times New Roman" w:hAnsi="Times New Roman" w:eastAsia="宋体" w:cs="Times New Roman"/>
          <w:color w:val="auto"/>
          <w:sz w:val="24"/>
          <w:szCs w:val="24"/>
          <w:lang w:val="en-US" w:eastAsia="zh-CN"/>
        </w:rPr>
        <w:t>，液体从分离机下方排出进入污水处理设施下一工序，</w:t>
      </w:r>
      <w:r>
        <w:rPr>
          <w:rFonts w:hint="eastAsia" w:ascii="Times New Roman" w:hAnsi="Times New Roman" w:eastAsia="宋体" w:cs="Times New Roman"/>
          <w:color w:val="auto"/>
          <w:sz w:val="24"/>
          <w:szCs w:val="24"/>
          <w:lang w:val="en-US" w:eastAsia="zh-CN"/>
        </w:rPr>
        <w:t>固体粪便在堆粪间进行好氧堆肥后还田利用</w:t>
      </w:r>
      <w:r>
        <w:rPr>
          <w:rFonts w:hint="default" w:ascii="Times New Roman" w:hAnsi="Times New Roman" w:eastAsia="宋体" w:cs="Times New Roman"/>
          <w:color w:val="auto"/>
          <w:sz w:val="24"/>
          <w:szCs w:val="24"/>
          <w:lang w:val="en-US" w:eastAsia="zh-CN"/>
        </w:rPr>
        <w:t>。</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项目设置一处</w:t>
      </w:r>
      <w:r>
        <w:rPr>
          <w:rFonts w:hint="eastAsia" w:ascii="Times New Roman" w:hAnsi="Times New Roman" w:eastAsia="宋体" w:cs="Times New Roman"/>
          <w:color w:val="auto"/>
          <w:sz w:val="24"/>
          <w:szCs w:val="24"/>
          <w:lang w:val="en-US" w:eastAsia="zh-CN"/>
        </w:rPr>
        <w:t>堆粪间</w:t>
      </w:r>
      <w:r>
        <w:rPr>
          <w:rFonts w:hint="default" w:ascii="Times New Roman" w:hAnsi="Times New Roman" w:eastAsia="宋体" w:cs="Times New Roman"/>
          <w:color w:val="auto"/>
          <w:sz w:val="24"/>
          <w:szCs w:val="24"/>
          <w:lang w:val="en-US" w:eastAsia="zh-CN"/>
        </w:rPr>
        <w:t>，紧邻</w:t>
      </w:r>
      <w:r>
        <w:rPr>
          <w:rFonts w:hint="eastAsia" w:ascii="Times New Roman" w:hAnsi="Times New Roman" w:eastAsia="宋体" w:cs="Times New Roman"/>
          <w:color w:val="auto"/>
          <w:sz w:val="24"/>
          <w:szCs w:val="24"/>
          <w:lang w:val="en-US" w:eastAsia="zh-CN"/>
        </w:rPr>
        <w:t>污水处理区</w:t>
      </w:r>
      <w:r>
        <w:rPr>
          <w:rFonts w:hint="default" w:ascii="Times New Roman" w:hAnsi="Times New Roman" w:eastAsia="宋体" w:cs="Times New Roman"/>
          <w:color w:val="auto"/>
          <w:sz w:val="24"/>
          <w:szCs w:val="24"/>
          <w:lang w:val="en-US" w:eastAsia="zh-CN"/>
        </w:rPr>
        <w:t>，面积约为</w:t>
      </w:r>
      <w:r>
        <w:rPr>
          <w:rFonts w:hint="eastAsia" w:ascii="Times New Roman" w:hAnsi="Times New Roman" w:eastAsia="宋体" w:cs="Times New Roman"/>
          <w:color w:val="auto"/>
          <w:sz w:val="24"/>
          <w:szCs w:val="24"/>
          <w:lang w:val="en-US" w:eastAsia="zh-CN"/>
        </w:rPr>
        <w:t>300</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堆粪间</w:t>
      </w:r>
      <w:r>
        <w:rPr>
          <w:rFonts w:hint="default" w:ascii="Times New Roman" w:hAnsi="Times New Roman" w:eastAsia="宋体" w:cs="Times New Roman"/>
          <w:color w:val="auto"/>
          <w:sz w:val="24"/>
          <w:szCs w:val="24"/>
          <w:lang w:val="en-US" w:eastAsia="zh-CN"/>
        </w:rPr>
        <w:t>经硬化防渗处理，渗滤液接废水调节池送污水处理系统处理。</w:t>
      </w:r>
      <w:r>
        <w:rPr>
          <w:rFonts w:hint="eastAsia" w:ascii="Times New Roman" w:hAnsi="Times New Roman" w:eastAsia="宋体" w:cs="Times New Roman"/>
          <w:color w:val="auto"/>
          <w:sz w:val="24"/>
          <w:szCs w:val="24"/>
          <w:lang w:val="en-US" w:eastAsia="zh-CN"/>
        </w:rPr>
        <w:t>堆粪间</w:t>
      </w:r>
      <w:r>
        <w:rPr>
          <w:rFonts w:hint="default" w:ascii="Times New Roman" w:hAnsi="Times New Roman" w:eastAsia="宋体" w:cs="Times New Roman"/>
          <w:color w:val="auto"/>
          <w:sz w:val="24"/>
          <w:szCs w:val="24"/>
          <w:lang w:val="en-US" w:eastAsia="zh-CN"/>
        </w:rPr>
        <w:t>内设置粪便储存池、堆肥场、成品堆肥存放场地。粪便储存池占地面积为</w:t>
      </w:r>
      <w:r>
        <w:rPr>
          <w:rFonts w:hint="eastAsia" w:ascii="Times New Roman" w:hAnsi="Times New Roman" w:eastAsia="宋体" w:cs="Times New Roman"/>
          <w:color w:val="auto"/>
          <w:sz w:val="24"/>
          <w:szCs w:val="24"/>
          <w:lang w:val="en-US" w:eastAsia="zh-CN"/>
        </w:rPr>
        <w:t>150</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，根据《畜禽粪便贮存设施设计要求》（GB/T27622-2011），贮存设施的容积为贮存期内粪便的产生总量，其容积大小S（m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）按下列公示计算：</w:t>
      </w:r>
    </w:p>
    <w:p>
      <w:pPr>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drawing>
          <wp:inline distT="0" distB="0" distL="114300" distR="114300">
            <wp:extent cx="5728335" cy="1499870"/>
            <wp:effectExtent l="0" t="0" r="5715" b="5080"/>
            <wp:docPr id="13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18"/>
                    <pic:cNvPicPr>
                      <a:picLocks noChangeAspect="1"/>
                    </pic:cNvPicPr>
                  </pic:nvPicPr>
                  <pic:blipFill>
                    <a:blip r:embed="rId38"/>
                    <a:stretch>
                      <a:fillRect/>
                    </a:stretch>
                  </pic:blipFill>
                  <pic:spPr>
                    <a:xfrm>
                      <a:off x="0" y="0"/>
                      <a:ext cx="5728335" cy="1499870"/>
                    </a:xfrm>
                    <a:prstGeom prst="rect">
                      <a:avLst/>
                    </a:prstGeom>
                    <a:noFill/>
                    <a:ln>
                      <a:noFill/>
                    </a:ln>
                  </pic:spPr>
                </pic:pic>
              </a:graphicData>
            </a:graphic>
          </wp:inline>
        </w:drawing>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本项目根据该公式，及本项目产生粪便的情况（</w:t>
      </w:r>
      <w:r>
        <w:rPr>
          <w:rFonts w:hint="eastAsia" w:ascii="Times New Roman" w:hAnsi="Times New Roman" w:eastAsia="宋体" w:cs="Times New Roman"/>
          <w:color w:val="auto"/>
          <w:sz w:val="24"/>
          <w:szCs w:val="24"/>
          <w:lang w:val="en-US" w:eastAsia="zh-CN"/>
        </w:rPr>
        <w:t>30</w:t>
      </w:r>
      <w:r>
        <w:rPr>
          <w:rFonts w:hint="default" w:ascii="Times New Roman" w:hAnsi="Times New Roman" w:eastAsia="宋体" w:cs="Times New Roman"/>
          <w:color w:val="auto"/>
          <w:sz w:val="24"/>
          <w:szCs w:val="24"/>
          <w:lang w:val="en-US" w:eastAsia="zh-CN"/>
        </w:rPr>
        <w:t>t/d）、预计贮存时间（每</w:t>
      </w:r>
      <w:r>
        <w:rPr>
          <w:rFonts w:hint="eastAsia" w:ascii="Times New Roman" w:hAnsi="Times New Roman" w:eastAsia="宋体" w:cs="Times New Roman"/>
          <w:color w:val="auto"/>
          <w:sz w:val="24"/>
          <w:szCs w:val="24"/>
          <w:lang w:val="en-US" w:eastAsia="zh-CN"/>
        </w:rPr>
        <w:t>15</w:t>
      </w:r>
      <w:r>
        <w:rPr>
          <w:rFonts w:hint="default" w:ascii="Times New Roman" w:hAnsi="Times New Roman" w:eastAsia="宋体" w:cs="Times New Roman"/>
          <w:color w:val="auto"/>
          <w:sz w:val="24"/>
          <w:szCs w:val="24"/>
          <w:lang w:val="en-US" w:eastAsia="zh-CN"/>
        </w:rPr>
        <w:t>天转运一次）及粪便密度（990kg/m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）进行计算。经计算，本项目贮存设施的容积S为</w:t>
      </w:r>
      <w:r>
        <w:rPr>
          <w:rFonts w:hint="eastAsia" w:ascii="Times New Roman" w:hAnsi="Times New Roman" w:eastAsia="宋体" w:cs="Times New Roman"/>
          <w:color w:val="auto"/>
          <w:sz w:val="24"/>
          <w:szCs w:val="24"/>
          <w:lang w:val="en-US" w:eastAsia="zh-CN"/>
        </w:rPr>
        <w:t>454</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。本项目粪便储存池占地面积为</w:t>
      </w:r>
      <w:r>
        <w:rPr>
          <w:rFonts w:hint="eastAsia" w:ascii="Times New Roman" w:hAnsi="Times New Roman" w:eastAsia="宋体" w:cs="Times New Roman"/>
          <w:color w:val="auto"/>
          <w:sz w:val="24"/>
          <w:szCs w:val="24"/>
          <w:lang w:val="en-US" w:eastAsia="zh-CN"/>
        </w:rPr>
        <w:t>150</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，粪便设计堆高可到</w:t>
      </w:r>
      <w:r>
        <w:rPr>
          <w:rFonts w:hint="eastAsia" w:ascii="Times New Roman" w:hAnsi="Times New Roman" w:eastAsia="宋体" w:cs="Times New Roman"/>
          <w:color w:val="auto"/>
          <w:sz w:val="24"/>
          <w:szCs w:val="24"/>
          <w:lang w:val="en-US" w:eastAsia="zh-CN"/>
        </w:rPr>
        <w:t>3.20</w:t>
      </w:r>
      <w:r>
        <w:rPr>
          <w:rFonts w:hint="default" w:ascii="Times New Roman" w:hAnsi="Times New Roman" w:eastAsia="宋体" w:cs="Times New Roman"/>
          <w:color w:val="auto"/>
          <w:sz w:val="24"/>
          <w:szCs w:val="24"/>
          <w:lang w:val="en-US" w:eastAsia="zh-CN"/>
        </w:rPr>
        <w:t>m，设计堆放粪便容积为</w:t>
      </w:r>
      <w:r>
        <w:rPr>
          <w:rFonts w:hint="eastAsia" w:ascii="Times New Roman" w:hAnsi="Times New Roman" w:eastAsia="宋体" w:cs="Times New Roman"/>
          <w:color w:val="auto"/>
          <w:sz w:val="24"/>
          <w:szCs w:val="24"/>
          <w:lang w:val="en-US" w:eastAsia="zh-CN"/>
        </w:rPr>
        <w:t>480</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。因此，堆粪区可容纳本项目粪便。</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堆肥场占地面积为</w:t>
      </w:r>
      <w:r>
        <w:rPr>
          <w:rFonts w:hint="eastAsia" w:ascii="Times New Roman" w:hAnsi="Times New Roman" w:eastAsia="宋体" w:cs="Times New Roman"/>
          <w:color w:val="auto"/>
          <w:sz w:val="24"/>
          <w:szCs w:val="24"/>
          <w:lang w:val="en-US" w:eastAsia="zh-CN"/>
        </w:rPr>
        <w:t>100</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，在堆肥场内进行好氧堆肥，本项目采用简易条垛式堆肥，将混合好的物料堆成条垛进行好氧发酵。堆肥场设置渗滤沟，渗滤液通过泵抽至水解酸化池。本项目好氧堆肥发酵工艺如下图所示：</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drawing>
          <wp:inline distT="0" distB="0" distL="114300" distR="114300">
            <wp:extent cx="5727065" cy="1680845"/>
            <wp:effectExtent l="0" t="0" r="6985" b="14605"/>
            <wp:docPr id="138"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9"/>
                    <pic:cNvPicPr>
                      <a:picLocks noChangeAspect="1"/>
                    </pic:cNvPicPr>
                  </pic:nvPicPr>
                  <pic:blipFill>
                    <a:blip r:embed="rId39"/>
                    <a:stretch>
                      <a:fillRect/>
                    </a:stretch>
                  </pic:blipFill>
                  <pic:spPr>
                    <a:xfrm>
                      <a:off x="0" y="0"/>
                      <a:ext cx="5727065" cy="1680845"/>
                    </a:xfrm>
                    <a:prstGeom prst="rect">
                      <a:avLst/>
                    </a:prstGeom>
                    <a:noFill/>
                    <a:ln>
                      <a:noFill/>
                    </a:ln>
                  </pic:spPr>
                </pic:pic>
              </a:graphicData>
            </a:graphic>
          </wp:inline>
        </w:drawing>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1）物料预处理</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分选出粪便中的石头等杂质，将畜禽粪便和辅料混合均匀，调整水分和碳氮比，在堆肥过程中添加有机物料腐熟剂。</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2）一次发酵</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本项目通过翻堆使堆体温度达到55℃以上。发酵过程中用铲车进行翻抛，翻抛次数为1天1次，本项目堆肥时间持续15天。</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3）二次发酵</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经一次发酵后继续进行二次发酵，当堆体温度接近环境温度时终止发酵。</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发酵后的堆肥产物含水率不高于30%，堆肥产物的含盐量在1%—2%，外观为茶褐色或黑褐色、无恶臭、质地松散，具有泥土气味。堆肥产物应满足《粪便无害化卫生要求》。</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成品堆肥存放场地占地面积约</w:t>
      </w:r>
      <w:r>
        <w:rPr>
          <w:rFonts w:hint="eastAsia" w:ascii="Times New Roman" w:hAnsi="Times New Roman" w:eastAsia="宋体" w:cs="Times New Roman"/>
          <w:color w:val="auto"/>
          <w:sz w:val="24"/>
          <w:szCs w:val="24"/>
          <w:lang w:val="en-US" w:eastAsia="zh-CN"/>
        </w:rPr>
        <w:t>50</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，堆肥后的产品暂时存放在成品堆肥存放场地。本项目采用连续式堆肥处理，根据《畜禽粪便贮存设施设计要求》（GB/T27622-2011）类比计算，成品堆肥存放场地可储存约</w:t>
      </w:r>
      <w:r>
        <w:rPr>
          <w:rFonts w:hint="eastAsia"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lang w:val="en-US" w:eastAsia="zh-CN"/>
        </w:rPr>
        <w:t>天的堆肥产品。本项目的堆肥产物用25kg/袋规格的编织袋进行装袋，通过机动车定期运送至需要施肥的消纳地。</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为防止猪粪便贮存、运输过程中对区域环境的影响，根据《畜禽养殖污染防治管理办法》（国家环境保护总局令第 9 号）、《畜禽养殖业污染防治技术政策》（环发〔2010〕151 号）、《畜禽养殖业污染治理工程技术规范》（HJ497-2009）和《畜禽粪便无害化处理技术规范》（NY/T</w:t>
      </w:r>
      <w:r>
        <w:rPr>
          <w:rFonts w:hint="eastAsia" w:ascii="Times New Roman" w:hAnsi="Times New Roman" w:eastAsia="宋体" w:cs="Times New Roman"/>
          <w:color w:val="auto"/>
          <w:sz w:val="24"/>
          <w:szCs w:val="24"/>
          <w:lang w:val="en-US" w:eastAsia="zh-CN"/>
        </w:rPr>
        <w:t>2920</w:t>
      </w:r>
      <w:r>
        <w:rPr>
          <w:rFonts w:hint="default" w:ascii="Times New Roman" w:hAnsi="Times New Roman" w:eastAsia="宋体" w:cs="Times New Roman"/>
          <w:color w:val="auto"/>
          <w:sz w:val="24"/>
          <w:szCs w:val="24"/>
          <w:lang w:val="en-US" w:eastAsia="zh-CN"/>
        </w:rPr>
        <w:t>-2006）、《畜禽粪便贮存设施设计要求》（GB/T27622-2011）等规范要求，建设单位应</w:t>
      </w:r>
      <w:r>
        <w:rPr>
          <w:rFonts w:hint="eastAsia" w:ascii="Times New Roman" w:hAnsi="Times New Roman" w:eastAsia="宋体" w:cs="Times New Roman"/>
          <w:color w:val="auto"/>
          <w:sz w:val="24"/>
          <w:szCs w:val="24"/>
          <w:lang w:val="en-US" w:eastAsia="zh-CN"/>
        </w:rPr>
        <w:t>符合以下要求</w:t>
      </w:r>
      <w:r>
        <w:rPr>
          <w:rFonts w:hint="default" w:ascii="Times New Roman" w:hAnsi="Times New Roman" w:eastAsia="宋体" w:cs="Times New Roman"/>
          <w:color w:val="auto"/>
          <w:sz w:val="24"/>
          <w:szCs w:val="24"/>
          <w:lang w:val="en-US" w:eastAsia="zh-CN"/>
        </w:rPr>
        <w:t>：</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1）设施周围应设置排水沟，防止雨水径流进入贮存设施内；排雨水沟不得与排污沟并流</w:t>
      </w:r>
      <w:r>
        <w:rPr>
          <w:rFonts w:hint="default" w:ascii="Times New Roman" w:hAnsi="Times New Roman" w:eastAsia="宋体" w:cs="Times New Roman"/>
          <w:color w:val="auto"/>
          <w:sz w:val="24"/>
          <w:szCs w:val="24"/>
          <w:lang w:val="en-US" w:eastAsia="zh-CN"/>
        </w:rPr>
        <w:t>。</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2）设施周围应设置明显的标志以及围栏等防护设施。</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3）宜设专门通道直接与外界相同，避免粪便运输经过生活及生产区。</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4）设施在使用过程中不应产生二次污染，其恶臭及污染物排放应符合GB18596规定。</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5）设施周围进行适当绿化。</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（4）</w:t>
      </w:r>
      <w:r>
        <w:rPr>
          <w:rFonts w:hint="default" w:ascii="Times New Roman" w:hAnsi="Times New Roman" w:eastAsia="宋体" w:cs="Times New Roman"/>
          <w:color w:val="auto"/>
          <w:sz w:val="24"/>
          <w:szCs w:val="24"/>
          <w:lang w:val="en-US" w:eastAsia="zh-CN"/>
        </w:rPr>
        <w:t>废包装材料</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本项目购买商品饲料和各种添加剂等，由此产生废包装材料约</w:t>
      </w:r>
      <w:r>
        <w:rPr>
          <w:rFonts w:hint="eastAsia" w:ascii="Times New Roman" w:hAnsi="Times New Roman" w:eastAsia="宋体" w:cs="Times New Roman"/>
          <w:color w:val="auto"/>
          <w:sz w:val="24"/>
          <w:szCs w:val="24"/>
          <w:lang w:val="en-US" w:eastAsia="zh-CN"/>
        </w:rPr>
        <w:t>5.0</w:t>
      </w:r>
      <w:r>
        <w:rPr>
          <w:rFonts w:hint="default" w:ascii="Times New Roman" w:hAnsi="Times New Roman" w:eastAsia="宋体" w:cs="Times New Roman"/>
          <w:color w:val="auto"/>
          <w:sz w:val="24"/>
          <w:szCs w:val="24"/>
          <w:lang w:val="en-US" w:eastAsia="zh-CN"/>
        </w:rPr>
        <w:t>t/a，收集后全部外售资源回收站回收利用。</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lang w:val="en-US" w:eastAsia="zh-CN"/>
        </w:rPr>
        <w:t>病死猪</w:t>
      </w:r>
    </w:p>
    <w:p>
      <w:pPr>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b/>
          <w:bCs/>
          <w:color w:val="auto"/>
          <w:sz w:val="24"/>
          <w:szCs w:val="24"/>
          <w:lang w:val="en-US" w:eastAsia="zh-CN"/>
        </w:rPr>
        <w:t>产生情况：</w:t>
      </w:r>
      <w:r>
        <w:rPr>
          <w:rFonts w:hint="default" w:ascii="Times New Roman" w:hAnsi="Times New Roman" w:eastAsia="宋体" w:cs="Times New Roman"/>
          <w:color w:val="auto"/>
          <w:sz w:val="24"/>
          <w:szCs w:val="24"/>
          <w:lang w:val="en-US" w:eastAsia="zh-CN"/>
        </w:rPr>
        <w:t>本项目为育肥猪养殖场，根据同类企业类比调查和有关资料统计，猪只的死亡率一般占出栏量的2%左右，本项目年出栏</w:t>
      </w:r>
      <w:r>
        <w:rPr>
          <w:rFonts w:hint="eastAsia" w:ascii="Times New Roman" w:hAnsi="Times New Roman" w:eastAsia="宋体" w:cs="Times New Roman"/>
          <w:color w:val="auto"/>
          <w:sz w:val="24"/>
          <w:szCs w:val="24"/>
          <w:lang w:val="en-US" w:eastAsia="zh-CN"/>
        </w:rPr>
        <w:t>3万头</w:t>
      </w:r>
      <w:r>
        <w:rPr>
          <w:rFonts w:hint="default" w:ascii="Times New Roman" w:hAnsi="Times New Roman" w:eastAsia="宋体" w:cs="Times New Roman"/>
          <w:color w:val="auto"/>
          <w:sz w:val="24"/>
          <w:szCs w:val="24"/>
          <w:lang w:val="en-US" w:eastAsia="zh-CN"/>
        </w:rPr>
        <w:t>，猪只死亡数为</w:t>
      </w:r>
      <w:r>
        <w:rPr>
          <w:rFonts w:hint="eastAsia" w:ascii="Times New Roman" w:hAnsi="Times New Roman" w:eastAsia="宋体" w:cs="Times New Roman"/>
          <w:color w:val="auto"/>
          <w:sz w:val="24"/>
          <w:szCs w:val="24"/>
          <w:lang w:val="en-US" w:eastAsia="zh-CN"/>
        </w:rPr>
        <w:t>60</w:t>
      </w:r>
      <w:r>
        <w:rPr>
          <w:rFonts w:hint="default" w:ascii="Times New Roman" w:hAnsi="Times New Roman" w:eastAsia="宋体" w:cs="Times New Roman"/>
          <w:color w:val="auto"/>
          <w:sz w:val="24"/>
          <w:szCs w:val="24"/>
          <w:lang w:val="en-US" w:eastAsia="zh-CN"/>
        </w:rPr>
        <w:t>0头/a，平均重量以70kg/头计，则病死猪重量约</w:t>
      </w:r>
      <w:r>
        <w:rPr>
          <w:rFonts w:hint="eastAsia" w:ascii="Times New Roman" w:hAnsi="Times New Roman" w:eastAsia="宋体" w:cs="Times New Roman"/>
          <w:color w:val="auto"/>
          <w:sz w:val="24"/>
          <w:szCs w:val="24"/>
          <w:lang w:val="en-US" w:eastAsia="zh-CN"/>
        </w:rPr>
        <w:t>42</w:t>
      </w:r>
      <w:r>
        <w:rPr>
          <w:rFonts w:hint="default" w:ascii="Times New Roman" w:hAnsi="Times New Roman" w:eastAsia="宋体" w:cs="Times New Roman"/>
          <w:color w:val="auto"/>
          <w:sz w:val="24"/>
          <w:szCs w:val="24"/>
          <w:lang w:val="en-US" w:eastAsia="zh-CN"/>
        </w:rPr>
        <w:t>t/a。</w:t>
      </w:r>
    </w:p>
    <w:p>
      <w:pPr>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b/>
          <w:bCs/>
          <w:color w:val="auto"/>
          <w:sz w:val="24"/>
          <w:szCs w:val="24"/>
          <w:lang w:val="en-US" w:eastAsia="zh-CN"/>
        </w:rPr>
        <w:t>治理措施：</w:t>
      </w:r>
      <w:r>
        <w:rPr>
          <w:rFonts w:hint="default" w:ascii="Times New Roman" w:hAnsi="Times New Roman" w:eastAsia="宋体" w:cs="Times New Roman"/>
          <w:color w:val="auto"/>
          <w:sz w:val="24"/>
          <w:szCs w:val="24"/>
          <w:lang w:val="en-US" w:eastAsia="zh-CN"/>
        </w:rPr>
        <w:t>根据《畜禽养殖业污染防治技术规范》（HJ/T81--2001）的规定：</w:t>
      </w:r>
    </w:p>
    <w:p>
      <w:pPr>
        <w:pageBreakBefore w:val="0"/>
        <w:widowControl w:val="0"/>
        <w:numPr>
          <w:ilvl w:val="0"/>
          <w:numId w:val="14"/>
        </w:numPr>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所有病死猪不得出售，不得食用，不得随意丢弃，严禁作为饲料再利用；</w:t>
      </w:r>
    </w:p>
    <w:p>
      <w:pPr>
        <w:pageBreakBefore w:val="0"/>
        <w:widowControl w:val="0"/>
        <w:numPr>
          <w:ilvl w:val="0"/>
          <w:numId w:val="14"/>
        </w:numPr>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病死禽畜尸体处理应采用焚烧炉焚烧的方法，在养殖场比较集中的地区，应集中设置焚烧设施；同时焚烧产生的烟气应采取有效的净化措施，防止烟尘、一氧化碳、恶臭等对周围大气环境的污染；</w:t>
      </w:r>
    </w:p>
    <w:p>
      <w:pPr>
        <w:pageBreakBefore w:val="0"/>
        <w:widowControl w:val="0"/>
        <w:numPr>
          <w:ilvl w:val="0"/>
          <w:numId w:val="14"/>
        </w:numPr>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不具备焚烧条件的养殖场应设置两个以上安全填埋井，填埋井应为混凝土结构，深度大于2m，直径 1m，井口加盖密封。进行填埋时，在每次投入畜禽尸体后，应覆盖一层厚度大于 10cm 的熟石灰，井填满后，须用粘土填埋压实并封口。</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根据本项目的特点和所处区域的实际情况，</w:t>
      </w:r>
      <w:r>
        <w:rPr>
          <w:rFonts w:hint="eastAsia" w:ascii="Times New Roman" w:hAnsi="Times New Roman" w:eastAsia="宋体" w:cs="Times New Roman"/>
          <w:color w:val="auto"/>
          <w:sz w:val="24"/>
          <w:szCs w:val="24"/>
          <w:lang w:val="en-US" w:eastAsia="zh-CN"/>
        </w:rPr>
        <w:t>本项目设置1个化尸池，用于病死猪填埋。本项目</w:t>
      </w:r>
      <w:r>
        <w:rPr>
          <w:rFonts w:hint="default" w:ascii="Times New Roman" w:hAnsi="Times New Roman" w:eastAsia="宋体" w:cs="Times New Roman"/>
          <w:color w:val="auto"/>
          <w:sz w:val="24"/>
          <w:szCs w:val="24"/>
          <w:lang w:val="en-US" w:eastAsia="zh-CN"/>
        </w:rPr>
        <w:t>填埋井应为混凝土结构，深</w:t>
      </w:r>
      <w:r>
        <w:rPr>
          <w:rFonts w:hint="eastAsia" w:ascii="Times New Roman" w:hAnsi="Times New Roman" w:eastAsia="宋体" w:cs="Times New Roman"/>
          <w:color w:val="auto"/>
          <w:sz w:val="24"/>
          <w:szCs w:val="24"/>
          <w:lang w:val="en-US" w:eastAsia="zh-CN"/>
        </w:rPr>
        <w:t>2.5</w:t>
      </w:r>
      <w:r>
        <w:rPr>
          <w:rFonts w:hint="default" w:ascii="Times New Roman" w:hAnsi="Times New Roman" w:eastAsia="宋体" w:cs="Times New Roman"/>
          <w:color w:val="auto"/>
          <w:sz w:val="24"/>
          <w:szCs w:val="24"/>
          <w:lang w:val="en-US" w:eastAsia="zh-CN"/>
        </w:rPr>
        <w:t>m，直径</w:t>
      </w:r>
      <w:r>
        <w:rPr>
          <w:rFonts w:hint="eastAsia" w:ascii="Times New Roman" w:hAnsi="Times New Roman" w:eastAsia="宋体" w:cs="Times New Roman"/>
          <w:color w:val="auto"/>
          <w:sz w:val="24"/>
          <w:szCs w:val="24"/>
          <w:lang w:val="en-US" w:eastAsia="zh-CN"/>
        </w:rPr>
        <w:t>10</w:t>
      </w:r>
      <w:r>
        <w:rPr>
          <w:rFonts w:hint="default" w:ascii="Times New Roman" w:hAnsi="Times New Roman" w:eastAsia="宋体" w:cs="Times New Roman"/>
          <w:color w:val="auto"/>
          <w:sz w:val="24"/>
          <w:szCs w:val="24"/>
          <w:lang w:val="en-US" w:eastAsia="zh-CN"/>
        </w:rPr>
        <w:t>m，井口加盖密封。</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（6）污水处理区污泥</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本项目养殖废水等经过污水处理区处理后，产生一定量的污泥，其含丰富的有机质、微量营养元素等，污泥（沼渣）产生量为 0.05kg（VSS）/kg（COD）去除。本项目 COD 去除量为267.39t/a（折合732.58kg/d），则项目污泥产生量（干化）为36.63kg/d（13.37t/a）。本项目污泥送固液分离机脱水处理后与粪便一起暂存于堆粪间进行好氧堆肥。</w:t>
      </w:r>
    </w:p>
    <w:p>
      <w:pPr>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2、危险废物</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本项目为规模化养猪场的建设，运营期间会产生医疗废弃物（主要为疫苗、药品的包装、废针头、过期药物等）。根据城市周刊，2019年第9期中《生猪养殖环评项目污染源核算》（张黎，南京国环科技股份有限公司）资料，养猪场医疗废弃物产生量可按养猪规模系数计算，一般以0.005kg/头·a。本项目猪只常年存栏量为</w:t>
      </w:r>
      <w:r>
        <w:rPr>
          <w:rFonts w:hint="eastAsia" w:ascii="Times New Roman" w:hAnsi="Times New Roman" w:eastAsia="宋体" w:cs="Times New Roman"/>
          <w:color w:val="auto"/>
          <w:sz w:val="24"/>
          <w:szCs w:val="24"/>
          <w:lang w:val="en-US" w:eastAsia="zh-CN"/>
        </w:rPr>
        <w:t>15000头</w:t>
      </w:r>
      <w:r>
        <w:rPr>
          <w:rFonts w:hint="default" w:ascii="Times New Roman" w:hAnsi="Times New Roman" w:eastAsia="宋体" w:cs="Times New Roman"/>
          <w:color w:val="auto"/>
          <w:sz w:val="24"/>
          <w:szCs w:val="24"/>
          <w:lang w:val="en-US" w:eastAsia="zh-CN"/>
        </w:rPr>
        <w:t>，则本项目医疗废弃物产生量为</w:t>
      </w:r>
      <w:r>
        <w:rPr>
          <w:rFonts w:hint="eastAsia" w:ascii="Times New Roman" w:hAnsi="Times New Roman" w:eastAsia="宋体" w:cs="Times New Roman"/>
          <w:color w:val="auto"/>
          <w:sz w:val="24"/>
          <w:szCs w:val="24"/>
          <w:lang w:val="en-US" w:eastAsia="zh-CN"/>
        </w:rPr>
        <w:t>75</w:t>
      </w:r>
      <w:r>
        <w:rPr>
          <w:rFonts w:hint="default" w:ascii="Times New Roman" w:hAnsi="Times New Roman" w:eastAsia="宋体" w:cs="Times New Roman"/>
          <w:color w:val="auto"/>
          <w:sz w:val="24"/>
          <w:szCs w:val="24"/>
          <w:lang w:val="en-US" w:eastAsia="zh-CN"/>
        </w:rPr>
        <w:t>kg/a（</w:t>
      </w:r>
      <w:r>
        <w:rPr>
          <w:rFonts w:hint="eastAsia" w:ascii="Times New Roman" w:hAnsi="Times New Roman" w:eastAsia="宋体" w:cs="Times New Roman"/>
          <w:color w:val="auto"/>
          <w:sz w:val="24"/>
          <w:szCs w:val="24"/>
          <w:lang w:val="en-US" w:eastAsia="zh-CN"/>
        </w:rPr>
        <w:t>0.075</w:t>
      </w:r>
      <w:r>
        <w:rPr>
          <w:rFonts w:hint="default" w:ascii="Times New Roman" w:hAnsi="Times New Roman" w:eastAsia="宋体" w:cs="Times New Roman"/>
          <w:color w:val="auto"/>
          <w:sz w:val="24"/>
          <w:szCs w:val="24"/>
          <w:lang w:val="en-US" w:eastAsia="zh-CN"/>
        </w:rPr>
        <w:t>t/a）。根据《国家危险废物名录（2021年）》可知，药品的包装类别为HW01医疗废物中的感染性废物，代码为841-001-01；废针头类别为HW01医疗废物中的损伤性废物，代码为841-002-01；疫苗类别为HW01医疗废物中的药物性废物，代码为841-005-01；过期药物类别为HW03废药物、药品，代码为900-002-03。</w:t>
      </w:r>
    </w:p>
    <w:p>
      <w:pPr>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治理措施：</w:t>
      </w:r>
      <w:r>
        <w:rPr>
          <w:rFonts w:hint="default" w:ascii="Times New Roman" w:hAnsi="Times New Roman" w:eastAsia="宋体" w:cs="Times New Roman"/>
          <w:color w:val="auto"/>
          <w:sz w:val="24"/>
          <w:szCs w:val="24"/>
          <w:lang w:val="en-US" w:eastAsia="zh-CN"/>
        </w:rPr>
        <w:t>项目内应设置</w:t>
      </w:r>
      <w:r>
        <w:rPr>
          <w:rFonts w:hint="eastAsia" w:ascii="Times New Roman" w:hAnsi="Times New Roman" w:eastAsia="宋体" w:cs="Times New Roman"/>
          <w:color w:val="auto"/>
          <w:sz w:val="24"/>
          <w:szCs w:val="24"/>
          <w:lang w:val="en-US" w:eastAsia="zh-CN"/>
        </w:rPr>
        <w:t>危废暂存间</w:t>
      </w:r>
      <w:r>
        <w:rPr>
          <w:rFonts w:hint="default" w:ascii="Times New Roman" w:hAnsi="Times New Roman" w:eastAsia="宋体" w:cs="Times New Roman"/>
          <w:color w:val="auto"/>
          <w:sz w:val="24"/>
          <w:szCs w:val="24"/>
          <w:lang w:val="en-US" w:eastAsia="zh-CN"/>
        </w:rPr>
        <w:t>，运营期间产生的废弃药品、废弃兽药包装袋、过期兽药等医疗废物由暂存间进行暂时存放，定期交由有资质的单位进行处理。同时建设单位应在竣工验收前与具有相关处理资质的单位签订危险废物处置协议，并报环境保护管理部门备案。严禁将危险废物与一般固废混合处置，严禁将危险废物交由无相关危险废物处置资质的单位处理。</w:t>
      </w:r>
    </w:p>
    <w:p>
      <w:pPr>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医疗废物暂存、管理要求</w:t>
      </w:r>
      <w:r>
        <w:rPr>
          <w:rFonts w:hint="default" w:ascii="Times New Roman" w:hAnsi="Times New Roman" w:eastAsia="宋体" w:cs="Times New Roman"/>
          <w:color w:val="auto"/>
          <w:sz w:val="24"/>
          <w:szCs w:val="24"/>
          <w:lang w:val="en-US" w:eastAsia="zh-CN"/>
        </w:rPr>
        <w:t>：</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按照《医疗废物管理条例》（国务院第380号令）、《医疗废物集中处置技术规范（试行）》、《医疗废物专用包装袋、容器和警示标志标准》（HJ421-2008）、《医疗卫生机构医疗废物管理办法》（中华人民共和国卫生部令第36号）、关于印发《医疗废物分类目录》的通知》（卫医发[2003]287号）的相关要求，医疗废物应采取以下管理措施；</w:t>
      </w:r>
    </w:p>
    <w:p>
      <w:pPr>
        <w:pageBreakBefore w:val="0"/>
        <w:widowControl w:val="0"/>
        <w:numPr>
          <w:ilvl w:val="0"/>
          <w:numId w:val="15"/>
        </w:numPr>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医疗废物的收集和管理</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医疗卫生机构应当根据《医疗废物分类目录》，对医疗废物实施分类管理。医疗废物必须由指定的专人定时收集，收集人应有必要的防护措施。医疗机构的负责人应按照相关的法规及办法进行监督和管理。</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a.</w:t>
      </w:r>
      <w:r>
        <w:rPr>
          <w:rFonts w:hint="default" w:ascii="Times New Roman" w:hAnsi="Times New Roman" w:eastAsia="宋体" w:cs="Times New Roman"/>
          <w:color w:val="auto"/>
          <w:sz w:val="24"/>
          <w:szCs w:val="24"/>
          <w:lang w:val="en-US" w:eastAsia="zh-CN"/>
        </w:rPr>
        <w:t>医疗卫生机构应当按照以下要求，及时分类收集医疗废物：</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①根据医疗废物的类别，将医疗废物分置于符合《医疗废物专用包装物、容器的标准和警示标识的规定》的包装物或者容器内；</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②在盛装医疗废物前，应当对医疗废物包装物或者容器进行认真检查，确保无破损、渗漏和其它缺陷；</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③感染性废物、损伤性废物、药物性废物及化学性废物不能混合收集。少量的药物性废物可以混入感染性废物，但应当在标签上注明；</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④批量的含有汞的体温计、血压计等医疗器具报废时，交由有资质的单位处置；</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⑤放入包装物或者容器内的感染性废物、损伤性废物不得取出。</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b.</w:t>
      </w:r>
      <w:r>
        <w:rPr>
          <w:rFonts w:hint="default" w:ascii="Times New Roman" w:hAnsi="Times New Roman" w:eastAsia="宋体" w:cs="Times New Roman"/>
          <w:color w:val="auto"/>
          <w:sz w:val="24"/>
          <w:szCs w:val="24"/>
          <w:lang w:val="en-US" w:eastAsia="zh-CN"/>
        </w:rPr>
        <w:t>盛装的医疗废物达到包装物或者容器的3/4时，应当使用有效的封口方式，使包装物或者容器的封口紧实、严密。</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c.</w:t>
      </w:r>
      <w:r>
        <w:rPr>
          <w:rFonts w:hint="default" w:ascii="Times New Roman" w:hAnsi="Times New Roman" w:eastAsia="宋体" w:cs="Times New Roman"/>
          <w:color w:val="auto"/>
          <w:sz w:val="24"/>
          <w:szCs w:val="24"/>
          <w:lang w:val="en-US" w:eastAsia="zh-CN"/>
        </w:rPr>
        <w:t>包装物或者容器的外表面被感染性废物污染时，应当对被污染处进行消毒处理或者增加一层包装。</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d、盛装医疗废物的每个包装物、容器外表面应当有警示标识，在每个包装物、容器上应当系中文标签，中文标签的内容应当包括：医疗废物产生单位、产生日期、类别及需要的特别说明等。</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B、医疗废物的暂时贮存和管理</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a、本项目</w:t>
      </w:r>
      <w:r>
        <w:rPr>
          <w:rFonts w:hint="eastAsia" w:ascii="Times New Roman" w:hAnsi="Times New Roman" w:eastAsia="宋体" w:cs="Times New Roman"/>
          <w:color w:val="auto"/>
          <w:sz w:val="24"/>
          <w:szCs w:val="24"/>
          <w:lang w:val="en-US" w:eastAsia="zh-CN"/>
        </w:rPr>
        <w:t>危废暂存间</w:t>
      </w:r>
      <w:r>
        <w:rPr>
          <w:rFonts w:hint="default" w:ascii="Times New Roman" w:hAnsi="Times New Roman" w:eastAsia="宋体" w:cs="Times New Roman"/>
          <w:color w:val="auto"/>
          <w:sz w:val="24"/>
          <w:szCs w:val="24"/>
          <w:lang w:val="en-US" w:eastAsia="zh-CN"/>
        </w:rPr>
        <w:t>设置在</w:t>
      </w:r>
      <w:r>
        <w:rPr>
          <w:rFonts w:hint="eastAsia" w:ascii="Times New Roman" w:hAnsi="Times New Roman" w:eastAsia="宋体" w:cs="Times New Roman"/>
          <w:color w:val="auto"/>
          <w:sz w:val="24"/>
          <w:szCs w:val="24"/>
          <w:lang w:val="en-US" w:eastAsia="zh-CN"/>
        </w:rPr>
        <w:t>赶猪通达</w:t>
      </w:r>
      <w:r>
        <w:rPr>
          <w:rFonts w:hint="default" w:ascii="Times New Roman" w:hAnsi="Times New Roman" w:eastAsia="宋体" w:cs="Times New Roman"/>
          <w:color w:val="auto"/>
          <w:sz w:val="24"/>
          <w:szCs w:val="24"/>
          <w:lang w:val="en-US" w:eastAsia="zh-CN"/>
        </w:rPr>
        <w:t>旁。</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b、医疗废物暂时贮存设施、设备应当达到以下要求：</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①远离养殖区、人员活动区和生活垃圾存放场所，方便医疗废物运送人员及运送工具、车辆的出入；</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②有严密的封闭措施，设专人管理，避免非工作人员进出，以及防鼠、防蚊蝇、防蟑螂、防盗以及预防儿童接触等安全措施；</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③必须与生活垃圾存放地分开，有防雨淋的装置，地基高度应确保设施内不受雨洪冲击或浸泡；</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④地面和1.0米高的墙裙须进行防渗处理，易于清洁和消毒；</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⑤避免阳光直射，应有良好的照明设备和通风条件；</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⑥在库房外的明显处同时设置危险废物和医疗废物的警示标识，库房内应张贴“禁止吸烟、饮食”的警示标识。</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sectPr>
          <w:pgSz w:w="11906" w:h="16838"/>
          <w:pgMar w:top="1440" w:right="1451" w:bottom="1440" w:left="1451" w:header="851" w:footer="992" w:gutter="0"/>
          <w:pgBorders>
            <w:top w:val="none" w:sz="0" w:space="0"/>
            <w:left w:val="none" w:sz="0" w:space="0"/>
            <w:bottom w:val="none" w:sz="0" w:space="0"/>
            <w:right w:val="none" w:sz="0" w:space="0"/>
          </w:pgBorders>
          <w:pgNumType w:fmt="decimal"/>
          <w:cols w:space="0" w:num="1"/>
          <w:rtlGutter w:val="0"/>
          <w:docGrid w:type="lines" w:linePitch="321" w:charSpace="0"/>
        </w:sectPr>
      </w:pPr>
      <w:r>
        <w:rPr>
          <w:rFonts w:hint="default" w:ascii="Times New Roman" w:hAnsi="Times New Roman" w:eastAsia="宋体" w:cs="Times New Roman"/>
          <w:color w:val="auto"/>
          <w:sz w:val="24"/>
          <w:szCs w:val="24"/>
          <w:lang w:val="en-US" w:eastAsia="zh-CN"/>
        </w:rPr>
        <w:t>项目固体废物产排情况及处置措施见下表。</w:t>
      </w:r>
    </w:p>
    <w:p>
      <w:pPr>
        <w:pStyle w:val="16"/>
        <w:rPr>
          <w:rFonts w:hint="default"/>
          <w:color w:va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hint="eastAsia" w:ascii="Times New Roman" w:hAnsi="Times New Roman" w:eastAsia="宋体" w:cs="Times New Roman"/>
          <w:b/>
          <w:color w:val="auto"/>
          <w:sz w:val="21"/>
          <w:szCs w:val="21"/>
        </w:rPr>
      </w:pPr>
      <w:r>
        <w:rPr>
          <w:rFonts w:ascii="Times New Roman" w:hAnsi="Times New Roman" w:eastAsia="宋体" w:cs="Times New Roman"/>
          <w:b/>
          <w:color w:val="auto"/>
          <w:sz w:val="21"/>
          <w:szCs w:val="21"/>
        </w:rPr>
        <w:t>表</w:t>
      </w:r>
      <w:r>
        <w:rPr>
          <w:rFonts w:hint="eastAsia" w:ascii="Times New Roman" w:hAnsi="Times New Roman" w:eastAsia="宋体" w:cs="Times New Roman"/>
          <w:b/>
          <w:color w:val="auto"/>
          <w:sz w:val="21"/>
          <w:szCs w:val="21"/>
        </w:rPr>
        <w:t>3.</w:t>
      </w:r>
      <w:r>
        <w:rPr>
          <w:rFonts w:hint="eastAsia" w:ascii="Times New Roman" w:hAnsi="Times New Roman" w:eastAsia="宋体" w:cs="Times New Roman"/>
          <w:b/>
          <w:color w:val="auto"/>
          <w:sz w:val="21"/>
          <w:szCs w:val="21"/>
          <w:lang w:val="en-US" w:eastAsia="zh-CN"/>
        </w:rPr>
        <w:t xml:space="preserve">5-22  </w:t>
      </w:r>
      <w:r>
        <w:rPr>
          <w:rFonts w:hint="default" w:ascii="Times New Roman" w:hAnsi="Times New Roman" w:eastAsia="宋体" w:cs="Times New Roman"/>
          <w:b/>
          <w:bCs/>
          <w:color w:val="auto"/>
          <w:sz w:val="21"/>
          <w:szCs w:val="21"/>
        </w:rPr>
        <w:t>固体废物污染源源强核算结果及相关参数一览表</w:t>
      </w:r>
    </w:p>
    <w:tbl>
      <w:tblPr>
        <w:tblStyle w:val="35"/>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7"/>
        <w:gridCol w:w="1295"/>
        <w:gridCol w:w="1380"/>
        <w:gridCol w:w="1663"/>
        <w:gridCol w:w="1224"/>
        <w:gridCol w:w="1595"/>
        <w:gridCol w:w="3037"/>
        <w:gridCol w:w="1113"/>
        <w:gridCol w:w="1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6" w:type="pct"/>
            <w:vMerge w:val="restar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工序/</w:t>
            </w:r>
          </w:p>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生产线</w:t>
            </w:r>
          </w:p>
        </w:tc>
        <w:tc>
          <w:tcPr>
            <w:tcW w:w="457" w:type="pct"/>
            <w:vMerge w:val="restar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装置</w:t>
            </w:r>
          </w:p>
        </w:tc>
        <w:tc>
          <w:tcPr>
            <w:tcW w:w="487" w:type="pct"/>
            <w:vMerge w:val="restar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固体废物名称</w:t>
            </w:r>
          </w:p>
        </w:tc>
        <w:tc>
          <w:tcPr>
            <w:tcW w:w="587" w:type="pct"/>
            <w:vMerge w:val="restar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固废属性</w:t>
            </w:r>
          </w:p>
        </w:tc>
        <w:tc>
          <w:tcPr>
            <w:tcW w:w="995" w:type="pct"/>
            <w:gridSpan w:val="2"/>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产生情况</w:t>
            </w:r>
          </w:p>
        </w:tc>
        <w:tc>
          <w:tcPr>
            <w:tcW w:w="1465" w:type="pct"/>
            <w:gridSpan w:val="2"/>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处置措施</w:t>
            </w:r>
          </w:p>
        </w:tc>
        <w:tc>
          <w:tcPr>
            <w:tcW w:w="642" w:type="pct"/>
            <w:vMerge w:val="restar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最终去向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6" w:type="pct"/>
            <w:vMerge w:val="continue"/>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457" w:type="pct"/>
            <w:vMerge w:val="continue"/>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487" w:type="pct"/>
            <w:vMerge w:val="continue"/>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587" w:type="pct"/>
            <w:vMerge w:val="continue"/>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432"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核算方法</w:t>
            </w:r>
          </w:p>
        </w:tc>
        <w:tc>
          <w:tcPr>
            <w:tcW w:w="563"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产生量/（t/a）</w:t>
            </w:r>
          </w:p>
        </w:tc>
        <w:tc>
          <w:tcPr>
            <w:tcW w:w="1072"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工艺</w:t>
            </w:r>
          </w:p>
        </w:tc>
        <w:tc>
          <w:tcPr>
            <w:tcW w:w="392"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处置量</w:t>
            </w:r>
          </w:p>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/（t/a）</w:t>
            </w:r>
          </w:p>
        </w:tc>
        <w:tc>
          <w:tcPr>
            <w:tcW w:w="642" w:type="pct"/>
            <w:vMerge w:val="continue"/>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trPr>
        <w:tc>
          <w:tcPr>
            <w:tcW w:w="366" w:type="pct"/>
            <w:vMerge w:val="restar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养殖区</w:t>
            </w:r>
          </w:p>
        </w:tc>
        <w:tc>
          <w:tcPr>
            <w:tcW w:w="457"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猪舍</w:t>
            </w:r>
          </w:p>
        </w:tc>
        <w:tc>
          <w:tcPr>
            <w:tcW w:w="487"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干粪</w:t>
            </w:r>
          </w:p>
        </w:tc>
        <w:tc>
          <w:tcPr>
            <w:tcW w:w="587"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第Ⅱ类一般工业固体废物</w:t>
            </w:r>
          </w:p>
        </w:tc>
        <w:tc>
          <w:tcPr>
            <w:tcW w:w="432" w:type="pct"/>
            <w:vMerge w:val="restar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系数法</w:t>
            </w:r>
          </w:p>
        </w:tc>
        <w:tc>
          <w:tcPr>
            <w:tcW w:w="563"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10950</w:t>
            </w:r>
          </w:p>
        </w:tc>
        <w:tc>
          <w:tcPr>
            <w:tcW w:w="1072"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好氧堆肥</w:t>
            </w:r>
          </w:p>
        </w:tc>
        <w:tc>
          <w:tcPr>
            <w:tcW w:w="392"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10950</w:t>
            </w:r>
          </w:p>
        </w:tc>
        <w:tc>
          <w:tcPr>
            <w:tcW w:w="642"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消纳地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366" w:type="pct"/>
            <w:vMerge w:val="continue"/>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457"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猪舍</w:t>
            </w:r>
          </w:p>
        </w:tc>
        <w:tc>
          <w:tcPr>
            <w:tcW w:w="487"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病死猪</w:t>
            </w:r>
          </w:p>
        </w:tc>
        <w:tc>
          <w:tcPr>
            <w:tcW w:w="587"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第Ⅰ类一般工业固体废物</w:t>
            </w:r>
          </w:p>
        </w:tc>
        <w:tc>
          <w:tcPr>
            <w:tcW w:w="432" w:type="pct"/>
            <w:vMerge w:val="continue"/>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563"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42</w:t>
            </w:r>
          </w:p>
        </w:tc>
        <w:tc>
          <w:tcPr>
            <w:tcW w:w="1072" w:type="pct"/>
            <w:noWrap w:val="0"/>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场内化尸池无害化填埋</w:t>
            </w:r>
          </w:p>
        </w:tc>
        <w:tc>
          <w:tcPr>
            <w:tcW w:w="392"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42</w:t>
            </w:r>
          </w:p>
        </w:tc>
        <w:tc>
          <w:tcPr>
            <w:tcW w:w="642"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无害化填埋</w:t>
            </w:r>
          </w:p>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6" w:type="pct"/>
            <w:vMerge w:val="restar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生活区</w:t>
            </w:r>
          </w:p>
        </w:tc>
        <w:tc>
          <w:tcPr>
            <w:tcW w:w="457" w:type="pct"/>
            <w:vMerge w:val="restar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生活区</w:t>
            </w:r>
          </w:p>
        </w:tc>
        <w:tc>
          <w:tcPr>
            <w:tcW w:w="487"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生活垃圾</w:t>
            </w:r>
          </w:p>
        </w:tc>
        <w:tc>
          <w:tcPr>
            <w:tcW w:w="587"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生活垃圾</w:t>
            </w:r>
          </w:p>
        </w:tc>
        <w:tc>
          <w:tcPr>
            <w:tcW w:w="432" w:type="pct"/>
            <w:vMerge w:val="continue"/>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563" w:type="pct"/>
            <w:noWrap w:val="0"/>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9.125</w:t>
            </w:r>
          </w:p>
        </w:tc>
        <w:tc>
          <w:tcPr>
            <w:tcW w:w="1072" w:type="pct"/>
            <w:vMerge w:val="restar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收集后由村环卫部门清运至定点垃圾收集点再行转运处理中转站，由环卫部门统一清运</w:t>
            </w:r>
          </w:p>
        </w:tc>
        <w:tc>
          <w:tcPr>
            <w:tcW w:w="1113" w:type="dxa"/>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9.125</w:t>
            </w:r>
          </w:p>
        </w:tc>
        <w:tc>
          <w:tcPr>
            <w:tcW w:w="642"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垃圾处理厂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6" w:type="pct"/>
            <w:vMerge w:val="continue"/>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457" w:type="pct"/>
            <w:vMerge w:val="continue"/>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487"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食堂废油脂</w:t>
            </w:r>
          </w:p>
        </w:tc>
        <w:tc>
          <w:tcPr>
            <w:tcW w:w="587"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生活垃圾</w:t>
            </w:r>
          </w:p>
        </w:tc>
        <w:tc>
          <w:tcPr>
            <w:tcW w:w="432" w:type="pct"/>
            <w:vMerge w:val="continue"/>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563"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0.055</w:t>
            </w:r>
          </w:p>
        </w:tc>
        <w:tc>
          <w:tcPr>
            <w:tcW w:w="1072" w:type="pct"/>
            <w:vMerge w:val="continue"/>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1113" w:type="dxa"/>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0.055</w:t>
            </w:r>
          </w:p>
        </w:tc>
        <w:tc>
          <w:tcPr>
            <w:tcW w:w="642"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垃圾处理厂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6"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养殖区</w:t>
            </w:r>
          </w:p>
        </w:tc>
        <w:tc>
          <w:tcPr>
            <w:tcW w:w="457"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料塔</w:t>
            </w:r>
          </w:p>
        </w:tc>
        <w:tc>
          <w:tcPr>
            <w:tcW w:w="487"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废包装材料</w:t>
            </w:r>
          </w:p>
        </w:tc>
        <w:tc>
          <w:tcPr>
            <w:tcW w:w="587"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第Ⅰ类一般工业固体废物</w:t>
            </w:r>
          </w:p>
        </w:tc>
        <w:tc>
          <w:tcPr>
            <w:tcW w:w="432"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类比法</w:t>
            </w:r>
          </w:p>
        </w:tc>
        <w:tc>
          <w:tcPr>
            <w:tcW w:w="563"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5.0</w:t>
            </w:r>
          </w:p>
        </w:tc>
        <w:tc>
          <w:tcPr>
            <w:tcW w:w="1072"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收集后外售废品回收站回收利用</w:t>
            </w:r>
          </w:p>
        </w:tc>
        <w:tc>
          <w:tcPr>
            <w:tcW w:w="392"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5.0</w:t>
            </w:r>
          </w:p>
        </w:tc>
        <w:tc>
          <w:tcPr>
            <w:tcW w:w="642"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回收利用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6"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污水处理区</w:t>
            </w:r>
          </w:p>
        </w:tc>
        <w:tc>
          <w:tcPr>
            <w:tcW w:w="457"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水处理池</w:t>
            </w:r>
          </w:p>
        </w:tc>
        <w:tc>
          <w:tcPr>
            <w:tcW w:w="487"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污泥</w:t>
            </w:r>
          </w:p>
        </w:tc>
        <w:tc>
          <w:tcPr>
            <w:tcW w:w="587"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第Ⅱ类一般工业固体废物</w:t>
            </w:r>
          </w:p>
        </w:tc>
        <w:tc>
          <w:tcPr>
            <w:tcW w:w="432"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系数法</w:t>
            </w:r>
          </w:p>
        </w:tc>
        <w:tc>
          <w:tcPr>
            <w:tcW w:w="563"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13.37</w:t>
            </w:r>
          </w:p>
        </w:tc>
        <w:tc>
          <w:tcPr>
            <w:tcW w:w="1072"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好氧堆肥</w:t>
            </w:r>
          </w:p>
        </w:tc>
        <w:tc>
          <w:tcPr>
            <w:tcW w:w="392"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13.37</w:t>
            </w:r>
          </w:p>
        </w:tc>
        <w:tc>
          <w:tcPr>
            <w:tcW w:w="642"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消纳地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6"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养殖区</w:t>
            </w:r>
          </w:p>
        </w:tc>
        <w:tc>
          <w:tcPr>
            <w:tcW w:w="457"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猪舍</w:t>
            </w:r>
          </w:p>
        </w:tc>
        <w:tc>
          <w:tcPr>
            <w:tcW w:w="487"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医疗废物</w:t>
            </w:r>
          </w:p>
        </w:tc>
        <w:tc>
          <w:tcPr>
            <w:tcW w:w="587"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危险废物</w:t>
            </w:r>
          </w:p>
        </w:tc>
        <w:tc>
          <w:tcPr>
            <w:tcW w:w="432"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类比法</w:t>
            </w:r>
          </w:p>
        </w:tc>
        <w:tc>
          <w:tcPr>
            <w:tcW w:w="563"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0.075</w:t>
            </w:r>
          </w:p>
        </w:tc>
        <w:tc>
          <w:tcPr>
            <w:tcW w:w="1072"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交有资质单位处置</w:t>
            </w:r>
          </w:p>
        </w:tc>
        <w:tc>
          <w:tcPr>
            <w:tcW w:w="392"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0.075</w:t>
            </w:r>
          </w:p>
        </w:tc>
        <w:tc>
          <w:tcPr>
            <w:tcW w:w="642" w:type="pct"/>
            <w:noWrap w:val="0"/>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危废公司</w:t>
            </w:r>
          </w:p>
        </w:tc>
      </w:tr>
    </w:tbl>
    <w:p>
      <w:pPr>
        <w:pStyle w:val="16"/>
        <w:rPr>
          <w:rFonts w:hint="eastAsia" w:ascii="Times New Roman" w:hAnsi="Times New Roman" w:eastAsia="宋体" w:cs="Times New Roman"/>
          <w:b/>
          <w:color w:val="auto"/>
          <w:sz w:val="21"/>
          <w:szCs w:val="21"/>
        </w:rPr>
      </w:pP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表</w:t>
      </w:r>
      <w:r>
        <w:rPr>
          <w:rFonts w:hint="eastAsia" w:ascii="Times New Roman" w:hAnsi="Times New Roman" w:eastAsia="宋体" w:cs="Times New Roman"/>
          <w:b/>
          <w:color w:val="auto"/>
          <w:sz w:val="21"/>
          <w:szCs w:val="21"/>
        </w:rPr>
        <w:t>3.</w:t>
      </w:r>
      <w:r>
        <w:rPr>
          <w:rFonts w:hint="eastAsia" w:ascii="Times New Roman" w:hAnsi="Times New Roman" w:eastAsia="宋体" w:cs="Times New Roman"/>
          <w:b/>
          <w:color w:val="auto"/>
          <w:sz w:val="21"/>
          <w:szCs w:val="21"/>
          <w:lang w:val="en-US" w:eastAsia="zh-CN"/>
        </w:rPr>
        <w:t>5-23  危险废物产排及治理措施一览表</w:t>
      </w:r>
    </w:p>
    <w:tbl>
      <w:tblPr>
        <w:tblStyle w:val="35"/>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1"/>
        <w:gridCol w:w="1091"/>
        <w:gridCol w:w="1298"/>
        <w:gridCol w:w="1803"/>
        <w:gridCol w:w="1236"/>
        <w:gridCol w:w="1092"/>
        <w:gridCol w:w="1092"/>
        <w:gridCol w:w="1092"/>
        <w:gridCol w:w="1092"/>
        <w:gridCol w:w="1092"/>
        <w:gridCol w:w="1092"/>
        <w:gridCol w:w="1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5" w:type="pct"/>
            <w:vAlign w:val="center"/>
          </w:tcPr>
          <w:p>
            <w:pPr>
              <w:pStyle w:val="103"/>
              <w:jc w:val="center"/>
              <w:rPr>
                <w:rFonts w:hint="default" w:ascii="Times New Roman" w:hAnsi="Times New Roman" w:eastAsia="宋体"/>
                <w:b/>
                <w:bCs/>
                <w:color w:val="auto"/>
                <w:lang w:val="en-US" w:eastAsia="zh-CN"/>
              </w:rPr>
            </w:pPr>
            <w:r>
              <w:rPr>
                <w:rFonts w:hint="eastAsia" w:ascii="Times New Roman" w:hAnsi="Times New Roman" w:eastAsia="宋体"/>
                <w:b/>
                <w:bCs/>
                <w:color w:val="auto"/>
                <w:lang w:val="en-US" w:eastAsia="zh-CN"/>
              </w:rPr>
              <w:t>序号</w:t>
            </w:r>
          </w:p>
        </w:tc>
        <w:tc>
          <w:tcPr>
            <w:tcW w:w="385" w:type="pct"/>
            <w:vAlign w:val="center"/>
          </w:tcPr>
          <w:p>
            <w:pPr>
              <w:pStyle w:val="103"/>
              <w:jc w:val="center"/>
              <w:rPr>
                <w:rFonts w:hint="default" w:ascii="Times New Roman" w:hAnsi="Times New Roman" w:eastAsia="宋体"/>
                <w:b/>
                <w:bCs/>
                <w:color w:val="auto"/>
                <w:lang w:val="en-US" w:eastAsia="zh-CN"/>
              </w:rPr>
            </w:pPr>
            <w:r>
              <w:rPr>
                <w:rFonts w:hint="eastAsia" w:ascii="Times New Roman" w:hAnsi="Times New Roman" w:eastAsia="宋体"/>
                <w:b/>
                <w:bCs/>
                <w:color w:val="auto"/>
                <w:lang w:val="en-US" w:eastAsia="zh-CN"/>
              </w:rPr>
              <w:t>危险废物名称</w:t>
            </w:r>
          </w:p>
        </w:tc>
        <w:tc>
          <w:tcPr>
            <w:tcW w:w="458" w:type="pct"/>
            <w:vAlign w:val="center"/>
          </w:tcPr>
          <w:p>
            <w:pPr>
              <w:pStyle w:val="103"/>
              <w:jc w:val="center"/>
              <w:rPr>
                <w:rFonts w:hint="default" w:ascii="Times New Roman" w:hAnsi="Times New Roman" w:eastAsia="宋体"/>
                <w:b/>
                <w:bCs/>
                <w:color w:val="auto"/>
                <w:lang w:val="en-US" w:eastAsia="zh-CN"/>
              </w:rPr>
            </w:pPr>
            <w:r>
              <w:rPr>
                <w:rFonts w:hint="eastAsia" w:ascii="Times New Roman" w:hAnsi="Times New Roman" w:eastAsia="宋体"/>
                <w:b/>
                <w:bCs/>
                <w:color w:val="auto"/>
                <w:lang w:val="en-US" w:eastAsia="zh-CN"/>
              </w:rPr>
              <w:t>危险废物类别</w:t>
            </w:r>
          </w:p>
        </w:tc>
        <w:tc>
          <w:tcPr>
            <w:tcW w:w="636" w:type="pct"/>
            <w:vAlign w:val="center"/>
          </w:tcPr>
          <w:p>
            <w:pPr>
              <w:pStyle w:val="103"/>
              <w:jc w:val="center"/>
              <w:rPr>
                <w:rFonts w:hint="default" w:ascii="Times New Roman" w:hAnsi="Times New Roman" w:eastAsia="宋体"/>
                <w:b/>
                <w:bCs/>
                <w:color w:val="auto"/>
                <w:lang w:val="en-US" w:eastAsia="zh-CN"/>
              </w:rPr>
            </w:pPr>
            <w:r>
              <w:rPr>
                <w:rFonts w:hint="eastAsia" w:ascii="Times New Roman" w:hAnsi="Times New Roman" w:eastAsia="宋体"/>
                <w:b/>
                <w:bCs/>
                <w:color w:val="auto"/>
                <w:lang w:val="en-US" w:eastAsia="zh-CN"/>
              </w:rPr>
              <w:t>危险废物代码</w:t>
            </w:r>
          </w:p>
        </w:tc>
        <w:tc>
          <w:tcPr>
            <w:tcW w:w="436" w:type="pct"/>
            <w:vAlign w:val="center"/>
          </w:tcPr>
          <w:p>
            <w:pPr>
              <w:pStyle w:val="103"/>
              <w:jc w:val="center"/>
              <w:rPr>
                <w:rFonts w:hint="default" w:ascii="Times New Roman" w:hAnsi="Times New Roman" w:eastAsia="宋体"/>
                <w:b/>
                <w:bCs/>
                <w:color w:val="auto"/>
                <w:lang w:val="en-US" w:eastAsia="zh-CN"/>
              </w:rPr>
            </w:pPr>
            <w:r>
              <w:rPr>
                <w:rFonts w:hint="eastAsia" w:ascii="Times New Roman" w:hAnsi="Times New Roman" w:eastAsia="宋体"/>
                <w:b/>
                <w:bCs/>
                <w:color w:val="auto"/>
                <w:lang w:val="en-US" w:eastAsia="zh-CN"/>
              </w:rPr>
              <w:t>产生量（t/a）</w:t>
            </w:r>
          </w:p>
        </w:tc>
        <w:tc>
          <w:tcPr>
            <w:tcW w:w="385" w:type="pct"/>
            <w:vAlign w:val="center"/>
          </w:tcPr>
          <w:p>
            <w:pPr>
              <w:pStyle w:val="103"/>
              <w:jc w:val="center"/>
              <w:rPr>
                <w:rFonts w:hint="default" w:ascii="Times New Roman" w:hAnsi="Times New Roman" w:eastAsia="宋体"/>
                <w:b/>
                <w:bCs/>
                <w:color w:val="auto"/>
                <w:lang w:val="en-US" w:eastAsia="zh-CN"/>
              </w:rPr>
            </w:pPr>
            <w:r>
              <w:rPr>
                <w:rFonts w:hint="eastAsia" w:ascii="Times New Roman" w:hAnsi="Times New Roman" w:eastAsia="宋体"/>
                <w:b/>
                <w:bCs/>
                <w:color w:val="auto"/>
                <w:lang w:val="en-US" w:eastAsia="zh-CN"/>
              </w:rPr>
              <w:t>产生工序及装置</w:t>
            </w:r>
          </w:p>
        </w:tc>
        <w:tc>
          <w:tcPr>
            <w:tcW w:w="385" w:type="pct"/>
            <w:vAlign w:val="center"/>
          </w:tcPr>
          <w:p>
            <w:pPr>
              <w:pStyle w:val="103"/>
              <w:jc w:val="center"/>
              <w:rPr>
                <w:rFonts w:hint="default" w:ascii="Times New Roman" w:hAnsi="Times New Roman" w:eastAsia="宋体"/>
                <w:b/>
                <w:bCs/>
                <w:color w:val="auto"/>
                <w:lang w:val="en-US" w:eastAsia="zh-CN"/>
              </w:rPr>
            </w:pPr>
            <w:r>
              <w:rPr>
                <w:rFonts w:hint="eastAsia" w:ascii="Times New Roman" w:hAnsi="Times New Roman" w:eastAsia="宋体"/>
                <w:b/>
                <w:bCs/>
                <w:color w:val="auto"/>
                <w:lang w:val="en-US" w:eastAsia="zh-CN"/>
              </w:rPr>
              <w:t>形态</w:t>
            </w:r>
          </w:p>
        </w:tc>
        <w:tc>
          <w:tcPr>
            <w:tcW w:w="385" w:type="pct"/>
            <w:vAlign w:val="center"/>
          </w:tcPr>
          <w:p>
            <w:pPr>
              <w:pStyle w:val="103"/>
              <w:jc w:val="center"/>
              <w:rPr>
                <w:rFonts w:hint="default" w:ascii="Times New Roman" w:hAnsi="Times New Roman" w:eastAsia="宋体"/>
                <w:b/>
                <w:bCs/>
                <w:color w:val="auto"/>
                <w:lang w:val="en-US" w:eastAsia="zh-CN"/>
              </w:rPr>
            </w:pPr>
            <w:r>
              <w:rPr>
                <w:rFonts w:hint="eastAsia" w:ascii="Times New Roman" w:hAnsi="Times New Roman" w:eastAsia="宋体"/>
                <w:b/>
                <w:bCs/>
                <w:color w:val="auto"/>
                <w:lang w:val="en-US" w:eastAsia="zh-CN"/>
              </w:rPr>
              <w:t>主要成分</w:t>
            </w:r>
          </w:p>
        </w:tc>
        <w:tc>
          <w:tcPr>
            <w:tcW w:w="385" w:type="pct"/>
            <w:vAlign w:val="center"/>
          </w:tcPr>
          <w:p>
            <w:pPr>
              <w:pStyle w:val="103"/>
              <w:jc w:val="center"/>
              <w:rPr>
                <w:rFonts w:hint="default" w:ascii="Times New Roman" w:hAnsi="Times New Roman" w:eastAsia="宋体"/>
                <w:b/>
                <w:bCs/>
                <w:color w:val="auto"/>
                <w:lang w:val="en-US" w:eastAsia="zh-CN"/>
              </w:rPr>
            </w:pPr>
            <w:r>
              <w:rPr>
                <w:rFonts w:hint="eastAsia" w:ascii="Times New Roman" w:hAnsi="Times New Roman" w:eastAsia="宋体"/>
                <w:b/>
                <w:bCs/>
                <w:color w:val="auto"/>
                <w:lang w:val="en-US" w:eastAsia="zh-CN"/>
              </w:rPr>
              <w:t>有害成分</w:t>
            </w:r>
          </w:p>
        </w:tc>
        <w:tc>
          <w:tcPr>
            <w:tcW w:w="385" w:type="pct"/>
            <w:vAlign w:val="center"/>
          </w:tcPr>
          <w:p>
            <w:pPr>
              <w:pStyle w:val="103"/>
              <w:jc w:val="center"/>
              <w:rPr>
                <w:rFonts w:hint="default" w:ascii="Times New Roman" w:hAnsi="Times New Roman" w:eastAsia="宋体"/>
                <w:b/>
                <w:bCs/>
                <w:color w:val="auto"/>
                <w:lang w:val="en-US" w:eastAsia="zh-CN"/>
              </w:rPr>
            </w:pPr>
            <w:r>
              <w:rPr>
                <w:rFonts w:hint="eastAsia" w:ascii="Times New Roman" w:hAnsi="Times New Roman" w:eastAsia="宋体"/>
                <w:b/>
                <w:bCs/>
                <w:color w:val="auto"/>
                <w:lang w:val="en-US" w:eastAsia="zh-CN"/>
              </w:rPr>
              <w:t>产废周期</w:t>
            </w:r>
          </w:p>
        </w:tc>
        <w:tc>
          <w:tcPr>
            <w:tcW w:w="385" w:type="pct"/>
            <w:vAlign w:val="center"/>
          </w:tcPr>
          <w:p>
            <w:pPr>
              <w:pStyle w:val="103"/>
              <w:jc w:val="center"/>
              <w:rPr>
                <w:rFonts w:hint="default" w:ascii="Times New Roman" w:hAnsi="Times New Roman" w:eastAsia="宋体"/>
                <w:b/>
                <w:bCs/>
                <w:color w:val="auto"/>
                <w:lang w:val="en-US" w:eastAsia="zh-CN"/>
              </w:rPr>
            </w:pPr>
            <w:r>
              <w:rPr>
                <w:rFonts w:hint="eastAsia" w:ascii="Times New Roman" w:hAnsi="Times New Roman" w:eastAsia="宋体"/>
                <w:b/>
                <w:bCs/>
                <w:color w:val="auto"/>
                <w:lang w:val="en-US" w:eastAsia="zh-CN"/>
              </w:rPr>
              <w:t>危险特性</w:t>
            </w:r>
          </w:p>
        </w:tc>
        <w:tc>
          <w:tcPr>
            <w:tcW w:w="385" w:type="pct"/>
            <w:vAlign w:val="center"/>
          </w:tcPr>
          <w:p>
            <w:pPr>
              <w:pStyle w:val="103"/>
              <w:jc w:val="center"/>
              <w:rPr>
                <w:rFonts w:hint="default" w:ascii="Times New Roman" w:hAnsi="Times New Roman" w:eastAsia="宋体"/>
                <w:b/>
                <w:bCs/>
                <w:color w:val="auto"/>
                <w:lang w:val="en-US" w:eastAsia="zh-CN"/>
              </w:rPr>
            </w:pPr>
            <w:r>
              <w:rPr>
                <w:rFonts w:hint="eastAsia" w:ascii="Times New Roman" w:hAnsi="Times New Roman" w:eastAsia="宋体"/>
                <w:b/>
                <w:bCs/>
                <w:color w:val="auto"/>
                <w:lang w:val="en-US" w:eastAsia="zh-CN"/>
              </w:rPr>
              <w:t>污染防治措施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5" w:type="pct"/>
            <w:vAlign w:val="center"/>
          </w:tcPr>
          <w:p>
            <w:pPr>
              <w:pStyle w:val="103"/>
              <w:jc w:val="center"/>
              <w:rPr>
                <w:rFonts w:hint="default" w:ascii="Times New Roman" w:hAnsi="Times New Roman" w:eastAsia="宋体"/>
                <w:color w:val="auto"/>
                <w:lang w:val="en-US" w:eastAsia="zh-CN"/>
              </w:rPr>
            </w:pPr>
            <w:r>
              <w:rPr>
                <w:rFonts w:hint="eastAsia" w:ascii="Times New Roman" w:hAnsi="Times New Roman" w:eastAsia="宋体"/>
                <w:color w:val="auto"/>
                <w:lang w:val="en-US" w:eastAsia="zh-CN"/>
              </w:rPr>
              <w:t>1</w:t>
            </w:r>
          </w:p>
        </w:tc>
        <w:tc>
          <w:tcPr>
            <w:tcW w:w="385" w:type="pct"/>
            <w:vAlign w:val="center"/>
          </w:tcPr>
          <w:p>
            <w:pPr>
              <w:pStyle w:val="103"/>
              <w:jc w:val="center"/>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废疫苗瓶、废消毒剂瓶和废弃针头</w:t>
            </w:r>
          </w:p>
        </w:tc>
        <w:tc>
          <w:tcPr>
            <w:tcW w:w="458" w:type="pct"/>
            <w:vAlign w:val="center"/>
          </w:tcPr>
          <w:p>
            <w:pPr>
              <w:pStyle w:val="103"/>
              <w:jc w:val="center"/>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HW01 医疗废物</w:t>
            </w:r>
            <w:r>
              <w:rPr>
                <w:rFonts w:hint="eastAsia" w:ascii="Times New Roman" w:hAnsi="Times New Roman" w:eastAsia="宋体"/>
                <w:color w:val="auto"/>
                <w:lang w:val="en-US" w:eastAsia="zh-CN"/>
              </w:rPr>
              <w:t>；HW03废药物、药品</w:t>
            </w:r>
          </w:p>
        </w:tc>
        <w:tc>
          <w:tcPr>
            <w:tcW w:w="636" w:type="pct"/>
            <w:vAlign w:val="center"/>
          </w:tcPr>
          <w:p>
            <w:pPr>
              <w:pStyle w:val="103"/>
              <w:jc w:val="center"/>
              <w:rPr>
                <w:rFonts w:hint="default" w:ascii="Times New Roman" w:hAnsi="Times New Roman" w:eastAsia="宋体"/>
                <w:color w:val="auto"/>
                <w:lang w:val="en-US" w:eastAsia="zh-CN"/>
              </w:rPr>
            </w:pPr>
            <w:r>
              <w:rPr>
                <w:rFonts w:hint="eastAsia" w:ascii="Times New Roman" w:hAnsi="Times New Roman" w:eastAsia="宋体"/>
                <w:color w:val="auto"/>
                <w:lang w:val="en-US" w:eastAsia="zh-CN"/>
              </w:rPr>
              <w:t>841</w:t>
            </w:r>
            <w:r>
              <w:rPr>
                <w:rFonts w:hint="default" w:ascii="Times New Roman" w:hAnsi="Times New Roman" w:eastAsia="宋体"/>
                <w:color w:val="auto"/>
                <w:lang w:val="en-US" w:eastAsia="zh-CN"/>
              </w:rPr>
              <w:t>-001-01</w:t>
            </w:r>
            <w:r>
              <w:rPr>
                <w:rFonts w:hint="eastAsia" w:ascii="Times New Roman" w:hAnsi="Times New Roman" w:eastAsia="宋体"/>
                <w:color w:val="auto"/>
                <w:lang w:val="en-US" w:eastAsia="zh-CN"/>
              </w:rPr>
              <w:t>；841-002-01；841-005-01；900-002-03</w:t>
            </w:r>
          </w:p>
        </w:tc>
        <w:tc>
          <w:tcPr>
            <w:tcW w:w="436" w:type="pct"/>
            <w:vAlign w:val="center"/>
          </w:tcPr>
          <w:p>
            <w:pPr>
              <w:pStyle w:val="103"/>
              <w:jc w:val="center"/>
              <w:rPr>
                <w:rFonts w:hint="default" w:ascii="Times New Roman" w:hAnsi="Times New Roman" w:eastAsia="宋体"/>
                <w:color w:val="auto"/>
                <w:lang w:val="en-US" w:eastAsia="zh-CN"/>
              </w:rPr>
            </w:pPr>
            <w:r>
              <w:rPr>
                <w:rFonts w:hint="eastAsia" w:ascii="Times New Roman" w:hAnsi="Times New Roman" w:eastAsia="宋体"/>
                <w:color w:val="auto"/>
                <w:lang w:val="en-US" w:eastAsia="zh-CN"/>
              </w:rPr>
              <w:t>0.075</w:t>
            </w:r>
          </w:p>
        </w:tc>
        <w:tc>
          <w:tcPr>
            <w:tcW w:w="385" w:type="pct"/>
            <w:vAlign w:val="center"/>
          </w:tcPr>
          <w:p>
            <w:pPr>
              <w:pStyle w:val="103"/>
              <w:jc w:val="center"/>
              <w:rPr>
                <w:rFonts w:hint="default" w:ascii="Times New Roman" w:hAnsi="Times New Roman" w:eastAsia="宋体"/>
                <w:color w:val="auto"/>
                <w:lang w:val="en-US" w:eastAsia="zh-CN"/>
              </w:rPr>
            </w:pPr>
            <w:r>
              <w:rPr>
                <w:rFonts w:hint="eastAsia" w:ascii="Times New Roman" w:hAnsi="Times New Roman" w:eastAsia="宋体"/>
                <w:color w:val="auto"/>
                <w:lang w:val="en-US" w:eastAsia="zh-CN"/>
              </w:rPr>
              <w:t>防疫过程</w:t>
            </w:r>
          </w:p>
        </w:tc>
        <w:tc>
          <w:tcPr>
            <w:tcW w:w="385" w:type="pct"/>
            <w:vAlign w:val="center"/>
          </w:tcPr>
          <w:p>
            <w:pPr>
              <w:pStyle w:val="103"/>
              <w:jc w:val="center"/>
              <w:rPr>
                <w:rFonts w:hint="default" w:ascii="Times New Roman" w:hAnsi="Times New Roman" w:eastAsia="宋体"/>
                <w:color w:val="auto"/>
                <w:lang w:val="en-US" w:eastAsia="zh-CN"/>
              </w:rPr>
            </w:pPr>
            <w:r>
              <w:rPr>
                <w:rFonts w:hint="eastAsia" w:ascii="Times New Roman" w:hAnsi="Times New Roman" w:eastAsia="宋体"/>
                <w:color w:val="auto"/>
                <w:lang w:val="en-US" w:eastAsia="zh-CN"/>
              </w:rPr>
              <w:t>固态、液体</w:t>
            </w:r>
          </w:p>
        </w:tc>
        <w:tc>
          <w:tcPr>
            <w:tcW w:w="385" w:type="pct"/>
            <w:vAlign w:val="center"/>
          </w:tcPr>
          <w:p>
            <w:pPr>
              <w:pStyle w:val="103"/>
              <w:jc w:val="center"/>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残留疫苗和药品</w:t>
            </w:r>
          </w:p>
        </w:tc>
        <w:tc>
          <w:tcPr>
            <w:tcW w:w="385" w:type="pct"/>
            <w:vAlign w:val="center"/>
          </w:tcPr>
          <w:p>
            <w:pPr>
              <w:pStyle w:val="103"/>
              <w:jc w:val="center"/>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残留疫苗和药品</w:t>
            </w:r>
          </w:p>
        </w:tc>
        <w:tc>
          <w:tcPr>
            <w:tcW w:w="385" w:type="pct"/>
            <w:vAlign w:val="center"/>
          </w:tcPr>
          <w:p>
            <w:pPr>
              <w:pStyle w:val="103"/>
              <w:jc w:val="center"/>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保育猪疫苗注射和病猪注射药品时</w:t>
            </w:r>
          </w:p>
        </w:tc>
        <w:tc>
          <w:tcPr>
            <w:tcW w:w="385" w:type="pct"/>
            <w:vAlign w:val="center"/>
          </w:tcPr>
          <w:p>
            <w:pPr>
              <w:pStyle w:val="103"/>
              <w:jc w:val="center"/>
              <w:rPr>
                <w:rFonts w:hint="default" w:ascii="Times New Roman" w:hAnsi="Times New Roman" w:eastAsia="宋体"/>
                <w:color w:val="auto"/>
                <w:lang w:val="en-US" w:eastAsia="zh-CN"/>
              </w:rPr>
            </w:pPr>
            <w:r>
              <w:rPr>
                <w:rFonts w:hint="eastAsia" w:ascii="Times New Roman" w:hAnsi="Times New Roman" w:eastAsia="宋体"/>
                <w:color w:val="auto"/>
                <w:lang w:val="en-US" w:eastAsia="zh-CN"/>
              </w:rPr>
              <w:t>感染性</w:t>
            </w:r>
          </w:p>
        </w:tc>
        <w:tc>
          <w:tcPr>
            <w:tcW w:w="385" w:type="pct"/>
            <w:vAlign w:val="center"/>
          </w:tcPr>
          <w:p>
            <w:pPr>
              <w:pStyle w:val="103"/>
              <w:jc w:val="center"/>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In 感染性</w:t>
            </w:r>
          </w:p>
        </w:tc>
      </w:tr>
    </w:tbl>
    <w:p>
      <w:pPr>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宋体" w:cs="Times New Roman"/>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表</w:t>
      </w:r>
      <w:r>
        <w:rPr>
          <w:rFonts w:hint="eastAsia" w:ascii="Times New Roman" w:hAnsi="Times New Roman" w:eastAsia="宋体" w:cs="Times New Roman"/>
          <w:b/>
          <w:color w:val="auto"/>
          <w:sz w:val="21"/>
          <w:szCs w:val="21"/>
        </w:rPr>
        <w:t>3.</w:t>
      </w:r>
      <w:r>
        <w:rPr>
          <w:rFonts w:hint="eastAsia" w:ascii="Times New Roman" w:hAnsi="Times New Roman" w:eastAsia="宋体" w:cs="Times New Roman"/>
          <w:b/>
          <w:color w:val="auto"/>
          <w:sz w:val="21"/>
          <w:szCs w:val="21"/>
          <w:lang w:val="en-US" w:eastAsia="zh-CN"/>
        </w:rPr>
        <w:t>5-24  项目危险废物贮存场所（设施）基本情况表</w:t>
      </w:r>
    </w:p>
    <w:tbl>
      <w:tblPr>
        <w:tblStyle w:val="35"/>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5"/>
        <w:gridCol w:w="1346"/>
        <w:gridCol w:w="1346"/>
        <w:gridCol w:w="1346"/>
        <w:gridCol w:w="2052"/>
        <w:gridCol w:w="1346"/>
        <w:gridCol w:w="1346"/>
        <w:gridCol w:w="1346"/>
        <w:gridCol w:w="1346"/>
        <w:gridCol w:w="1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5" w:type="pct"/>
            <w:vAlign w:val="center"/>
          </w:tcPr>
          <w:p>
            <w:pPr>
              <w:pStyle w:val="103"/>
              <w:jc w:val="center"/>
              <w:rPr>
                <w:rFonts w:hint="default" w:ascii="Times New Roman" w:hAnsi="Times New Roman" w:eastAsia="宋体"/>
                <w:b/>
                <w:bCs/>
                <w:color w:val="auto"/>
                <w:lang w:val="en-US" w:eastAsia="zh-CN"/>
              </w:rPr>
            </w:pPr>
            <w:r>
              <w:rPr>
                <w:rFonts w:hint="eastAsia" w:ascii="Times New Roman" w:hAnsi="Times New Roman" w:eastAsia="宋体"/>
                <w:b/>
                <w:bCs/>
                <w:color w:val="auto"/>
                <w:lang w:val="en-US" w:eastAsia="zh-CN"/>
              </w:rPr>
              <w:t>序号</w:t>
            </w:r>
          </w:p>
        </w:tc>
        <w:tc>
          <w:tcPr>
            <w:tcW w:w="475" w:type="pct"/>
            <w:vAlign w:val="center"/>
          </w:tcPr>
          <w:p>
            <w:pPr>
              <w:pStyle w:val="103"/>
              <w:jc w:val="center"/>
              <w:rPr>
                <w:rFonts w:hint="default" w:ascii="Times New Roman" w:hAnsi="Times New Roman" w:eastAsia="宋体"/>
                <w:b/>
                <w:bCs/>
                <w:color w:val="auto"/>
                <w:lang w:val="en-US" w:eastAsia="zh-CN"/>
              </w:rPr>
            </w:pPr>
            <w:r>
              <w:rPr>
                <w:rFonts w:hint="eastAsia" w:ascii="Times New Roman" w:hAnsi="Times New Roman" w:eastAsia="宋体"/>
                <w:b/>
                <w:bCs/>
                <w:color w:val="auto"/>
                <w:lang w:val="en-US" w:eastAsia="zh-CN"/>
              </w:rPr>
              <w:t>贮存场所（设施）名称</w:t>
            </w:r>
          </w:p>
        </w:tc>
        <w:tc>
          <w:tcPr>
            <w:tcW w:w="475" w:type="pct"/>
            <w:vAlign w:val="center"/>
          </w:tcPr>
          <w:p>
            <w:pPr>
              <w:pStyle w:val="103"/>
              <w:jc w:val="center"/>
              <w:rPr>
                <w:rFonts w:hint="default" w:ascii="Times New Roman" w:hAnsi="Times New Roman" w:eastAsia="宋体"/>
                <w:b/>
                <w:bCs/>
                <w:color w:val="auto"/>
                <w:lang w:val="en-US" w:eastAsia="zh-CN"/>
              </w:rPr>
            </w:pPr>
            <w:r>
              <w:rPr>
                <w:rFonts w:hint="eastAsia" w:ascii="Times New Roman" w:hAnsi="Times New Roman" w:eastAsia="宋体"/>
                <w:b/>
                <w:bCs/>
                <w:color w:val="auto"/>
                <w:lang w:val="en-US" w:eastAsia="zh-CN"/>
              </w:rPr>
              <w:t>危险废物名称</w:t>
            </w:r>
          </w:p>
        </w:tc>
        <w:tc>
          <w:tcPr>
            <w:tcW w:w="475" w:type="pct"/>
            <w:vAlign w:val="center"/>
          </w:tcPr>
          <w:p>
            <w:pPr>
              <w:pStyle w:val="103"/>
              <w:jc w:val="center"/>
              <w:rPr>
                <w:rFonts w:hint="default" w:ascii="Times New Roman" w:hAnsi="Times New Roman" w:eastAsia="宋体"/>
                <w:b/>
                <w:bCs/>
                <w:color w:val="auto"/>
                <w:lang w:val="en-US" w:eastAsia="zh-CN"/>
              </w:rPr>
            </w:pPr>
            <w:r>
              <w:rPr>
                <w:rFonts w:hint="eastAsia" w:ascii="Times New Roman" w:hAnsi="Times New Roman" w:eastAsia="宋体"/>
                <w:b/>
                <w:bCs/>
                <w:color w:val="auto"/>
                <w:lang w:val="en-US" w:eastAsia="zh-CN"/>
              </w:rPr>
              <w:t>危险废物类别</w:t>
            </w:r>
          </w:p>
        </w:tc>
        <w:tc>
          <w:tcPr>
            <w:tcW w:w="724" w:type="pct"/>
            <w:vAlign w:val="center"/>
          </w:tcPr>
          <w:p>
            <w:pPr>
              <w:pStyle w:val="103"/>
              <w:jc w:val="center"/>
              <w:rPr>
                <w:rFonts w:hint="default" w:ascii="Times New Roman" w:hAnsi="Times New Roman" w:eastAsia="宋体"/>
                <w:b/>
                <w:bCs/>
                <w:color w:val="auto"/>
                <w:lang w:val="en-US" w:eastAsia="zh-CN"/>
              </w:rPr>
            </w:pPr>
            <w:r>
              <w:rPr>
                <w:rFonts w:hint="eastAsia" w:ascii="Times New Roman" w:hAnsi="Times New Roman" w:eastAsia="宋体"/>
                <w:b/>
                <w:bCs/>
                <w:color w:val="auto"/>
                <w:lang w:val="en-US" w:eastAsia="zh-CN"/>
              </w:rPr>
              <w:t>危险废物代码</w:t>
            </w:r>
          </w:p>
        </w:tc>
        <w:tc>
          <w:tcPr>
            <w:tcW w:w="475" w:type="pct"/>
            <w:vAlign w:val="center"/>
          </w:tcPr>
          <w:p>
            <w:pPr>
              <w:pStyle w:val="103"/>
              <w:jc w:val="center"/>
              <w:rPr>
                <w:rFonts w:hint="default" w:ascii="Times New Roman" w:hAnsi="Times New Roman" w:eastAsia="宋体"/>
                <w:b/>
                <w:bCs/>
                <w:color w:val="auto"/>
                <w:lang w:val="en-US" w:eastAsia="zh-CN"/>
              </w:rPr>
            </w:pPr>
            <w:r>
              <w:rPr>
                <w:rFonts w:hint="eastAsia" w:ascii="Times New Roman" w:hAnsi="Times New Roman" w:eastAsia="宋体"/>
                <w:b/>
                <w:bCs/>
                <w:color w:val="auto"/>
                <w:lang w:val="en-US" w:eastAsia="zh-CN"/>
              </w:rPr>
              <w:t>位置</w:t>
            </w:r>
          </w:p>
        </w:tc>
        <w:tc>
          <w:tcPr>
            <w:tcW w:w="475" w:type="pct"/>
            <w:vAlign w:val="center"/>
          </w:tcPr>
          <w:p>
            <w:pPr>
              <w:pStyle w:val="103"/>
              <w:jc w:val="center"/>
              <w:rPr>
                <w:rFonts w:hint="default" w:ascii="Times New Roman" w:hAnsi="Times New Roman" w:eastAsia="宋体"/>
                <w:b/>
                <w:bCs/>
                <w:color w:val="auto"/>
                <w:lang w:val="en-US" w:eastAsia="zh-CN"/>
              </w:rPr>
            </w:pPr>
            <w:r>
              <w:rPr>
                <w:rFonts w:hint="eastAsia" w:ascii="Times New Roman" w:hAnsi="Times New Roman" w:eastAsia="宋体"/>
                <w:b/>
                <w:bCs/>
                <w:color w:val="auto"/>
                <w:lang w:val="en-US" w:eastAsia="zh-CN"/>
              </w:rPr>
              <w:t>占地面积</w:t>
            </w:r>
          </w:p>
        </w:tc>
        <w:tc>
          <w:tcPr>
            <w:tcW w:w="475" w:type="pct"/>
            <w:vAlign w:val="center"/>
          </w:tcPr>
          <w:p>
            <w:pPr>
              <w:pStyle w:val="103"/>
              <w:jc w:val="center"/>
              <w:rPr>
                <w:rFonts w:hint="default" w:ascii="Times New Roman" w:hAnsi="Times New Roman" w:eastAsia="宋体"/>
                <w:b/>
                <w:bCs/>
                <w:color w:val="auto"/>
                <w:lang w:val="en-US" w:eastAsia="zh-CN"/>
              </w:rPr>
            </w:pPr>
            <w:r>
              <w:rPr>
                <w:rFonts w:hint="eastAsia" w:ascii="Times New Roman" w:hAnsi="Times New Roman" w:eastAsia="宋体"/>
                <w:b/>
                <w:bCs/>
                <w:color w:val="auto"/>
                <w:lang w:val="en-US" w:eastAsia="zh-CN"/>
              </w:rPr>
              <w:t>贮存方式</w:t>
            </w:r>
          </w:p>
        </w:tc>
        <w:tc>
          <w:tcPr>
            <w:tcW w:w="475" w:type="pct"/>
            <w:vAlign w:val="center"/>
          </w:tcPr>
          <w:p>
            <w:pPr>
              <w:pStyle w:val="103"/>
              <w:jc w:val="center"/>
              <w:rPr>
                <w:rFonts w:hint="default" w:ascii="Times New Roman" w:hAnsi="Times New Roman" w:eastAsia="宋体"/>
                <w:b/>
                <w:bCs/>
                <w:color w:val="auto"/>
                <w:lang w:val="en-US" w:eastAsia="zh-CN"/>
              </w:rPr>
            </w:pPr>
            <w:r>
              <w:rPr>
                <w:rFonts w:hint="eastAsia" w:ascii="Times New Roman" w:hAnsi="Times New Roman" w:eastAsia="宋体"/>
                <w:b/>
                <w:bCs/>
                <w:color w:val="auto"/>
                <w:lang w:val="en-US" w:eastAsia="zh-CN"/>
              </w:rPr>
              <w:t>贮存能力</w:t>
            </w:r>
          </w:p>
        </w:tc>
        <w:tc>
          <w:tcPr>
            <w:tcW w:w="475" w:type="pct"/>
            <w:vAlign w:val="center"/>
          </w:tcPr>
          <w:p>
            <w:pPr>
              <w:pStyle w:val="103"/>
              <w:jc w:val="center"/>
              <w:rPr>
                <w:rFonts w:hint="default" w:ascii="Times New Roman" w:hAnsi="Times New Roman" w:eastAsia="宋体"/>
                <w:b/>
                <w:bCs/>
                <w:color w:val="auto"/>
                <w:lang w:val="en-US" w:eastAsia="zh-CN"/>
              </w:rPr>
            </w:pPr>
            <w:r>
              <w:rPr>
                <w:rFonts w:hint="eastAsia" w:ascii="Times New Roman" w:hAnsi="Times New Roman" w:eastAsia="宋体"/>
                <w:b/>
                <w:bCs/>
                <w:color w:val="auto"/>
                <w:lang w:val="en-US" w:eastAsia="zh-CN"/>
              </w:rPr>
              <w:t>贮存周期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5" w:type="pct"/>
            <w:vAlign w:val="center"/>
          </w:tcPr>
          <w:p>
            <w:pPr>
              <w:pStyle w:val="103"/>
              <w:jc w:val="center"/>
              <w:rPr>
                <w:rFonts w:hint="default" w:ascii="Times New Roman" w:hAnsi="Times New Roman" w:eastAsia="宋体"/>
                <w:color w:val="auto"/>
                <w:lang w:val="en-US" w:eastAsia="zh-CN"/>
              </w:rPr>
            </w:pPr>
            <w:r>
              <w:rPr>
                <w:rFonts w:hint="eastAsia" w:ascii="Times New Roman" w:hAnsi="Times New Roman" w:eastAsia="宋体"/>
                <w:color w:val="auto"/>
                <w:lang w:val="en-US" w:eastAsia="zh-CN"/>
              </w:rPr>
              <w:t>1</w:t>
            </w:r>
          </w:p>
        </w:tc>
        <w:tc>
          <w:tcPr>
            <w:tcW w:w="475" w:type="pct"/>
            <w:vAlign w:val="center"/>
          </w:tcPr>
          <w:p>
            <w:pPr>
              <w:pStyle w:val="103"/>
              <w:jc w:val="center"/>
              <w:rPr>
                <w:rFonts w:hint="default" w:ascii="Times New Roman" w:hAnsi="Times New Roman" w:eastAsia="宋体"/>
                <w:color w:val="auto"/>
                <w:lang w:val="en-US" w:eastAsia="zh-CN"/>
              </w:rPr>
            </w:pPr>
            <w:r>
              <w:rPr>
                <w:rFonts w:hint="eastAsia" w:ascii="Times New Roman" w:hAnsi="Times New Roman" w:eastAsia="宋体"/>
                <w:color w:val="auto"/>
                <w:lang w:val="en-US" w:eastAsia="zh-CN"/>
              </w:rPr>
              <w:t>危废暂存间</w:t>
            </w:r>
          </w:p>
        </w:tc>
        <w:tc>
          <w:tcPr>
            <w:tcW w:w="475" w:type="pct"/>
            <w:vAlign w:val="center"/>
          </w:tcPr>
          <w:p>
            <w:pPr>
              <w:pStyle w:val="103"/>
              <w:jc w:val="center"/>
              <w:rPr>
                <w:rFonts w:hint="default" w:ascii="Times New Roman" w:hAnsi="Times New Roman" w:eastAsia="宋体"/>
                <w:color w:val="auto"/>
                <w:lang w:val="en-US" w:eastAsia="zh-CN"/>
              </w:rPr>
            </w:pPr>
            <w:r>
              <w:rPr>
                <w:rFonts w:hint="eastAsia" w:ascii="Times New Roman" w:hAnsi="Times New Roman" w:eastAsia="宋体"/>
                <w:color w:val="auto"/>
                <w:lang w:val="en-US" w:eastAsia="zh-CN"/>
              </w:rPr>
              <w:t>医疗废物</w:t>
            </w:r>
          </w:p>
        </w:tc>
        <w:tc>
          <w:tcPr>
            <w:tcW w:w="475" w:type="pct"/>
            <w:vAlign w:val="center"/>
          </w:tcPr>
          <w:p>
            <w:pPr>
              <w:pStyle w:val="103"/>
              <w:jc w:val="center"/>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HW01 医疗废物</w:t>
            </w:r>
            <w:r>
              <w:rPr>
                <w:rFonts w:hint="eastAsia" w:ascii="Times New Roman" w:hAnsi="Times New Roman" w:eastAsia="宋体"/>
                <w:color w:val="auto"/>
                <w:lang w:val="en-US" w:eastAsia="zh-CN"/>
              </w:rPr>
              <w:t>；HW03废药物、药品</w:t>
            </w:r>
          </w:p>
        </w:tc>
        <w:tc>
          <w:tcPr>
            <w:tcW w:w="724" w:type="pct"/>
            <w:vAlign w:val="center"/>
          </w:tcPr>
          <w:p>
            <w:pPr>
              <w:pStyle w:val="103"/>
              <w:jc w:val="center"/>
              <w:rPr>
                <w:rFonts w:hint="default" w:ascii="Times New Roman" w:hAnsi="Times New Roman" w:eastAsia="宋体"/>
                <w:color w:val="auto"/>
                <w:lang w:val="en-US" w:eastAsia="zh-CN"/>
              </w:rPr>
            </w:pPr>
            <w:r>
              <w:rPr>
                <w:rFonts w:hint="eastAsia" w:ascii="Times New Roman" w:hAnsi="Times New Roman" w:eastAsia="宋体"/>
                <w:color w:val="auto"/>
                <w:lang w:val="en-US" w:eastAsia="zh-CN"/>
              </w:rPr>
              <w:t>841</w:t>
            </w:r>
            <w:r>
              <w:rPr>
                <w:rFonts w:hint="default" w:ascii="Times New Roman" w:hAnsi="Times New Roman" w:eastAsia="宋体"/>
                <w:color w:val="auto"/>
                <w:lang w:val="en-US" w:eastAsia="zh-CN"/>
              </w:rPr>
              <w:t>-001-01</w:t>
            </w:r>
            <w:r>
              <w:rPr>
                <w:rFonts w:hint="eastAsia" w:ascii="Times New Roman" w:hAnsi="Times New Roman" w:eastAsia="宋体"/>
                <w:color w:val="auto"/>
                <w:lang w:val="en-US" w:eastAsia="zh-CN"/>
              </w:rPr>
              <w:t>；841-002-01；841-005-01；900-002-03</w:t>
            </w:r>
          </w:p>
        </w:tc>
        <w:tc>
          <w:tcPr>
            <w:tcW w:w="475" w:type="pct"/>
            <w:vAlign w:val="center"/>
          </w:tcPr>
          <w:p>
            <w:pPr>
              <w:pStyle w:val="103"/>
              <w:jc w:val="center"/>
              <w:rPr>
                <w:rFonts w:hint="default" w:ascii="Times New Roman" w:hAnsi="Times New Roman" w:eastAsia="宋体"/>
                <w:color w:val="auto"/>
                <w:lang w:val="en-US" w:eastAsia="zh-CN"/>
              </w:rPr>
            </w:pPr>
            <w:r>
              <w:rPr>
                <w:rFonts w:hint="eastAsia" w:ascii="Times New Roman" w:hAnsi="Times New Roman" w:eastAsia="宋体"/>
                <w:color w:val="auto"/>
                <w:lang w:val="en-US" w:eastAsia="zh-CN"/>
              </w:rPr>
              <w:t>厂区</w:t>
            </w:r>
          </w:p>
        </w:tc>
        <w:tc>
          <w:tcPr>
            <w:tcW w:w="475" w:type="pct"/>
            <w:vAlign w:val="center"/>
          </w:tcPr>
          <w:p>
            <w:pPr>
              <w:pStyle w:val="103"/>
              <w:jc w:val="center"/>
              <w:rPr>
                <w:rFonts w:hint="default" w:ascii="Times New Roman" w:hAnsi="Times New Roman" w:eastAsia="宋体"/>
                <w:color w:val="auto"/>
                <w:lang w:val="en-US" w:eastAsia="zh-CN"/>
              </w:rPr>
            </w:pPr>
            <w:r>
              <w:rPr>
                <w:rFonts w:hint="eastAsia" w:ascii="Times New Roman" w:hAnsi="Times New Roman" w:eastAsia="宋体"/>
                <w:color w:val="auto"/>
                <w:lang w:val="en-US" w:eastAsia="zh-CN"/>
              </w:rPr>
              <w:t>40m</w:t>
            </w:r>
            <w:r>
              <w:rPr>
                <w:rFonts w:hint="eastAsia" w:ascii="Times New Roman" w:hAnsi="Times New Roman" w:eastAsia="宋体"/>
                <w:color w:val="auto"/>
                <w:vertAlign w:val="superscript"/>
                <w:lang w:val="en-US" w:eastAsia="zh-CN"/>
              </w:rPr>
              <w:t>2</w:t>
            </w:r>
          </w:p>
        </w:tc>
        <w:tc>
          <w:tcPr>
            <w:tcW w:w="475" w:type="pct"/>
            <w:vAlign w:val="center"/>
          </w:tcPr>
          <w:p>
            <w:pPr>
              <w:pStyle w:val="103"/>
              <w:jc w:val="center"/>
              <w:rPr>
                <w:rFonts w:hint="default" w:ascii="Times New Roman" w:hAnsi="Times New Roman" w:eastAsia="宋体"/>
                <w:color w:val="auto"/>
                <w:lang w:val="en-US" w:eastAsia="zh-CN"/>
              </w:rPr>
            </w:pPr>
            <w:r>
              <w:rPr>
                <w:rFonts w:hint="eastAsia" w:ascii="Times New Roman" w:hAnsi="Times New Roman" w:eastAsia="宋体"/>
                <w:color w:val="auto"/>
                <w:lang w:val="en-US" w:eastAsia="zh-CN"/>
              </w:rPr>
              <w:t>桶装</w:t>
            </w:r>
          </w:p>
        </w:tc>
        <w:tc>
          <w:tcPr>
            <w:tcW w:w="475" w:type="pct"/>
            <w:vAlign w:val="center"/>
          </w:tcPr>
          <w:p>
            <w:pPr>
              <w:pStyle w:val="103"/>
              <w:jc w:val="center"/>
              <w:rPr>
                <w:rFonts w:hint="default" w:ascii="Times New Roman" w:hAnsi="Times New Roman" w:eastAsia="宋体"/>
                <w:color w:val="auto"/>
                <w:lang w:val="en-US" w:eastAsia="zh-CN"/>
              </w:rPr>
            </w:pPr>
            <w:r>
              <w:rPr>
                <w:rFonts w:hint="eastAsia" w:ascii="Times New Roman" w:hAnsi="Times New Roman" w:eastAsia="宋体"/>
                <w:color w:val="auto"/>
                <w:lang w:val="en-US" w:eastAsia="zh-CN"/>
              </w:rPr>
              <w:t>1t</w:t>
            </w:r>
          </w:p>
        </w:tc>
        <w:tc>
          <w:tcPr>
            <w:tcW w:w="475" w:type="pct"/>
            <w:vAlign w:val="center"/>
          </w:tcPr>
          <w:p>
            <w:pPr>
              <w:pStyle w:val="103"/>
              <w:jc w:val="center"/>
              <w:rPr>
                <w:rFonts w:hint="default" w:ascii="Times New Roman" w:hAnsi="Times New Roman" w:eastAsia="宋体"/>
                <w:color w:val="auto"/>
                <w:lang w:val="en-US" w:eastAsia="zh-CN"/>
              </w:rPr>
            </w:pPr>
            <w:r>
              <w:rPr>
                <w:rFonts w:hint="eastAsia" w:ascii="Times New Roman" w:hAnsi="Times New Roman" w:eastAsia="宋体"/>
                <w:color w:val="auto"/>
                <w:lang w:val="en-US" w:eastAsia="zh-CN"/>
              </w:rPr>
              <w:t>1年</w:t>
            </w:r>
          </w:p>
        </w:tc>
      </w:tr>
    </w:tbl>
    <w:p>
      <w:pPr>
        <w:pStyle w:val="6"/>
        <w:adjustRightInd w:val="0"/>
        <w:snapToGrid w:val="0"/>
        <w:spacing w:before="0" w:after="0" w:line="360" w:lineRule="auto"/>
        <w:rPr>
          <w:rFonts w:hint="eastAsia" w:ascii="Times New Roman" w:hAnsi="Times New Roman" w:eastAsia="宋体"/>
          <w:bCs w:val="0"/>
          <w:color w:val="auto"/>
          <w:kern w:val="0"/>
          <w:sz w:val="28"/>
          <w:szCs w:val="28"/>
        </w:rPr>
        <w:sectPr>
          <w:pgSz w:w="16838" w:h="11906" w:orient="landscape"/>
          <w:pgMar w:top="1451" w:right="1440" w:bottom="1451" w:left="1440" w:header="851" w:footer="992" w:gutter="0"/>
          <w:pgBorders>
            <w:top w:val="none" w:sz="0" w:space="0"/>
            <w:left w:val="none" w:sz="0" w:space="0"/>
            <w:bottom w:val="none" w:sz="0" w:space="0"/>
            <w:right w:val="none" w:sz="0" w:space="0"/>
          </w:pgBorders>
          <w:pgNumType w:fmt="decimal"/>
          <w:cols w:space="0" w:num="1"/>
          <w:rtlGutter w:val="0"/>
          <w:docGrid w:type="lines" w:linePitch="321" w:charSpace="0"/>
        </w:sectPr>
      </w:pPr>
      <w:bookmarkStart w:id="127" w:name="_Toc2418"/>
    </w:p>
    <w:p>
      <w:pPr>
        <w:pStyle w:val="6"/>
        <w:adjustRightInd w:val="0"/>
        <w:snapToGrid w:val="0"/>
        <w:spacing w:before="0" w:after="0" w:line="360" w:lineRule="auto"/>
        <w:rPr>
          <w:rFonts w:hint="eastAsia" w:ascii="Times New Roman" w:hAnsi="Times New Roman" w:eastAsia="宋体"/>
          <w:color w:val="auto"/>
          <w:lang w:eastAsia="zh-CN"/>
        </w:rPr>
      </w:pPr>
      <w:r>
        <w:rPr>
          <w:rFonts w:hint="eastAsia" w:ascii="Times New Roman" w:hAnsi="Times New Roman" w:eastAsia="宋体"/>
          <w:bCs w:val="0"/>
          <w:color w:val="auto"/>
          <w:kern w:val="0"/>
          <w:sz w:val="28"/>
          <w:szCs w:val="28"/>
        </w:rPr>
        <w:t>3.5.5</w:t>
      </w:r>
      <w:r>
        <w:rPr>
          <w:rFonts w:hint="eastAsia" w:ascii="Times New Roman" w:hAnsi="Times New Roman" w:eastAsia="宋体"/>
          <w:bCs w:val="0"/>
          <w:color w:val="auto"/>
          <w:kern w:val="0"/>
          <w:sz w:val="28"/>
          <w:szCs w:val="28"/>
          <w:lang w:eastAsia="zh-CN"/>
        </w:rPr>
        <w:t>地下水</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依据《环境影响评价技术导则 地下水环境》（HJ610-2016）11.2.2 分区防控措施的具体要求，已颁布污染物控制标准或防渗技术规范的行业，水平防渗技要求按照相应标准或规范执行。本项目重点防渗区均未颁布相应的污染物控制规范，因此根据预测结果和建设项目场地包气带特征及其防污性能提出防渗技术要求。根据建设项目场地天然包气带防污性能、污染控制难易程度和污染物特性确定防渗级别。</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针对本项目提出以下地下水保护措施：</w:t>
      </w:r>
    </w:p>
    <w:p>
      <w:pPr>
        <w:pageBreakBefore w:val="0"/>
        <w:widowControl w:val="0"/>
        <w:numPr>
          <w:ilvl w:val="0"/>
          <w:numId w:val="16"/>
        </w:numPr>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源头控制措施</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本项目场区内污水均采用密闭式污水管输送，产生的废水通过管道收集，由</w:t>
      </w:r>
      <w:r>
        <w:rPr>
          <w:rFonts w:hint="eastAsia" w:ascii="Times New Roman" w:hAnsi="Times New Roman" w:eastAsia="宋体" w:cs="Times New Roman"/>
          <w:color w:val="auto"/>
          <w:sz w:val="24"/>
          <w:szCs w:val="24"/>
          <w:lang w:eastAsia="zh-CN"/>
        </w:rPr>
        <w:t>污水处理区</w:t>
      </w:r>
      <w:r>
        <w:rPr>
          <w:rFonts w:hint="eastAsia" w:ascii="Times New Roman" w:hAnsi="Times New Roman" w:eastAsia="宋体" w:cs="Times New Roman"/>
          <w:color w:val="auto"/>
          <w:sz w:val="24"/>
          <w:szCs w:val="24"/>
        </w:rPr>
        <w:t>处理后</w:t>
      </w:r>
      <w:r>
        <w:rPr>
          <w:rFonts w:hint="eastAsia" w:ascii="Times New Roman" w:hAnsi="Times New Roman" w:eastAsia="宋体" w:cs="Times New Roman"/>
          <w:color w:val="auto"/>
          <w:sz w:val="24"/>
          <w:szCs w:val="24"/>
          <w:lang w:eastAsia="zh-CN"/>
        </w:rPr>
        <w:t>用于周边农田灌溉</w:t>
      </w:r>
      <w:r>
        <w:rPr>
          <w:rFonts w:hint="eastAsia" w:ascii="Times New Roman" w:hAnsi="Times New Roman" w:eastAsia="宋体" w:cs="Times New Roman"/>
          <w:color w:val="auto"/>
          <w:sz w:val="24"/>
          <w:szCs w:val="24"/>
        </w:rPr>
        <w:t>，不外排。为防止污水等的泄漏污染地下水，环评要求采取以下源头控制措施：</w:t>
      </w:r>
      <w:r>
        <w:rPr>
          <w:rFonts w:hint="eastAsia" w:ascii="Times New Roman" w:hAnsi="Times New Roman" w:eastAsia="宋体" w:cs="Times New Roman"/>
          <w:color w:val="auto"/>
          <w:sz w:val="24"/>
          <w:szCs w:val="24"/>
          <w:lang w:eastAsia="zh-CN"/>
        </w:rPr>
        <w:t>猪舍、污水处理区、危废暂存间、发电机房、粪污收集管道、化尸池</w:t>
      </w:r>
      <w:r>
        <w:rPr>
          <w:rFonts w:hint="eastAsia" w:ascii="Times New Roman" w:hAnsi="Times New Roman" w:eastAsia="宋体" w:cs="Times New Roman"/>
          <w:color w:val="auto"/>
          <w:sz w:val="24"/>
          <w:szCs w:val="24"/>
        </w:rPr>
        <w:t>等采取防渗</w:t>
      </w:r>
      <w:r>
        <w:rPr>
          <w:rFonts w:hint="eastAsia" w:ascii="Times New Roman" w:hAnsi="Times New Roman" w:eastAsia="宋体" w:cs="Times New Roman"/>
          <w:color w:val="auto"/>
          <w:sz w:val="24"/>
          <w:szCs w:val="24"/>
          <w:lang w:eastAsia="zh-CN"/>
        </w:rPr>
        <w:t>防</w:t>
      </w:r>
      <w:r>
        <w:rPr>
          <w:rFonts w:hint="eastAsia" w:ascii="Times New Roman" w:hAnsi="Times New Roman" w:eastAsia="宋体" w:cs="Times New Roman"/>
          <w:color w:val="auto"/>
          <w:sz w:val="24"/>
          <w:szCs w:val="24"/>
        </w:rPr>
        <w:t>漏处理</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rPr>
        <w:t>畜禽医疗垃圾等转运时须安全转移，防止撒漏，防止二次污染；强化各相关工程的转弯、承插、对接等处的防渗，作好隐蔽工程记录，强化防渗工程的环境管理。</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根据现场调查，本项目以水平防渗为主。根据《环境影响评价技术导则-地下水环境》（HJ610-2016），地下水污染防渗分区划分原则见下表3</w:t>
      </w:r>
      <w:r>
        <w:rPr>
          <w:rFonts w:hint="eastAsia" w:ascii="Times New Roman" w:hAnsi="Times New Roman" w:eastAsia="宋体" w:cs="Times New Roman"/>
          <w:color w:val="auto"/>
          <w:sz w:val="24"/>
          <w:szCs w:val="24"/>
          <w:lang w:val="en-US" w:eastAsia="zh-CN"/>
        </w:rPr>
        <w:t>.5</w:t>
      </w:r>
      <w:r>
        <w:rPr>
          <w:rFonts w:hint="eastAsia"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eastAsia="zh-CN"/>
        </w:rPr>
        <w:t>25、</w:t>
      </w:r>
      <w:r>
        <w:rPr>
          <w:rFonts w:hint="eastAsia" w:ascii="Times New Roman" w:hAnsi="Times New Roman" w:eastAsia="宋体" w:cs="Times New Roman"/>
          <w:color w:val="auto"/>
          <w:sz w:val="24"/>
          <w:szCs w:val="24"/>
        </w:rPr>
        <w:t>3</w:t>
      </w:r>
      <w:r>
        <w:rPr>
          <w:rFonts w:hint="eastAsia" w:ascii="Times New Roman" w:hAnsi="Times New Roman" w:eastAsia="宋体" w:cs="Times New Roman"/>
          <w:color w:val="auto"/>
          <w:sz w:val="24"/>
          <w:szCs w:val="24"/>
          <w:lang w:val="en-US" w:eastAsia="zh-CN"/>
        </w:rPr>
        <w:t>.5</w:t>
      </w:r>
      <w:r>
        <w:rPr>
          <w:rFonts w:hint="eastAsia"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eastAsia="zh-CN"/>
        </w:rPr>
        <w:t>26</w:t>
      </w:r>
      <w:r>
        <w:rPr>
          <w:rFonts w:hint="eastAsia" w:ascii="Times New Roman" w:hAnsi="Times New Roman" w:eastAsia="宋体" w:cs="Times New Roman"/>
          <w:color w:val="auto"/>
          <w:sz w:val="24"/>
          <w:szCs w:val="24"/>
        </w:rPr>
        <w:t>、3</w:t>
      </w:r>
      <w:r>
        <w:rPr>
          <w:rFonts w:hint="eastAsia" w:ascii="Times New Roman" w:hAnsi="Times New Roman" w:eastAsia="宋体" w:cs="Times New Roman"/>
          <w:color w:val="auto"/>
          <w:sz w:val="24"/>
          <w:szCs w:val="24"/>
          <w:lang w:val="en-US" w:eastAsia="zh-CN"/>
        </w:rPr>
        <w:t>.5</w:t>
      </w:r>
      <w:r>
        <w:rPr>
          <w:rFonts w:hint="eastAsia"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eastAsia="zh-CN"/>
        </w:rPr>
        <w:t>27</w:t>
      </w:r>
      <w:r>
        <w:rPr>
          <w:rFonts w:hint="eastAsia" w:ascii="Times New Roman" w:hAnsi="Times New Roman" w:eastAsia="宋体" w:cs="Times New Roman"/>
          <w:color w:val="auto"/>
          <w:sz w:val="24"/>
          <w:szCs w:val="24"/>
        </w:rPr>
        <w:t>。</w:t>
      </w: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表</w:t>
      </w:r>
      <w:r>
        <w:rPr>
          <w:rFonts w:hint="eastAsia" w:ascii="Times New Roman" w:hAnsi="Times New Roman" w:eastAsia="宋体" w:cs="Times New Roman"/>
          <w:b/>
          <w:color w:val="auto"/>
          <w:sz w:val="21"/>
          <w:szCs w:val="21"/>
        </w:rPr>
        <w:t>3.</w:t>
      </w:r>
      <w:r>
        <w:rPr>
          <w:rFonts w:hint="eastAsia" w:ascii="Times New Roman" w:hAnsi="Times New Roman" w:eastAsia="宋体" w:cs="Times New Roman"/>
          <w:b/>
          <w:color w:val="auto"/>
          <w:sz w:val="21"/>
          <w:szCs w:val="21"/>
          <w:lang w:val="en-US" w:eastAsia="zh-CN"/>
        </w:rPr>
        <w:t>5-25  污染控制难易程度分级参照表</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55"/>
        <w:gridCol w:w="7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55" w:type="dxa"/>
          </w:tcPr>
          <w:p>
            <w:pPr>
              <w:pStyle w:val="103"/>
              <w:jc w:val="center"/>
              <w:rPr>
                <w:rFonts w:hint="eastAsia" w:ascii="Times New Roman" w:hAnsi="Times New Roman" w:eastAsia="宋体"/>
                <w:b/>
                <w:bCs/>
                <w:color w:val="auto"/>
                <w:lang w:val="en-US" w:eastAsia="zh-CN"/>
              </w:rPr>
            </w:pPr>
            <w:r>
              <w:rPr>
                <w:rFonts w:hint="eastAsia" w:ascii="Times New Roman" w:hAnsi="Times New Roman" w:eastAsia="宋体"/>
                <w:b/>
                <w:bCs/>
                <w:color w:val="auto"/>
                <w:lang w:val="en-US" w:eastAsia="zh-CN"/>
              </w:rPr>
              <w:t>污染控制难易程度</w:t>
            </w:r>
          </w:p>
        </w:tc>
        <w:tc>
          <w:tcPr>
            <w:tcW w:w="7065" w:type="dxa"/>
          </w:tcPr>
          <w:p>
            <w:pPr>
              <w:pStyle w:val="103"/>
              <w:jc w:val="center"/>
              <w:rPr>
                <w:rFonts w:hint="eastAsia" w:ascii="Times New Roman" w:hAnsi="Times New Roman" w:eastAsia="宋体"/>
                <w:b/>
                <w:bCs/>
                <w:color w:val="auto"/>
                <w:lang w:val="en-US" w:eastAsia="zh-CN"/>
              </w:rPr>
            </w:pPr>
            <w:r>
              <w:rPr>
                <w:rFonts w:hint="eastAsia" w:ascii="Times New Roman" w:hAnsi="Times New Roman" w:eastAsia="宋体"/>
                <w:b/>
                <w:bCs/>
                <w:color w:val="auto"/>
                <w:lang w:val="en-US" w:eastAsia="zh-CN"/>
              </w:rPr>
              <w:t>主要特征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55" w:type="dxa"/>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难</w:t>
            </w:r>
          </w:p>
        </w:tc>
        <w:tc>
          <w:tcPr>
            <w:tcW w:w="7065" w:type="dxa"/>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对地下水环境有污染的物料或污染物泄漏后，不能及时发现和处理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55" w:type="dxa"/>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易</w:t>
            </w:r>
          </w:p>
        </w:tc>
        <w:tc>
          <w:tcPr>
            <w:tcW w:w="7065" w:type="dxa"/>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对地下水环境有污染的物料或污染物泄漏后，可及时发现和处理</w:t>
            </w:r>
          </w:p>
        </w:tc>
      </w:tr>
    </w:tbl>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ascii="Times New Roman" w:hAnsi="Times New Roman" w:eastAsia="宋体" w:cs="Times New Roman"/>
          <w:b/>
          <w:color w:val="auto"/>
          <w:sz w:val="21"/>
          <w:szCs w:val="21"/>
        </w:rPr>
      </w:pP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hint="eastAsia" w:ascii="Times New Roman" w:hAnsi="Times New Roman" w:eastAsia="宋体" w:cs="Times New Roman"/>
          <w:b/>
          <w:color w:val="auto"/>
          <w:sz w:val="21"/>
          <w:szCs w:val="21"/>
          <w:lang w:val="en-US" w:eastAsia="zh-CN"/>
        </w:rPr>
      </w:pPr>
      <w:r>
        <w:rPr>
          <w:rFonts w:hint="eastAsia" w:ascii="Times New Roman" w:hAnsi="Times New Roman" w:eastAsia="宋体" w:cs="Times New Roman"/>
          <w:b/>
          <w:color w:val="auto"/>
          <w:sz w:val="21"/>
          <w:szCs w:val="21"/>
          <w:lang w:val="en-US" w:eastAsia="zh-CN"/>
        </w:rPr>
        <w:t>表3.5-26  天然包气带防污性能分级参照表</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4"/>
        <w:gridCol w:w="82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 w:type="dxa"/>
            <w:vAlign w:val="center"/>
          </w:tcPr>
          <w:p>
            <w:pPr>
              <w:pStyle w:val="103"/>
              <w:jc w:val="center"/>
              <w:rPr>
                <w:rFonts w:hint="eastAsia" w:ascii="Times New Roman" w:hAnsi="Times New Roman" w:eastAsia="宋体"/>
                <w:b/>
                <w:bCs/>
                <w:color w:val="auto"/>
                <w:lang w:val="en-US" w:eastAsia="zh-CN"/>
              </w:rPr>
            </w:pPr>
            <w:r>
              <w:rPr>
                <w:rFonts w:hint="eastAsia" w:ascii="Times New Roman" w:hAnsi="Times New Roman" w:eastAsia="宋体"/>
                <w:b/>
                <w:bCs/>
                <w:color w:val="auto"/>
                <w:lang w:val="en-US" w:eastAsia="zh-CN"/>
              </w:rPr>
              <w:t>分级</w:t>
            </w:r>
          </w:p>
        </w:tc>
        <w:tc>
          <w:tcPr>
            <w:tcW w:w="8246" w:type="dxa"/>
            <w:vAlign w:val="center"/>
          </w:tcPr>
          <w:p>
            <w:pPr>
              <w:pStyle w:val="103"/>
              <w:jc w:val="center"/>
              <w:rPr>
                <w:rFonts w:hint="eastAsia" w:ascii="Times New Roman" w:hAnsi="Times New Roman" w:eastAsia="宋体"/>
                <w:b/>
                <w:bCs/>
                <w:color w:val="auto"/>
                <w:lang w:val="en-US" w:eastAsia="zh-CN"/>
              </w:rPr>
            </w:pPr>
            <w:r>
              <w:rPr>
                <w:rFonts w:hint="eastAsia" w:ascii="Times New Roman" w:hAnsi="Times New Roman" w:eastAsia="宋体"/>
                <w:b/>
                <w:bCs/>
                <w:color w:val="auto"/>
                <w:lang w:val="en-US" w:eastAsia="zh-CN"/>
              </w:rPr>
              <w:t>包气带岩土的渗透性能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强</w:t>
            </w:r>
          </w:p>
        </w:tc>
        <w:tc>
          <w:tcPr>
            <w:tcW w:w="8246"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岩（土）层单层厚度 Mb≥1.0m，渗透系数 K≤1×10</w:t>
            </w:r>
            <w:r>
              <w:rPr>
                <w:rFonts w:hint="eastAsia" w:ascii="Times New Roman" w:hAnsi="Times New Roman" w:eastAsia="宋体"/>
                <w:color w:val="auto"/>
                <w:vertAlign w:val="superscript"/>
                <w:lang w:val="en-US" w:eastAsia="zh-CN"/>
              </w:rPr>
              <w:t>-6</w:t>
            </w:r>
            <w:r>
              <w:rPr>
                <w:rFonts w:hint="eastAsia" w:ascii="Times New Roman" w:hAnsi="Times New Roman" w:eastAsia="宋体"/>
                <w:color w:val="auto"/>
                <w:lang w:val="en-US" w:eastAsia="zh-CN"/>
              </w:rPr>
              <w:t>cm/s，且分布连续、稳定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中</w:t>
            </w:r>
          </w:p>
        </w:tc>
        <w:tc>
          <w:tcPr>
            <w:tcW w:w="8246"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岩（土）层单层厚度0.5m≤Mb＜1.0m，渗透系数K≤1×10</w:t>
            </w:r>
            <w:r>
              <w:rPr>
                <w:rFonts w:hint="eastAsia" w:ascii="Times New Roman" w:hAnsi="Times New Roman" w:eastAsia="宋体"/>
                <w:color w:val="auto"/>
                <w:vertAlign w:val="superscript"/>
                <w:lang w:val="en-US" w:eastAsia="zh-CN"/>
              </w:rPr>
              <w:t>-6</w:t>
            </w:r>
            <w:r>
              <w:rPr>
                <w:rFonts w:hint="eastAsia" w:ascii="Times New Roman" w:hAnsi="Times New Roman" w:eastAsia="宋体"/>
                <w:color w:val="auto"/>
                <w:lang w:val="en-US" w:eastAsia="zh-CN"/>
              </w:rPr>
              <w:t>cm/s，且分布连续、稳定。岩（土）层单层厚度Mb≥1.0m，渗透系数1×10-6cm/s＜K≤1×10</w:t>
            </w:r>
            <w:r>
              <w:rPr>
                <w:rFonts w:hint="eastAsia" w:ascii="Times New Roman" w:hAnsi="Times New Roman" w:eastAsia="宋体"/>
                <w:color w:val="auto"/>
                <w:vertAlign w:val="superscript"/>
                <w:lang w:val="en-US" w:eastAsia="zh-CN"/>
              </w:rPr>
              <w:t>-4</w:t>
            </w:r>
            <w:r>
              <w:rPr>
                <w:rFonts w:hint="eastAsia" w:ascii="Times New Roman" w:hAnsi="Times New Roman" w:eastAsia="宋体"/>
                <w:color w:val="auto"/>
                <w:lang w:val="en-US" w:eastAsia="zh-CN"/>
              </w:rPr>
              <w:t>cm/s，且分布连续、稳定。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弱</w:t>
            </w:r>
          </w:p>
        </w:tc>
        <w:tc>
          <w:tcPr>
            <w:tcW w:w="8246"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岩（土）层不满足上述“强”和“中”条件</w:t>
            </w:r>
          </w:p>
        </w:tc>
      </w:tr>
    </w:tbl>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ascii="Times New Roman" w:hAnsi="Times New Roman" w:eastAsia="宋体" w:cs="Times New Roman"/>
          <w:b/>
          <w:color w:val="auto"/>
          <w:sz w:val="21"/>
          <w:szCs w:val="21"/>
        </w:rPr>
      </w:pP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表</w:t>
      </w:r>
      <w:r>
        <w:rPr>
          <w:rFonts w:hint="eastAsia" w:ascii="Times New Roman" w:hAnsi="Times New Roman" w:eastAsia="宋体" w:cs="Times New Roman"/>
          <w:b/>
          <w:color w:val="auto"/>
          <w:sz w:val="21"/>
          <w:szCs w:val="21"/>
        </w:rPr>
        <w:t>3.</w:t>
      </w:r>
      <w:r>
        <w:rPr>
          <w:rFonts w:hint="eastAsia" w:ascii="Times New Roman" w:hAnsi="Times New Roman" w:eastAsia="宋体" w:cs="Times New Roman"/>
          <w:b/>
          <w:color w:val="auto"/>
          <w:sz w:val="21"/>
          <w:szCs w:val="21"/>
          <w:lang w:val="en-US" w:eastAsia="zh-CN"/>
        </w:rPr>
        <w:t>5-27  地下水污染防渗分区参照表</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9"/>
        <w:gridCol w:w="2212"/>
        <w:gridCol w:w="1988"/>
        <w:gridCol w:w="1512"/>
        <w:gridCol w:w="2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Align w:val="center"/>
          </w:tcPr>
          <w:p>
            <w:pPr>
              <w:pStyle w:val="103"/>
              <w:jc w:val="center"/>
              <w:rPr>
                <w:rFonts w:hint="eastAsia" w:ascii="Times New Roman" w:hAnsi="Times New Roman" w:eastAsia="宋体"/>
                <w:b/>
                <w:bCs/>
                <w:color w:val="auto"/>
                <w:lang w:val="en-US" w:eastAsia="zh-CN"/>
              </w:rPr>
            </w:pPr>
            <w:r>
              <w:rPr>
                <w:rFonts w:hint="eastAsia" w:ascii="Times New Roman" w:hAnsi="Times New Roman" w:eastAsia="宋体"/>
                <w:b/>
                <w:bCs/>
                <w:color w:val="auto"/>
                <w:lang w:val="en-US" w:eastAsia="zh-CN"/>
              </w:rPr>
              <w:t>防渗分区</w:t>
            </w:r>
          </w:p>
        </w:tc>
        <w:tc>
          <w:tcPr>
            <w:tcW w:w="2212" w:type="dxa"/>
            <w:vAlign w:val="center"/>
          </w:tcPr>
          <w:p>
            <w:pPr>
              <w:pStyle w:val="103"/>
              <w:jc w:val="center"/>
              <w:rPr>
                <w:rFonts w:hint="eastAsia" w:ascii="Times New Roman" w:hAnsi="Times New Roman" w:eastAsia="宋体"/>
                <w:b/>
                <w:bCs/>
                <w:color w:val="auto"/>
                <w:lang w:val="en-US" w:eastAsia="zh-CN"/>
              </w:rPr>
            </w:pPr>
            <w:r>
              <w:rPr>
                <w:rFonts w:hint="eastAsia" w:ascii="Times New Roman" w:hAnsi="Times New Roman" w:eastAsia="宋体"/>
                <w:b/>
                <w:bCs/>
                <w:color w:val="auto"/>
                <w:lang w:val="en-US" w:eastAsia="zh-CN"/>
              </w:rPr>
              <w:t>天然包气带防污性能</w:t>
            </w:r>
          </w:p>
        </w:tc>
        <w:tc>
          <w:tcPr>
            <w:tcW w:w="1988" w:type="dxa"/>
            <w:vAlign w:val="center"/>
          </w:tcPr>
          <w:p>
            <w:pPr>
              <w:pStyle w:val="103"/>
              <w:jc w:val="center"/>
              <w:rPr>
                <w:rFonts w:hint="eastAsia" w:ascii="Times New Roman" w:hAnsi="Times New Roman" w:eastAsia="宋体"/>
                <w:b/>
                <w:bCs/>
                <w:color w:val="auto"/>
                <w:lang w:val="en-US" w:eastAsia="zh-CN"/>
              </w:rPr>
            </w:pPr>
            <w:r>
              <w:rPr>
                <w:rFonts w:hint="eastAsia" w:ascii="Times New Roman" w:hAnsi="Times New Roman" w:eastAsia="宋体"/>
                <w:b/>
                <w:bCs/>
                <w:color w:val="auto"/>
                <w:lang w:val="en-US" w:eastAsia="zh-CN"/>
              </w:rPr>
              <w:t>污染控制难易程度</w:t>
            </w:r>
          </w:p>
        </w:tc>
        <w:tc>
          <w:tcPr>
            <w:tcW w:w="1512" w:type="dxa"/>
            <w:vAlign w:val="center"/>
          </w:tcPr>
          <w:p>
            <w:pPr>
              <w:pStyle w:val="103"/>
              <w:jc w:val="center"/>
              <w:rPr>
                <w:rFonts w:hint="eastAsia" w:ascii="Times New Roman" w:hAnsi="Times New Roman" w:eastAsia="宋体"/>
                <w:b/>
                <w:bCs/>
                <w:color w:val="auto"/>
                <w:lang w:val="en-US" w:eastAsia="zh-CN"/>
              </w:rPr>
            </w:pPr>
            <w:r>
              <w:rPr>
                <w:rFonts w:hint="eastAsia" w:ascii="Times New Roman" w:hAnsi="Times New Roman" w:eastAsia="宋体"/>
                <w:b/>
                <w:bCs/>
                <w:color w:val="auto"/>
                <w:lang w:val="en-US" w:eastAsia="zh-CN"/>
              </w:rPr>
              <w:t>污染物类型</w:t>
            </w:r>
          </w:p>
        </w:tc>
        <w:tc>
          <w:tcPr>
            <w:tcW w:w="2379" w:type="dxa"/>
            <w:vAlign w:val="center"/>
          </w:tcPr>
          <w:p>
            <w:pPr>
              <w:pStyle w:val="103"/>
              <w:jc w:val="center"/>
              <w:rPr>
                <w:rFonts w:hint="eastAsia" w:ascii="Times New Roman" w:hAnsi="Times New Roman" w:eastAsia="宋体"/>
                <w:b/>
                <w:bCs/>
                <w:color w:val="auto"/>
                <w:lang w:val="en-US" w:eastAsia="zh-CN"/>
              </w:rPr>
            </w:pPr>
            <w:r>
              <w:rPr>
                <w:rFonts w:hint="eastAsia" w:ascii="Times New Roman" w:hAnsi="Times New Roman" w:eastAsia="宋体"/>
                <w:b/>
                <w:bCs/>
                <w:color w:val="auto"/>
                <w:lang w:val="en-US" w:eastAsia="zh-CN"/>
              </w:rPr>
              <w:t>防渗技术要求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restart"/>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重点防渗区</w:t>
            </w:r>
          </w:p>
        </w:tc>
        <w:tc>
          <w:tcPr>
            <w:tcW w:w="2212"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强</w:t>
            </w:r>
          </w:p>
        </w:tc>
        <w:tc>
          <w:tcPr>
            <w:tcW w:w="1988"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难</w:t>
            </w:r>
          </w:p>
        </w:tc>
        <w:tc>
          <w:tcPr>
            <w:tcW w:w="1512" w:type="dxa"/>
            <w:vMerge w:val="restart"/>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重金属、持久性有机污染物</w:t>
            </w:r>
          </w:p>
        </w:tc>
        <w:tc>
          <w:tcPr>
            <w:tcW w:w="2379" w:type="dxa"/>
            <w:vMerge w:val="restart"/>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等效黏土防渗层 Mb≥6.0m，K≤1 ×10</w:t>
            </w:r>
            <w:r>
              <w:rPr>
                <w:rFonts w:hint="eastAsia" w:ascii="Times New Roman" w:hAnsi="Times New Roman" w:eastAsia="宋体"/>
                <w:color w:val="auto"/>
                <w:vertAlign w:val="superscript"/>
                <w:lang w:val="en-US" w:eastAsia="zh-CN"/>
              </w:rPr>
              <w:t>-7</w:t>
            </w:r>
            <w:r>
              <w:rPr>
                <w:rFonts w:hint="eastAsia" w:ascii="Times New Roman" w:hAnsi="Times New Roman" w:eastAsia="宋体"/>
                <w:color w:val="auto"/>
                <w:lang w:val="en-US" w:eastAsia="zh-CN"/>
              </w:rPr>
              <w:t>cm/s；或参照 GB18598 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vAlign w:val="center"/>
          </w:tcPr>
          <w:p>
            <w:pPr>
              <w:pStyle w:val="103"/>
              <w:jc w:val="center"/>
              <w:rPr>
                <w:rFonts w:hint="eastAsia" w:ascii="Times New Roman" w:hAnsi="Times New Roman" w:eastAsia="宋体"/>
                <w:color w:val="auto"/>
                <w:lang w:val="en-US" w:eastAsia="zh-CN"/>
              </w:rPr>
            </w:pPr>
          </w:p>
        </w:tc>
        <w:tc>
          <w:tcPr>
            <w:tcW w:w="2212"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中—强</w:t>
            </w:r>
          </w:p>
        </w:tc>
        <w:tc>
          <w:tcPr>
            <w:tcW w:w="1988"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难</w:t>
            </w:r>
          </w:p>
        </w:tc>
        <w:tc>
          <w:tcPr>
            <w:tcW w:w="1512" w:type="dxa"/>
            <w:vMerge w:val="continue"/>
            <w:vAlign w:val="center"/>
          </w:tcPr>
          <w:p>
            <w:pPr>
              <w:pStyle w:val="103"/>
              <w:jc w:val="center"/>
              <w:rPr>
                <w:rFonts w:hint="eastAsia" w:ascii="Times New Roman" w:hAnsi="Times New Roman" w:eastAsia="宋体"/>
                <w:color w:val="auto"/>
                <w:lang w:val="en-US" w:eastAsia="zh-CN"/>
              </w:rPr>
            </w:pPr>
          </w:p>
        </w:tc>
        <w:tc>
          <w:tcPr>
            <w:tcW w:w="2379" w:type="dxa"/>
            <w:vMerge w:val="continue"/>
            <w:vAlign w:val="center"/>
          </w:tcPr>
          <w:p>
            <w:pPr>
              <w:pStyle w:val="103"/>
              <w:jc w:val="center"/>
              <w:rPr>
                <w:rFonts w:hint="eastAsia" w:ascii="Times New Roman" w:hAnsi="Times New Roman" w:eastAsia="宋体"/>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vAlign w:val="center"/>
          </w:tcPr>
          <w:p>
            <w:pPr>
              <w:pStyle w:val="103"/>
              <w:jc w:val="center"/>
              <w:rPr>
                <w:rFonts w:hint="eastAsia" w:ascii="Times New Roman" w:hAnsi="Times New Roman" w:eastAsia="宋体"/>
                <w:color w:val="auto"/>
                <w:lang w:val="en-US" w:eastAsia="zh-CN"/>
              </w:rPr>
            </w:pPr>
          </w:p>
        </w:tc>
        <w:tc>
          <w:tcPr>
            <w:tcW w:w="2212"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弱</w:t>
            </w:r>
          </w:p>
        </w:tc>
        <w:tc>
          <w:tcPr>
            <w:tcW w:w="1988"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易</w:t>
            </w:r>
          </w:p>
        </w:tc>
        <w:tc>
          <w:tcPr>
            <w:tcW w:w="1512" w:type="dxa"/>
            <w:vMerge w:val="continue"/>
            <w:vAlign w:val="center"/>
          </w:tcPr>
          <w:p>
            <w:pPr>
              <w:pStyle w:val="103"/>
              <w:jc w:val="center"/>
              <w:rPr>
                <w:rFonts w:hint="eastAsia" w:ascii="Times New Roman" w:hAnsi="Times New Roman" w:eastAsia="宋体"/>
                <w:color w:val="auto"/>
                <w:lang w:val="en-US" w:eastAsia="zh-CN"/>
              </w:rPr>
            </w:pPr>
          </w:p>
        </w:tc>
        <w:tc>
          <w:tcPr>
            <w:tcW w:w="2379" w:type="dxa"/>
            <w:vMerge w:val="continue"/>
            <w:vAlign w:val="center"/>
          </w:tcPr>
          <w:p>
            <w:pPr>
              <w:pStyle w:val="103"/>
              <w:jc w:val="center"/>
              <w:rPr>
                <w:rFonts w:hint="eastAsia" w:ascii="Times New Roman" w:hAnsi="Times New Roman" w:eastAsia="宋体"/>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restart"/>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一般防渗区</w:t>
            </w:r>
          </w:p>
        </w:tc>
        <w:tc>
          <w:tcPr>
            <w:tcW w:w="2212"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弱</w:t>
            </w:r>
          </w:p>
        </w:tc>
        <w:tc>
          <w:tcPr>
            <w:tcW w:w="1988"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难—易</w:t>
            </w:r>
          </w:p>
        </w:tc>
        <w:tc>
          <w:tcPr>
            <w:tcW w:w="1512" w:type="dxa"/>
            <w:vMerge w:val="restart"/>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其他类型</w:t>
            </w:r>
          </w:p>
        </w:tc>
        <w:tc>
          <w:tcPr>
            <w:tcW w:w="2379" w:type="dxa"/>
            <w:vMerge w:val="restart"/>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等效黏土防渗层 Mb≥1.5m，K≤1 ×10</w:t>
            </w:r>
            <w:r>
              <w:rPr>
                <w:rFonts w:hint="eastAsia" w:ascii="Times New Roman" w:hAnsi="Times New Roman" w:eastAsia="宋体"/>
                <w:color w:val="auto"/>
                <w:vertAlign w:val="superscript"/>
                <w:lang w:val="en-US" w:eastAsia="zh-CN"/>
              </w:rPr>
              <w:t>-7</w:t>
            </w:r>
            <w:r>
              <w:rPr>
                <w:rFonts w:hint="eastAsia" w:ascii="Times New Roman" w:hAnsi="Times New Roman" w:eastAsia="宋体"/>
                <w:color w:val="auto"/>
                <w:lang w:val="en-US" w:eastAsia="zh-CN"/>
              </w:rPr>
              <w:t>cm/s；或参照GB18598 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vAlign w:val="center"/>
          </w:tcPr>
          <w:p>
            <w:pPr>
              <w:pStyle w:val="103"/>
              <w:jc w:val="center"/>
              <w:rPr>
                <w:rFonts w:hint="eastAsia" w:ascii="Times New Roman" w:hAnsi="Times New Roman" w:eastAsia="宋体"/>
                <w:color w:val="auto"/>
                <w:lang w:val="en-US" w:eastAsia="zh-CN"/>
              </w:rPr>
            </w:pPr>
          </w:p>
        </w:tc>
        <w:tc>
          <w:tcPr>
            <w:tcW w:w="2212"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中—强</w:t>
            </w:r>
          </w:p>
        </w:tc>
        <w:tc>
          <w:tcPr>
            <w:tcW w:w="1988"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难</w:t>
            </w:r>
          </w:p>
        </w:tc>
        <w:tc>
          <w:tcPr>
            <w:tcW w:w="1512" w:type="dxa"/>
            <w:vMerge w:val="continue"/>
            <w:vAlign w:val="center"/>
          </w:tcPr>
          <w:p>
            <w:pPr>
              <w:pStyle w:val="103"/>
              <w:jc w:val="center"/>
              <w:rPr>
                <w:rFonts w:hint="eastAsia" w:ascii="Times New Roman" w:hAnsi="Times New Roman" w:eastAsia="宋体"/>
                <w:color w:val="auto"/>
                <w:lang w:val="en-US" w:eastAsia="zh-CN"/>
              </w:rPr>
            </w:pPr>
          </w:p>
        </w:tc>
        <w:tc>
          <w:tcPr>
            <w:tcW w:w="2379" w:type="dxa"/>
            <w:vMerge w:val="continue"/>
            <w:vAlign w:val="center"/>
          </w:tcPr>
          <w:p>
            <w:pPr>
              <w:pStyle w:val="103"/>
              <w:jc w:val="center"/>
              <w:rPr>
                <w:rFonts w:hint="eastAsia" w:ascii="Times New Roman" w:hAnsi="Times New Roman" w:eastAsia="宋体"/>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vAlign w:val="center"/>
          </w:tcPr>
          <w:p>
            <w:pPr>
              <w:pStyle w:val="103"/>
              <w:jc w:val="center"/>
              <w:rPr>
                <w:rFonts w:hint="eastAsia" w:ascii="Times New Roman" w:hAnsi="Times New Roman" w:eastAsia="宋体"/>
                <w:color w:val="auto"/>
                <w:lang w:val="en-US" w:eastAsia="zh-CN"/>
              </w:rPr>
            </w:pPr>
          </w:p>
        </w:tc>
        <w:tc>
          <w:tcPr>
            <w:tcW w:w="2212"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中</w:t>
            </w:r>
          </w:p>
        </w:tc>
        <w:tc>
          <w:tcPr>
            <w:tcW w:w="1988"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易</w:t>
            </w:r>
          </w:p>
        </w:tc>
        <w:tc>
          <w:tcPr>
            <w:tcW w:w="1512" w:type="dxa"/>
            <w:vMerge w:val="restart"/>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重金属、持久性有机污染物</w:t>
            </w:r>
          </w:p>
        </w:tc>
        <w:tc>
          <w:tcPr>
            <w:tcW w:w="2379" w:type="dxa"/>
            <w:vMerge w:val="continue"/>
            <w:vAlign w:val="center"/>
          </w:tcPr>
          <w:p>
            <w:pPr>
              <w:pStyle w:val="103"/>
              <w:jc w:val="center"/>
              <w:rPr>
                <w:rFonts w:hint="eastAsia" w:ascii="Times New Roman" w:hAnsi="Times New Roman" w:eastAsia="宋体"/>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vAlign w:val="center"/>
          </w:tcPr>
          <w:p>
            <w:pPr>
              <w:pStyle w:val="103"/>
              <w:jc w:val="center"/>
              <w:rPr>
                <w:rFonts w:hint="eastAsia" w:ascii="Times New Roman" w:hAnsi="Times New Roman" w:eastAsia="宋体"/>
                <w:color w:val="auto"/>
                <w:lang w:val="en-US" w:eastAsia="zh-CN"/>
              </w:rPr>
            </w:pPr>
          </w:p>
        </w:tc>
        <w:tc>
          <w:tcPr>
            <w:tcW w:w="2212"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强</w:t>
            </w:r>
          </w:p>
        </w:tc>
        <w:tc>
          <w:tcPr>
            <w:tcW w:w="1988"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易</w:t>
            </w:r>
          </w:p>
        </w:tc>
        <w:tc>
          <w:tcPr>
            <w:tcW w:w="1512" w:type="dxa"/>
            <w:vMerge w:val="continue"/>
            <w:vAlign w:val="center"/>
          </w:tcPr>
          <w:p>
            <w:pPr>
              <w:pStyle w:val="103"/>
              <w:jc w:val="center"/>
              <w:rPr>
                <w:rFonts w:hint="eastAsia" w:ascii="Times New Roman" w:hAnsi="Times New Roman" w:eastAsia="宋体"/>
                <w:color w:val="auto"/>
                <w:lang w:val="en-US" w:eastAsia="zh-CN"/>
              </w:rPr>
            </w:pPr>
          </w:p>
        </w:tc>
        <w:tc>
          <w:tcPr>
            <w:tcW w:w="2379" w:type="dxa"/>
            <w:vMerge w:val="continue"/>
            <w:vAlign w:val="center"/>
          </w:tcPr>
          <w:p>
            <w:pPr>
              <w:pStyle w:val="103"/>
              <w:jc w:val="center"/>
              <w:rPr>
                <w:rFonts w:hint="eastAsia" w:ascii="Times New Roman" w:hAnsi="Times New Roman" w:eastAsia="宋体"/>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简单防渗区</w:t>
            </w:r>
          </w:p>
        </w:tc>
        <w:tc>
          <w:tcPr>
            <w:tcW w:w="2212"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中—强</w:t>
            </w:r>
          </w:p>
        </w:tc>
        <w:tc>
          <w:tcPr>
            <w:tcW w:w="1988"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易</w:t>
            </w:r>
          </w:p>
        </w:tc>
        <w:tc>
          <w:tcPr>
            <w:tcW w:w="1512"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其他类型</w:t>
            </w:r>
          </w:p>
        </w:tc>
        <w:tc>
          <w:tcPr>
            <w:tcW w:w="2379"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一般地面硬化</w:t>
            </w:r>
          </w:p>
        </w:tc>
      </w:tr>
    </w:tbl>
    <w:p>
      <w:pPr>
        <w:pageBreakBefore w:val="0"/>
        <w:widowControl w:val="0"/>
        <w:kinsoku/>
        <w:wordWrap/>
        <w:overflowPunct/>
        <w:topLinePunct w:val="0"/>
        <w:autoSpaceDE/>
        <w:autoSpaceDN/>
        <w:bidi w:val="0"/>
        <w:adjustRightInd w:val="0"/>
        <w:snapToGrid w:val="0"/>
        <w:spacing w:line="360" w:lineRule="auto"/>
        <w:textAlignment w:val="auto"/>
        <w:rPr>
          <w:rFonts w:hint="eastAsia" w:ascii="Times New Roman" w:hAnsi="Times New Roman" w:eastAsia="宋体" w:cs="Times New Roman"/>
          <w:color w:val="auto"/>
          <w:sz w:val="24"/>
          <w:szCs w:val="24"/>
        </w:rPr>
      </w:pPr>
    </w:p>
    <w:p>
      <w:pPr>
        <w:pageBreakBefore w:val="0"/>
        <w:widowControl w:val="0"/>
        <w:numPr>
          <w:ilvl w:val="0"/>
          <w:numId w:val="13"/>
        </w:numPr>
        <w:kinsoku/>
        <w:wordWrap/>
        <w:overflowPunct/>
        <w:topLinePunct w:val="0"/>
        <w:autoSpaceDE/>
        <w:autoSpaceDN/>
        <w:bidi w:val="0"/>
        <w:adjustRightInd w:val="0"/>
        <w:snapToGrid w:val="0"/>
        <w:spacing w:line="360" w:lineRule="auto"/>
        <w:ind w:left="0" w:leftChars="0"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分区防渗</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本项目拟建位置位于丘陵地带，地下水埋深较深，属于天然包气带防污性能强的区域；本项目污染物主要为猪粪、尿等污染物类型为非持久性有机物，污染控制程度为易。因此，针对本项目不同区域采取分区防控措施：</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①重点防渗区</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项目</w:t>
      </w:r>
      <w:r>
        <w:rPr>
          <w:rFonts w:hint="eastAsia" w:ascii="Times New Roman" w:hAnsi="Times New Roman" w:eastAsia="宋体" w:cs="Times New Roman"/>
          <w:color w:val="auto"/>
          <w:sz w:val="24"/>
          <w:szCs w:val="24"/>
          <w:lang w:eastAsia="zh-CN"/>
        </w:rPr>
        <w:t>猪舍、污水处理区、危废暂存间、发电机房、粪污收集管道、化尸池</w:t>
      </w:r>
      <w:r>
        <w:rPr>
          <w:rFonts w:hint="eastAsia" w:ascii="Times New Roman" w:hAnsi="Times New Roman" w:eastAsia="宋体" w:cs="Times New Roman"/>
          <w:color w:val="auto"/>
          <w:sz w:val="24"/>
          <w:szCs w:val="24"/>
        </w:rPr>
        <w:t>为重点防渗区域。污染区防渗措施：本环评按《环境影响评价技术导则—地下水环境》（HJ610-2016）要求，并借鉴《危险废物贮存污染控制标准》（GB18597），采用刚性+柔性防渗措施，即采用 P8 等级混凝土+2mmHDPE 膜防渗结构，地面防渗结构由下至上为：混凝土底板（厚度 300mm，抗渗等级为 P8）、600g/m</w:t>
      </w:r>
      <w:r>
        <w:rPr>
          <w:rFonts w:hint="eastAsia" w:ascii="Times New Roman" w:hAnsi="Times New Roman" w:eastAsia="宋体" w:cs="Times New Roman"/>
          <w:color w:val="auto"/>
          <w:sz w:val="24"/>
          <w:szCs w:val="24"/>
          <w:vertAlign w:val="superscript"/>
        </w:rPr>
        <w:t>2</w:t>
      </w:r>
      <w:r>
        <w:rPr>
          <w:rFonts w:hint="eastAsia" w:ascii="Times New Roman" w:hAnsi="Times New Roman" w:eastAsia="宋体" w:cs="Times New Roman"/>
          <w:color w:val="auto"/>
          <w:sz w:val="24"/>
          <w:szCs w:val="24"/>
        </w:rPr>
        <w:t>土工布、2mm 厚 HDPE 防渗膜、600g/m</w:t>
      </w:r>
      <w:r>
        <w:rPr>
          <w:rFonts w:hint="eastAsia" w:ascii="Times New Roman" w:hAnsi="Times New Roman" w:eastAsia="宋体" w:cs="Times New Roman"/>
          <w:color w:val="auto"/>
          <w:sz w:val="24"/>
          <w:szCs w:val="24"/>
          <w:vertAlign w:val="superscript"/>
        </w:rPr>
        <w:t>2</w:t>
      </w:r>
      <w:r>
        <w:rPr>
          <w:rFonts w:hint="eastAsia" w:ascii="Times New Roman" w:hAnsi="Times New Roman" w:eastAsia="宋体" w:cs="Times New Roman"/>
          <w:color w:val="auto"/>
          <w:sz w:val="24"/>
          <w:szCs w:val="24"/>
        </w:rPr>
        <w:t>土工布、混凝土保护层（厚度100mm）。地面采取粘土铺底，再在上层铺 10~15cm 的水泥进行硬化，并涂覆环氧树脂防腐防渗。</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②一般防渗区</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项目</w:t>
      </w:r>
      <w:r>
        <w:rPr>
          <w:rFonts w:hint="eastAsia" w:ascii="Times New Roman" w:hAnsi="Times New Roman" w:eastAsia="宋体" w:cs="Times New Roman"/>
          <w:color w:val="auto"/>
          <w:sz w:val="24"/>
          <w:szCs w:val="24"/>
          <w:lang w:eastAsia="zh-CN"/>
        </w:rPr>
        <w:t>猪走道（污道）、固废暂存间</w:t>
      </w:r>
      <w:r>
        <w:rPr>
          <w:rFonts w:hint="eastAsia" w:ascii="Times New Roman" w:hAnsi="Times New Roman" w:eastAsia="宋体" w:cs="Times New Roman"/>
          <w:color w:val="auto"/>
          <w:sz w:val="24"/>
          <w:szCs w:val="24"/>
        </w:rPr>
        <w:t>为一般防渗区。污染区防渗措施：压实系数≥0.92的夯实基土，选取 C25，P6 防渗等级混凝土，随打随抹光（骨料用石灰石、白云石）。</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③简单防渗区</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项目办公宿舍楼、场内净道、绿地和空地等养殖区其余部分区域为简单防渗区。对于基本上不产生污染物的非污染防治区，仅进行一般地面硬化，不采取专门针对地下水污染的防治措施。</w:t>
      </w: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表</w:t>
      </w:r>
      <w:r>
        <w:rPr>
          <w:rFonts w:hint="eastAsia" w:ascii="Times New Roman" w:hAnsi="Times New Roman" w:eastAsia="宋体" w:cs="Times New Roman"/>
          <w:b/>
          <w:color w:val="auto"/>
          <w:sz w:val="21"/>
          <w:szCs w:val="21"/>
        </w:rPr>
        <w:t>3.</w:t>
      </w:r>
      <w:r>
        <w:rPr>
          <w:rFonts w:hint="eastAsia" w:ascii="Times New Roman" w:hAnsi="Times New Roman" w:eastAsia="宋体" w:cs="Times New Roman"/>
          <w:b/>
          <w:color w:val="auto"/>
          <w:sz w:val="21"/>
          <w:szCs w:val="21"/>
          <w:lang w:val="en-US" w:eastAsia="zh-CN"/>
        </w:rPr>
        <w:t>5</w:t>
      </w:r>
      <w:r>
        <w:rPr>
          <w:rFonts w:ascii="Times New Roman" w:hAnsi="Times New Roman" w:eastAsia="宋体" w:cs="Times New Roman"/>
          <w:b/>
          <w:color w:val="auto"/>
          <w:sz w:val="21"/>
          <w:szCs w:val="21"/>
        </w:rPr>
        <w:t>-</w:t>
      </w:r>
      <w:r>
        <w:rPr>
          <w:rFonts w:hint="eastAsia" w:ascii="Times New Roman" w:hAnsi="Times New Roman" w:eastAsia="宋体" w:cs="Times New Roman"/>
          <w:b/>
          <w:color w:val="auto"/>
          <w:sz w:val="21"/>
          <w:szCs w:val="21"/>
          <w:lang w:val="en-US" w:eastAsia="zh-CN"/>
        </w:rPr>
        <w:t>28  项目分区防渗一览表</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9"/>
        <w:gridCol w:w="1335"/>
        <w:gridCol w:w="3033"/>
        <w:gridCol w:w="4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9" w:type="dxa"/>
            <w:vAlign w:val="center"/>
          </w:tcPr>
          <w:p>
            <w:pPr>
              <w:pStyle w:val="103"/>
              <w:jc w:val="center"/>
              <w:rPr>
                <w:rFonts w:hint="eastAsia" w:ascii="Times New Roman" w:hAnsi="Times New Roman" w:eastAsia="宋体"/>
                <w:b/>
                <w:bCs/>
                <w:color w:val="auto"/>
                <w:lang w:val="en-US" w:eastAsia="zh-CN"/>
              </w:rPr>
            </w:pPr>
            <w:r>
              <w:rPr>
                <w:rFonts w:hint="eastAsia" w:ascii="Times New Roman" w:hAnsi="Times New Roman" w:eastAsia="宋体"/>
                <w:b/>
                <w:bCs/>
                <w:color w:val="auto"/>
                <w:lang w:val="en-US" w:eastAsia="zh-CN"/>
              </w:rPr>
              <w:t>序号</w:t>
            </w:r>
          </w:p>
        </w:tc>
        <w:tc>
          <w:tcPr>
            <w:tcW w:w="1335" w:type="dxa"/>
            <w:vAlign w:val="center"/>
          </w:tcPr>
          <w:p>
            <w:pPr>
              <w:pStyle w:val="103"/>
              <w:jc w:val="center"/>
              <w:rPr>
                <w:rFonts w:hint="eastAsia" w:ascii="Times New Roman" w:hAnsi="Times New Roman" w:eastAsia="宋体"/>
                <w:b/>
                <w:bCs/>
                <w:color w:val="auto"/>
                <w:lang w:val="en-US" w:eastAsia="zh-CN"/>
              </w:rPr>
            </w:pPr>
            <w:r>
              <w:rPr>
                <w:rFonts w:hint="eastAsia" w:ascii="Times New Roman" w:hAnsi="Times New Roman" w:eastAsia="宋体"/>
                <w:b/>
                <w:bCs/>
                <w:color w:val="auto"/>
                <w:lang w:val="en-US" w:eastAsia="zh-CN"/>
              </w:rPr>
              <w:t>防渗分区</w:t>
            </w:r>
          </w:p>
        </w:tc>
        <w:tc>
          <w:tcPr>
            <w:tcW w:w="3033" w:type="dxa"/>
            <w:vAlign w:val="center"/>
          </w:tcPr>
          <w:p>
            <w:pPr>
              <w:pStyle w:val="103"/>
              <w:jc w:val="center"/>
              <w:rPr>
                <w:rFonts w:hint="eastAsia" w:ascii="Times New Roman" w:hAnsi="Times New Roman" w:eastAsia="宋体"/>
                <w:b/>
                <w:bCs/>
                <w:color w:val="auto"/>
                <w:lang w:val="en-US" w:eastAsia="zh-CN"/>
              </w:rPr>
            </w:pPr>
            <w:r>
              <w:rPr>
                <w:rFonts w:hint="eastAsia" w:ascii="Times New Roman" w:hAnsi="Times New Roman" w:eastAsia="宋体"/>
                <w:b/>
                <w:bCs/>
                <w:color w:val="auto"/>
                <w:lang w:val="en-US" w:eastAsia="zh-CN"/>
              </w:rPr>
              <w:t>具体范围</w:t>
            </w:r>
          </w:p>
        </w:tc>
        <w:tc>
          <w:tcPr>
            <w:tcW w:w="4103" w:type="dxa"/>
            <w:vAlign w:val="center"/>
          </w:tcPr>
          <w:p>
            <w:pPr>
              <w:pStyle w:val="103"/>
              <w:jc w:val="center"/>
              <w:rPr>
                <w:rFonts w:hint="eastAsia" w:ascii="Times New Roman" w:hAnsi="Times New Roman" w:eastAsia="宋体"/>
                <w:b/>
                <w:bCs/>
                <w:color w:val="auto"/>
                <w:lang w:val="en-US" w:eastAsia="zh-CN"/>
              </w:rPr>
            </w:pPr>
            <w:r>
              <w:rPr>
                <w:rFonts w:hint="eastAsia" w:ascii="Times New Roman" w:hAnsi="Times New Roman" w:eastAsia="宋体"/>
                <w:b/>
                <w:bCs/>
                <w:color w:val="auto"/>
                <w:lang w:val="en-US" w:eastAsia="zh-CN"/>
              </w:rPr>
              <w:t>防渗措施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9" w:type="dxa"/>
            <w:vAlign w:val="center"/>
          </w:tcPr>
          <w:p>
            <w:pPr>
              <w:pStyle w:val="103"/>
              <w:jc w:val="center"/>
              <w:rPr>
                <w:rFonts w:hint="default" w:ascii="Times New Roman" w:hAnsi="Times New Roman" w:eastAsia="宋体"/>
                <w:color w:val="auto"/>
                <w:lang w:val="en-US" w:eastAsia="zh-CN"/>
              </w:rPr>
            </w:pPr>
            <w:r>
              <w:rPr>
                <w:rFonts w:hint="eastAsia" w:ascii="Times New Roman" w:hAnsi="Times New Roman" w:eastAsia="宋体"/>
                <w:color w:val="auto"/>
                <w:lang w:val="en-US" w:eastAsia="zh-CN"/>
              </w:rPr>
              <w:t>I</w:t>
            </w:r>
          </w:p>
        </w:tc>
        <w:tc>
          <w:tcPr>
            <w:tcW w:w="1335"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重点防渗区</w:t>
            </w:r>
          </w:p>
        </w:tc>
        <w:tc>
          <w:tcPr>
            <w:tcW w:w="3033"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猪舍、污水处理区、危废暂存间、发电机房、粪污收集管道、化尸池</w:t>
            </w:r>
          </w:p>
        </w:tc>
        <w:tc>
          <w:tcPr>
            <w:tcW w:w="4103"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采用刚性+柔性防渗措施，即采用 P8 等级 混凝土+2mmHDPE 膜防渗结构，地面防渗 结构由下至上为：混凝土底板（厚度 300mm，抗渗等级为 P8）、600g/m</w:t>
            </w:r>
            <w:r>
              <w:rPr>
                <w:rFonts w:hint="eastAsia" w:ascii="Times New Roman" w:hAnsi="Times New Roman" w:eastAsia="宋体"/>
                <w:color w:val="auto"/>
                <w:vertAlign w:val="superscript"/>
                <w:lang w:val="en-US" w:eastAsia="zh-CN"/>
              </w:rPr>
              <w:t>2</w:t>
            </w:r>
            <w:r>
              <w:rPr>
                <w:rFonts w:hint="eastAsia" w:ascii="Times New Roman" w:hAnsi="Times New Roman" w:eastAsia="宋体"/>
                <w:color w:val="auto"/>
                <w:lang w:val="en-US" w:eastAsia="zh-CN"/>
              </w:rPr>
              <w:t>土工布、2mm 厚 HDPE 防渗膜、600g/m</w:t>
            </w:r>
            <w:r>
              <w:rPr>
                <w:rFonts w:hint="eastAsia" w:ascii="Times New Roman" w:hAnsi="Times New Roman" w:eastAsia="宋体"/>
                <w:color w:val="auto"/>
                <w:vertAlign w:val="superscript"/>
                <w:lang w:val="en-US" w:eastAsia="zh-CN"/>
              </w:rPr>
              <w:t>2</w:t>
            </w:r>
            <w:r>
              <w:rPr>
                <w:rFonts w:hint="eastAsia" w:ascii="Times New Roman" w:hAnsi="Times New Roman" w:eastAsia="宋体"/>
                <w:color w:val="auto"/>
                <w:lang w:val="en-US" w:eastAsia="zh-CN"/>
              </w:rPr>
              <w:t>土工 布、混凝土保护层（厚度 100mm）。地面 采取粘土铺底，再在上层铺 10~15cm 的水 泥进行硬化，并涂覆环氧树脂防腐防渗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9" w:type="dxa"/>
            <w:vAlign w:val="center"/>
          </w:tcPr>
          <w:p>
            <w:pPr>
              <w:pStyle w:val="103"/>
              <w:jc w:val="center"/>
              <w:rPr>
                <w:rFonts w:hint="default" w:ascii="Times New Roman" w:hAnsi="Times New Roman" w:eastAsia="宋体"/>
                <w:color w:val="auto"/>
                <w:lang w:val="en-US" w:eastAsia="zh-CN"/>
              </w:rPr>
            </w:pPr>
            <w:r>
              <w:rPr>
                <w:rFonts w:hint="eastAsia" w:ascii="Times New Roman" w:hAnsi="Times New Roman" w:eastAsia="宋体"/>
                <w:color w:val="auto"/>
                <w:lang w:val="en-US" w:eastAsia="zh-CN"/>
              </w:rPr>
              <w:t>II</w:t>
            </w:r>
          </w:p>
        </w:tc>
        <w:tc>
          <w:tcPr>
            <w:tcW w:w="1335"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一般防渗区</w:t>
            </w:r>
          </w:p>
        </w:tc>
        <w:tc>
          <w:tcPr>
            <w:tcW w:w="3033"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猪走道（污道）、固废暂存间</w:t>
            </w:r>
          </w:p>
        </w:tc>
        <w:tc>
          <w:tcPr>
            <w:tcW w:w="4103"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压实系数≥0.92 的夯实基土，选取 C25， P6 防渗等级混凝土，随打随抹光（骨料用石灰石、白云石）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9" w:type="dxa"/>
            <w:vAlign w:val="center"/>
          </w:tcPr>
          <w:p>
            <w:pPr>
              <w:pStyle w:val="103"/>
              <w:jc w:val="center"/>
              <w:rPr>
                <w:rFonts w:hint="default" w:ascii="Times New Roman" w:hAnsi="Times New Roman" w:eastAsia="宋体"/>
                <w:color w:val="auto"/>
                <w:lang w:val="en-US" w:eastAsia="zh-CN"/>
              </w:rPr>
            </w:pPr>
            <w:r>
              <w:rPr>
                <w:rFonts w:hint="eastAsia" w:ascii="Times New Roman" w:hAnsi="Times New Roman" w:eastAsia="宋体"/>
                <w:color w:val="auto"/>
                <w:lang w:val="en-US" w:eastAsia="zh-CN"/>
              </w:rPr>
              <w:t>III</w:t>
            </w:r>
          </w:p>
        </w:tc>
        <w:tc>
          <w:tcPr>
            <w:tcW w:w="1335"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简单防渗区</w:t>
            </w:r>
          </w:p>
        </w:tc>
        <w:tc>
          <w:tcPr>
            <w:tcW w:w="3033"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养殖区其余部分</w:t>
            </w:r>
          </w:p>
        </w:tc>
        <w:tc>
          <w:tcPr>
            <w:tcW w:w="4103"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一般地面硬化</w:t>
            </w:r>
          </w:p>
        </w:tc>
      </w:tr>
    </w:tbl>
    <w:p>
      <w:pPr>
        <w:pStyle w:val="5"/>
        <w:pageBreakBefore w:val="0"/>
        <w:widowControl w:val="0"/>
        <w:kinsoku/>
        <w:wordWrap/>
        <w:overflowPunct/>
        <w:topLinePunct w:val="0"/>
        <w:autoSpaceDE/>
        <w:autoSpaceDN/>
        <w:bidi w:val="0"/>
        <w:adjustRightInd w:val="0"/>
        <w:snapToGrid w:val="0"/>
        <w:spacing w:before="0" w:after="0" w:line="360" w:lineRule="auto"/>
        <w:textAlignment w:val="auto"/>
        <w:rPr>
          <w:rFonts w:ascii="Times New Roman" w:hAnsi="Times New Roman" w:eastAsia="宋体"/>
          <w:color w:val="auto"/>
          <w:sz w:val="30"/>
          <w:szCs w:val="30"/>
        </w:rPr>
      </w:pPr>
      <w:bookmarkStart w:id="128" w:name="_Toc4681"/>
      <w:r>
        <w:rPr>
          <w:rFonts w:hint="eastAsia" w:ascii="Times New Roman" w:hAnsi="Times New Roman" w:eastAsia="宋体"/>
          <w:color w:val="auto"/>
          <w:sz w:val="30"/>
          <w:szCs w:val="30"/>
        </w:rPr>
        <w:t>3.6项目排污汇总</w:t>
      </w:r>
      <w:bookmarkEnd w:id="127"/>
      <w:bookmarkEnd w:id="128"/>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rPr>
        <w:sectPr>
          <w:pgSz w:w="11906" w:h="16838"/>
          <w:pgMar w:top="1440" w:right="1451" w:bottom="1440" w:left="1451" w:header="851" w:footer="992" w:gutter="0"/>
          <w:pgBorders>
            <w:top w:val="none" w:sz="0" w:space="0"/>
            <w:left w:val="none" w:sz="0" w:space="0"/>
            <w:bottom w:val="none" w:sz="0" w:space="0"/>
            <w:right w:val="none" w:sz="0" w:space="0"/>
          </w:pgBorders>
          <w:pgNumType w:fmt="decimal"/>
          <w:cols w:space="0" w:num="1"/>
          <w:rtlGutter w:val="0"/>
          <w:docGrid w:type="lines" w:linePitch="321" w:charSpace="0"/>
        </w:sectPr>
      </w:pPr>
      <w:r>
        <w:rPr>
          <w:rFonts w:ascii="Times New Roman" w:hAnsi="Times New Roman" w:eastAsia="宋体" w:cs="Times New Roman"/>
          <w:color w:val="auto"/>
          <w:sz w:val="24"/>
          <w:szCs w:val="24"/>
        </w:rPr>
        <w:t>项目污染物排放详见下表</w:t>
      </w:r>
      <w:r>
        <w:rPr>
          <w:rFonts w:hint="eastAsia" w:ascii="Times New Roman" w:hAnsi="Times New Roman" w:eastAsia="宋体" w:cs="Times New Roman"/>
          <w:color w:val="auto"/>
          <w:sz w:val="24"/>
          <w:szCs w:val="24"/>
        </w:rPr>
        <w:t>：</w:t>
      </w: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表</w:t>
      </w:r>
      <w:r>
        <w:rPr>
          <w:rFonts w:hint="eastAsia" w:ascii="Times New Roman" w:hAnsi="Times New Roman" w:eastAsia="宋体" w:cs="Times New Roman"/>
          <w:b/>
          <w:color w:val="auto"/>
          <w:sz w:val="21"/>
          <w:szCs w:val="21"/>
        </w:rPr>
        <w:t>3.6</w:t>
      </w:r>
      <w:r>
        <w:rPr>
          <w:rFonts w:ascii="Times New Roman" w:hAnsi="Times New Roman" w:eastAsia="宋体" w:cs="Times New Roman"/>
          <w:b/>
          <w:color w:val="auto"/>
          <w:sz w:val="21"/>
          <w:szCs w:val="21"/>
        </w:rPr>
        <w:t>-</w:t>
      </w:r>
      <w:r>
        <w:rPr>
          <w:rFonts w:hint="eastAsia" w:ascii="Times New Roman" w:hAnsi="Times New Roman" w:eastAsia="宋体" w:cs="Times New Roman"/>
          <w:b/>
          <w:color w:val="auto"/>
          <w:sz w:val="21"/>
          <w:szCs w:val="21"/>
        </w:rPr>
        <w:t>1项目</w:t>
      </w:r>
      <w:r>
        <w:rPr>
          <w:rFonts w:ascii="Times New Roman" w:hAnsi="Times New Roman" w:eastAsia="宋体" w:cs="Times New Roman"/>
          <w:b/>
          <w:color w:val="auto"/>
          <w:sz w:val="21"/>
          <w:szCs w:val="21"/>
        </w:rPr>
        <w:t>排污汇总一览表</w:t>
      </w:r>
    </w:p>
    <w:tbl>
      <w:tblPr>
        <w:tblStyle w:val="35"/>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1"/>
        <w:gridCol w:w="735"/>
        <w:gridCol w:w="1097"/>
        <w:gridCol w:w="855"/>
        <w:gridCol w:w="770"/>
        <w:gridCol w:w="1480"/>
        <w:gridCol w:w="1335"/>
        <w:gridCol w:w="4848"/>
        <w:gridCol w:w="1475"/>
        <w:gridCol w:w="5"/>
        <w:gridCol w:w="11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dxa"/>
            <w:vAlign w:val="center"/>
          </w:tcPr>
          <w:p>
            <w:pPr>
              <w:jc w:val="center"/>
              <w:rPr>
                <w:rFonts w:hint="eastAsia" w:ascii="Times New Roman" w:hAnsi="Times New Roman" w:eastAsia="宋体"/>
                <w:b/>
                <w:bCs/>
                <w:color w:val="auto"/>
                <w:szCs w:val="21"/>
                <w:lang w:eastAsia="zh-CN"/>
              </w:rPr>
            </w:pPr>
            <w:bookmarkStart w:id="129" w:name="_Toc459118431"/>
            <w:bookmarkStart w:id="130" w:name="_Toc10285"/>
            <w:bookmarkStart w:id="131" w:name="_Toc25689"/>
            <w:bookmarkStart w:id="132" w:name="_Toc26612"/>
            <w:bookmarkStart w:id="133" w:name="_Toc459118441"/>
            <w:bookmarkStart w:id="134" w:name="_Toc8118"/>
            <w:r>
              <w:rPr>
                <w:rFonts w:hint="eastAsia" w:ascii="Times New Roman" w:hAnsi="Times New Roman" w:eastAsia="宋体"/>
                <w:b/>
                <w:bCs/>
                <w:color w:val="auto"/>
                <w:szCs w:val="21"/>
                <w:lang w:eastAsia="zh-CN"/>
              </w:rPr>
              <w:t>时段</w:t>
            </w:r>
          </w:p>
        </w:tc>
        <w:tc>
          <w:tcPr>
            <w:tcW w:w="735" w:type="dxa"/>
            <w:vAlign w:val="center"/>
          </w:tcPr>
          <w:p>
            <w:pPr>
              <w:jc w:val="center"/>
              <w:rPr>
                <w:rFonts w:hint="eastAsia" w:ascii="Times New Roman" w:hAnsi="Times New Roman" w:eastAsia="宋体"/>
                <w:b/>
                <w:bCs/>
                <w:color w:val="auto"/>
                <w:szCs w:val="21"/>
                <w:lang w:eastAsia="zh-CN"/>
              </w:rPr>
            </w:pPr>
            <w:r>
              <w:rPr>
                <w:rFonts w:hint="eastAsia" w:ascii="Times New Roman" w:hAnsi="Times New Roman" w:eastAsia="宋体"/>
                <w:b/>
                <w:bCs/>
                <w:color w:val="auto"/>
                <w:szCs w:val="21"/>
                <w:lang w:eastAsia="zh-CN"/>
              </w:rPr>
              <w:t>项目</w:t>
            </w:r>
          </w:p>
        </w:tc>
        <w:tc>
          <w:tcPr>
            <w:tcW w:w="1097" w:type="dxa"/>
            <w:vAlign w:val="center"/>
          </w:tcPr>
          <w:p>
            <w:pPr>
              <w:jc w:val="center"/>
              <w:rPr>
                <w:rFonts w:hint="eastAsia" w:ascii="Times New Roman" w:hAnsi="Times New Roman" w:eastAsia="宋体"/>
                <w:b/>
                <w:bCs/>
                <w:color w:val="auto"/>
                <w:szCs w:val="21"/>
                <w:lang w:eastAsia="zh-CN"/>
              </w:rPr>
            </w:pPr>
            <w:r>
              <w:rPr>
                <w:rFonts w:hint="eastAsia" w:ascii="Times New Roman" w:hAnsi="Times New Roman" w:eastAsia="宋体"/>
                <w:b/>
                <w:bCs/>
                <w:color w:val="auto"/>
                <w:szCs w:val="21"/>
                <w:lang w:eastAsia="zh-CN"/>
              </w:rPr>
              <w:t>污染源</w:t>
            </w:r>
          </w:p>
        </w:tc>
        <w:tc>
          <w:tcPr>
            <w:tcW w:w="1625" w:type="dxa"/>
            <w:gridSpan w:val="2"/>
            <w:vAlign w:val="center"/>
          </w:tcPr>
          <w:p>
            <w:pPr>
              <w:jc w:val="center"/>
              <w:rPr>
                <w:rFonts w:hint="eastAsia" w:ascii="Times New Roman" w:hAnsi="Times New Roman" w:eastAsia="宋体"/>
                <w:b/>
                <w:bCs/>
                <w:color w:val="auto"/>
                <w:szCs w:val="21"/>
                <w:lang w:eastAsia="zh-CN"/>
              </w:rPr>
            </w:pPr>
            <w:r>
              <w:rPr>
                <w:rFonts w:hint="eastAsia" w:ascii="Times New Roman" w:hAnsi="Times New Roman" w:eastAsia="宋体"/>
                <w:b/>
                <w:bCs/>
                <w:color w:val="auto"/>
                <w:szCs w:val="21"/>
                <w:lang w:eastAsia="zh-CN"/>
              </w:rPr>
              <w:t>污染物名称</w:t>
            </w:r>
          </w:p>
        </w:tc>
        <w:tc>
          <w:tcPr>
            <w:tcW w:w="2815" w:type="dxa"/>
            <w:gridSpan w:val="2"/>
            <w:vAlign w:val="center"/>
          </w:tcPr>
          <w:p>
            <w:pPr>
              <w:jc w:val="center"/>
              <w:rPr>
                <w:rFonts w:hint="eastAsia" w:ascii="Times New Roman" w:hAnsi="Times New Roman" w:eastAsia="宋体"/>
                <w:b/>
                <w:bCs/>
                <w:color w:val="auto"/>
                <w:szCs w:val="21"/>
                <w:lang w:eastAsia="zh-CN"/>
              </w:rPr>
            </w:pPr>
            <w:r>
              <w:rPr>
                <w:rFonts w:hint="eastAsia" w:ascii="Times New Roman" w:hAnsi="Times New Roman" w:eastAsia="宋体"/>
                <w:b/>
                <w:bCs/>
                <w:color w:val="auto"/>
                <w:szCs w:val="21"/>
                <w:lang w:eastAsia="zh-CN"/>
              </w:rPr>
              <w:t>处理前产生浓度及产生量</w:t>
            </w:r>
          </w:p>
        </w:tc>
        <w:tc>
          <w:tcPr>
            <w:tcW w:w="4848" w:type="dxa"/>
            <w:vAlign w:val="center"/>
          </w:tcPr>
          <w:p>
            <w:pPr>
              <w:jc w:val="center"/>
              <w:rPr>
                <w:rFonts w:hint="eastAsia" w:ascii="Times New Roman" w:hAnsi="Times New Roman" w:eastAsia="宋体"/>
                <w:b/>
                <w:bCs/>
                <w:color w:val="auto"/>
                <w:szCs w:val="21"/>
                <w:lang w:eastAsia="zh-CN"/>
              </w:rPr>
            </w:pPr>
            <w:r>
              <w:rPr>
                <w:rFonts w:hint="eastAsia" w:ascii="Times New Roman" w:hAnsi="Times New Roman" w:eastAsia="宋体"/>
                <w:b/>
                <w:bCs/>
                <w:color w:val="auto"/>
                <w:szCs w:val="21"/>
                <w:lang w:eastAsia="zh-CN"/>
              </w:rPr>
              <w:t>治理措施</w:t>
            </w:r>
          </w:p>
        </w:tc>
        <w:tc>
          <w:tcPr>
            <w:tcW w:w="2643" w:type="dxa"/>
            <w:gridSpan w:val="3"/>
            <w:vAlign w:val="center"/>
          </w:tcPr>
          <w:p>
            <w:pPr>
              <w:jc w:val="center"/>
              <w:rPr>
                <w:rFonts w:hint="eastAsia" w:ascii="Times New Roman" w:hAnsi="Times New Roman" w:eastAsia="宋体"/>
                <w:b/>
                <w:bCs/>
                <w:color w:val="auto"/>
                <w:szCs w:val="21"/>
                <w:lang w:eastAsia="zh-CN"/>
              </w:rPr>
            </w:pPr>
            <w:r>
              <w:rPr>
                <w:rFonts w:hint="eastAsia" w:ascii="Times New Roman" w:hAnsi="Times New Roman" w:eastAsia="宋体"/>
                <w:b/>
                <w:bCs/>
                <w:color w:val="auto"/>
                <w:szCs w:val="21"/>
                <w:lang w:eastAsia="zh-CN"/>
              </w:rPr>
              <w:t>处理后排放浓度及排放量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dxa"/>
            <w:vMerge w:val="restart"/>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施工期</w:t>
            </w:r>
          </w:p>
        </w:tc>
        <w:tc>
          <w:tcPr>
            <w:tcW w:w="735" w:type="dxa"/>
            <w:vMerge w:val="restart"/>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废水</w:t>
            </w:r>
          </w:p>
        </w:tc>
        <w:tc>
          <w:tcPr>
            <w:tcW w:w="1097" w:type="dxa"/>
            <w:vMerge w:val="restart"/>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生活污水</w:t>
            </w:r>
          </w:p>
        </w:tc>
        <w:tc>
          <w:tcPr>
            <w:tcW w:w="1625" w:type="dxa"/>
            <w:gridSpan w:val="2"/>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废水量</w:t>
            </w:r>
          </w:p>
        </w:tc>
        <w:tc>
          <w:tcPr>
            <w:tcW w:w="2815" w:type="dxa"/>
            <w:gridSpan w:val="2"/>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0.64m</w:t>
            </w:r>
            <w:r>
              <w:rPr>
                <w:rFonts w:hint="eastAsia" w:ascii="Times New Roman" w:hAnsi="Times New Roman" w:eastAsia="宋体"/>
                <w:color w:val="auto"/>
                <w:szCs w:val="21"/>
                <w:vertAlign w:val="superscript"/>
                <w:lang w:val="en-US" w:eastAsia="zh-CN"/>
              </w:rPr>
              <w:t>3</w:t>
            </w:r>
            <w:r>
              <w:rPr>
                <w:rFonts w:hint="eastAsia" w:ascii="Times New Roman" w:hAnsi="Times New Roman" w:eastAsia="宋体"/>
                <w:color w:val="auto"/>
                <w:szCs w:val="21"/>
                <w:lang w:val="en-US" w:eastAsia="zh-CN"/>
              </w:rPr>
              <w:t>/d</w:t>
            </w:r>
          </w:p>
        </w:tc>
        <w:tc>
          <w:tcPr>
            <w:tcW w:w="4848" w:type="dxa"/>
            <w:vMerge w:val="restart"/>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设置临时隔油池、化粪池，经收集处理后用作农肥</w:t>
            </w:r>
          </w:p>
        </w:tc>
        <w:tc>
          <w:tcPr>
            <w:tcW w:w="2643" w:type="dxa"/>
            <w:gridSpan w:val="3"/>
            <w:vAlign w:val="center"/>
          </w:tcPr>
          <w:p>
            <w:pPr>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dxa"/>
            <w:vMerge w:val="continue"/>
            <w:vAlign w:val="center"/>
          </w:tcPr>
          <w:p>
            <w:pPr>
              <w:jc w:val="center"/>
              <w:rPr>
                <w:rFonts w:hint="eastAsia" w:ascii="Times New Roman" w:hAnsi="Times New Roman" w:eastAsia="宋体"/>
                <w:color w:val="auto"/>
                <w:szCs w:val="21"/>
                <w:lang w:eastAsia="zh-CN"/>
              </w:rPr>
            </w:pPr>
          </w:p>
        </w:tc>
        <w:tc>
          <w:tcPr>
            <w:tcW w:w="735" w:type="dxa"/>
            <w:vMerge w:val="continue"/>
            <w:vAlign w:val="center"/>
          </w:tcPr>
          <w:p>
            <w:pPr>
              <w:jc w:val="center"/>
              <w:rPr>
                <w:rFonts w:hint="eastAsia" w:ascii="Times New Roman" w:hAnsi="Times New Roman" w:eastAsia="宋体"/>
                <w:color w:val="auto"/>
                <w:szCs w:val="21"/>
                <w:lang w:eastAsia="zh-CN"/>
              </w:rPr>
            </w:pPr>
          </w:p>
        </w:tc>
        <w:tc>
          <w:tcPr>
            <w:tcW w:w="1097" w:type="dxa"/>
            <w:vMerge w:val="continue"/>
            <w:vAlign w:val="center"/>
          </w:tcPr>
          <w:p>
            <w:pPr>
              <w:jc w:val="center"/>
              <w:rPr>
                <w:rFonts w:hint="eastAsia" w:ascii="Times New Roman" w:hAnsi="Times New Roman" w:eastAsia="宋体"/>
                <w:color w:val="auto"/>
                <w:szCs w:val="21"/>
                <w:lang w:eastAsia="zh-CN"/>
              </w:rPr>
            </w:pPr>
          </w:p>
        </w:tc>
        <w:tc>
          <w:tcPr>
            <w:tcW w:w="1625" w:type="dxa"/>
            <w:gridSpan w:val="2"/>
            <w:vAlign w:val="center"/>
          </w:tcPr>
          <w:p>
            <w:pPr>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val="en-US" w:eastAsia="zh-CN"/>
              </w:rPr>
              <w:t>COD</w:t>
            </w:r>
          </w:p>
        </w:tc>
        <w:tc>
          <w:tcPr>
            <w:tcW w:w="1480" w:type="dxa"/>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350mg/L</w:t>
            </w:r>
          </w:p>
        </w:tc>
        <w:tc>
          <w:tcPr>
            <w:tcW w:w="1335" w:type="dxa"/>
            <w:vAlign w:val="center"/>
          </w:tcPr>
          <w:p>
            <w:pPr>
              <w:jc w:val="center"/>
              <w:rPr>
                <w:rFonts w:hint="default" w:ascii="Times New Roman" w:hAnsi="Times New Roman" w:eastAsia="宋体"/>
                <w:color w:val="auto"/>
                <w:szCs w:val="21"/>
                <w:lang w:val="en-US" w:eastAsia="zh-CN"/>
              </w:rPr>
            </w:pPr>
            <w:r>
              <w:rPr>
                <w:rFonts w:hint="eastAsia" w:ascii="Times New Roman" w:hAnsi="Times New Roman" w:cs="Times New Roman"/>
                <w:color w:val="auto"/>
                <w:szCs w:val="21"/>
                <w:lang w:val="en-US" w:eastAsia="zh-CN"/>
              </w:rPr>
              <w:t>0.224</w:t>
            </w:r>
            <w:r>
              <w:rPr>
                <w:rFonts w:hint="eastAsia" w:ascii="Times New Roman" w:hAnsi="Times New Roman" w:eastAsia="宋体"/>
                <w:color w:val="auto"/>
                <w:szCs w:val="21"/>
                <w:lang w:val="en-US" w:eastAsia="zh-CN"/>
              </w:rPr>
              <w:t>kg/d</w:t>
            </w:r>
          </w:p>
        </w:tc>
        <w:tc>
          <w:tcPr>
            <w:tcW w:w="4848" w:type="dxa"/>
            <w:vMerge w:val="continue"/>
            <w:vAlign w:val="center"/>
          </w:tcPr>
          <w:p>
            <w:pPr>
              <w:jc w:val="center"/>
              <w:rPr>
                <w:rFonts w:hint="eastAsia" w:ascii="Times New Roman" w:hAnsi="Times New Roman" w:eastAsia="宋体"/>
                <w:color w:val="auto"/>
                <w:szCs w:val="21"/>
              </w:rPr>
            </w:pPr>
          </w:p>
        </w:tc>
        <w:tc>
          <w:tcPr>
            <w:tcW w:w="2643" w:type="dxa"/>
            <w:gridSpan w:val="3"/>
            <w:vAlign w:val="center"/>
          </w:tcPr>
          <w:p>
            <w:pPr>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dxa"/>
            <w:vMerge w:val="continue"/>
            <w:vAlign w:val="center"/>
          </w:tcPr>
          <w:p>
            <w:pPr>
              <w:jc w:val="center"/>
              <w:rPr>
                <w:rFonts w:hint="eastAsia" w:ascii="Times New Roman" w:hAnsi="Times New Roman" w:eastAsia="宋体"/>
                <w:color w:val="auto"/>
                <w:szCs w:val="21"/>
                <w:lang w:eastAsia="zh-CN"/>
              </w:rPr>
            </w:pPr>
          </w:p>
        </w:tc>
        <w:tc>
          <w:tcPr>
            <w:tcW w:w="735" w:type="dxa"/>
            <w:vMerge w:val="continue"/>
            <w:vAlign w:val="center"/>
          </w:tcPr>
          <w:p>
            <w:pPr>
              <w:jc w:val="center"/>
              <w:rPr>
                <w:rFonts w:hint="eastAsia" w:ascii="Times New Roman" w:hAnsi="Times New Roman" w:eastAsia="宋体"/>
                <w:color w:val="auto"/>
                <w:szCs w:val="21"/>
                <w:lang w:eastAsia="zh-CN"/>
              </w:rPr>
            </w:pPr>
          </w:p>
        </w:tc>
        <w:tc>
          <w:tcPr>
            <w:tcW w:w="1097" w:type="dxa"/>
            <w:vMerge w:val="continue"/>
            <w:vAlign w:val="center"/>
          </w:tcPr>
          <w:p>
            <w:pPr>
              <w:jc w:val="center"/>
              <w:rPr>
                <w:rFonts w:hint="eastAsia" w:ascii="Times New Roman" w:hAnsi="Times New Roman" w:eastAsia="宋体"/>
                <w:color w:val="auto"/>
                <w:szCs w:val="21"/>
                <w:lang w:eastAsia="zh-CN"/>
              </w:rPr>
            </w:pPr>
          </w:p>
        </w:tc>
        <w:tc>
          <w:tcPr>
            <w:tcW w:w="1625" w:type="dxa"/>
            <w:gridSpan w:val="2"/>
            <w:vAlign w:val="center"/>
          </w:tcPr>
          <w:p>
            <w:pPr>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val="en-US" w:eastAsia="zh-CN"/>
              </w:rPr>
              <w:t>NH</w:t>
            </w:r>
            <w:r>
              <w:rPr>
                <w:rFonts w:hint="eastAsia" w:ascii="Times New Roman" w:hAnsi="Times New Roman" w:eastAsia="宋体"/>
                <w:color w:val="auto"/>
                <w:szCs w:val="21"/>
                <w:vertAlign w:val="subscript"/>
                <w:lang w:val="en-US" w:eastAsia="zh-CN"/>
              </w:rPr>
              <w:t>3</w:t>
            </w:r>
            <w:r>
              <w:rPr>
                <w:rFonts w:hint="eastAsia" w:ascii="Times New Roman" w:hAnsi="Times New Roman" w:eastAsia="宋体"/>
                <w:color w:val="auto"/>
                <w:szCs w:val="21"/>
                <w:lang w:val="en-US" w:eastAsia="zh-CN"/>
              </w:rPr>
              <w:t>-N</w:t>
            </w:r>
          </w:p>
        </w:tc>
        <w:tc>
          <w:tcPr>
            <w:tcW w:w="1480" w:type="dxa"/>
            <w:vAlign w:val="center"/>
          </w:tcPr>
          <w:p>
            <w:pPr>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val="en-US" w:eastAsia="zh-CN"/>
              </w:rPr>
              <w:t>35mg/L</w:t>
            </w:r>
          </w:p>
        </w:tc>
        <w:tc>
          <w:tcPr>
            <w:tcW w:w="1335" w:type="dxa"/>
            <w:vAlign w:val="center"/>
          </w:tcPr>
          <w:p>
            <w:pPr>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cs="Times New Roman"/>
                <w:color w:val="auto"/>
                <w:szCs w:val="21"/>
                <w:lang w:val="en-US" w:eastAsia="zh-CN"/>
              </w:rPr>
              <w:t>0.0224</w:t>
            </w:r>
            <w:r>
              <w:rPr>
                <w:rFonts w:hint="eastAsia" w:ascii="Times New Roman" w:hAnsi="Times New Roman" w:eastAsia="宋体"/>
                <w:color w:val="auto"/>
                <w:szCs w:val="21"/>
                <w:lang w:val="en-US" w:eastAsia="zh-CN"/>
              </w:rPr>
              <w:t>kg/d</w:t>
            </w:r>
          </w:p>
        </w:tc>
        <w:tc>
          <w:tcPr>
            <w:tcW w:w="4848" w:type="dxa"/>
            <w:vMerge w:val="continue"/>
            <w:vAlign w:val="center"/>
          </w:tcPr>
          <w:p>
            <w:pPr>
              <w:jc w:val="center"/>
              <w:rPr>
                <w:rFonts w:hint="eastAsia" w:ascii="Times New Roman" w:hAnsi="Times New Roman" w:eastAsia="宋体"/>
                <w:color w:val="auto"/>
                <w:szCs w:val="21"/>
              </w:rPr>
            </w:pPr>
          </w:p>
        </w:tc>
        <w:tc>
          <w:tcPr>
            <w:tcW w:w="2643" w:type="dxa"/>
            <w:gridSpan w:val="3"/>
            <w:vAlign w:val="center"/>
          </w:tcPr>
          <w:p>
            <w:pPr>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dxa"/>
            <w:vMerge w:val="continue"/>
            <w:vAlign w:val="center"/>
          </w:tcPr>
          <w:p>
            <w:pPr>
              <w:jc w:val="center"/>
              <w:rPr>
                <w:rFonts w:hint="eastAsia" w:ascii="Times New Roman" w:hAnsi="Times New Roman" w:eastAsia="宋体"/>
                <w:color w:val="auto"/>
                <w:szCs w:val="21"/>
              </w:rPr>
            </w:pPr>
          </w:p>
        </w:tc>
        <w:tc>
          <w:tcPr>
            <w:tcW w:w="735" w:type="dxa"/>
            <w:vMerge w:val="continue"/>
            <w:vAlign w:val="center"/>
          </w:tcPr>
          <w:p>
            <w:pPr>
              <w:jc w:val="center"/>
              <w:rPr>
                <w:rFonts w:hint="eastAsia" w:ascii="Times New Roman" w:hAnsi="Times New Roman" w:eastAsia="宋体"/>
                <w:color w:val="auto"/>
                <w:szCs w:val="21"/>
              </w:rPr>
            </w:pPr>
          </w:p>
        </w:tc>
        <w:tc>
          <w:tcPr>
            <w:tcW w:w="1097" w:type="dxa"/>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生产废水</w:t>
            </w:r>
          </w:p>
        </w:tc>
        <w:tc>
          <w:tcPr>
            <w:tcW w:w="1625" w:type="dxa"/>
            <w:gridSpan w:val="2"/>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SS</w:t>
            </w:r>
          </w:p>
        </w:tc>
        <w:tc>
          <w:tcPr>
            <w:tcW w:w="2815" w:type="dxa"/>
            <w:gridSpan w:val="2"/>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lang w:val="en-US" w:eastAsia="zh-CN"/>
              </w:rPr>
              <w:t>6m</w:t>
            </w:r>
            <w:r>
              <w:rPr>
                <w:rFonts w:hint="eastAsia" w:ascii="Times New Roman" w:hAnsi="Times New Roman" w:eastAsia="宋体"/>
                <w:color w:val="auto"/>
                <w:szCs w:val="21"/>
                <w:vertAlign w:val="superscript"/>
                <w:lang w:val="en-US" w:eastAsia="zh-CN"/>
              </w:rPr>
              <w:t>3</w:t>
            </w:r>
            <w:r>
              <w:rPr>
                <w:rFonts w:hint="eastAsia" w:ascii="Times New Roman" w:hAnsi="Times New Roman" w:eastAsia="宋体"/>
                <w:color w:val="auto"/>
                <w:szCs w:val="21"/>
                <w:lang w:val="en-US" w:eastAsia="zh-CN"/>
              </w:rPr>
              <w:t>/d</w:t>
            </w:r>
          </w:p>
        </w:tc>
        <w:tc>
          <w:tcPr>
            <w:tcW w:w="4848" w:type="dxa"/>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沉淀后降尘</w:t>
            </w:r>
          </w:p>
        </w:tc>
        <w:tc>
          <w:tcPr>
            <w:tcW w:w="2643" w:type="dxa"/>
            <w:gridSpan w:val="3"/>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dxa"/>
            <w:vMerge w:val="continue"/>
            <w:vAlign w:val="center"/>
          </w:tcPr>
          <w:p>
            <w:pPr>
              <w:jc w:val="center"/>
              <w:rPr>
                <w:rFonts w:hint="eastAsia" w:ascii="Times New Roman" w:hAnsi="Times New Roman" w:eastAsia="宋体"/>
                <w:color w:val="auto"/>
                <w:szCs w:val="21"/>
              </w:rPr>
            </w:pPr>
          </w:p>
        </w:tc>
        <w:tc>
          <w:tcPr>
            <w:tcW w:w="735" w:type="dxa"/>
            <w:vMerge w:val="restart"/>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废气</w:t>
            </w:r>
          </w:p>
        </w:tc>
        <w:tc>
          <w:tcPr>
            <w:tcW w:w="1097" w:type="dxa"/>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施工扬尘</w:t>
            </w:r>
          </w:p>
        </w:tc>
        <w:tc>
          <w:tcPr>
            <w:tcW w:w="1625" w:type="dxa"/>
            <w:gridSpan w:val="2"/>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TSP</w:t>
            </w:r>
          </w:p>
        </w:tc>
        <w:tc>
          <w:tcPr>
            <w:tcW w:w="2815" w:type="dxa"/>
            <w:gridSpan w:val="2"/>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少量</w:t>
            </w:r>
          </w:p>
        </w:tc>
        <w:tc>
          <w:tcPr>
            <w:tcW w:w="4848" w:type="dxa"/>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施工区域洒水增加土壤湿度，保持路面清洁、控制车速、洒水降尘、堆体覆盖等</w:t>
            </w:r>
          </w:p>
        </w:tc>
        <w:tc>
          <w:tcPr>
            <w:tcW w:w="2643" w:type="dxa"/>
            <w:gridSpan w:val="3"/>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lang w:eastAsia="zh-CN"/>
              </w:rPr>
              <w:t>少量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dxa"/>
            <w:vMerge w:val="continue"/>
            <w:vAlign w:val="center"/>
          </w:tcPr>
          <w:p>
            <w:pPr>
              <w:jc w:val="center"/>
              <w:rPr>
                <w:rFonts w:hint="eastAsia" w:ascii="Times New Roman" w:hAnsi="Times New Roman" w:eastAsia="宋体"/>
                <w:color w:val="auto"/>
                <w:szCs w:val="21"/>
              </w:rPr>
            </w:pPr>
          </w:p>
        </w:tc>
        <w:tc>
          <w:tcPr>
            <w:tcW w:w="735" w:type="dxa"/>
            <w:vMerge w:val="continue"/>
            <w:vAlign w:val="center"/>
          </w:tcPr>
          <w:p>
            <w:pPr>
              <w:jc w:val="center"/>
              <w:rPr>
                <w:rFonts w:hint="eastAsia" w:ascii="Times New Roman" w:hAnsi="Times New Roman" w:eastAsia="宋体"/>
                <w:color w:val="auto"/>
                <w:szCs w:val="21"/>
              </w:rPr>
            </w:pPr>
          </w:p>
        </w:tc>
        <w:tc>
          <w:tcPr>
            <w:tcW w:w="1097" w:type="dxa"/>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施工机械废气</w:t>
            </w:r>
          </w:p>
        </w:tc>
        <w:tc>
          <w:tcPr>
            <w:tcW w:w="1625" w:type="dxa"/>
            <w:gridSpan w:val="2"/>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eastAsia="zh-CN"/>
              </w:rPr>
              <w:t>烟尘、</w:t>
            </w:r>
            <w:r>
              <w:rPr>
                <w:rFonts w:hint="eastAsia" w:ascii="Times New Roman" w:hAnsi="Times New Roman" w:eastAsia="宋体"/>
                <w:color w:val="auto"/>
                <w:szCs w:val="21"/>
                <w:lang w:val="en-US" w:eastAsia="zh-CN"/>
              </w:rPr>
              <w:t>CO、NOx</w:t>
            </w:r>
          </w:p>
        </w:tc>
        <w:tc>
          <w:tcPr>
            <w:tcW w:w="2815" w:type="dxa"/>
            <w:gridSpan w:val="2"/>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lang w:eastAsia="zh-CN"/>
              </w:rPr>
              <w:t>少量</w:t>
            </w:r>
          </w:p>
        </w:tc>
        <w:tc>
          <w:tcPr>
            <w:tcW w:w="4848" w:type="dxa"/>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加强管理、物料遮盖、洒水降尘等</w:t>
            </w:r>
          </w:p>
        </w:tc>
        <w:tc>
          <w:tcPr>
            <w:tcW w:w="2643" w:type="dxa"/>
            <w:gridSpan w:val="3"/>
            <w:vAlign w:val="center"/>
          </w:tcPr>
          <w:p>
            <w:pPr>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eastAsia="zh-CN"/>
              </w:rPr>
              <w:t>少量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dxa"/>
            <w:vMerge w:val="continue"/>
            <w:vAlign w:val="center"/>
          </w:tcPr>
          <w:p>
            <w:pPr>
              <w:jc w:val="center"/>
              <w:rPr>
                <w:rFonts w:hint="eastAsia" w:ascii="Times New Roman" w:hAnsi="Times New Roman" w:eastAsia="宋体"/>
                <w:color w:val="auto"/>
                <w:szCs w:val="21"/>
              </w:rPr>
            </w:pPr>
          </w:p>
        </w:tc>
        <w:tc>
          <w:tcPr>
            <w:tcW w:w="735" w:type="dxa"/>
            <w:vMerge w:val="restart"/>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固废</w:t>
            </w:r>
          </w:p>
        </w:tc>
        <w:tc>
          <w:tcPr>
            <w:tcW w:w="1097" w:type="dxa"/>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生活垃圾</w:t>
            </w:r>
          </w:p>
        </w:tc>
        <w:tc>
          <w:tcPr>
            <w:tcW w:w="1625" w:type="dxa"/>
            <w:gridSpan w:val="2"/>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生活垃圾</w:t>
            </w:r>
          </w:p>
        </w:tc>
        <w:tc>
          <w:tcPr>
            <w:tcW w:w="2815" w:type="dxa"/>
            <w:gridSpan w:val="2"/>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lang w:val="en-US" w:eastAsia="zh-CN"/>
              </w:rPr>
              <w:t>20kg/d</w:t>
            </w:r>
          </w:p>
        </w:tc>
        <w:tc>
          <w:tcPr>
            <w:tcW w:w="4848" w:type="dxa"/>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垃圾桶收集，交由当地村环卫部门统一收集清运</w:t>
            </w:r>
          </w:p>
        </w:tc>
        <w:tc>
          <w:tcPr>
            <w:tcW w:w="2643" w:type="dxa"/>
            <w:gridSpan w:val="3"/>
            <w:vAlign w:val="center"/>
          </w:tcPr>
          <w:p>
            <w:pPr>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dxa"/>
            <w:vMerge w:val="continue"/>
            <w:vAlign w:val="center"/>
          </w:tcPr>
          <w:p>
            <w:pPr>
              <w:jc w:val="center"/>
              <w:rPr>
                <w:rFonts w:hint="eastAsia" w:ascii="Times New Roman" w:hAnsi="Times New Roman" w:eastAsia="宋体"/>
                <w:color w:val="auto"/>
                <w:szCs w:val="21"/>
              </w:rPr>
            </w:pPr>
          </w:p>
        </w:tc>
        <w:tc>
          <w:tcPr>
            <w:tcW w:w="735" w:type="dxa"/>
            <w:vMerge w:val="continue"/>
            <w:vAlign w:val="center"/>
          </w:tcPr>
          <w:p>
            <w:pPr>
              <w:jc w:val="center"/>
              <w:rPr>
                <w:rFonts w:hint="eastAsia" w:ascii="Times New Roman" w:hAnsi="Times New Roman" w:eastAsia="宋体"/>
                <w:color w:val="auto"/>
                <w:szCs w:val="21"/>
              </w:rPr>
            </w:pPr>
          </w:p>
        </w:tc>
        <w:tc>
          <w:tcPr>
            <w:tcW w:w="1097" w:type="dxa"/>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弃土弃渣</w:t>
            </w:r>
          </w:p>
        </w:tc>
        <w:tc>
          <w:tcPr>
            <w:tcW w:w="1625" w:type="dxa"/>
            <w:gridSpan w:val="2"/>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土石方</w:t>
            </w:r>
          </w:p>
        </w:tc>
        <w:tc>
          <w:tcPr>
            <w:tcW w:w="2815" w:type="dxa"/>
            <w:gridSpan w:val="2"/>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挖方与填方持平</w:t>
            </w:r>
          </w:p>
        </w:tc>
        <w:tc>
          <w:tcPr>
            <w:tcW w:w="4848" w:type="dxa"/>
            <w:vAlign w:val="center"/>
          </w:tcPr>
          <w:p>
            <w:pPr>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w:t>
            </w:r>
          </w:p>
        </w:tc>
        <w:tc>
          <w:tcPr>
            <w:tcW w:w="2643" w:type="dxa"/>
            <w:gridSpan w:val="3"/>
            <w:vAlign w:val="center"/>
          </w:tcPr>
          <w:p>
            <w:pPr>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dxa"/>
            <w:vMerge w:val="continue"/>
            <w:vAlign w:val="center"/>
          </w:tcPr>
          <w:p>
            <w:pPr>
              <w:jc w:val="center"/>
              <w:rPr>
                <w:rFonts w:hint="eastAsia" w:ascii="Times New Roman" w:hAnsi="Times New Roman" w:eastAsia="宋体"/>
                <w:color w:val="auto"/>
                <w:szCs w:val="21"/>
              </w:rPr>
            </w:pPr>
          </w:p>
        </w:tc>
        <w:tc>
          <w:tcPr>
            <w:tcW w:w="735" w:type="dxa"/>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噪声</w:t>
            </w:r>
          </w:p>
        </w:tc>
        <w:tc>
          <w:tcPr>
            <w:tcW w:w="1097" w:type="dxa"/>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施工机械噪声</w:t>
            </w:r>
          </w:p>
        </w:tc>
        <w:tc>
          <w:tcPr>
            <w:tcW w:w="1625" w:type="dxa"/>
            <w:gridSpan w:val="2"/>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噪声</w:t>
            </w:r>
          </w:p>
        </w:tc>
        <w:tc>
          <w:tcPr>
            <w:tcW w:w="2815" w:type="dxa"/>
            <w:gridSpan w:val="2"/>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70~100dB（A）</w:t>
            </w:r>
          </w:p>
        </w:tc>
        <w:tc>
          <w:tcPr>
            <w:tcW w:w="4848" w:type="dxa"/>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合理安排施工时间、合理布局、夜间禁止施工等</w:t>
            </w:r>
          </w:p>
        </w:tc>
        <w:tc>
          <w:tcPr>
            <w:tcW w:w="2643" w:type="dxa"/>
            <w:gridSpan w:val="3"/>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昼间&lt;70dB（A）；夜间&lt;55dB （A）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dxa"/>
            <w:vMerge w:val="restart"/>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运营期</w:t>
            </w:r>
          </w:p>
        </w:tc>
        <w:tc>
          <w:tcPr>
            <w:tcW w:w="735" w:type="dxa"/>
            <w:vMerge w:val="restart"/>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废水</w:t>
            </w:r>
          </w:p>
        </w:tc>
        <w:tc>
          <w:tcPr>
            <w:tcW w:w="1097" w:type="dxa"/>
            <w:vMerge w:val="restart"/>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综合废水</w:t>
            </w:r>
          </w:p>
        </w:tc>
        <w:tc>
          <w:tcPr>
            <w:tcW w:w="1625" w:type="dxa"/>
            <w:gridSpan w:val="2"/>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lang w:val="en-US" w:eastAsia="zh-CN"/>
              </w:rPr>
              <w:t>CODcr</w:t>
            </w:r>
          </w:p>
        </w:tc>
        <w:tc>
          <w:tcPr>
            <w:tcW w:w="1480" w:type="dxa"/>
            <w:vAlign w:val="center"/>
          </w:tcPr>
          <w:p>
            <w:pPr>
              <w:keepNext w:val="0"/>
              <w:keepLines w:val="0"/>
              <w:widowControl/>
              <w:suppressLineNumbers w:val="0"/>
              <w:jc w:val="center"/>
              <w:textAlignment w:val="center"/>
              <w:rPr>
                <w:rFonts w:hint="eastAsia" w:ascii="Times New Roman" w:hAnsi="Times New Roman" w:eastAsia="宋体" w:cstheme="minorBidi"/>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10908.93</w:t>
            </w:r>
            <w:r>
              <w:rPr>
                <w:rFonts w:hint="eastAsia" w:ascii="Times New Roman" w:hAnsi="Times New Roman" w:eastAsia="宋体"/>
                <w:color w:val="auto"/>
                <w:szCs w:val="21"/>
                <w:lang w:val="en-US" w:eastAsia="zh-CN"/>
              </w:rPr>
              <w:t>mg/L</w:t>
            </w:r>
          </w:p>
        </w:tc>
        <w:tc>
          <w:tcPr>
            <w:tcW w:w="1335" w:type="dxa"/>
            <w:vAlign w:val="center"/>
          </w:tcPr>
          <w:p>
            <w:pPr>
              <w:keepNext w:val="0"/>
              <w:keepLines w:val="0"/>
              <w:widowControl/>
              <w:suppressLineNumbers w:val="0"/>
              <w:jc w:val="center"/>
              <w:textAlignment w:val="center"/>
              <w:rPr>
                <w:rFonts w:hint="default" w:ascii="Times New Roman" w:hAnsi="Times New Roman" w:eastAsia="宋体"/>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272.09</w:t>
            </w:r>
            <w:r>
              <w:rPr>
                <w:rFonts w:hint="eastAsia" w:ascii="Times New Roman" w:hAnsi="Times New Roman" w:cs="Times New Roman"/>
                <w:color w:val="auto"/>
                <w:szCs w:val="21"/>
                <w:lang w:val="en-US" w:eastAsia="zh-CN"/>
              </w:rPr>
              <w:t>t/a</w:t>
            </w:r>
          </w:p>
        </w:tc>
        <w:tc>
          <w:tcPr>
            <w:tcW w:w="4848" w:type="dxa"/>
            <w:vMerge w:val="restart"/>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rPr>
              <w:t>生活污水先经化粪池处理、食堂废水先经隔油池处理，处理后的废水与养殖废水一同</w:t>
            </w:r>
            <w:r>
              <w:rPr>
                <w:rFonts w:hint="eastAsia" w:ascii="Times New Roman" w:hAnsi="Times New Roman" w:eastAsia="宋体"/>
                <w:color w:val="auto"/>
                <w:szCs w:val="21"/>
                <w:lang w:eastAsia="zh-CN"/>
              </w:rPr>
              <w:t>经过污水处理区处理后用于周边消纳地灌溉</w:t>
            </w:r>
          </w:p>
        </w:tc>
        <w:tc>
          <w:tcPr>
            <w:tcW w:w="1480" w:type="dxa"/>
            <w:gridSpan w:val="2"/>
            <w:vAlign w:val="center"/>
          </w:tcPr>
          <w:p>
            <w:pPr>
              <w:jc w:val="center"/>
              <w:rPr>
                <w:rFonts w:hint="default" w:ascii="Times New Roman" w:hAnsi="Times New Roman" w:eastAsia="宋体"/>
                <w:color w:val="auto"/>
                <w:szCs w:val="21"/>
                <w:lang w:val="en-US" w:eastAsia="zh-CN"/>
              </w:rPr>
            </w:pPr>
            <w:r>
              <w:rPr>
                <w:rFonts w:hint="default" w:ascii="Times New Roman" w:hAnsi="Times New Roman" w:eastAsia="宋体"/>
                <w:color w:val="auto"/>
                <w:szCs w:val="21"/>
                <w:lang w:val="en-US" w:eastAsia="zh-CN"/>
              </w:rPr>
              <w:t xml:space="preserve">188.51 </w:t>
            </w:r>
            <w:r>
              <w:rPr>
                <w:rFonts w:hint="eastAsia" w:ascii="Times New Roman" w:hAnsi="Times New Roman" w:eastAsia="宋体"/>
                <w:color w:val="auto"/>
                <w:szCs w:val="21"/>
                <w:lang w:val="en-US" w:eastAsia="zh-CN"/>
              </w:rPr>
              <w:t>mg/L</w:t>
            </w:r>
          </w:p>
        </w:tc>
        <w:tc>
          <w:tcPr>
            <w:tcW w:w="1163" w:type="dxa"/>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 xml:space="preserve">4.70 </w:t>
            </w:r>
            <w:r>
              <w:rPr>
                <w:rFonts w:hint="eastAsia" w:ascii="Times New Roman" w:hAnsi="Times New Roman" w:cs="Times New Roman"/>
                <w:color w:val="auto"/>
                <w:szCs w:val="21"/>
                <w:lang w:val="en-US" w:eastAsia="zh-CN"/>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dxa"/>
            <w:vMerge w:val="continue"/>
            <w:vAlign w:val="center"/>
          </w:tcPr>
          <w:p>
            <w:pPr>
              <w:jc w:val="center"/>
              <w:rPr>
                <w:rFonts w:hint="eastAsia" w:ascii="Times New Roman" w:hAnsi="Times New Roman" w:eastAsia="宋体"/>
                <w:color w:val="auto"/>
                <w:szCs w:val="21"/>
              </w:rPr>
            </w:pPr>
          </w:p>
        </w:tc>
        <w:tc>
          <w:tcPr>
            <w:tcW w:w="735" w:type="dxa"/>
            <w:vMerge w:val="continue"/>
            <w:vAlign w:val="center"/>
          </w:tcPr>
          <w:p>
            <w:pPr>
              <w:jc w:val="center"/>
              <w:rPr>
                <w:rFonts w:hint="eastAsia" w:ascii="Times New Roman" w:hAnsi="Times New Roman" w:eastAsia="宋体"/>
                <w:color w:val="auto"/>
                <w:szCs w:val="21"/>
              </w:rPr>
            </w:pPr>
          </w:p>
        </w:tc>
        <w:tc>
          <w:tcPr>
            <w:tcW w:w="1097" w:type="dxa"/>
            <w:vMerge w:val="continue"/>
            <w:vAlign w:val="center"/>
          </w:tcPr>
          <w:p>
            <w:pPr>
              <w:jc w:val="center"/>
              <w:rPr>
                <w:rFonts w:hint="eastAsia" w:ascii="Times New Roman" w:hAnsi="Times New Roman" w:eastAsia="宋体"/>
                <w:color w:val="auto"/>
                <w:szCs w:val="21"/>
              </w:rPr>
            </w:pPr>
          </w:p>
        </w:tc>
        <w:tc>
          <w:tcPr>
            <w:tcW w:w="1625" w:type="dxa"/>
            <w:gridSpan w:val="2"/>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lang w:val="en-US" w:eastAsia="zh-CN"/>
              </w:rPr>
              <w:t>BOD</w:t>
            </w:r>
            <w:r>
              <w:rPr>
                <w:rFonts w:hint="eastAsia" w:ascii="Times New Roman" w:hAnsi="Times New Roman" w:eastAsia="宋体"/>
                <w:color w:val="auto"/>
                <w:szCs w:val="21"/>
                <w:vertAlign w:val="subscript"/>
                <w:lang w:val="en-US" w:eastAsia="zh-CN"/>
              </w:rPr>
              <w:t>5</w:t>
            </w:r>
          </w:p>
        </w:tc>
        <w:tc>
          <w:tcPr>
            <w:tcW w:w="1480" w:type="dxa"/>
            <w:vAlign w:val="center"/>
          </w:tcPr>
          <w:p>
            <w:pPr>
              <w:keepNext w:val="0"/>
              <w:keepLines w:val="0"/>
              <w:widowControl/>
              <w:suppressLineNumbers w:val="0"/>
              <w:jc w:val="center"/>
              <w:textAlignment w:val="center"/>
              <w:rPr>
                <w:rFonts w:hint="eastAsia" w:ascii="Times New Roman" w:hAnsi="Times New Roman" w:eastAsia="宋体" w:cstheme="minorBidi"/>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925.35</w:t>
            </w:r>
            <w:r>
              <w:rPr>
                <w:rFonts w:hint="eastAsia" w:ascii="Times New Roman" w:hAnsi="Times New Roman" w:eastAsia="宋体"/>
                <w:color w:val="auto"/>
                <w:szCs w:val="21"/>
                <w:lang w:val="en-US" w:eastAsia="zh-CN"/>
              </w:rPr>
              <w:t>mg/L</w:t>
            </w:r>
          </w:p>
        </w:tc>
        <w:tc>
          <w:tcPr>
            <w:tcW w:w="1335" w:type="dxa"/>
            <w:vAlign w:val="center"/>
          </w:tcPr>
          <w:p>
            <w:pPr>
              <w:keepNext w:val="0"/>
              <w:keepLines w:val="0"/>
              <w:widowControl/>
              <w:suppressLineNumbers w:val="0"/>
              <w:jc w:val="center"/>
              <w:textAlignment w:val="center"/>
              <w:rPr>
                <w:rFonts w:hint="default" w:ascii="Times New Roman" w:hAnsi="Times New Roman" w:eastAsia="宋体"/>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23.08</w:t>
            </w:r>
            <w:r>
              <w:rPr>
                <w:rFonts w:hint="eastAsia" w:ascii="Times New Roman" w:hAnsi="Times New Roman" w:cs="Times New Roman"/>
                <w:color w:val="auto"/>
                <w:szCs w:val="21"/>
                <w:lang w:val="en-US" w:eastAsia="zh-CN"/>
              </w:rPr>
              <w:t>t/a</w:t>
            </w:r>
          </w:p>
        </w:tc>
        <w:tc>
          <w:tcPr>
            <w:tcW w:w="4848" w:type="dxa"/>
            <w:vMerge w:val="continue"/>
            <w:vAlign w:val="center"/>
          </w:tcPr>
          <w:p>
            <w:pPr>
              <w:jc w:val="center"/>
              <w:rPr>
                <w:rFonts w:hint="eastAsia" w:ascii="Times New Roman" w:hAnsi="Times New Roman" w:eastAsia="宋体"/>
                <w:color w:val="auto"/>
                <w:szCs w:val="21"/>
              </w:rPr>
            </w:pPr>
          </w:p>
        </w:tc>
        <w:tc>
          <w:tcPr>
            <w:tcW w:w="1480" w:type="dxa"/>
            <w:gridSpan w:val="2"/>
            <w:vAlign w:val="center"/>
          </w:tcPr>
          <w:p>
            <w:pPr>
              <w:jc w:val="center"/>
              <w:rPr>
                <w:rFonts w:hint="default" w:ascii="Times New Roman" w:hAnsi="Times New Roman" w:eastAsia="宋体"/>
                <w:color w:val="auto"/>
                <w:szCs w:val="21"/>
                <w:lang w:val="en-US" w:eastAsia="zh-CN"/>
              </w:rPr>
            </w:pPr>
            <w:r>
              <w:rPr>
                <w:rFonts w:hint="default" w:ascii="Times New Roman" w:hAnsi="Times New Roman" w:eastAsia="宋体"/>
                <w:color w:val="auto"/>
                <w:szCs w:val="21"/>
                <w:lang w:val="en-US" w:eastAsia="zh-CN"/>
              </w:rPr>
              <w:t xml:space="preserve">15.99 </w:t>
            </w:r>
            <w:r>
              <w:rPr>
                <w:rFonts w:hint="eastAsia" w:ascii="Times New Roman" w:hAnsi="Times New Roman" w:eastAsia="宋体"/>
                <w:color w:val="auto"/>
                <w:szCs w:val="21"/>
                <w:lang w:val="en-US" w:eastAsia="zh-CN"/>
              </w:rPr>
              <w:t>mg/L</w:t>
            </w:r>
          </w:p>
        </w:tc>
        <w:tc>
          <w:tcPr>
            <w:tcW w:w="1163" w:type="dxa"/>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 xml:space="preserve">0.40 </w:t>
            </w:r>
            <w:r>
              <w:rPr>
                <w:rFonts w:hint="eastAsia" w:ascii="Times New Roman" w:hAnsi="Times New Roman" w:cs="Times New Roman"/>
                <w:color w:val="auto"/>
                <w:szCs w:val="21"/>
                <w:lang w:val="en-US" w:eastAsia="zh-CN"/>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dxa"/>
            <w:vMerge w:val="continue"/>
            <w:vAlign w:val="center"/>
          </w:tcPr>
          <w:p>
            <w:pPr>
              <w:jc w:val="center"/>
              <w:rPr>
                <w:rFonts w:hint="eastAsia" w:ascii="Times New Roman" w:hAnsi="Times New Roman" w:eastAsia="宋体"/>
                <w:color w:val="auto"/>
                <w:szCs w:val="21"/>
              </w:rPr>
            </w:pPr>
          </w:p>
        </w:tc>
        <w:tc>
          <w:tcPr>
            <w:tcW w:w="735" w:type="dxa"/>
            <w:vMerge w:val="continue"/>
            <w:vAlign w:val="center"/>
          </w:tcPr>
          <w:p>
            <w:pPr>
              <w:jc w:val="center"/>
              <w:rPr>
                <w:rFonts w:hint="eastAsia" w:ascii="Times New Roman" w:hAnsi="Times New Roman" w:eastAsia="宋体"/>
                <w:color w:val="auto"/>
                <w:szCs w:val="21"/>
              </w:rPr>
            </w:pPr>
          </w:p>
        </w:tc>
        <w:tc>
          <w:tcPr>
            <w:tcW w:w="1097" w:type="dxa"/>
            <w:vMerge w:val="continue"/>
            <w:vAlign w:val="center"/>
          </w:tcPr>
          <w:p>
            <w:pPr>
              <w:jc w:val="center"/>
              <w:rPr>
                <w:rFonts w:hint="eastAsia" w:ascii="Times New Roman" w:hAnsi="Times New Roman" w:eastAsia="宋体"/>
                <w:color w:val="auto"/>
                <w:szCs w:val="21"/>
              </w:rPr>
            </w:pPr>
          </w:p>
        </w:tc>
        <w:tc>
          <w:tcPr>
            <w:tcW w:w="1625" w:type="dxa"/>
            <w:gridSpan w:val="2"/>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lang w:val="en-US" w:eastAsia="zh-CN"/>
              </w:rPr>
              <w:t>SS</w:t>
            </w:r>
          </w:p>
        </w:tc>
        <w:tc>
          <w:tcPr>
            <w:tcW w:w="1480" w:type="dxa"/>
            <w:vAlign w:val="center"/>
          </w:tcPr>
          <w:p>
            <w:pPr>
              <w:keepNext w:val="0"/>
              <w:keepLines w:val="0"/>
              <w:widowControl/>
              <w:suppressLineNumbers w:val="0"/>
              <w:jc w:val="center"/>
              <w:textAlignment w:val="center"/>
              <w:rPr>
                <w:rFonts w:hint="eastAsia" w:ascii="Times New Roman" w:hAnsi="Times New Roman" w:eastAsia="宋体" w:cstheme="minorBidi"/>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473.5</w:t>
            </w:r>
            <w:r>
              <w:rPr>
                <w:rFonts w:hint="eastAsia" w:ascii="Times New Roman" w:hAnsi="Times New Roman" w:eastAsia="宋体"/>
                <w:color w:val="auto"/>
                <w:szCs w:val="21"/>
                <w:lang w:val="en-US" w:eastAsia="zh-CN"/>
              </w:rPr>
              <w:t>mg/L</w:t>
            </w:r>
          </w:p>
        </w:tc>
        <w:tc>
          <w:tcPr>
            <w:tcW w:w="1335" w:type="dxa"/>
            <w:vAlign w:val="center"/>
          </w:tcPr>
          <w:p>
            <w:pPr>
              <w:keepNext w:val="0"/>
              <w:keepLines w:val="0"/>
              <w:widowControl/>
              <w:suppressLineNumbers w:val="0"/>
              <w:jc w:val="center"/>
              <w:textAlignment w:val="center"/>
              <w:rPr>
                <w:rFonts w:hint="default" w:ascii="Times New Roman" w:hAnsi="Times New Roman" w:eastAsia="宋体"/>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11.81</w:t>
            </w:r>
            <w:r>
              <w:rPr>
                <w:rFonts w:hint="eastAsia" w:ascii="Times New Roman" w:hAnsi="Times New Roman" w:cs="Times New Roman"/>
                <w:color w:val="auto"/>
                <w:szCs w:val="21"/>
                <w:lang w:val="en-US" w:eastAsia="zh-CN"/>
              </w:rPr>
              <w:t>t/a</w:t>
            </w:r>
          </w:p>
        </w:tc>
        <w:tc>
          <w:tcPr>
            <w:tcW w:w="4848" w:type="dxa"/>
            <w:vMerge w:val="continue"/>
            <w:vAlign w:val="center"/>
          </w:tcPr>
          <w:p>
            <w:pPr>
              <w:jc w:val="center"/>
              <w:rPr>
                <w:rFonts w:hint="eastAsia" w:ascii="Times New Roman" w:hAnsi="Times New Roman" w:eastAsia="宋体"/>
                <w:color w:val="auto"/>
                <w:szCs w:val="21"/>
              </w:rPr>
            </w:pPr>
          </w:p>
        </w:tc>
        <w:tc>
          <w:tcPr>
            <w:tcW w:w="1480" w:type="dxa"/>
            <w:gridSpan w:val="2"/>
            <w:vAlign w:val="center"/>
          </w:tcPr>
          <w:p>
            <w:pPr>
              <w:jc w:val="center"/>
              <w:rPr>
                <w:rFonts w:hint="default" w:ascii="Times New Roman" w:hAnsi="Times New Roman" w:eastAsia="宋体"/>
                <w:color w:val="auto"/>
                <w:szCs w:val="21"/>
                <w:lang w:val="en-US" w:eastAsia="zh-CN"/>
              </w:rPr>
            </w:pPr>
            <w:r>
              <w:rPr>
                <w:rFonts w:hint="default" w:ascii="Times New Roman" w:hAnsi="Times New Roman" w:eastAsia="宋体"/>
                <w:color w:val="auto"/>
                <w:szCs w:val="21"/>
                <w:lang w:val="en-US" w:eastAsia="zh-CN"/>
              </w:rPr>
              <w:t xml:space="preserve">5.73 </w:t>
            </w:r>
            <w:r>
              <w:rPr>
                <w:rFonts w:hint="eastAsia" w:ascii="Times New Roman" w:hAnsi="Times New Roman" w:eastAsia="宋体"/>
                <w:color w:val="auto"/>
                <w:szCs w:val="21"/>
                <w:lang w:val="en-US" w:eastAsia="zh-CN"/>
              </w:rPr>
              <w:t>mg/L</w:t>
            </w:r>
          </w:p>
        </w:tc>
        <w:tc>
          <w:tcPr>
            <w:tcW w:w="1163" w:type="dxa"/>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 xml:space="preserve">0.14 </w:t>
            </w:r>
            <w:r>
              <w:rPr>
                <w:rFonts w:hint="eastAsia" w:ascii="Times New Roman" w:hAnsi="Times New Roman" w:cs="Times New Roman"/>
                <w:color w:val="auto"/>
                <w:szCs w:val="21"/>
                <w:lang w:val="en-US" w:eastAsia="zh-CN"/>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dxa"/>
            <w:vMerge w:val="continue"/>
            <w:vAlign w:val="center"/>
          </w:tcPr>
          <w:p>
            <w:pPr>
              <w:jc w:val="center"/>
              <w:rPr>
                <w:rFonts w:hint="eastAsia" w:ascii="Times New Roman" w:hAnsi="Times New Roman" w:eastAsia="宋体"/>
                <w:color w:val="auto"/>
                <w:szCs w:val="21"/>
              </w:rPr>
            </w:pPr>
          </w:p>
        </w:tc>
        <w:tc>
          <w:tcPr>
            <w:tcW w:w="735" w:type="dxa"/>
            <w:vMerge w:val="continue"/>
            <w:vAlign w:val="center"/>
          </w:tcPr>
          <w:p>
            <w:pPr>
              <w:jc w:val="center"/>
              <w:rPr>
                <w:rFonts w:hint="eastAsia" w:ascii="Times New Roman" w:hAnsi="Times New Roman" w:eastAsia="宋体"/>
                <w:color w:val="auto"/>
                <w:szCs w:val="21"/>
              </w:rPr>
            </w:pPr>
          </w:p>
        </w:tc>
        <w:tc>
          <w:tcPr>
            <w:tcW w:w="1097" w:type="dxa"/>
            <w:vMerge w:val="continue"/>
            <w:vAlign w:val="center"/>
          </w:tcPr>
          <w:p>
            <w:pPr>
              <w:jc w:val="center"/>
              <w:rPr>
                <w:rFonts w:hint="eastAsia" w:ascii="Times New Roman" w:hAnsi="Times New Roman" w:eastAsia="宋体"/>
                <w:color w:val="auto"/>
                <w:szCs w:val="21"/>
              </w:rPr>
            </w:pPr>
          </w:p>
        </w:tc>
        <w:tc>
          <w:tcPr>
            <w:tcW w:w="1625" w:type="dxa"/>
            <w:gridSpan w:val="2"/>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lang w:val="en-US" w:eastAsia="zh-CN"/>
              </w:rPr>
              <w:t>NH</w:t>
            </w:r>
            <w:r>
              <w:rPr>
                <w:rFonts w:hint="eastAsia" w:ascii="Times New Roman" w:hAnsi="Times New Roman" w:eastAsia="宋体"/>
                <w:color w:val="auto"/>
                <w:szCs w:val="21"/>
                <w:vertAlign w:val="subscript"/>
                <w:lang w:val="en-US" w:eastAsia="zh-CN"/>
              </w:rPr>
              <w:t>3</w:t>
            </w:r>
            <w:r>
              <w:rPr>
                <w:rFonts w:hint="eastAsia" w:ascii="Times New Roman" w:hAnsi="Times New Roman" w:eastAsia="宋体"/>
                <w:color w:val="auto"/>
                <w:szCs w:val="21"/>
                <w:lang w:val="en-US" w:eastAsia="zh-CN"/>
              </w:rPr>
              <w:t>-N</w:t>
            </w:r>
          </w:p>
        </w:tc>
        <w:tc>
          <w:tcPr>
            <w:tcW w:w="1480" w:type="dxa"/>
            <w:vAlign w:val="center"/>
          </w:tcPr>
          <w:p>
            <w:pPr>
              <w:keepNext w:val="0"/>
              <w:keepLines w:val="0"/>
              <w:widowControl/>
              <w:suppressLineNumbers w:val="0"/>
              <w:jc w:val="center"/>
              <w:textAlignment w:val="center"/>
              <w:rPr>
                <w:rFonts w:hint="eastAsia" w:ascii="Times New Roman" w:hAnsi="Times New Roman" w:eastAsia="宋体" w:cstheme="minorBidi"/>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365.65</w:t>
            </w:r>
            <w:r>
              <w:rPr>
                <w:rFonts w:hint="eastAsia" w:ascii="Times New Roman" w:hAnsi="Times New Roman" w:eastAsia="宋体"/>
                <w:color w:val="auto"/>
                <w:szCs w:val="21"/>
                <w:lang w:val="en-US" w:eastAsia="zh-CN"/>
              </w:rPr>
              <w:t>mg/L</w:t>
            </w:r>
          </w:p>
        </w:tc>
        <w:tc>
          <w:tcPr>
            <w:tcW w:w="1335" w:type="dxa"/>
            <w:vAlign w:val="center"/>
          </w:tcPr>
          <w:p>
            <w:pPr>
              <w:keepNext w:val="0"/>
              <w:keepLines w:val="0"/>
              <w:widowControl/>
              <w:suppressLineNumbers w:val="0"/>
              <w:jc w:val="center"/>
              <w:textAlignment w:val="center"/>
              <w:rPr>
                <w:rFonts w:hint="default" w:ascii="Times New Roman" w:hAnsi="Times New Roman" w:eastAsia="宋体"/>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9.12</w:t>
            </w:r>
            <w:r>
              <w:rPr>
                <w:rFonts w:hint="eastAsia" w:ascii="Times New Roman" w:hAnsi="Times New Roman" w:cs="Times New Roman"/>
                <w:color w:val="auto"/>
                <w:szCs w:val="21"/>
                <w:lang w:val="en-US" w:eastAsia="zh-CN"/>
              </w:rPr>
              <w:t>t/a</w:t>
            </w:r>
          </w:p>
        </w:tc>
        <w:tc>
          <w:tcPr>
            <w:tcW w:w="4848" w:type="dxa"/>
            <w:vMerge w:val="continue"/>
            <w:vAlign w:val="center"/>
          </w:tcPr>
          <w:p>
            <w:pPr>
              <w:jc w:val="center"/>
              <w:rPr>
                <w:rFonts w:hint="eastAsia" w:ascii="Times New Roman" w:hAnsi="Times New Roman" w:eastAsia="宋体"/>
                <w:color w:val="auto"/>
                <w:szCs w:val="21"/>
              </w:rPr>
            </w:pPr>
          </w:p>
        </w:tc>
        <w:tc>
          <w:tcPr>
            <w:tcW w:w="1480" w:type="dxa"/>
            <w:gridSpan w:val="2"/>
            <w:vAlign w:val="center"/>
          </w:tcPr>
          <w:p>
            <w:pPr>
              <w:jc w:val="center"/>
              <w:rPr>
                <w:rFonts w:hint="default" w:ascii="Times New Roman" w:hAnsi="Times New Roman" w:eastAsia="宋体"/>
                <w:color w:val="auto"/>
                <w:szCs w:val="21"/>
                <w:lang w:val="en-US" w:eastAsia="zh-CN"/>
              </w:rPr>
            </w:pPr>
            <w:r>
              <w:rPr>
                <w:rFonts w:hint="default" w:ascii="Times New Roman" w:hAnsi="Times New Roman" w:eastAsia="宋体"/>
                <w:color w:val="auto"/>
                <w:szCs w:val="21"/>
                <w:lang w:val="en-US" w:eastAsia="zh-CN"/>
              </w:rPr>
              <w:t xml:space="preserve">35.10 </w:t>
            </w:r>
            <w:r>
              <w:rPr>
                <w:rFonts w:hint="eastAsia" w:ascii="Times New Roman" w:hAnsi="Times New Roman" w:eastAsia="宋体"/>
                <w:color w:val="auto"/>
                <w:szCs w:val="21"/>
                <w:lang w:val="en-US" w:eastAsia="zh-CN"/>
              </w:rPr>
              <w:t>mg/L</w:t>
            </w:r>
          </w:p>
        </w:tc>
        <w:tc>
          <w:tcPr>
            <w:tcW w:w="1163" w:type="dxa"/>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 xml:space="preserve">0.88 </w:t>
            </w:r>
            <w:r>
              <w:rPr>
                <w:rFonts w:hint="eastAsia" w:ascii="Times New Roman" w:hAnsi="Times New Roman" w:cs="Times New Roman"/>
                <w:color w:val="auto"/>
                <w:szCs w:val="21"/>
                <w:lang w:val="en-US" w:eastAsia="zh-CN"/>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dxa"/>
            <w:vMerge w:val="continue"/>
            <w:vAlign w:val="center"/>
          </w:tcPr>
          <w:p>
            <w:pPr>
              <w:jc w:val="center"/>
              <w:rPr>
                <w:rFonts w:hint="eastAsia" w:ascii="Times New Roman" w:hAnsi="Times New Roman" w:eastAsia="宋体"/>
                <w:color w:val="auto"/>
                <w:szCs w:val="21"/>
              </w:rPr>
            </w:pPr>
          </w:p>
        </w:tc>
        <w:tc>
          <w:tcPr>
            <w:tcW w:w="735" w:type="dxa"/>
            <w:vMerge w:val="continue"/>
            <w:vAlign w:val="center"/>
          </w:tcPr>
          <w:p>
            <w:pPr>
              <w:jc w:val="center"/>
              <w:rPr>
                <w:rFonts w:hint="eastAsia" w:ascii="Times New Roman" w:hAnsi="Times New Roman" w:eastAsia="宋体"/>
                <w:color w:val="auto"/>
                <w:szCs w:val="21"/>
              </w:rPr>
            </w:pPr>
          </w:p>
        </w:tc>
        <w:tc>
          <w:tcPr>
            <w:tcW w:w="1097" w:type="dxa"/>
            <w:vMerge w:val="continue"/>
            <w:vAlign w:val="center"/>
          </w:tcPr>
          <w:p>
            <w:pPr>
              <w:jc w:val="center"/>
              <w:rPr>
                <w:rFonts w:hint="eastAsia" w:ascii="Times New Roman" w:hAnsi="Times New Roman" w:eastAsia="宋体"/>
                <w:color w:val="auto"/>
                <w:szCs w:val="21"/>
              </w:rPr>
            </w:pPr>
          </w:p>
        </w:tc>
        <w:tc>
          <w:tcPr>
            <w:tcW w:w="1625" w:type="dxa"/>
            <w:gridSpan w:val="2"/>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lang w:val="en-US" w:eastAsia="zh-CN"/>
              </w:rPr>
              <w:t>TP</w:t>
            </w:r>
          </w:p>
        </w:tc>
        <w:tc>
          <w:tcPr>
            <w:tcW w:w="1480" w:type="dxa"/>
            <w:vAlign w:val="center"/>
          </w:tcPr>
          <w:p>
            <w:pPr>
              <w:keepNext w:val="0"/>
              <w:keepLines w:val="0"/>
              <w:widowControl/>
              <w:suppressLineNumbers w:val="0"/>
              <w:jc w:val="center"/>
              <w:textAlignment w:val="center"/>
              <w:rPr>
                <w:rFonts w:hint="eastAsia" w:ascii="Times New Roman" w:hAnsi="Times New Roman" w:eastAsia="宋体" w:cstheme="minorBidi"/>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46.91</w:t>
            </w:r>
            <w:r>
              <w:rPr>
                <w:rFonts w:hint="eastAsia" w:ascii="Times New Roman" w:hAnsi="Times New Roman" w:eastAsia="宋体"/>
                <w:color w:val="auto"/>
                <w:szCs w:val="21"/>
                <w:lang w:val="en-US" w:eastAsia="zh-CN"/>
              </w:rPr>
              <w:t>mg/L</w:t>
            </w:r>
          </w:p>
        </w:tc>
        <w:tc>
          <w:tcPr>
            <w:tcW w:w="1335" w:type="dxa"/>
            <w:vAlign w:val="center"/>
          </w:tcPr>
          <w:p>
            <w:pPr>
              <w:keepNext w:val="0"/>
              <w:keepLines w:val="0"/>
              <w:widowControl/>
              <w:suppressLineNumbers w:val="0"/>
              <w:jc w:val="center"/>
              <w:textAlignment w:val="center"/>
              <w:rPr>
                <w:rFonts w:hint="default" w:ascii="Times New Roman" w:hAnsi="Times New Roman" w:eastAsia="宋体"/>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1.17</w:t>
            </w:r>
            <w:r>
              <w:rPr>
                <w:rFonts w:hint="eastAsia" w:ascii="Times New Roman" w:hAnsi="Times New Roman" w:cs="Times New Roman"/>
                <w:color w:val="auto"/>
                <w:szCs w:val="21"/>
                <w:lang w:val="en-US" w:eastAsia="zh-CN"/>
              </w:rPr>
              <w:t>t/a</w:t>
            </w:r>
          </w:p>
        </w:tc>
        <w:tc>
          <w:tcPr>
            <w:tcW w:w="4848" w:type="dxa"/>
            <w:vMerge w:val="continue"/>
            <w:vAlign w:val="center"/>
          </w:tcPr>
          <w:p>
            <w:pPr>
              <w:jc w:val="center"/>
              <w:rPr>
                <w:rFonts w:hint="eastAsia" w:ascii="Times New Roman" w:hAnsi="Times New Roman" w:eastAsia="宋体"/>
                <w:color w:val="auto"/>
                <w:szCs w:val="21"/>
              </w:rPr>
            </w:pPr>
          </w:p>
        </w:tc>
        <w:tc>
          <w:tcPr>
            <w:tcW w:w="1480" w:type="dxa"/>
            <w:gridSpan w:val="2"/>
            <w:vAlign w:val="center"/>
          </w:tcPr>
          <w:p>
            <w:pPr>
              <w:jc w:val="center"/>
              <w:rPr>
                <w:rFonts w:hint="default" w:ascii="Times New Roman" w:hAnsi="Times New Roman" w:eastAsia="宋体"/>
                <w:color w:val="auto"/>
                <w:szCs w:val="21"/>
                <w:lang w:val="en-US" w:eastAsia="zh-CN"/>
              </w:rPr>
            </w:pPr>
            <w:r>
              <w:rPr>
                <w:rFonts w:hint="default" w:ascii="Times New Roman" w:hAnsi="Times New Roman" w:eastAsia="宋体"/>
                <w:color w:val="auto"/>
                <w:szCs w:val="21"/>
                <w:lang w:val="en-US" w:eastAsia="zh-CN"/>
              </w:rPr>
              <w:t xml:space="preserve">5.25 </w:t>
            </w:r>
            <w:r>
              <w:rPr>
                <w:rFonts w:hint="eastAsia" w:ascii="Times New Roman" w:hAnsi="Times New Roman" w:eastAsia="宋体"/>
                <w:color w:val="auto"/>
                <w:szCs w:val="21"/>
                <w:lang w:val="en-US" w:eastAsia="zh-CN"/>
              </w:rPr>
              <w:t>mg/L</w:t>
            </w:r>
          </w:p>
        </w:tc>
        <w:tc>
          <w:tcPr>
            <w:tcW w:w="1163" w:type="dxa"/>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 xml:space="preserve">0.13 </w:t>
            </w:r>
            <w:r>
              <w:rPr>
                <w:rFonts w:hint="eastAsia" w:ascii="Times New Roman" w:hAnsi="Times New Roman" w:cs="Times New Roman"/>
                <w:color w:val="auto"/>
                <w:szCs w:val="21"/>
                <w:lang w:val="en-US" w:eastAsia="zh-CN"/>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dxa"/>
            <w:vMerge w:val="continue"/>
            <w:vAlign w:val="center"/>
          </w:tcPr>
          <w:p>
            <w:pPr>
              <w:jc w:val="center"/>
              <w:rPr>
                <w:rFonts w:hint="eastAsia" w:ascii="Times New Roman" w:hAnsi="Times New Roman" w:eastAsia="宋体"/>
                <w:color w:val="auto"/>
                <w:szCs w:val="21"/>
              </w:rPr>
            </w:pPr>
          </w:p>
        </w:tc>
        <w:tc>
          <w:tcPr>
            <w:tcW w:w="735" w:type="dxa"/>
            <w:vMerge w:val="continue"/>
            <w:vAlign w:val="center"/>
          </w:tcPr>
          <w:p>
            <w:pPr>
              <w:jc w:val="center"/>
              <w:rPr>
                <w:rFonts w:hint="eastAsia" w:ascii="Times New Roman" w:hAnsi="Times New Roman" w:eastAsia="宋体"/>
                <w:color w:val="auto"/>
                <w:szCs w:val="21"/>
              </w:rPr>
            </w:pPr>
          </w:p>
        </w:tc>
        <w:tc>
          <w:tcPr>
            <w:tcW w:w="1097" w:type="dxa"/>
            <w:vMerge w:val="continue"/>
            <w:vAlign w:val="center"/>
          </w:tcPr>
          <w:p>
            <w:pPr>
              <w:jc w:val="center"/>
              <w:rPr>
                <w:rFonts w:hint="eastAsia" w:ascii="Times New Roman" w:hAnsi="Times New Roman" w:eastAsia="宋体"/>
                <w:color w:val="auto"/>
                <w:szCs w:val="21"/>
              </w:rPr>
            </w:pPr>
          </w:p>
        </w:tc>
        <w:tc>
          <w:tcPr>
            <w:tcW w:w="1625" w:type="dxa"/>
            <w:gridSpan w:val="2"/>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TN</w:t>
            </w:r>
          </w:p>
        </w:tc>
        <w:tc>
          <w:tcPr>
            <w:tcW w:w="1480" w:type="dxa"/>
            <w:vAlign w:val="center"/>
          </w:tcPr>
          <w:p>
            <w:pPr>
              <w:keepNext w:val="0"/>
              <w:keepLines w:val="0"/>
              <w:widowControl/>
              <w:suppressLineNumbers w:val="0"/>
              <w:jc w:val="center"/>
              <w:textAlignment w:val="center"/>
              <w:rPr>
                <w:rFonts w:hint="eastAsia" w:ascii="Times New Roman" w:hAnsi="Times New Roman"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500.36</w:t>
            </w:r>
            <w:r>
              <w:rPr>
                <w:rFonts w:hint="eastAsia" w:ascii="Times New Roman" w:hAnsi="Times New Roman" w:eastAsia="宋体"/>
                <w:color w:val="auto"/>
                <w:szCs w:val="21"/>
                <w:lang w:val="en-US" w:eastAsia="zh-CN"/>
              </w:rPr>
              <w:t>mg/L</w:t>
            </w:r>
          </w:p>
        </w:tc>
        <w:tc>
          <w:tcPr>
            <w:tcW w:w="1335" w:type="dxa"/>
            <w:vAlign w:val="center"/>
          </w:tcPr>
          <w:p>
            <w:pPr>
              <w:keepNext w:val="0"/>
              <w:keepLines w:val="0"/>
              <w:widowControl/>
              <w:suppressLineNumbers w:val="0"/>
              <w:jc w:val="center"/>
              <w:textAlignment w:val="center"/>
              <w:rPr>
                <w:rFonts w:hint="eastAsia" w:ascii="Times New Roman" w:hAnsi="Times New Roman" w:eastAsia="宋体"/>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12.48</w:t>
            </w:r>
            <w:r>
              <w:rPr>
                <w:rFonts w:hint="eastAsia" w:ascii="Times New Roman" w:hAnsi="Times New Roman" w:cs="Times New Roman"/>
                <w:color w:val="auto"/>
                <w:szCs w:val="21"/>
                <w:lang w:val="en-US" w:eastAsia="zh-CN"/>
              </w:rPr>
              <w:t>t/a</w:t>
            </w:r>
          </w:p>
        </w:tc>
        <w:tc>
          <w:tcPr>
            <w:tcW w:w="4848" w:type="dxa"/>
            <w:vMerge w:val="continue"/>
            <w:vAlign w:val="center"/>
          </w:tcPr>
          <w:p>
            <w:pPr>
              <w:jc w:val="center"/>
              <w:rPr>
                <w:rFonts w:hint="eastAsia" w:ascii="Times New Roman" w:hAnsi="Times New Roman" w:eastAsia="宋体"/>
                <w:color w:val="auto"/>
                <w:szCs w:val="21"/>
              </w:rPr>
            </w:pPr>
          </w:p>
        </w:tc>
        <w:tc>
          <w:tcPr>
            <w:tcW w:w="1480" w:type="dxa"/>
            <w:gridSpan w:val="2"/>
            <w:vAlign w:val="center"/>
          </w:tcPr>
          <w:p>
            <w:pPr>
              <w:jc w:val="center"/>
              <w:rPr>
                <w:rFonts w:hint="default" w:ascii="Times New Roman" w:hAnsi="Times New Roman" w:eastAsia="宋体"/>
                <w:color w:val="auto"/>
                <w:szCs w:val="21"/>
                <w:lang w:val="en-US" w:eastAsia="zh-CN"/>
              </w:rPr>
            </w:pPr>
            <w:r>
              <w:rPr>
                <w:rFonts w:hint="default" w:ascii="Times New Roman" w:hAnsi="Times New Roman" w:eastAsia="宋体"/>
                <w:color w:val="auto"/>
                <w:szCs w:val="21"/>
                <w:lang w:val="en-US" w:eastAsia="zh-CN"/>
              </w:rPr>
              <w:t xml:space="preserve">64.05 </w:t>
            </w:r>
            <w:r>
              <w:rPr>
                <w:rFonts w:hint="eastAsia" w:ascii="Times New Roman" w:hAnsi="Times New Roman" w:eastAsia="宋体"/>
                <w:color w:val="auto"/>
                <w:szCs w:val="21"/>
                <w:lang w:val="en-US" w:eastAsia="zh-CN"/>
              </w:rPr>
              <w:t>mg/L</w:t>
            </w:r>
          </w:p>
        </w:tc>
        <w:tc>
          <w:tcPr>
            <w:tcW w:w="1163" w:type="dxa"/>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 xml:space="preserve">1.60 </w:t>
            </w:r>
            <w:r>
              <w:rPr>
                <w:rFonts w:hint="eastAsia" w:ascii="Times New Roman" w:hAnsi="Times New Roman" w:cs="Times New Roman"/>
                <w:color w:val="auto"/>
                <w:szCs w:val="21"/>
                <w:lang w:val="en-US" w:eastAsia="zh-CN"/>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dxa"/>
            <w:vMerge w:val="continue"/>
            <w:vAlign w:val="center"/>
          </w:tcPr>
          <w:p>
            <w:pPr>
              <w:jc w:val="center"/>
              <w:rPr>
                <w:rFonts w:hint="eastAsia" w:ascii="Times New Roman" w:hAnsi="Times New Roman" w:eastAsia="宋体"/>
                <w:color w:val="auto"/>
                <w:szCs w:val="21"/>
              </w:rPr>
            </w:pPr>
          </w:p>
        </w:tc>
        <w:tc>
          <w:tcPr>
            <w:tcW w:w="735" w:type="dxa"/>
            <w:vMerge w:val="restart"/>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废气</w:t>
            </w:r>
          </w:p>
        </w:tc>
        <w:tc>
          <w:tcPr>
            <w:tcW w:w="1097" w:type="dxa"/>
            <w:vMerge w:val="restart"/>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eastAsia="zh-CN"/>
              </w:rPr>
              <w:t>育肥舍1</w:t>
            </w:r>
          </w:p>
        </w:tc>
        <w:tc>
          <w:tcPr>
            <w:tcW w:w="855" w:type="dxa"/>
            <w:vMerge w:val="restart"/>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无组织</w:t>
            </w:r>
          </w:p>
        </w:tc>
        <w:tc>
          <w:tcPr>
            <w:tcW w:w="770" w:type="dxa"/>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lang w:val="en-US" w:eastAsia="zh-CN"/>
              </w:rPr>
              <w:t>NH</w:t>
            </w:r>
            <w:r>
              <w:rPr>
                <w:rFonts w:hint="eastAsia" w:ascii="Times New Roman" w:hAnsi="Times New Roman" w:eastAsia="宋体"/>
                <w:color w:val="auto"/>
                <w:szCs w:val="21"/>
                <w:vertAlign w:val="subscript"/>
                <w:lang w:val="en-US" w:eastAsia="zh-CN"/>
              </w:rPr>
              <w:t>3</w:t>
            </w:r>
          </w:p>
        </w:tc>
        <w:tc>
          <w:tcPr>
            <w:tcW w:w="1480" w:type="dxa"/>
            <w:vAlign w:val="center"/>
          </w:tcPr>
          <w:p>
            <w:pPr>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w:t>
            </w:r>
          </w:p>
        </w:tc>
        <w:tc>
          <w:tcPr>
            <w:tcW w:w="1335" w:type="dxa"/>
            <w:vAlign w:val="center"/>
          </w:tcPr>
          <w:p>
            <w:pPr>
              <w:pStyle w:val="98"/>
              <w:jc w:val="center"/>
              <w:rPr>
                <w:rFonts w:hint="default"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4.04t/a</w:t>
            </w:r>
          </w:p>
        </w:tc>
        <w:tc>
          <w:tcPr>
            <w:tcW w:w="4848" w:type="dxa"/>
            <w:vMerge w:val="restart"/>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封闭式猪舍，加强绿化、除臭剂、绿化、无组织排放</w:t>
            </w:r>
          </w:p>
        </w:tc>
        <w:tc>
          <w:tcPr>
            <w:tcW w:w="1475" w:type="dxa"/>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eastAsia="zh-CN"/>
              </w:rPr>
              <w:t>＜</w:t>
            </w:r>
            <w:r>
              <w:rPr>
                <w:rFonts w:hint="eastAsia" w:ascii="Times New Roman" w:hAnsi="Times New Roman" w:eastAsia="宋体"/>
                <w:color w:val="auto"/>
                <w:szCs w:val="21"/>
                <w:lang w:val="en-US" w:eastAsia="zh-CN"/>
              </w:rPr>
              <w:t>1.5mg/m</w:t>
            </w:r>
            <w:r>
              <w:rPr>
                <w:rFonts w:hint="eastAsia" w:ascii="Times New Roman" w:hAnsi="Times New Roman" w:eastAsia="宋体"/>
                <w:color w:val="auto"/>
                <w:szCs w:val="21"/>
                <w:vertAlign w:val="superscript"/>
                <w:lang w:val="en-US" w:eastAsia="zh-CN"/>
              </w:rPr>
              <w:t>3</w:t>
            </w:r>
          </w:p>
        </w:tc>
        <w:tc>
          <w:tcPr>
            <w:tcW w:w="1168" w:type="dxa"/>
            <w:gridSpan w:val="2"/>
            <w:vAlign w:val="center"/>
          </w:tcPr>
          <w:p>
            <w:pPr>
              <w:pStyle w:val="98"/>
              <w:jc w:val="center"/>
              <w:rPr>
                <w:rFonts w:hint="default"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0.10t/a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dxa"/>
            <w:vMerge w:val="continue"/>
            <w:vAlign w:val="center"/>
          </w:tcPr>
          <w:p>
            <w:pPr>
              <w:jc w:val="center"/>
              <w:rPr>
                <w:rFonts w:hint="eastAsia" w:ascii="Times New Roman" w:hAnsi="Times New Roman" w:eastAsia="宋体"/>
                <w:color w:val="auto"/>
                <w:szCs w:val="21"/>
              </w:rPr>
            </w:pPr>
          </w:p>
        </w:tc>
        <w:tc>
          <w:tcPr>
            <w:tcW w:w="735" w:type="dxa"/>
            <w:vMerge w:val="continue"/>
            <w:vAlign w:val="center"/>
          </w:tcPr>
          <w:p>
            <w:pPr>
              <w:jc w:val="center"/>
              <w:rPr>
                <w:rFonts w:hint="eastAsia" w:ascii="Times New Roman" w:hAnsi="Times New Roman" w:eastAsia="宋体"/>
                <w:color w:val="auto"/>
                <w:szCs w:val="21"/>
              </w:rPr>
            </w:pPr>
          </w:p>
        </w:tc>
        <w:tc>
          <w:tcPr>
            <w:tcW w:w="1097" w:type="dxa"/>
            <w:vMerge w:val="continue"/>
            <w:vAlign w:val="center"/>
          </w:tcPr>
          <w:p>
            <w:pPr>
              <w:jc w:val="center"/>
              <w:rPr>
                <w:rFonts w:hint="eastAsia" w:ascii="Times New Roman" w:hAnsi="Times New Roman" w:eastAsia="宋体"/>
                <w:color w:val="auto"/>
                <w:szCs w:val="21"/>
              </w:rPr>
            </w:pPr>
          </w:p>
        </w:tc>
        <w:tc>
          <w:tcPr>
            <w:tcW w:w="855" w:type="dxa"/>
            <w:vMerge w:val="continue"/>
            <w:vAlign w:val="center"/>
          </w:tcPr>
          <w:p>
            <w:pPr>
              <w:jc w:val="center"/>
              <w:rPr>
                <w:rFonts w:hint="eastAsia" w:ascii="Times New Roman" w:hAnsi="Times New Roman" w:eastAsia="宋体"/>
                <w:color w:val="auto"/>
                <w:szCs w:val="21"/>
              </w:rPr>
            </w:pPr>
          </w:p>
        </w:tc>
        <w:tc>
          <w:tcPr>
            <w:tcW w:w="770" w:type="dxa"/>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lang w:val="en-US" w:eastAsia="zh-CN"/>
              </w:rPr>
              <w:t>H</w:t>
            </w:r>
            <w:r>
              <w:rPr>
                <w:rFonts w:hint="eastAsia" w:ascii="Times New Roman" w:hAnsi="Times New Roman" w:eastAsia="宋体"/>
                <w:color w:val="auto"/>
                <w:szCs w:val="21"/>
                <w:vertAlign w:val="subscript"/>
                <w:lang w:val="en-US" w:eastAsia="zh-CN"/>
              </w:rPr>
              <w:t>2</w:t>
            </w:r>
            <w:r>
              <w:rPr>
                <w:rFonts w:hint="eastAsia" w:ascii="Times New Roman" w:hAnsi="Times New Roman" w:eastAsia="宋体"/>
                <w:color w:val="auto"/>
                <w:szCs w:val="21"/>
                <w:lang w:val="en-US" w:eastAsia="zh-CN"/>
              </w:rPr>
              <w:t>S</w:t>
            </w:r>
          </w:p>
        </w:tc>
        <w:tc>
          <w:tcPr>
            <w:tcW w:w="1480" w:type="dxa"/>
            <w:vAlign w:val="center"/>
          </w:tcPr>
          <w:p>
            <w:pPr>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w:t>
            </w:r>
          </w:p>
        </w:tc>
        <w:tc>
          <w:tcPr>
            <w:tcW w:w="1335" w:type="dxa"/>
            <w:vAlign w:val="center"/>
          </w:tcPr>
          <w:p>
            <w:pPr>
              <w:pStyle w:val="98"/>
              <w:jc w:val="center"/>
              <w:rPr>
                <w:rFonts w:hint="default"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0.75t/a</w:t>
            </w:r>
          </w:p>
        </w:tc>
        <w:tc>
          <w:tcPr>
            <w:tcW w:w="4848" w:type="dxa"/>
            <w:vMerge w:val="continue"/>
            <w:vAlign w:val="center"/>
          </w:tcPr>
          <w:p>
            <w:pPr>
              <w:jc w:val="center"/>
              <w:rPr>
                <w:rFonts w:hint="eastAsia" w:ascii="Times New Roman" w:hAnsi="Times New Roman" w:eastAsia="宋体"/>
                <w:color w:val="auto"/>
                <w:szCs w:val="21"/>
              </w:rPr>
            </w:pPr>
          </w:p>
        </w:tc>
        <w:tc>
          <w:tcPr>
            <w:tcW w:w="1475" w:type="dxa"/>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lang w:eastAsia="zh-CN"/>
              </w:rPr>
              <w:t>＜</w:t>
            </w:r>
            <w:r>
              <w:rPr>
                <w:rFonts w:hint="eastAsia" w:ascii="Times New Roman" w:hAnsi="Times New Roman" w:eastAsia="宋体"/>
                <w:color w:val="auto"/>
                <w:szCs w:val="21"/>
                <w:lang w:val="en-US" w:eastAsia="zh-CN"/>
              </w:rPr>
              <w:t>0.06mg/m</w:t>
            </w:r>
            <w:r>
              <w:rPr>
                <w:rFonts w:hint="eastAsia" w:ascii="Times New Roman" w:hAnsi="Times New Roman" w:eastAsia="宋体"/>
                <w:color w:val="auto"/>
                <w:szCs w:val="21"/>
                <w:vertAlign w:val="superscript"/>
                <w:lang w:val="en-US" w:eastAsia="zh-CN"/>
              </w:rPr>
              <w:t>3</w:t>
            </w:r>
          </w:p>
        </w:tc>
        <w:tc>
          <w:tcPr>
            <w:tcW w:w="1168" w:type="dxa"/>
            <w:gridSpan w:val="2"/>
            <w:vAlign w:val="center"/>
          </w:tcPr>
          <w:p>
            <w:pPr>
              <w:pStyle w:val="98"/>
              <w:jc w:val="center"/>
              <w:rPr>
                <w:rFonts w:hint="eastAsia"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0.02t/a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dxa"/>
            <w:vMerge w:val="continue"/>
            <w:vAlign w:val="center"/>
          </w:tcPr>
          <w:p>
            <w:pPr>
              <w:jc w:val="center"/>
              <w:rPr>
                <w:rFonts w:hint="eastAsia" w:ascii="Times New Roman" w:hAnsi="Times New Roman" w:eastAsia="宋体"/>
                <w:color w:val="auto"/>
                <w:szCs w:val="21"/>
              </w:rPr>
            </w:pPr>
          </w:p>
        </w:tc>
        <w:tc>
          <w:tcPr>
            <w:tcW w:w="735" w:type="dxa"/>
            <w:vMerge w:val="continue"/>
            <w:vAlign w:val="center"/>
          </w:tcPr>
          <w:p>
            <w:pPr>
              <w:jc w:val="center"/>
              <w:rPr>
                <w:rFonts w:hint="eastAsia" w:ascii="Times New Roman" w:hAnsi="Times New Roman" w:eastAsia="宋体"/>
                <w:color w:val="auto"/>
                <w:szCs w:val="21"/>
              </w:rPr>
            </w:pPr>
          </w:p>
        </w:tc>
        <w:tc>
          <w:tcPr>
            <w:tcW w:w="1097" w:type="dxa"/>
            <w:vMerge w:val="restart"/>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lang w:eastAsia="zh-CN"/>
              </w:rPr>
              <w:t>育肥舍2</w:t>
            </w:r>
          </w:p>
        </w:tc>
        <w:tc>
          <w:tcPr>
            <w:tcW w:w="855" w:type="dxa"/>
            <w:vMerge w:val="restart"/>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lang w:eastAsia="zh-CN"/>
              </w:rPr>
              <w:t>无组织</w:t>
            </w:r>
          </w:p>
        </w:tc>
        <w:tc>
          <w:tcPr>
            <w:tcW w:w="770" w:type="dxa"/>
            <w:vAlign w:val="center"/>
          </w:tcPr>
          <w:p>
            <w:pPr>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NH</w:t>
            </w:r>
            <w:r>
              <w:rPr>
                <w:rFonts w:hint="eastAsia" w:ascii="Times New Roman" w:hAnsi="Times New Roman" w:eastAsia="宋体"/>
                <w:color w:val="auto"/>
                <w:szCs w:val="21"/>
                <w:vertAlign w:val="subscript"/>
                <w:lang w:val="en-US" w:eastAsia="zh-CN"/>
              </w:rPr>
              <w:t>3</w:t>
            </w:r>
          </w:p>
        </w:tc>
        <w:tc>
          <w:tcPr>
            <w:tcW w:w="1480" w:type="dxa"/>
            <w:vAlign w:val="center"/>
          </w:tcPr>
          <w:p>
            <w:pPr>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w:t>
            </w:r>
          </w:p>
        </w:tc>
        <w:tc>
          <w:tcPr>
            <w:tcW w:w="1335" w:type="dxa"/>
            <w:vAlign w:val="center"/>
          </w:tcPr>
          <w:p>
            <w:pPr>
              <w:pStyle w:val="98"/>
              <w:jc w:val="center"/>
              <w:rPr>
                <w:rFonts w:hint="eastAsia"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4.04t/a</w:t>
            </w:r>
          </w:p>
        </w:tc>
        <w:tc>
          <w:tcPr>
            <w:tcW w:w="4848" w:type="dxa"/>
            <w:vMerge w:val="continue"/>
            <w:vAlign w:val="center"/>
          </w:tcPr>
          <w:p>
            <w:pPr>
              <w:jc w:val="center"/>
              <w:rPr>
                <w:rFonts w:hint="eastAsia" w:ascii="Times New Roman" w:hAnsi="Times New Roman" w:eastAsia="宋体"/>
                <w:color w:val="auto"/>
                <w:szCs w:val="21"/>
              </w:rPr>
            </w:pPr>
          </w:p>
        </w:tc>
        <w:tc>
          <w:tcPr>
            <w:tcW w:w="1475" w:type="dxa"/>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w:t>
            </w:r>
            <w:r>
              <w:rPr>
                <w:rFonts w:hint="eastAsia" w:ascii="Times New Roman" w:hAnsi="Times New Roman" w:eastAsia="宋体"/>
                <w:color w:val="auto"/>
                <w:szCs w:val="21"/>
                <w:lang w:val="en-US" w:eastAsia="zh-CN"/>
              </w:rPr>
              <w:t>1.5mg/m</w:t>
            </w:r>
            <w:r>
              <w:rPr>
                <w:rFonts w:hint="eastAsia" w:ascii="Times New Roman" w:hAnsi="Times New Roman" w:eastAsia="宋体"/>
                <w:color w:val="auto"/>
                <w:szCs w:val="21"/>
                <w:vertAlign w:val="superscript"/>
                <w:lang w:val="en-US" w:eastAsia="zh-CN"/>
              </w:rPr>
              <w:t>3</w:t>
            </w:r>
          </w:p>
        </w:tc>
        <w:tc>
          <w:tcPr>
            <w:tcW w:w="1168" w:type="dxa"/>
            <w:gridSpan w:val="2"/>
            <w:vAlign w:val="center"/>
          </w:tcPr>
          <w:p>
            <w:pPr>
              <w:pStyle w:val="98"/>
              <w:jc w:val="center"/>
              <w:rPr>
                <w:rFonts w:hint="eastAsia"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0.10t/a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dxa"/>
            <w:vMerge w:val="continue"/>
            <w:vAlign w:val="center"/>
          </w:tcPr>
          <w:p>
            <w:pPr>
              <w:jc w:val="center"/>
              <w:rPr>
                <w:rFonts w:hint="eastAsia" w:ascii="Times New Roman" w:hAnsi="Times New Roman" w:eastAsia="宋体"/>
                <w:color w:val="auto"/>
                <w:szCs w:val="21"/>
              </w:rPr>
            </w:pPr>
          </w:p>
        </w:tc>
        <w:tc>
          <w:tcPr>
            <w:tcW w:w="735" w:type="dxa"/>
            <w:vMerge w:val="continue"/>
            <w:vAlign w:val="center"/>
          </w:tcPr>
          <w:p>
            <w:pPr>
              <w:jc w:val="center"/>
              <w:rPr>
                <w:rFonts w:hint="eastAsia" w:ascii="Times New Roman" w:hAnsi="Times New Roman" w:eastAsia="宋体"/>
                <w:color w:val="auto"/>
                <w:szCs w:val="21"/>
              </w:rPr>
            </w:pPr>
          </w:p>
        </w:tc>
        <w:tc>
          <w:tcPr>
            <w:tcW w:w="1097" w:type="dxa"/>
            <w:vMerge w:val="continue"/>
            <w:vAlign w:val="center"/>
          </w:tcPr>
          <w:p>
            <w:pPr>
              <w:jc w:val="center"/>
              <w:rPr>
                <w:rFonts w:hint="eastAsia" w:ascii="Times New Roman" w:hAnsi="Times New Roman" w:eastAsia="宋体"/>
                <w:color w:val="auto"/>
                <w:szCs w:val="21"/>
              </w:rPr>
            </w:pPr>
          </w:p>
        </w:tc>
        <w:tc>
          <w:tcPr>
            <w:tcW w:w="855" w:type="dxa"/>
            <w:vMerge w:val="continue"/>
            <w:vAlign w:val="center"/>
          </w:tcPr>
          <w:p>
            <w:pPr>
              <w:jc w:val="center"/>
              <w:rPr>
                <w:rFonts w:hint="eastAsia" w:ascii="Times New Roman" w:hAnsi="Times New Roman" w:eastAsia="宋体"/>
                <w:color w:val="auto"/>
                <w:szCs w:val="21"/>
              </w:rPr>
            </w:pPr>
          </w:p>
        </w:tc>
        <w:tc>
          <w:tcPr>
            <w:tcW w:w="770" w:type="dxa"/>
            <w:vAlign w:val="center"/>
          </w:tcPr>
          <w:p>
            <w:pPr>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H</w:t>
            </w:r>
            <w:r>
              <w:rPr>
                <w:rFonts w:hint="eastAsia" w:ascii="Times New Roman" w:hAnsi="Times New Roman" w:eastAsia="宋体"/>
                <w:color w:val="auto"/>
                <w:szCs w:val="21"/>
                <w:vertAlign w:val="subscript"/>
                <w:lang w:val="en-US" w:eastAsia="zh-CN"/>
              </w:rPr>
              <w:t>2</w:t>
            </w:r>
            <w:r>
              <w:rPr>
                <w:rFonts w:hint="eastAsia" w:ascii="Times New Roman" w:hAnsi="Times New Roman" w:eastAsia="宋体"/>
                <w:color w:val="auto"/>
                <w:szCs w:val="21"/>
                <w:lang w:val="en-US" w:eastAsia="zh-CN"/>
              </w:rPr>
              <w:t>S</w:t>
            </w:r>
          </w:p>
        </w:tc>
        <w:tc>
          <w:tcPr>
            <w:tcW w:w="1480" w:type="dxa"/>
            <w:vAlign w:val="center"/>
          </w:tcPr>
          <w:p>
            <w:pPr>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w:t>
            </w:r>
          </w:p>
        </w:tc>
        <w:tc>
          <w:tcPr>
            <w:tcW w:w="1335" w:type="dxa"/>
            <w:vAlign w:val="center"/>
          </w:tcPr>
          <w:p>
            <w:pPr>
              <w:pStyle w:val="98"/>
              <w:jc w:val="center"/>
              <w:rPr>
                <w:rFonts w:hint="eastAsia"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0.75t/a</w:t>
            </w:r>
          </w:p>
        </w:tc>
        <w:tc>
          <w:tcPr>
            <w:tcW w:w="4848" w:type="dxa"/>
            <w:vMerge w:val="continue"/>
            <w:vAlign w:val="center"/>
          </w:tcPr>
          <w:p>
            <w:pPr>
              <w:jc w:val="center"/>
              <w:rPr>
                <w:rFonts w:hint="eastAsia" w:ascii="Times New Roman" w:hAnsi="Times New Roman" w:eastAsia="宋体"/>
                <w:color w:val="auto"/>
                <w:szCs w:val="21"/>
              </w:rPr>
            </w:pPr>
          </w:p>
        </w:tc>
        <w:tc>
          <w:tcPr>
            <w:tcW w:w="1475" w:type="dxa"/>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w:t>
            </w:r>
            <w:r>
              <w:rPr>
                <w:rFonts w:hint="eastAsia" w:ascii="Times New Roman" w:hAnsi="Times New Roman" w:eastAsia="宋体"/>
                <w:color w:val="auto"/>
                <w:szCs w:val="21"/>
                <w:lang w:val="en-US" w:eastAsia="zh-CN"/>
              </w:rPr>
              <w:t>0.06mg/m</w:t>
            </w:r>
            <w:r>
              <w:rPr>
                <w:rFonts w:hint="eastAsia" w:ascii="Times New Roman" w:hAnsi="Times New Roman" w:eastAsia="宋体"/>
                <w:color w:val="auto"/>
                <w:szCs w:val="21"/>
                <w:vertAlign w:val="superscript"/>
                <w:lang w:val="en-US" w:eastAsia="zh-CN"/>
              </w:rPr>
              <w:t>3</w:t>
            </w:r>
          </w:p>
        </w:tc>
        <w:tc>
          <w:tcPr>
            <w:tcW w:w="1168" w:type="dxa"/>
            <w:gridSpan w:val="2"/>
            <w:vAlign w:val="center"/>
          </w:tcPr>
          <w:p>
            <w:pPr>
              <w:pStyle w:val="98"/>
              <w:jc w:val="center"/>
              <w:rPr>
                <w:rFonts w:hint="eastAsia"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0.02t/a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dxa"/>
            <w:vMerge w:val="continue"/>
            <w:vAlign w:val="center"/>
          </w:tcPr>
          <w:p>
            <w:pPr>
              <w:jc w:val="center"/>
              <w:rPr>
                <w:rFonts w:hint="eastAsia" w:ascii="Times New Roman" w:hAnsi="Times New Roman" w:eastAsia="宋体"/>
                <w:color w:val="auto"/>
                <w:szCs w:val="21"/>
              </w:rPr>
            </w:pPr>
          </w:p>
        </w:tc>
        <w:tc>
          <w:tcPr>
            <w:tcW w:w="735" w:type="dxa"/>
            <w:vMerge w:val="continue"/>
            <w:vAlign w:val="center"/>
          </w:tcPr>
          <w:p>
            <w:pPr>
              <w:jc w:val="center"/>
              <w:rPr>
                <w:rFonts w:hint="eastAsia" w:ascii="Times New Roman" w:hAnsi="Times New Roman" w:eastAsia="宋体"/>
                <w:color w:val="auto"/>
                <w:szCs w:val="21"/>
              </w:rPr>
            </w:pPr>
          </w:p>
        </w:tc>
        <w:tc>
          <w:tcPr>
            <w:tcW w:w="1097" w:type="dxa"/>
            <w:vMerge w:val="restart"/>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污水处理区</w:t>
            </w:r>
          </w:p>
        </w:tc>
        <w:tc>
          <w:tcPr>
            <w:tcW w:w="855" w:type="dxa"/>
            <w:vMerge w:val="restart"/>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无组织</w:t>
            </w:r>
          </w:p>
        </w:tc>
        <w:tc>
          <w:tcPr>
            <w:tcW w:w="770" w:type="dxa"/>
            <w:vAlign w:val="center"/>
          </w:tcPr>
          <w:p>
            <w:pPr>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val="en-US" w:eastAsia="zh-CN"/>
              </w:rPr>
              <w:t>NH</w:t>
            </w:r>
            <w:r>
              <w:rPr>
                <w:rFonts w:hint="eastAsia" w:ascii="Times New Roman" w:hAnsi="Times New Roman" w:eastAsia="宋体"/>
                <w:color w:val="auto"/>
                <w:szCs w:val="21"/>
                <w:vertAlign w:val="subscript"/>
                <w:lang w:val="en-US" w:eastAsia="zh-CN"/>
              </w:rPr>
              <w:t>3</w:t>
            </w:r>
          </w:p>
        </w:tc>
        <w:tc>
          <w:tcPr>
            <w:tcW w:w="1480" w:type="dxa"/>
            <w:vAlign w:val="center"/>
          </w:tcPr>
          <w:p>
            <w:pPr>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val="en-US" w:eastAsia="zh-CN"/>
              </w:rPr>
              <w:t>/</w:t>
            </w:r>
          </w:p>
        </w:tc>
        <w:tc>
          <w:tcPr>
            <w:tcW w:w="1335" w:type="dxa"/>
            <w:vAlign w:val="center"/>
          </w:tcPr>
          <w:p>
            <w:pPr>
              <w:pStyle w:val="98"/>
              <w:jc w:val="center"/>
              <w:rPr>
                <w:rFonts w:hint="default"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0.07t/a</w:t>
            </w:r>
          </w:p>
        </w:tc>
        <w:tc>
          <w:tcPr>
            <w:tcW w:w="4848" w:type="dxa"/>
            <w:vMerge w:val="restart"/>
            <w:vAlign w:val="center"/>
          </w:tcPr>
          <w:p>
            <w:pPr>
              <w:jc w:val="center"/>
              <w:rPr>
                <w:rFonts w:hint="eastAsia" w:ascii="Times New Roman" w:hAnsi="Times New Roman" w:eastAsia="宋体"/>
                <w:color w:val="auto"/>
                <w:szCs w:val="21"/>
                <w:lang w:eastAsia="zh-CN"/>
              </w:rPr>
            </w:pPr>
            <w:r>
              <w:rPr>
                <w:rFonts w:hint="eastAsia" w:ascii="Times New Roman" w:hAnsi="Times New Roman" w:cs="Times New Roman"/>
                <w:color w:val="auto"/>
                <w:szCs w:val="21"/>
                <w:lang w:val="en-US" w:eastAsia="zh-CN"/>
              </w:rPr>
              <w:t>定期喷洒除臭剂、周边种植植物吸收</w:t>
            </w:r>
          </w:p>
        </w:tc>
        <w:tc>
          <w:tcPr>
            <w:tcW w:w="1475" w:type="dxa"/>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eastAsia="zh-CN"/>
              </w:rPr>
              <w:t>＜</w:t>
            </w:r>
            <w:r>
              <w:rPr>
                <w:rFonts w:hint="eastAsia" w:ascii="Times New Roman" w:hAnsi="Times New Roman" w:eastAsia="宋体"/>
                <w:color w:val="auto"/>
                <w:szCs w:val="21"/>
                <w:lang w:val="en-US" w:eastAsia="zh-CN"/>
              </w:rPr>
              <w:t>1.5mg/m</w:t>
            </w:r>
            <w:r>
              <w:rPr>
                <w:rFonts w:hint="eastAsia" w:ascii="Times New Roman" w:hAnsi="Times New Roman" w:eastAsia="宋体"/>
                <w:color w:val="auto"/>
                <w:szCs w:val="21"/>
                <w:vertAlign w:val="superscript"/>
                <w:lang w:val="en-US" w:eastAsia="zh-CN"/>
              </w:rPr>
              <w:t>3</w:t>
            </w:r>
          </w:p>
        </w:tc>
        <w:tc>
          <w:tcPr>
            <w:tcW w:w="1168" w:type="dxa"/>
            <w:gridSpan w:val="2"/>
            <w:vAlign w:val="center"/>
          </w:tcPr>
          <w:p>
            <w:pPr>
              <w:pStyle w:val="98"/>
              <w:jc w:val="center"/>
              <w:rPr>
                <w:rFonts w:hint="eastAsia"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0.06t/a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dxa"/>
            <w:vMerge w:val="continue"/>
            <w:vAlign w:val="center"/>
          </w:tcPr>
          <w:p>
            <w:pPr>
              <w:jc w:val="center"/>
              <w:rPr>
                <w:rFonts w:hint="eastAsia" w:ascii="Times New Roman" w:hAnsi="Times New Roman" w:eastAsia="宋体"/>
                <w:color w:val="auto"/>
                <w:szCs w:val="21"/>
              </w:rPr>
            </w:pPr>
          </w:p>
        </w:tc>
        <w:tc>
          <w:tcPr>
            <w:tcW w:w="735" w:type="dxa"/>
            <w:vMerge w:val="continue"/>
            <w:vAlign w:val="center"/>
          </w:tcPr>
          <w:p>
            <w:pPr>
              <w:jc w:val="center"/>
              <w:rPr>
                <w:rFonts w:hint="eastAsia" w:ascii="Times New Roman" w:hAnsi="Times New Roman" w:eastAsia="宋体"/>
                <w:color w:val="auto"/>
                <w:szCs w:val="21"/>
              </w:rPr>
            </w:pPr>
          </w:p>
        </w:tc>
        <w:tc>
          <w:tcPr>
            <w:tcW w:w="1097" w:type="dxa"/>
            <w:vMerge w:val="continue"/>
            <w:vAlign w:val="center"/>
          </w:tcPr>
          <w:p>
            <w:pPr>
              <w:jc w:val="center"/>
              <w:rPr>
                <w:rFonts w:hint="eastAsia" w:ascii="Times New Roman" w:hAnsi="Times New Roman" w:eastAsia="宋体"/>
                <w:color w:val="auto"/>
                <w:szCs w:val="21"/>
              </w:rPr>
            </w:pPr>
          </w:p>
        </w:tc>
        <w:tc>
          <w:tcPr>
            <w:tcW w:w="855" w:type="dxa"/>
            <w:vMerge w:val="continue"/>
            <w:vAlign w:val="center"/>
          </w:tcPr>
          <w:p>
            <w:pPr>
              <w:jc w:val="center"/>
              <w:rPr>
                <w:rFonts w:hint="eastAsia" w:ascii="Times New Roman" w:hAnsi="Times New Roman" w:eastAsia="宋体"/>
                <w:color w:val="auto"/>
                <w:szCs w:val="21"/>
                <w:lang w:eastAsia="zh-CN"/>
              </w:rPr>
            </w:pPr>
          </w:p>
        </w:tc>
        <w:tc>
          <w:tcPr>
            <w:tcW w:w="770" w:type="dxa"/>
            <w:vAlign w:val="center"/>
          </w:tcPr>
          <w:p>
            <w:pPr>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val="en-US" w:eastAsia="zh-CN"/>
              </w:rPr>
              <w:t>H</w:t>
            </w:r>
            <w:r>
              <w:rPr>
                <w:rFonts w:hint="eastAsia" w:ascii="Times New Roman" w:hAnsi="Times New Roman" w:eastAsia="宋体"/>
                <w:color w:val="auto"/>
                <w:szCs w:val="21"/>
                <w:vertAlign w:val="subscript"/>
                <w:lang w:val="en-US" w:eastAsia="zh-CN"/>
              </w:rPr>
              <w:t>2</w:t>
            </w:r>
            <w:r>
              <w:rPr>
                <w:rFonts w:hint="eastAsia" w:ascii="Times New Roman" w:hAnsi="Times New Roman" w:eastAsia="宋体"/>
                <w:color w:val="auto"/>
                <w:szCs w:val="21"/>
                <w:lang w:val="en-US" w:eastAsia="zh-CN"/>
              </w:rPr>
              <w:t>S</w:t>
            </w:r>
          </w:p>
        </w:tc>
        <w:tc>
          <w:tcPr>
            <w:tcW w:w="1480" w:type="dxa"/>
            <w:vAlign w:val="center"/>
          </w:tcPr>
          <w:p>
            <w:pPr>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val="en-US" w:eastAsia="zh-CN"/>
              </w:rPr>
              <w:t>/</w:t>
            </w:r>
          </w:p>
        </w:tc>
        <w:tc>
          <w:tcPr>
            <w:tcW w:w="1335" w:type="dxa"/>
            <w:vAlign w:val="center"/>
          </w:tcPr>
          <w:p>
            <w:pPr>
              <w:pStyle w:val="98"/>
              <w:jc w:val="center"/>
              <w:rPr>
                <w:rFonts w:hint="default"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0.0002t/a</w:t>
            </w:r>
          </w:p>
        </w:tc>
        <w:tc>
          <w:tcPr>
            <w:tcW w:w="4848" w:type="dxa"/>
            <w:vMerge w:val="continue"/>
            <w:vAlign w:val="center"/>
          </w:tcPr>
          <w:p>
            <w:pPr>
              <w:jc w:val="center"/>
              <w:rPr>
                <w:rFonts w:hint="eastAsia" w:ascii="Times New Roman" w:hAnsi="Times New Roman" w:eastAsia="宋体"/>
                <w:color w:val="auto"/>
                <w:szCs w:val="21"/>
                <w:lang w:eastAsia="zh-CN"/>
              </w:rPr>
            </w:pPr>
          </w:p>
        </w:tc>
        <w:tc>
          <w:tcPr>
            <w:tcW w:w="1475" w:type="dxa"/>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eastAsia="zh-CN"/>
              </w:rPr>
              <w:t>＜</w:t>
            </w:r>
            <w:r>
              <w:rPr>
                <w:rFonts w:hint="eastAsia" w:ascii="Times New Roman" w:hAnsi="Times New Roman" w:eastAsia="宋体"/>
                <w:color w:val="auto"/>
                <w:szCs w:val="21"/>
                <w:lang w:val="en-US" w:eastAsia="zh-CN"/>
              </w:rPr>
              <w:t>0.06mg/m</w:t>
            </w:r>
            <w:r>
              <w:rPr>
                <w:rFonts w:hint="eastAsia" w:ascii="Times New Roman" w:hAnsi="Times New Roman" w:eastAsia="宋体"/>
                <w:color w:val="auto"/>
                <w:szCs w:val="21"/>
                <w:vertAlign w:val="superscript"/>
                <w:lang w:val="en-US" w:eastAsia="zh-CN"/>
              </w:rPr>
              <w:t>3</w:t>
            </w:r>
          </w:p>
        </w:tc>
        <w:tc>
          <w:tcPr>
            <w:tcW w:w="1168" w:type="dxa"/>
            <w:gridSpan w:val="2"/>
            <w:vAlign w:val="center"/>
          </w:tcPr>
          <w:p>
            <w:pPr>
              <w:pStyle w:val="98"/>
              <w:jc w:val="center"/>
              <w:rPr>
                <w:rFonts w:hint="eastAsia"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0.00018t/a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dxa"/>
            <w:vMerge w:val="continue"/>
            <w:vAlign w:val="center"/>
          </w:tcPr>
          <w:p>
            <w:pPr>
              <w:jc w:val="center"/>
              <w:rPr>
                <w:rFonts w:hint="eastAsia" w:ascii="Times New Roman" w:hAnsi="Times New Roman" w:eastAsia="宋体"/>
                <w:color w:val="auto"/>
                <w:szCs w:val="21"/>
              </w:rPr>
            </w:pPr>
          </w:p>
        </w:tc>
        <w:tc>
          <w:tcPr>
            <w:tcW w:w="735" w:type="dxa"/>
            <w:vMerge w:val="continue"/>
            <w:vAlign w:val="center"/>
          </w:tcPr>
          <w:p>
            <w:pPr>
              <w:jc w:val="center"/>
              <w:rPr>
                <w:rFonts w:hint="eastAsia" w:ascii="Times New Roman" w:hAnsi="Times New Roman" w:eastAsia="宋体"/>
                <w:color w:val="auto"/>
                <w:szCs w:val="21"/>
              </w:rPr>
            </w:pPr>
          </w:p>
        </w:tc>
        <w:tc>
          <w:tcPr>
            <w:tcW w:w="1097" w:type="dxa"/>
            <w:vMerge w:val="restart"/>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堆粪间</w:t>
            </w:r>
          </w:p>
        </w:tc>
        <w:tc>
          <w:tcPr>
            <w:tcW w:w="855" w:type="dxa"/>
            <w:vMerge w:val="restart"/>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lang w:eastAsia="zh-CN"/>
              </w:rPr>
              <w:t>有组织</w:t>
            </w:r>
          </w:p>
        </w:tc>
        <w:tc>
          <w:tcPr>
            <w:tcW w:w="770" w:type="dxa"/>
            <w:vAlign w:val="center"/>
          </w:tcPr>
          <w:p>
            <w:pPr>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val="en-US" w:eastAsia="zh-CN"/>
              </w:rPr>
              <w:t>NH</w:t>
            </w:r>
            <w:r>
              <w:rPr>
                <w:rFonts w:hint="eastAsia" w:ascii="Times New Roman" w:hAnsi="Times New Roman" w:eastAsia="宋体"/>
                <w:color w:val="auto"/>
                <w:szCs w:val="21"/>
                <w:vertAlign w:val="subscript"/>
                <w:lang w:val="en-US" w:eastAsia="zh-CN"/>
              </w:rPr>
              <w:t>3</w:t>
            </w:r>
          </w:p>
        </w:tc>
        <w:tc>
          <w:tcPr>
            <w:tcW w:w="1480" w:type="dxa"/>
            <w:vAlign w:val="center"/>
          </w:tcPr>
          <w:p>
            <w:pPr>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val="en-US" w:eastAsia="zh-CN"/>
              </w:rPr>
              <w:t>/</w:t>
            </w:r>
          </w:p>
        </w:tc>
        <w:tc>
          <w:tcPr>
            <w:tcW w:w="1335" w:type="dxa"/>
            <w:vAlign w:val="center"/>
          </w:tcPr>
          <w:p>
            <w:pPr>
              <w:pStyle w:val="98"/>
              <w:jc w:val="center"/>
              <w:rPr>
                <w:rFonts w:hint="eastAsia"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0.57t/a</w:t>
            </w:r>
          </w:p>
        </w:tc>
        <w:tc>
          <w:tcPr>
            <w:tcW w:w="4848" w:type="dxa"/>
            <w:vMerge w:val="restart"/>
            <w:vAlign w:val="center"/>
          </w:tcPr>
          <w:p>
            <w:pPr>
              <w:jc w:val="center"/>
              <w:rPr>
                <w:rFonts w:hint="eastAsia" w:ascii="Times New Roman" w:hAnsi="Times New Roman" w:eastAsia="宋体"/>
                <w:color w:val="auto"/>
                <w:szCs w:val="21"/>
              </w:rPr>
            </w:pPr>
            <w:r>
              <w:rPr>
                <w:rFonts w:hint="eastAsia" w:ascii="Times New Roman" w:hAnsi="Times New Roman" w:cs="Times New Roman"/>
                <w:color w:val="auto"/>
                <w:szCs w:val="21"/>
                <w:lang w:val="en-US" w:eastAsia="zh-CN"/>
              </w:rPr>
              <w:t>进行封闭处理，负压收集废气，收集后经喷淋洗涤吸收塔（风量10000m</w:t>
            </w:r>
            <w:r>
              <w:rPr>
                <w:rFonts w:hint="eastAsia" w:ascii="Times New Roman" w:hAnsi="Times New Roman" w:cs="Times New Roman"/>
                <w:color w:val="auto"/>
                <w:szCs w:val="21"/>
                <w:vertAlign w:val="superscript"/>
                <w:lang w:val="en-US" w:eastAsia="zh-CN"/>
              </w:rPr>
              <w:t>3</w:t>
            </w:r>
            <w:r>
              <w:rPr>
                <w:rFonts w:hint="eastAsia" w:ascii="Times New Roman" w:hAnsi="Times New Roman" w:cs="Times New Roman"/>
                <w:color w:val="auto"/>
                <w:szCs w:val="21"/>
                <w:lang w:val="en-US" w:eastAsia="zh-CN"/>
              </w:rPr>
              <w:t>/h）处理后由15m排气筒排放</w:t>
            </w:r>
          </w:p>
        </w:tc>
        <w:tc>
          <w:tcPr>
            <w:tcW w:w="1475" w:type="dxa"/>
            <w:vAlign w:val="center"/>
          </w:tcPr>
          <w:p>
            <w:pPr>
              <w:pStyle w:val="98"/>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cs="Times New Roman"/>
                <w:color w:val="auto"/>
                <w:szCs w:val="21"/>
                <w:lang w:val="en-US" w:eastAsia="zh-CN"/>
              </w:rPr>
              <w:t>0.637</w:t>
            </w:r>
            <w:r>
              <w:rPr>
                <w:rFonts w:hint="eastAsia" w:ascii="Times New Roman" w:hAnsi="Times New Roman" w:eastAsia="宋体"/>
                <w:color w:val="auto"/>
                <w:szCs w:val="21"/>
                <w:lang w:val="en-US" w:eastAsia="zh-CN"/>
              </w:rPr>
              <w:t>mg/m</w:t>
            </w:r>
            <w:r>
              <w:rPr>
                <w:rFonts w:hint="eastAsia" w:ascii="Times New Roman" w:hAnsi="Times New Roman" w:eastAsia="宋体"/>
                <w:color w:val="auto"/>
                <w:szCs w:val="21"/>
                <w:vertAlign w:val="superscript"/>
                <w:lang w:val="en-US" w:eastAsia="zh-CN"/>
              </w:rPr>
              <w:t>3</w:t>
            </w:r>
          </w:p>
        </w:tc>
        <w:tc>
          <w:tcPr>
            <w:tcW w:w="1168" w:type="dxa"/>
            <w:gridSpan w:val="2"/>
            <w:vAlign w:val="center"/>
          </w:tcPr>
          <w:p>
            <w:pPr>
              <w:pStyle w:val="98"/>
              <w:jc w:val="center"/>
              <w:rPr>
                <w:rFonts w:hint="eastAsia"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0.002t/a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dxa"/>
            <w:vMerge w:val="continue"/>
            <w:vAlign w:val="center"/>
          </w:tcPr>
          <w:p>
            <w:pPr>
              <w:jc w:val="center"/>
              <w:rPr>
                <w:rFonts w:hint="eastAsia" w:ascii="Times New Roman" w:hAnsi="Times New Roman" w:eastAsia="宋体"/>
                <w:color w:val="auto"/>
                <w:szCs w:val="21"/>
              </w:rPr>
            </w:pPr>
          </w:p>
        </w:tc>
        <w:tc>
          <w:tcPr>
            <w:tcW w:w="735" w:type="dxa"/>
            <w:vMerge w:val="continue"/>
            <w:vAlign w:val="center"/>
          </w:tcPr>
          <w:p>
            <w:pPr>
              <w:jc w:val="center"/>
              <w:rPr>
                <w:rFonts w:hint="eastAsia" w:ascii="Times New Roman" w:hAnsi="Times New Roman" w:eastAsia="宋体"/>
                <w:color w:val="auto"/>
                <w:szCs w:val="21"/>
              </w:rPr>
            </w:pPr>
          </w:p>
        </w:tc>
        <w:tc>
          <w:tcPr>
            <w:tcW w:w="1097" w:type="dxa"/>
            <w:vMerge w:val="continue"/>
            <w:vAlign w:val="center"/>
          </w:tcPr>
          <w:p>
            <w:pPr>
              <w:jc w:val="center"/>
              <w:rPr>
                <w:rFonts w:hint="eastAsia" w:ascii="Times New Roman" w:hAnsi="Times New Roman" w:eastAsia="宋体"/>
                <w:color w:val="auto"/>
                <w:szCs w:val="21"/>
              </w:rPr>
            </w:pPr>
          </w:p>
        </w:tc>
        <w:tc>
          <w:tcPr>
            <w:tcW w:w="855" w:type="dxa"/>
            <w:vMerge w:val="continue"/>
            <w:vAlign w:val="center"/>
          </w:tcPr>
          <w:p>
            <w:pPr>
              <w:jc w:val="center"/>
              <w:rPr>
                <w:rFonts w:hint="eastAsia" w:ascii="Times New Roman" w:hAnsi="Times New Roman" w:eastAsia="宋体"/>
                <w:color w:val="auto"/>
                <w:szCs w:val="21"/>
              </w:rPr>
            </w:pPr>
          </w:p>
        </w:tc>
        <w:tc>
          <w:tcPr>
            <w:tcW w:w="770" w:type="dxa"/>
            <w:vAlign w:val="center"/>
          </w:tcPr>
          <w:p>
            <w:pPr>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val="en-US" w:eastAsia="zh-CN"/>
              </w:rPr>
              <w:t>H</w:t>
            </w:r>
            <w:r>
              <w:rPr>
                <w:rFonts w:hint="eastAsia" w:ascii="Times New Roman" w:hAnsi="Times New Roman" w:eastAsia="宋体"/>
                <w:color w:val="auto"/>
                <w:szCs w:val="21"/>
                <w:vertAlign w:val="subscript"/>
                <w:lang w:val="en-US" w:eastAsia="zh-CN"/>
              </w:rPr>
              <w:t>2</w:t>
            </w:r>
            <w:r>
              <w:rPr>
                <w:rFonts w:hint="eastAsia" w:ascii="Times New Roman" w:hAnsi="Times New Roman" w:eastAsia="宋体"/>
                <w:color w:val="auto"/>
                <w:szCs w:val="21"/>
                <w:lang w:val="en-US" w:eastAsia="zh-CN"/>
              </w:rPr>
              <w:t>S</w:t>
            </w:r>
          </w:p>
        </w:tc>
        <w:tc>
          <w:tcPr>
            <w:tcW w:w="1480" w:type="dxa"/>
            <w:vAlign w:val="center"/>
          </w:tcPr>
          <w:p>
            <w:pPr>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val="en-US" w:eastAsia="zh-CN"/>
              </w:rPr>
              <w:t>/</w:t>
            </w:r>
          </w:p>
        </w:tc>
        <w:tc>
          <w:tcPr>
            <w:tcW w:w="1335" w:type="dxa"/>
            <w:vAlign w:val="center"/>
          </w:tcPr>
          <w:p>
            <w:pPr>
              <w:pStyle w:val="98"/>
              <w:jc w:val="center"/>
              <w:rPr>
                <w:rFonts w:hint="eastAsia"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0.032t/a</w:t>
            </w:r>
          </w:p>
        </w:tc>
        <w:tc>
          <w:tcPr>
            <w:tcW w:w="4848" w:type="dxa"/>
            <w:vMerge w:val="continue"/>
            <w:vAlign w:val="center"/>
          </w:tcPr>
          <w:p>
            <w:pPr>
              <w:jc w:val="center"/>
              <w:rPr>
                <w:rFonts w:hint="eastAsia" w:ascii="Times New Roman" w:hAnsi="Times New Roman" w:eastAsia="宋体"/>
                <w:color w:val="auto"/>
                <w:szCs w:val="21"/>
              </w:rPr>
            </w:pPr>
          </w:p>
        </w:tc>
        <w:tc>
          <w:tcPr>
            <w:tcW w:w="1475" w:type="dxa"/>
            <w:vAlign w:val="center"/>
          </w:tcPr>
          <w:p>
            <w:pPr>
              <w:pStyle w:val="98"/>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cs="Times New Roman"/>
                <w:color w:val="auto"/>
                <w:szCs w:val="21"/>
                <w:lang w:val="en-US" w:eastAsia="zh-CN"/>
              </w:rPr>
              <w:t>0.04</w:t>
            </w:r>
            <w:r>
              <w:rPr>
                <w:rFonts w:hint="eastAsia" w:ascii="Times New Roman" w:hAnsi="Times New Roman" w:eastAsia="宋体"/>
                <w:color w:val="auto"/>
                <w:szCs w:val="21"/>
                <w:lang w:val="en-US" w:eastAsia="zh-CN"/>
              </w:rPr>
              <w:t>mg/m</w:t>
            </w:r>
            <w:r>
              <w:rPr>
                <w:rFonts w:hint="eastAsia" w:ascii="Times New Roman" w:hAnsi="Times New Roman" w:eastAsia="宋体"/>
                <w:color w:val="auto"/>
                <w:szCs w:val="21"/>
                <w:vertAlign w:val="superscript"/>
                <w:lang w:val="en-US" w:eastAsia="zh-CN"/>
              </w:rPr>
              <w:t>3</w:t>
            </w:r>
          </w:p>
        </w:tc>
        <w:tc>
          <w:tcPr>
            <w:tcW w:w="1168" w:type="dxa"/>
            <w:gridSpan w:val="2"/>
            <w:vAlign w:val="center"/>
          </w:tcPr>
          <w:p>
            <w:pPr>
              <w:pStyle w:val="98"/>
              <w:jc w:val="center"/>
              <w:rPr>
                <w:rFonts w:hint="eastAsia"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0.0001t/a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dxa"/>
            <w:vMerge w:val="continue"/>
            <w:vAlign w:val="center"/>
          </w:tcPr>
          <w:p>
            <w:pPr>
              <w:jc w:val="center"/>
              <w:rPr>
                <w:rFonts w:hint="eastAsia" w:ascii="Times New Roman" w:hAnsi="Times New Roman" w:eastAsia="宋体"/>
                <w:color w:val="auto"/>
                <w:szCs w:val="21"/>
              </w:rPr>
            </w:pPr>
          </w:p>
        </w:tc>
        <w:tc>
          <w:tcPr>
            <w:tcW w:w="735" w:type="dxa"/>
            <w:vMerge w:val="continue"/>
            <w:vAlign w:val="center"/>
          </w:tcPr>
          <w:p>
            <w:pPr>
              <w:jc w:val="center"/>
              <w:rPr>
                <w:rFonts w:hint="eastAsia" w:ascii="Times New Roman" w:hAnsi="Times New Roman" w:eastAsia="宋体"/>
                <w:color w:val="auto"/>
                <w:szCs w:val="21"/>
              </w:rPr>
            </w:pPr>
          </w:p>
        </w:tc>
        <w:tc>
          <w:tcPr>
            <w:tcW w:w="1097" w:type="dxa"/>
            <w:vMerge w:val="continue"/>
            <w:vAlign w:val="center"/>
          </w:tcPr>
          <w:p>
            <w:pPr>
              <w:jc w:val="center"/>
              <w:rPr>
                <w:rFonts w:hint="eastAsia" w:ascii="Times New Roman" w:hAnsi="Times New Roman" w:eastAsia="宋体"/>
                <w:color w:val="auto"/>
                <w:szCs w:val="21"/>
              </w:rPr>
            </w:pPr>
          </w:p>
        </w:tc>
        <w:tc>
          <w:tcPr>
            <w:tcW w:w="855" w:type="dxa"/>
            <w:vMerge w:val="restart"/>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lang w:eastAsia="zh-CN"/>
              </w:rPr>
              <w:t>无组织</w:t>
            </w:r>
          </w:p>
        </w:tc>
        <w:tc>
          <w:tcPr>
            <w:tcW w:w="770" w:type="dxa"/>
            <w:vAlign w:val="center"/>
          </w:tcPr>
          <w:p>
            <w:pPr>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val="en-US" w:eastAsia="zh-CN"/>
              </w:rPr>
              <w:t>NH</w:t>
            </w:r>
            <w:r>
              <w:rPr>
                <w:rFonts w:hint="eastAsia" w:ascii="Times New Roman" w:hAnsi="Times New Roman" w:eastAsia="宋体"/>
                <w:color w:val="auto"/>
                <w:szCs w:val="21"/>
                <w:vertAlign w:val="subscript"/>
                <w:lang w:val="en-US" w:eastAsia="zh-CN"/>
              </w:rPr>
              <w:t>3</w:t>
            </w:r>
          </w:p>
        </w:tc>
        <w:tc>
          <w:tcPr>
            <w:tcW w:w="1480" w:type="dxa"/>
            <w:vAlign w:val="center"/>
          </w:tcPr>
          <w:p>
            <w:pPr>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val="en-US" w:eastAsia="zh-CN"/>
              </w:rPr>
              <w:t>/</w:t>
            </w:r>
          </w:p>
        </w:tc>
        <w:tc>
          <w:tcPr>
            <w:tcW w:w="1335" w:type="dxa"/>
            <w:vAlign w:val="center"/>
          </w:tcPr>
          <w:p>
            <w:pPr>
              <w:pStyle w:val="98"/>
              <w:jc w:val="center"/>
              <w:rPr>
                <w:rFonts w:hint="eastAsia"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0.57t/a</w:t>
            </w:r>
          </w:p>
        </w:tc>
        <w:tc>
          <w:tcPr>
            <w:tcW w:w="4848" w:type="dxa"/>
            <w:vMerge w:val="continue"/>
            <w:vAlign w:val="center"/>
          </w:tcPr>
          <w:p>
            <w:pPr>
              <w:jc w:val="center"/>
              <w:rPr>
                <w:rFonts w:hint="eastAsia" w:ascii="Times New Roman" w:hAnsi="Times New Roman" w:eastAsia="宋体"/>
                <w:color w:val="auto"/>
                <w:szCs w:val="21"/>
              </w:rPr>
            </w:pPr>
          </w:p>
        </w:tc>
        <w:tc>
          <w:tcPr>
            <w:tcW w:w="1475" w:type="dxa"/>
            <w:vAlign w:val="center"/>
          </w:tcPr>
          <w:p>
            <w:pPr>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eastAsia="zh-CN"/>
              </w:rPr>
              <w:t>＜</w:t>
            </w:r>
            <w:r>
              <w:rPr>
                <w:rFonts w:hint="eastAsia" w:ascii="Times New Roman" w:hAnsi="Times New Roman" w:eastAsia="宋体"/>
                <w:color w:val="auto"/>
                <w:szCs w:val="21"/>
                <w:lang w:val="en-US" w:eastAsia="zh-CN"/>
              </w:rPr>
              <w:t>1.5mg/m</w:t>
            </w:r>
            <w:r>
              <w:rPr>
                <w:rFonts w:hint="eastAsia" w:ascii="Times New Roman" w:hAnsi="Times New Roman" w:eastAsia="宋体"/>
                <w:color w:val="auto"/>
                <w:szCs w:val="21"/>
                <w:vertAlign w:val="superscript"/>
                <w:lang w:val="en-US" w:eastAsia="zh-CN"/>
              </w:rPr>
              <w:t>3</w:t>
            </w:r>
          </w:p>
        </w:tc>
        <w:tc>
          <w:tcPr>
            <w:tcW w:w="1168" w:type="dxa"/>
            <w:gridSpan w:val="2"/>
            <w:vAlign w:val="center"/>
          </w:tcPr>
          <w:p>
            <w:pPr>
              <w:pStyle w:val="98"/>
              <w:jc w:val="center"/>
              <w:rPr>
                <w:rFonts w:hint="eastAsia"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0.0013t/a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dxa"/>
            <w:vMerge w:val="continue"/>
            <w:vAlign w:val="center"/>
          </w:tcPr>
          <w:p>
            <w:pPr>
              <w:jc w:val="center"/>
              <w:rPr>
                <w:rFonts w:hint="eastAsia" w:ascii="Times New Roman" w:hAnsi="Times New Roman" w:eastAsia="宋体"/>
                <w:color w:val="auto"/>
                <w:szCs w:val="21"/>
              </w:rPr>
            </w:pPr>
          </w:p>
        </w:tc>
        <w:tc>
          <w:tcPr>
            <w:tcW w:w="735" w:type="dxa"/>
            <w:vMerge w:val="continue"/>
            <w:vAlign w:val="center"/>
          </w:tcPr>
          <w:p>
            <w:pPr>
              <w:jc w:val="center"/>
              <w:rPr>
                <w:rFonts w:hint="eastAsia" w:ascii="Times New Roman" w:hAnsi="Times New Roman" w:eastAsia="宋体"/>
                <w:color w:val="auto"/>
                <w:szCs w:val="21"/>
              </w:rPr>
            </w:pPr>
          </w:p>
        </w:tc>
        <w:tc>
          <w:tcPr>
            <w:tcW w:w="1097" w:type="dxa"/>
            <w:vMerge w:val="continue"/>
            <w:vAlign w:val="center"/>
          </w:tcPr>
          <w:p>
            <w:pPr>
              <w:jc w:val="center"/>
              <w:rPr>
                <w:rFonts w:hint="eastAsia" w:ascii="Times New Roman" w:hAnsi="Times New Roman" w:eastAsia="宋体"/>
                <w:color w:val="auto"/>
                <w:szCs w:val="21"/>
              </w:rPr>
            </w:pPr>
          </w:p>
        </w:tc>
        <w:tc>
          <w:tcPr>
            <w:tcW w:w="855" w:type="dxa"/>
            <w:vMerge w:val="continue"/>
            <w:vAlign w:val="center"/>
          </w:tcPr>
          <w:p>
            <w:pPr>
              <w:jc w:val="center"/>
              <w:rPr>
                <w:rFonts w:hint="eastAsia" w:ascii="Times New Roman" w:hAnsi="Times New Roman" w:eastAsia="宋体"/>
                <w:color w:val="auto"/>
                <w:szCs w:val="21"/>
              </w:rPr>
            </w:pPr>
          </w:p>
        </w:tc>
        <w:tc>
          <w:tcPr>
            <w:tcW w:w="770" w:type="dxa"/>
            <w:vAlign w:val="center"/>
          </w:tcPr>
          <w:p>
            <w:pPr>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val="en-US" w:eastAsia="zh-CN"/>
              </w:rPr>
              <w:t>H</w:t>
            </w:r>
            <w:r>
              <w:rPr>
                <w:rFonts w:hint="eastAsia" w:ascii="Times New Roman" w:hAnsi="Times New Roman" w:eastAsia="宋体"/>
                <w:color w:val="auto"/>
                <w:szCs w:val="21"/>
                <w:vertAlign w:val="subscript"/>
                <w:lang w:val="en-US" w:eastAsia="zh-CN"/>
              </w:rPr>
              <w:t>2</w:t>
            </w:r>
            <w:r>
              <w:rPr>
                <w:rFonts w:hint="eastAsia" w:ascii="Times New Roman" w:hAnsi="Times New Roman" w:eastAsia="宋体"/>
                <w:color w:val="auto"/>
                <w:szCs w:val="21"/>
                <w:lang w:val="en-US" w:eastAsia="zh-CN"/>
              </w:rPr>
              <w:t>S</w:t>
            </w:r>
          </w:p>
        </w:tc>
        <w:tc>
          <w:tcPr>
            <w:tcW w:w="1480" w:type="dxa"/>
            <w:vAlign w:val="center"/>
          </w:tcPr>
          <w:p>
            <w:pPr>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val="en-US" w:eastAsia="zh-CN"/>
              </w:rPr>
              <w:t>/</w:t>
            </w:r>
          </w:p>
        </w:tc>
        <w:tc>
          <w:tcPr>
            <w:tcW w:w="1335" w:type="dxa"/>
            <w:vAlign w:val="center"/>
          </w:tcPr>
          <w:p>
            <w:pPr>
              <w:pStyle w:val="98"/>
              <w:jc w:val="center"/>
              <w:rPr>
                <w:rFonts w:hint="eastAsia"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0.032t/a</w:t>
            </w:r>
          </w:p>
        </w:tc>
        <w:tc>
          <w:tcPr>
            <w:tcW w:w="4848" w:type="dxa"/>
            <w:vMerge w:val="continue"/>
            <w:vAlign w:val="center"/>
          </w:tcPr>
          <w:p>
            <w:pPr>
              <w:jc w:val="center"/>
              <w:rPr>
                <w:rFonts w:hint="eastAsia" w:ascii="Times New Roman" w:hAnsi="Times New Roman" w:eastAsia="宋体"/>
                <w:color w:val="auto"/>
                <w:szCs w:val="21"/>
              </w:rPr>
            </w:pPr>
          </w:p>
        </w:tc>
        <w:tc>
          <w:tcPr>
            <w:tcW w:w="1475" w:type="dxa"/>
            <w:vAlign w:val="center"/>
          </w:tcPr>
          <w:p>
            <w:pPr>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eastAsia="zh-CN"/>
              </w:rPr>
              <w:t>＜</w:t>
            </w:r>
            <w:r>
              <w:rPr>
                <w:rFonts w:hint="eastAsia" w:ascii="Times New Roman" w:hAnsi="Times New Roman" w:eastAsia="宋体"/>
                <w:color w:val="auto"/>
                <w:szCs w:val="21"/>
                <w:lang w:val="en-US" w:eastAsia="zh-CN"/>
              </w:rPr>
              <w:t>0.06mg/m</w:t>
            </w:r>
            <w:r>
              <w:rPr>
                <w:rFonts w:hint="eastAsia" w:ascii="Times New Roman" w:hAnsi="Times New Roman" w:eastAsia="宋体"/>
                <w:color w:val="auto"/>
                <w:szCs w:val="21"/>
                <w:vertAlign w:val="superscript"/>
                <w:lang w:val="en-US" w:eastAsia="zh-CN"/>
              </w:rPr>
              <w:t>3</w:t>
            </w:r>
          </w:p>
        </w:tc>
        <w:tc>
          <w:tcPr>
            <w:tcW w:w="1168" w:type="dxa"/>
            <w:gridSpan w:val="2"/>
            <w:vAlign w:val="center"/>
          </w:tcPr>
          <w:p>
            <w:pPr>
              <w:pStyle w:val="98"/>
              <w:jc w:val="center"/>
              <w:rPr>
                <w:rFonts w:hint="eastAsia"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0.00008t/a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dxa"/>
            <w:vMerge w:val="continue"/>
            <w:vAlign w:val="center"/>
          </w:tcPr>
          <w:p>
            <w:pPr>
              <w:jc w:val="center"/>
              <w:rPr>
                <w:rFonts w:hint="eastAsia" w:ascii="Times New Roman" w:hAnsi="Times New Roman" w:eastAsia="宋体"/>
                <w:color w:val="auto"/>
                <w:szCs w:val="21"/>
              </w:rPr>
            </w:pPr>
          </w:p>
        </w:tc>
        <w:tc>
          <w:tcPr>
            <w:tcW w:w="735" w:type="dxa"/>
            <w:vMerge w:val="continue"/>
            <w:vAlign w:val="center"/>
          </w:tcPr>
          <w:p>
            <w:pPr>
              <w:jc w:val="center"/>
              <w:rPr>
                <w:rFonts w:hint="eastAsia" w:ascii="Times New Roman" w:hAnsi="Times New Roman" w:eastAsia="宋体"/>
                <w:color w:val="auto"/>
                <w:szCs w:val="21"/>
              </w:rPr>
            </w:pPr>
          </w:p>
        </w:tc>
        <w:tc>
          <w:tcPr>
            <w:tcW w:w="1097" w:type="dxa"/>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食堂</w:t>
            </w:r>
          </w:p>
        </w:tc>
        <w:tc>
          <w:tcPr>
            <w:tcW w:w="1625" w:type="dxa"/>
            <w:gridSpan w:val="2"/>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lang w:eastAsia="zh-CN"/>
              </w:rPr>
              <w:t>油烟</w:t>
            </w:r>
          </w:p>
        </w:tc>
        <w:tc>
          <w:tcPr>
            <w:tcW w:w="1480" w:type="dxa"/>
            <w:vAlign w:val="center"/>
          </w:tcPr>
          <w:p>
            <w:pPr>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w:t>
            </w:r>
          </w:p>
        </w:tc>
        <w:tc>
          <w:tcPr>
            <w:tcW w:w="1335" w:type="dxa"/>
            <w:vAlign w:val="center"/>
          </w:tcPr>
          <w:p>
            <w:pPr>
              <w:jc w:val="center"/>
              <w:rPr>
                <w:rFonts w:hint="default" w:ascii="Times New Roman" w:hAnsi="Times New Roman" w:eastAsia="宋体"/>
                <w:color w:val="auto"/>
                <w:szCs w:val="21"/>
                <w:lang w:val="en-US" w:eastAsia="zh-CN"/>
              </w:rPr>
            </w:pPr>
            <w:r>
              <w:rPr>
                <w:rFonts w:hint="eastAsia" w:ascii="Times New Roman" w:hAnsi="Times New Roman" w:cs="Times New Roman"/>
                <w:color w:val="auto"/>
                <w:szCs w:val="21"/>
                <w:lang w:val="en-US" w:eastAsia="zh-CN"/>
              </w:rPr>
              <w:t>0.016t/a</w:t>
            </w:r>
          </w:p>
        </w:tc>
        <w:tc>
          <w:tcPr>
            <w:tcW w:w="4848" w:type="dxa"/>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风量</w:t>
            </w:r>
            <w:r>
              <w:rPr>
                <w:rFonts w:hint="eastAsia" w:ascii="Times New Roman" w:hAnsi="Times New Roman" w:eastAsia="宋体"/>
                <w:color w:val="auto"/>
                <w:szCs w:val="21"/>
                <w:lang w:val="en-US" w:eastAsia="zh-CN"/>
              </w:rPr>
              <w:t>2</w:t>
            </w:r>
            <w:r>
              <w:rPr>
                <w:rFonts w:hint="eastAsia" w:ascii="Times New Roman" w:hAnsi="Times New Roman" w:eastAsia="宋体"/>
                <w:color w:val="auto"/>
                <w:szCs w:val="21"/>
              </w:rPr>
              <w:t>000m</w:t>
            </w:r>
            <w:r>
              <w:rPr>
                <w:rFonts w:hint="eastAsia" w:ascii="Times New Roman" w:hAnsi="Times New Roman" w:eastAsia="宋体"/>
                <w:color w:val="auto"/>
                <w:szCs w:val="21"/>
                <w:vertAlign w:val="superscript"/>
              </w:rPr>
              <w:t>3</w:t>
            </w:r>
            <w:r>
              <w:rPr>
                <w:rFonts w:hint="eastAsia" w:ascii="Times New Roman" w:hAnsi="Times New Roman" w:eastAsia="宋体"/>
                <w:color w:val="auto"/>
                <w:szCs w:val="21"/>
              </w:rPr>
              <w:t>/h，处理效率为75%的油烟净化器处理</w:t>
            </w:r>
          </w:p>
        </w:tc>
        <w:tc>
          <w:tcPr>
            <w:tcW w:w="2643" w:type="dxa"/>
            <w:gridSpan w:val="3"/>
            <w:vAlign w:val="center"/>
          </w:tcPr>
          <w:p>
            <w:pPr>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0.9375mg/m</w:t>
            </w:r>
            <w:r>
              <w:rPr>
                <w:rFonts w:hint="eastAsia" w:ascii="Times New Roman" w:hAnsi="Times New Roman" w:eastAsia="宋体"/>
                <w:color w:val="auto"/>
                <w:szCs w:val="21"/>
                <w:vertAlign w:val="superscript"/>
                <w:lang w:val="en-US" w:eastAsia="zh-CN"/>
              </w:rPr>
              <w:t>3</w:t>
            </w:r>
          </w:p>
          <w:p>
            <w:pPr>
              <w:jc w:val="center"/>
              <w:rPr>
                <w:rFonts w:hint="eastAsia"/>
                <w:color w:val="auto"/>
              </w:rPr>
            </w:pPr>
            <w:r>
              <w:rPr>
                <w:rFonts w:hint="eastAsia" w:ascii="Times New Roman" w:hAnsi="Times New Roman" w:cs="Times New Roman"/>
                <w:color w:val="auto"/>
                <w:szCs w:val="21"/>
                <w:lang w:val="en-US" w:eastAsia="zh-CN"/>
              </w:rPr>
              <w:t>0.004</w:t>
            </w:r>
            <w:r>
              <w:rPr>
                <w:rFonts w:hint="eastAsia" w:ascii="Times New Roman" w:hAnsi="Times New Roman" w:eastAsia="宋体"/>
                <w:color w:val="auto"/>
                <w:szCs w:val="21"/>
                <w:lang w:val="en-US" w:eastAsia="zh-CN"/>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dxa"/>
            <w:vMerge w:val="continue"/>
            <w:vAlign w:val="center"/>
          </w:tcPr>
          <w:p>
            <w:pPr>
              <w:jc w:val="center"/>
              <w:rPr>
                <w:rFonts w:hint="eastAsia" w:ascii="Times New Roman" w:hAnsi="Times New Roman" w:eastAsia="宋体"/>
                <w:color w:val="auto"/>
                <w:szCs w:val="21"/>
              </w:rPr>
            </w:pPr>
          </w:p>
        </w:tc>
        <w:tc>
          <w:tcPr>
            <w:tcW w:w="735" w:type="dxa"/>
            <w:vMerge w:val="restart"/>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固体废弃物</w:t>
            </w:r>
          </w:p>
        </w:tc>
        <w:tc>
          <w:tcPr>
            <w:tcW w:w="1097" w:type="dxa"/>
            <w:vMerge w:val="restart"/>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养殖区</w:t>
            </w:r>
          </w:p>
          <w:p>
            <w:pPr>
              <w:jc w:val="center"/>
              <w:rPr>
                <w:rFonts w:hint="eastAsia" w:ascii="Times New Roman" w:hAnsi="Times New Roman" w:eastAsia="宋体"/>
                <w:color w:val="auto"/>
                <w:szCs w:val="21"/>
                <w:lang w:eastAsia="zh-CN"/>
              </w:rPr>
            </w:pPr>
          </w:p>
        </w:tc>
        <w:tc>
          <w:tcPr>
            <w:tcW w:w="1625" w:type="dxa"/>
            <w:gridSpan w:val="2"/>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干粪</w:t>
            </w:r>
          </w:p>
        </w:tc>
        <w:tc>
          <w:tcPr>
            <w:tcW w:w="2815" w:type="dxa"/>
            <w:gridSpan w:val="2"/>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10950</w:t>
            </w:r>
            <w:r>
              <w:rPr>
                <w:rFonts w:hint="eastAsia" w:ascii="Times New Roman" w:hAnsi="Times New Roman" w:cs="Times New Roman"/>
                <w:color w:val="auto"/>
                <w:szCs w:val="21"/>
                <w:lang w:val="en-US" w:eastAsia="zh-CN"/>
              </w:rPr>
              <w:t>t/a</w:t>
            </w:r>
          </w:p>
        </w:tc>
        <w:tc>
          <w:tcPr>
            <w:tcW w:w="4848" w:type="dxa"/>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好氧堆肥</w:t>
            </w:r>
          </w:p>
        </w:tc>
        <w:tc>
          <w:tcPr>
            <w:tcW w:w="2643" w:type="dxa"/>
            <w:gridSpan w:val="3"/>
            <w:vMerge w:val="restart"/>
            <w:vAlign w:val="center"/>
          </w:tcPr>
          <w:p>
            <w:pPr>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dxa"/>
            <w:vMerge w:val="continue"/>
            <w:vAlign w:val="center"/>
          </w:tcPr>
          <w:p>
            <w:pPr>
              <w:jc w:val="center"/>
              <w:rPr>
                <w:rFonts w:hint="eastAsia" w:ascii="Times New Roman" w:hAnsi="Times New Roman" w:eastAsia="宋体"/>
                <w:color w:val="auto"/>
                <w:szCs w:val="21"/>
              </w:rPr>
            </w:pPr>
          </w:p>
        </w:tc>
        <w:tc>
          <w:tcPr>
            <w:tcW w:w="735" w:type="dxa"/>
            <w:vMerge w:val="continue"/>
            <w:vAlign w:val="center"/>
          </w:tcPr>
          <w:p>
            <w:pPr>
              <w:jc w:val="center"/>
              <w:rPr>
                <w:rFonts w:hint="eastAsia" w:ascii="Times New Roman" w:hAnsi="Times New Roman" w:eastAsia="宋体"/>
                <w:color w:val="auto"/>
                <w:szCs w:val="21"/>
              </w:rPr>
            </w:pPr>
          </w:p>
        </w:tc>
        <w:tc>
          <w:tcPr>
            <w:tcW w:w="1097" w:type="dxa"/>
            <w:vMerge w:val="continue"/>
            <w:vAlign w:val="center"/>
          </w:tcPr>
          <w:p>
            <w:pPr>
              <w:jc w:val="center"/>
              <w:rPr>
                <w:rFonts w:hint="eastAsia" w:ascii="Times New Roman" w:hAnsi="Times New Roman" w:eastAsia="宋体"/>
                <w:color w:val="auto"/>
                <w:szCs w:val="21"/>
              </w:rPr>
            </w:pPr>
          </w:p>
        </w:tc>
        <w:tc>
          <w:tcPr>
            <w:tcW w:w="1625" w:type="dxa"/>
            <w:gridSpan w:val="2"/>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病死猪</w:t>
            </w:r>
          </w:p>
        </w:tc>
        <w:tc>
          <w:tcPr>
            <w:tcW w:w="2815" w:type="dxa"/>
            <w:gridSpan w:val="2"/>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42</w:t>
            </w:r>
            <w:r>
              <w:rPr>
                <w:rFonts w:hint="eastAsia" w:ascii="Times New Roman" w:hAnsi="Times New Roman" w:cs="Times New Roman"/>
                <w:color w:val="auto"/>
                <w:szCs w:val="21"/>
                <w:lang w:val="en-US" w:eastAsia="zh-CN"/>
              </w:rPr>
              <w:t>t/a</w:t>
            </w:r>
          </w:p>
        </w:tc>
        <w:tc>
          <w:tcPr>
            <w:tcW w:w="4848" w:type="dxa"/>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场内化尸池无害化填埋</w:t>
            </w:r>
          </w:p>
        </w:tc>
        <w:tc>
          <w:tcPr>
            <w:tcW w:w="2643" w:type="dxa"/>
            <w:gridSpan w:val="3"/>
            <w:vMerge w:val="continue"/>
            <w:vAlign w:val="center"/>
          </w:tcPr>
          <w:p>
            <w:pPr>
              <w:jc w:val="center"/>
              <w:rPr>
                <w:rFonts w:hint="eastAsia"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dxa"/>
            <w:vMerge w:val="continue"/>
            <w:vAlign w:val="center"/>
          </w:tcPr>
          <w:p>
            <w:pPr>
              <w:jc w:val="center"/>
              <w:rPr>
                <w:rFonts w:hint="eastAsia" w:ascii="Times New Roman" w:hAnsi="Times New Roman" w:eastAsia="宋体"/>
                <w:color w:val="auto"/>
                <w:szCs w:val="21"/>
              </w:rPr>
            </w:pPr>
          </w:p>
        </w:tc>
        <w:tc>
          <w:tcPr>
            <w:tcW w:w="735" w:type="dxa"/>
            <w:vMerge w:val="continue"/>
            <w:vAlign w:val="center"/>
          </w:tcPr>
          <w:p>
            <w:pPr>
              <w:jc w:val="center"/>
              <w:rPr>
                <w:rFonts w:hint="eastAsia" w:ascii="Times New Roman" w:hAnsi="Times New Roman" w:eastAsia="宋体"/>
                <w:color w:val="auto"/>
                <w:szCs w:val="21"/>
              </w:rPr>
            </w:pPr>
          </w:p>
        </w:tc>
        <w:tc>
          <w:tcPr>
            <w:tcW w:w="1097" w:type="dxa"/>
            <w:vMerge w:val="restart"/>
            <w:vAlign w:val="center"/>
          </w:tcPr>
          <w:p>
            <w:pPr>
              <w:pStyle w:val="128"/>
              <w:spacing w:line="240" w:lineRule="auto"/>
              <w:ind w:firstLine="0" w:firstLineChars="0"/>
              <w:jc w:val="center"/>
              <w:rPr>
                <w:rFonts w:hint="eastAsia" w:ascii="Times New Roman" w:hAnsi="Times New Roman" w:eastAsia="宋体"/>
                <w:color w:val="auto"/>
                <w:szCs w:val="21"/>
                <w:lang w:eastAsia="zh-CN"/>
              </w:rPr>
            </w:pPr>
            <w:r>
              <w:rPr>
                <w:rFonts w:hint="default" w:ascii="Times New Roman" w:hAnsi="Times New Roman" w:eastAsia="宋体" w:cs="Times New Roman"/>
                <w:color w:val="auto"/>
                <w:kern w:val="2"/>
                <w:sz w:val="21"/>
                <w:szCs w:val="21"/>
                <w:highlight w:val="none"/>
                <w:lang w:val="en-US" w:eastAsia="zh-CN" w:bidi="ar-SA"/>
              </w:rPr>
              <w:t>生活区</w:t>
            </w:r>
          </w:p>
        </w:tc>
        <w:tc>
          <w:tcPr>
            <w:tcW w:w="1625" w:type="dxa"/>
            <w:gridSpan w:val="2"/>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生活垃圾</w:t>
            </w:r>
          </w:p>
        </w:tc>
        <w:tc>
          <w:tcPr>
            <w:tcW w:w="2815" w:type="dxa"/>
            <w:gridSpan w:val="2"/>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9.125</w:t>
            </w:r>
            <w:r>
              <w:rPr>
                <w:rFonts w:hint="eastAsia" w:ascii="Times New Roman" w:hAnsi="Times New Roman" w:cs="Times New Roman"/>
                <w:color w:val="auto"/>
                <w:szCs w:val="21"/>
                <w:lang w:val="en-US" w:eastAsia="zh-CN"/>
              </w:rPr>
              <w:t>t/a</w:t>
            </w:r>
          </w:p>
        </w:tc>
        <w:tc>
          <w:tcPr>
            <w:tcW w:w="4848" w:type="dxa"/>
            <w:vMerge w:val="restart"/>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收集后由村环卫部门清运至定点垃圾收集点再行转运处理中转站，由环卫部门统一清运</w:t>
            </w:r>
          </w:p>
        </w:tc>
        <w:tc>
          <w:tcPr>
            <w:tcW w:w="2643" w:type="dxa"/>
            <w:gridSpan w:val="3"/>
            <w:vAlign w:val="center"/>
          </w:tcPr>
          <w:p>
            <w:pPr>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dxa"/>
            <w:vMerge w:val="continue"/>
            <w:vAlign w:val="center"/>
          </w:tcPr>
          <w:p>
            <w:pPr>
              <w:jc w:val="center"/>
              <w:rPr>
                <w:rFonts w:hint="eastAsia" w:ascii="Times New Roman" w:hAnsi="Times New Roman" w:eastAsia="宋体"/>
                <w:color w:val="auto"/>
                <w:szCs w:val="21"/>
              </w:rPr>
            </w:pPr>
          </w:p>
        </w:tc>
        <w:tc>
          <w:tcPr>
            <w:tcW w:w="735" w:type="dxa"/>
            <w:vMerge w:val="continue"/>
            <w:vAlign w:val="center"/>
          </w:tcPr>
          <w:p>
            <w:pPr>
              <w:jc w:val="center"/>
              <w:rPr>
                <w:rFonts w:hint="eastAsia" w:ascii="Times New Roman" w:hAnsi="Times New Roman" w:eastAsia="宋体"/>
                <w:color w:val="auto"/>
                <w:szCs w:val="21"/>
              </w:rPr>
            </w:pPr>
          </w:p>
        </w:tc>
        <w:tc>
          <w:tcPr>
            <w:tcW w:w="1097" w:type="dxa"/>
            <w:vMerge w:val="continue"/>
            <w:vAlign w:val="center"/>
          </w:tcPr>
          <w:p>
            <w:pPr>
              <w:jc w:val="center"/>
              <w:rPr>
                <w:rFonts w:hint="eastAsia" w:ascii="Times New Roman" w:hAnsi="Times New Roman" w:eastAsia="宋体"/>
                <w:color w:val="auto"/>
                <w:szCs w:val="21"/>
                <w:lang w:eastAsia="zh-CN"/>
              </w:rPr>
            </w:pPr>
          </w:p>
        </w:tc>
        <w:tc>
          <w:tcPr>
            <w:tcW w:w="1625" w:type="dxa"/>
            <w:gridSpan w:val="2"/>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食堂废油脂</w:t>
            </w:r>
          </w:p>
        </w:tc>
        <w:tc>
          <w:tcPr>
            <w:tcW w:w="2815" w:type="dxa"/>
            <w:gridSpan w:val="2"/>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0.055</w:t>
            </w:r>
            <w:r>
              <w:rPr>
                <w:rFonts w:hint="eastAsia" w:ascii="Times New Roman" w:hAnsi="Times New Roman" w:cs="Times New Roman"/>
                <w:color w:val="auto"/>
                <w:szCs w:val="21"/>
                <w:lang w:val="en-US" w:eastAsia="zh-CN"/>
              </w:rPr>
              <w:t>t/a</w:t>
            </w:r>
          </w:p>
        </w:tc>
        <w:tc>
          <w:tcPr>
            <w:tcW w:w="4848" w:type="dxa"/>
            <w:vMerge w:val="continue"/>
            <w:vAlign w:val="center"/>
          </w:tcPr>
          <w:p>
            <w:pPr>
              <w:jc w:val="center"/>
              <w:rPr>
                <w:rFonts w:hint="eastAsia" w:ascii="Times New Roman" w:hAnsi="Times New Roman" w:eastAsia="宋体"/>
                <w:color w:val="auto"/>
                <w:szCs w:val="21"/>
              </w:rPr>
            </w:pPr>
          </w:p>
        </w:tc>
        <w:tc>
          <w:tcPr>
            <w:tcW w:w="2643" w:type="dxa"/>
            <w:gridSpan w:val="3"/>
            <w:vAlign w:val="center"/>
          </w:tcPr>
          <w:p>
            <w:pPr>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411" w:type="dxa"/>
            <w:vMerge w:val="continue"/>
            <w:vAlign w:val="center"/>
          </w:tcPr>
          <w:p>
            <w:pPr>
              <w:jc w:val="center"/>
              <w:rPr>
                <w:rFonts w:hint="eastAsia" w:ascii="Times New Roman" w:hAnsi="Times New Roman" w:eastAsia="宋体"/>
                <w:color w:val="auto"/>
                <w:szCs w:val="21"/>
              </w:rPr>
            </w:pPr>
          </w:p>
        </w:tc>
        <w:tc>
          <w:tcPr>
            <w:tcW w:w="735" w:type="dxa"/>
            <w:vMerge w:val="continue"/>
            <w:vAlign w:val="center"/>
          </w:tcPr>
          <w:p>
            <w:pPr>
              <w:jc w:val="center"/>
              <w:rPr>
                <w:rFonts w:hint="eastAsia" w:ascii="Times New Roman" w:hAnsi="Times New Roman" w:eastAsia="宋体"/>
                <w:color w:val="auto"/>
                <w:szCs w:val="21"/>
              </w:rPr>
            </w:pPr>
          </w:p>
        </w:tc>
        <w:tc>
          <w:tcPr>
            <w:tcW w:w="1097" w:type="dxa"/>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养殖区</w:t>
            </w:r>
          </w:p>
        </w:tc>
        <w:tc>
          <w:tcPr>
            <w:tcW w:w="1625" w:type="dxa"/>
            <w:gridSpan w:val="2"/>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废包装材料</w:t>
            </w:r>
          </w:p>
        </w:tc>
        <w:tc>
          <w:tcPr>
            <w:tcW w:w="2815" w:type="dxa"/>
            <w:gridSpan w:val="2"/>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5.0</w:t>
            </w:r>
            <w:r>
              <w:rPr>
                <w:rFonts w:hint="eastAsia" w:ascii="Times New Roman" w:hAnsi="Times New Roman" w:cs="Times New Roman"/>
                <w:color w:val="auto"/>
                <w:szCs w:val="21"/>
                <w:lang w:val="en-US" w:eastAsia="zh-CN"/>
              </w:rPr>
              <w:t>t/a</w:t>
            </w:r>
          </w:p>
        </w:tc>
        <w:tc>
          <w:tcPr>
            <w:tcW w:w="4848" w:type="dxa"/>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收集后外售废品回收站回收利用</w:t>
            </w:r>
          </w:p>
        </w:tc>
        <w:tc>
          <w:tcPr>
            <w:tcW w:w="2643" w:type="dxa"/>
            <w:gridSpan w:val="3"/>
            <w:vAlign w:val="center"/>
          </w:tcPr>
          <w:p>
            <w:pPr>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411" w:type="dxa"/>
            <w:vMerge w:val="continue"/>
            <w:vAlign w:val="center"/>
          </w:tcPr>
          <w:p>
            <w:pPr>
              <w:jc w:val="center"/>
              <w:rPr>
                <w:rFonts w:hint="eastAsia" w:ascii="Times New Roman" w:hAnsi="Times New Roman" w:eastAsia="宋体"/>
                <w:color w:val="auto"/>
                <w:szCs w:val="21"/>
              </w:rPr>
            </w:pPr>
          </w:p>
        </w:tc>
        <w:tc>
          <w:tcPr>
            <w:tcW w:w="735" w:type="dxa"/>
            <w:vMerge w:val="continue"/>
            <w:vAlign w:val="center"/>
          </w:tcPr>
          <w:p>
            <w:pPr>
              <w:jc w:val="center"/>
              <w:rPr>
                <w:rFonts w:hint="eastAsia" w:ascii="Times New Roman" w:hAnsi="Times New Roman" w:eastAsia="宋体"/>
                <w:color w:val="auto"/>
                <w:szCs w:val="21"/>
              </w:rPr>
            </w:pPr>
          </w:p>
        </w:tc>
        <w:tc>
          <w:tcPr>
            <w:tcW w:w="1097" w:type="dxa"/>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污水处理区</w:t>
            </w:r>
          </w:p>
        </w:tc>
        <w:tc>
          <w:tcPr>
            <w:tcW w:w="1625" w:type="dxa"/>
            <w:gridSpan w:val="2"/>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污泥</w:t>
            </w:r>
          </w:p>
        </w:tc>
        <w:tc>
          <w:tcPr>
            <w:tcW w:w="2815" w:type="dxa"/>
            <w:gridSpan w:val="2"/>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13.37</w:t>
            </w:r>
            <w:r>
              <w:rPr>
                <w:rFonts w:hint="eastAsia" w:ascii="Times New Roman" w:hAnsi="Times New Roman" w:cs="Times New Roman"/>
                <w:color w:val="auto"/>
                <w:szCs w:val="21"/>
                <w:lang w:val="en-US" w:eastAsia="zh-CN"/>
              </w:rPr>
              <w:t>t/a</w:t>
            </w:r>
          </w:p>
        </w:tc>
        <w:tc>
          <w:tcPr>
            <w:tcW w:w="4848" w:type="dxa"/>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好氧堆肥</w:t>
            </w:r>
          </w:p>
        </w:tc>
        <w:tc>
          <w:tcPr>
            <w:tcW w:w="2643" w:type="dxa"/>
            <w:gridSpan w:val="3"/>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dxa"/>
            <w:vMerge w:val="continue"/>
            <w:vAlign w:val="center"/>
          </w:tcPr>
          <w:p>
            <w:pPr>
              <w:jc w:val="center"/>
              <w:rPr>
                <w:rFonts w:hint="eastAsia" w:ascii="Times New Roman" w:hAnsi="Times New Roman" w:eastAsia="宋体"/>
                <w:color w:val="auto"/>
                <w:szCs w:val="21"/>
              </w:rPr>
            </w:pPr>
          </w:p>
        </w:tc>
        <w:tc>
          <w:tcPr>
            <w:tcW w:w="735" w:type="dxa"/>
            <w:vMerge w:val="continue"/>
            <w:vAlign w:val="center"/>
          </w:tcPr>
          <w:p>
            <w:pPr>
              <w:jc w:val="center"/>
              <w:rPr>
                <w:rFonts w:hint="eastAsia" w:ascii="Times New Roman" w:hAnsi="Times New Roman" w:eastAsia="宋体"/>
                <w:color w:val="auto"/>
                <w:szCs w:val="21"/>
              </w:rPr>
            </w:pPr>
          </w:p>
        </w:tc>
        <w:tc>
          <w:tcPr>
            <w:tcW w:w="1097" w:type="dxa"/>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养殖区</w:t>
            </w:r>
          </w:p>
        </w:tc>
        <w:tc>
          <w:tcPr>
            <w:tcW w:w="1625" w:type="dxa"/>
            <w:gridSpan w:val="2"/>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医疗废物</w:t>
            </w:r>
          </w:p>
        </w:tc>
        <w:tc>
          <w:tcPr>
            <w:tcW w:w="2815" w:type="dxa"/>
            <w:gridSpan w:val="2"/>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0.075</w:t>
            </w:r>
          </w:p>
        </w:tc>
        <w:tc>
          <w:tcPr>
            <w:tcW w:w="4848" w:type="dxa"/>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交有资质单位处置</w:t>
            </w:r>
          </w:p>
        </w:tc>
        <w:tc>
          <w:tcPr>
            <w:tcW w:w="2643" w:type="dxa"/>
            <w:gridSpan w:val="3"/>
            <w:vAlign w:val="center"/>
          </w:tcPr>
          <w:p>
            <w:pPr>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 w:type="dxa"/>
            <w:vMerge w:val="continue"/>
            <w:vAlign w:val="center"/>
          </w:tcPr>
          <w:p>
            <w:pPr>
              <w:jc w:val="center"/>
              <w:rPr>
                <w:rFonts w:hint="eastAsia" w:ascii="Times New Roman" w:hAnsi="Times New Roman" w:eastAsia="宋体"/>
                <w:color w:val="auto"/>
                <w:szCs w:val="21"/>
              </w:rPr>
            </w:pPr>
          </w:p>
        </w:tc>
        <w:tc>
          <w:tcPr>
            <w:tcW w:w="735" w:type="dxa"/>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噪声</w:t>
            </w:r>
          </w:p>
        </w:tc>
        <w:tc>
          <w:tcPr>
            <w:tcW w:w="2722" w:type="dxa"/>
            <w:gridSpan w:val="3"/>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猪叫声、风机、机械设备等</w:t>
            </w:r>
          </w:p>
        </w:tc>
        <w:tc>
          <w:tcPr>
            <w:tcW w:w="2815" w:type="dxa"/>
            <w:gridSpan w:val="2"/>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70～90dB（A）</w:t>
            </w:r>
          </w:p>
        </w:tc>
        <w:tc>
          <w:tcPr>
            <w:tcW w:w="4848" w:type="dxa"/>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选用低噪声设备，加隔震垫，加强管理和绿化等措施</w:t>
            </w:r>
          </w:p>
        </w:tc>
        <w:tc>
          <w:tcPr>
            <w:tcW w:w="2643" w:type="dxa"/>
            <w:gridSpan w:val="3"/>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厂界达标排放</w:t>
            </w:r>
          </w:p>
        </w:tc>
      </w:tr>
    </w:tbl>
    <w:p>
      <w:pPr>
        <w:pageBreakBefore w:val="0"/>
        <w:widowControl w:val="0"/>
        <w:kinsoku/>
        <w:wordWrap/>
        <w:overflowPunct/>
        <w:topLinePunct w:val="0"/>
        <w:autoSpaceDE/>
        <w:autoSpaceDN/>
        <w:bidi w:val="0"/>
        <w:adjustRightInd w:val="0"/>
        <w:snapToGrid w:val="0"/>
        <w:spacing w:line="360" w:lineRule="auto"/>
        <w:textAlignment w:val="auto"/>
        <w:rPr>
          <w:rFonts w:hint="eastAsia" w:ascii="Times New Roman" w:hAnsi="Times New Roman" w:eastAsia="宋体" w:cs="Times New Roman"/>
          <w:color w:val="auto"/>
          <w:sz w:val="24"/>
          <w:szCs w:val="24"/>
        </w:rPr>
      </w:pPr>
    </w:p>
    <w:p>
      <w:pPr>
        <w:rPr>
          <w:rFonts w:hint="eastAsia"/>
          <w:color w:val="auto"/>
        </w:rPr>
        <w:sectPr>
          <w:pgSz w:w="16838" w:h="11906" w:orient="landscape"/>
          <w:pgMar w:top="1451" w:right="1440" w:bottom="1451" w:left="1440" w:header="851" w:footer="992" w:gutter="0"/>
          <w:pgBorders>
            <w:top w:val="none" w:sz="0" w:space="0"/>
            <w:left w:val="none" w:sz="0" w:space="0"/>
            <w:bottom w:val="none" w:sz="0" w:space="0"/>
            <w:right w:val="none" w:sz="0" w:space="0"/>
          </w:pgBorders>
          <w:pgNumType w:fmt="decimal"/>
          <w:cols w:space="0" w:num="1"/>
          <w:rtlGutter w:val="0"/>
          <w:docGrid w:type="lines" w:linePitch="321" w:charSpace="0"/>
        </w:sectPr>
      </w:pPr>
    </w:p>
    <w:p>
      <w:pPr>
        <w:pStyle w:val="5"/>
        <w:adjustRightInd w:val="0"/>
        <w:snapToGrid w:val="0"/>
        <w:spacing w:before="0" w:after="0" w:line="360" w:lineRule="auto"/>
        <w:rPr>
          <w:rFonts w:hint="eastAsia" w:ascii="Times New Roman" w:hAnsi="Times New Roman" w:eastAsia="宋体"/>
          <w:color w:val="auto"/>
          <w:sz w:val="30"/>
          <w:szCs w:val="30"/>
          <w:lang w:eastAsia="zh-CN"/>
        </w:rPr>
      </w:pPr>
      <w:bookmarkStart w:id="135" w:name="_Toc27580"/>
      <w:r>
        <w:rPr>
          <w:rFonts w:hint="eastAsia" w:ascii="Times New Roman" w:hAnsi="Times New Roman" w:eastAsia="宋体"/>
          <w:color w:val="auto"/>
          <w:sz w:val="30"/>
          <w:szCs w:val="30"/>
        </w:rPr>
        <w:t>3.7</w:t>
      </w:r>
      <w:bookmarkEnd w:id="129"/>
      <w:bookmarkEnd w:id="130"/>
      <w:r>
        <w:rPr>
          <w:rFonts w:hint="eastAsia" w:ascii="Times New Roman" w:hAnsi="Times New Roman" w:eastAsia="宋体"/>
          <w:color w:val="auto"/>
          <w:sz w:val="30"/>
          <w:szCs w:val="30"/>
          <w:lang w:eastAsia="zh-CN"/>
        </w:rPr>
        <w:t>清洁生产简要分析</w:t>
      </w:r>
      <w:bookmarkEnd w:id="135"/>
    </w:p>
    <w:p>
      <w:pPr>
        <w:pStyle w:val="6"/>
        <w:adjustRightInd w:val="0"/>
        <w:snapToGrid w:val="0"/>
        <w:spacing w:before="0" w:after="0" w:line="360" w:lineRule="auto"/>
        <w:rPr>
          <w:rFonts w:hint="eastAsia" w:ascii="Times New Roman" w:hAnsi="Times New Roman" w:eastAsia="宋体"/>
          <w:color w:val="auto"/>
          <w:lang w:eastAsia="zh-CN"/>
        </w:rPr>
      </w:pPr>
      <w:r>
        <w:rPr>
          <w:rFonts w:hint="eastAsia" w:ascii="Times New Roman" w:hAnsi="Times New Roman" w:eastAsia="宋体"/>
          <w:bCs w:val="0"/>
          <w:color w:val="auto"/>
          <w:kern w:val="0"/>
          <w:sz w:val="28"/>
          <w:szCs w:val="28"/>
        </w:rPr>
        <w:t>3.</w:t>
      </w:r>
      <w:r>
        <w:rPr>
          <w:rFonts w:hint="eastAsia" w:ascii="Times New Roman" w:hAnsi="Times New Roman" w:eastAsia="宋体"/>
          <w:bCs w:val="0"/>
          <w:color w:val="auto"/>
          <w:kern w:val="0"/>
          <w:sz w:val="28"/>
          <w:szCs w:val="28"/>
          <w:lang w:val="en-US" w:eastAsia="zh-CN"/>
        </w:rPr>
        <w:t>7.1清洁生产分析</w:t>
      </w:r>
    </w:p>
    <w:p>
      <w:pPr>
        <w:adjustRightInd w:val="0"/>
        <w:snapToGrid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循环经济是指以资源节约和循环利用为特征的经济形态，也可称为资源循环型经济。大力发展循环经济可以从根本上改变我国资源过度消耗和环境污染严重的局面，是我国实现可持续发展战略的必然选择。循环经济是相对于传统经济而言的。传统经济是以“资源—产品—废物—污染物排放”单向流动为基本特征的线性经济发展模式，表现为“两高一低”，即高消耗、低利用、高污染，是不能持续发展的模式。而循环经济是以“资源—产品—再生资源—产品”为特征的经济发展模式，表现为“两低两高”，即低消耗、低污染、高利用率和高循环率，使物质资源得到充分合理的利用，把经济活动对自然环境的影响降低到尽可能小的程度，是符合可持续发展原则的经济发展模式。</w:t>
      </w:r>
    </w:p>
    <w:p>
      <w:pPr>
        <w:adjustRightInd w:val="0"/>
        <w:snapToGrid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循环经济要求经济活动操作原则以“3R”为准则，即“减量化（Reduce），减少进入生产和消费过程的物质量，从源头节约资源使用和减少污染物排放”；“再利用（Reuse），提高产品和服务的利用效率，产品和包装容器以初始形式多次使用，减少一次用品的污染”；“再循环（Recycle），即要求物品完成使用功能后能够重新变成再生资源”。循环经济的主要特征是废物的“减量化、资源化和无害化”。首先在生产和生活的全过程中讲求资源的节约和有效利用，以减少资源的投入，实现废物的减量化；其次是对生产和消费产生的废物进行综合利用，体现回收再使用和循环再生的废物进行综合利用，体现回收再使用和循环利用的原则，达到废物的资源化；三是对不能循环再生的废物进行无害化处理，使其不对环境带来污染。总之，发展循环经济，可以解决经济与环境之间长期存在的矛盾，达到经济与环境的双赢。</w:t>
      </w:r>
    </w:p>
    <w:p>
      <w:pPr>
        <w:adjustRightInd w:val="0"/>
        <w:snapToGrid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发展循环经济的基本途径包括推行清洁生产、综合利用资源、建设生态养殖区，开展再生资源回收利用、发展绿色产业和促进绿色消费消费等方面。对该</w:t>
      </w:r>
      <w:r>
        <w:rPr>
          <w:rFonts w:hint="eastAsia" w:ascii="Times New Roman" w:hAnsi="Times New Roman" w:eastAsia="宋体" w:cs="Times New Roman"/>
          <w:color w:val="auto"/>
          <w:sz w:val="24"/>
          <w:szCs w:val="24"/>
          <w:lang w:eastAsia="zh-CN"/>
        </w:rPr>
        <w:t>本项目</w:t>
      </w:r>
      <w:r>
        <w:rPr>
          <w:rFonts w:hint="eastAsia" w:ascii="Times New Roman" w:hAnsi="Times New Roman" w:eastAsia="宋体" w:cs="Times New Roman"/>
          <w:color w:val="auto"/>
          <w:sz w:val="24"/>
          <w:szCs w:val="24"/>
        </w:rPr>
        <w:t>而言，循环经济主要体现在养殖基地与养殖农户内部的废物综合利用及基地实行清洁生产下的“减污化、资源化和无害化”。即对外表现为废物综合利用，对内表现在村内部通过推行清洁生产，减少生产和服务中物料和能源使用量，实现废物排放的最小化。</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rPr>
        <w:t>清洁生产是从生产和消费的全过程考虑，是一种新的污染防治战略，就是用清洁的原材料和能源，通过运用清洁的工业设备、无污染或少污染的生产技术，通过科学严格的管理，生产清洁的产品。该项目是用饲料喂养猪，产品为</w:t>
      </w:r>
      <w:r>
        <w:rPr>
          <w:rFonts w:hint="eastAsia" w:ascii="Times New Roman" w:hAnsi="Times New Roman" w:eastAsia="宋体" w:cs="Times New Roman"/>
          <w:color w:val="auto"/>
          <w:sz w:val="24"/>
          <w:szCs w:val="24"/>
          <w:lang w:eastAsia="zh-CN"/>
        </w:rPr>
        <w:t>育肥猪</w:t>
      </w:r>
      <w:r>
        <w:rPr>
          <w:rFonts w:hint="eastAsia" w:ascii="Times New Roman" w:hAnsi="Times New Roman" w:eastAsia="宋体" w:cs="Times New Roman"/>
          <w:color w:val="auto"/>
          <w:sz w:val="24"/>
          <w:szCs w:val="24"/>
        </w:rPr>
        <w:t>，充分体现了清洁生产的原则。根据调查，该企业清洁生产水平达到国内先进生产水平。下面从生产工艺与设备水平、物料及消耗水平、污染物排放量、污染物排放总量控制分析等几个方面对养殖基地清洁生产水平给予分析</w:t>
      </w:r>
      <w:r>
        <w:rPr>
          <w:rFonts w:hint="eastAsia" w:ascii="Times New Roman" w:hAnsi="Times New Roman" w:eastAsia="宋体" w:cs="Times New Roman"/>
          <w:color w:val="auto"/>
          <w:sz w:val="24"/>
          <w:szCs w:val="24"/>
          <w:lang w:eastAsia="zh-CN"/>
        </w:rPr>
        <w:t>。</w:t>
      </w:r>
    </w:p>
    <w:p>
      <w:pPr>
        <w:adjustRightInd w:val="0"/>
        <w:snapToGrid w:val="0"/>
        <w:spacing w:line="360" w:lineRule="auto"/>
        <w:ind w:firstLine="482" w:firstLineChars="200"/>
        <w:rPr>
          <w:rFonts w:hint="eastAsia"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（1）资源利用指标</w:t>
      </w:r>
    </w:p>
    <w:p>
      <w:pPr>
        <w:adjustRightInd w:val="0"/>
        <w:snapToGrid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能源和资源的消耗水平是反映一个企业清洁生产和企业生产、经营水平好坏的标志，清洁生产除强调“预防”外，还体现两层含义：可持续性和防止污染转移，可持续发展原则是将资源的持续利用和环境承载力作为重点，要求提高资源利用率，降低能耗，因此在生产过程中，要节约原材料和能源，减少降低所有废弃物的数量和毒性。</w:t>
      </w:r>
    </w:p>
    <w:p>
      <w:pPr>
        <w:adjustRightInd w:val="0"/>
        <w:snapToGrid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该项目建成后主要物料消耗包括水、电及喂养饲料，水和电均为清洁能源，喂养所用饲料是加工好的饲料，也属于清洁饲料，因此可保证生产的生猪是无公害产品。</w:t>
      </w:r>
    </w:p>
    <w:p>
      <w:pPr>
        <w:adjustRightInd w:val="0"/>
        <w:snapToGrid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该项目采用的是</w:t>
      </w:r>
      <w:r>
        <w:rPr>
          <w:rFonts w:hint="eastAsia" w:ascii="Times New Roman" w:hAnsi="Times New Roman" w:eastAsia="宋体" w:cs="Times New Roman"/>
          <w:color w:val="auto"/>
          <w:sz w:val="24"/>
          <w:szCs w:val="24"/>
          <w:lang w:eastAsia="zh-CN"/>
        </w:rPr>
        <w:t>重力式干清粪</w:t>
      </w:r>
      <w:r>
        <w:rPr>
          <w:rFonts w:hint="eastAsia" w:ascii="Times New Roman" w:hAnsi="Times New Roman" w:eastAsia="宋体" w:cs="Times New Roman"/>
          <w:color w:val="auto"/>
          <w:sz w:val="24"/>
          <w:szCs w:val="24"/>
        </w:rPr>
        <w:t>工艺，比水冲工艺用水量（平均每天2.5～3.5m</w:t>
      </w:r>
      <w:r>
        <w:rPr>
          <w:rFonts w:hint="eastAsia" w:ascii="Times New Roman" w:hAnsi="Times New Roman" w:eastAsia="宋体" w:cs="Times New Roman"/>
          <w:color w:val="auto"/>
          <w:sz w:val="24"/>
          <w:szCs w:val="24"/>
          <w:vertAlign w:val="superscript"/>
        </w:rPr>
        <w:t>3</w:t>
      </w:r>
      <w:r>
        <w:rPr>
          <w:rFonts w:hint="eastAsia" w:ascii="Times New Roman" w:hAnsi="Times New Roman" w:eastAsia="宋体" w:cs="Times New Roman"/>
          <w:color w:val="auto"/>
          <w:sz w:val="24"/>
          <w:szCs w:val="24"/>
        </w:rPr>
        <w:t>）减少很多，不仅节约了水资源，同时还减少了污水的排放量，减少粪污清理过程中的劳动力投入，从源头上对污染物的产生量进行了控制，充分体现了清洁生产的原则。</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2</w:t>
      </w:r>
      <w:r>
        <w:rPr>
          <w:rFonts w:hint="eastAsia" w:ascii="Times New Roman" w:hAnsi="Times New Roman" w:eastAsia="宋体" w:cs="Times New Roman"/>
          <w:color w:val="auto"/>
          <w:sz w:val="24"/>
          <w:szCs w:val="24"/>
          <w:lang w:eastAsia="zh-CN"/>
        </w:rPr>
        <w:t>）生产工艺与装备要求</w:t>
      </w:r>
    </w:p>
    <w:p>
      <w:pPr>
        <w:adjustRightInd w:val="0"/>
        <w:snapToGrid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实行“全进全出”、“单元化保育”、“单元化育肥”清洁化生产，健康型养殖。参照中华人民共和国农业行业标准《生猪饲养兽医防疫准则》等系列标准要求，生产过程实施清洗、喷雾消毒，降低养猪车间有害微生物菌落密度，减少疾病发生，提高猪群健康水平。该项目清粪采用干清粪工艺，具有以下特点：</w:t>
      </w:r>
    </w:p>
    <w:p>
      <w:pPr>
        <w:numPr>
          <w:ilvl w:val="0"/>
          <w:numId w:val="17"/>
        </w:numPr>
        <w:adjustRightInd w:val="0"/>
        <w:snapToGrid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免于清扫猪粪，节约劳动力，减少一线工人在猪舍的工作量，提高了工作效率（工作效率是传统养猪的</w:t>
      </w:r>
      <w:r>
        <w:rPr>
          <w:rFonts w:hint="eastAsia" w:ascii="Times New Roman" w:hAnsi="Times New Roman" w:eastAsia="宋体" w:cs="Times New Roman"/>
          <w:color w:val="auto"/>
          <w:sz w:val="24"/>
          <w:szCs w:val="24"/>
          <w:lang w:val="en-US" w:eastAsia="zh-CN"/>
        </w:rPr>
        <w:t>6</w:t>
      </w:r>
      <w:r>
        <w:rPr>
          <w:rFonts w:hint="eastAsia" w:ascii="Times New Roman" w:hAnsi="Times New Roman" w:eastAsia="宋体" w:cs="Times New Roman"/>
          <w:color w:val="auto"/>
          <w:sz w:val="24"/>
          <w:szCs w:val="24"/>
        </w:rPr>
        <w:t>倍），有利于养猪工人的身心健康。</w:t>
      </w:r>
    </w:p>
    <w:p>
      <w:pPr>
        <w:numPr>
          <w:ilvl w:val="0"/>
          <w:numId w:val="17"/>
        </w:numPr>
        <w:adjustRightInd w:val="0"/>
        <w:snapToGrid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减少了工人对猪的干扰，有利于猪的健康和生产。</w:t>
      </w:r>
    </w:p>
    <w:p>
      <w:pPr>
        <w:numPr>
          <w:ilvl w:val="0"/>
          <w:numId w:val="17"/>
        </w:numPr>
        <w:adjustRightInd w:val="0"/>
        <w:snapToGrid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由于猪舍产生的猪粪、猪尿不用水冲洗，而可以通过全漏缝板自行落下，因此大大降低了污水量的产生，节约用水70%以上。</w:t>
      </w:r>
    </w:p>
    <w:p>
      <w:pPr>
        <w:numPr>
          <w:ilvl w:val="0"/>
          <w:numId w:val="17"/>
        </w:numPr>
        <w:adjustRightInd w:val="0"/>
        <w:snapToGrid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能定时、有效地清除畜舍内的粪便，减少粪污清理过程中的劳动力投入，提高养殖场自动化管理水平猪舍废水的收集。</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rPr>
        <w:t>本项目采用的干清粪工艺与</w:t>
      </w:r>
      <w:r>
        <w:rPr>
          <w:rFonts w:hint="eastAsia" w:ascii="Times New Roman" w:hAnsi="Times New Roman" w:eastAsia="宋体" w:cs="Times New Roman"/>
          <w:color w:val="auto"/>
          <w:sz w:val="24"/>
          <w:szCs w:val="24"/>
          <w:lang w:eastAsia="zh-CN"/>
        </w:rPr>
        <w:t>水冲粪</w:t>
      </w:r>
      <w:r>
        <w:rPr>
          <w:rFonts w:hint="eastAsia" w:ascii="Times New Roman" w:hAnsi="Times New Roman" w:eastAsia="宋体" w:cs="Times New Roman"/>
          <w:color w:val="auto"/>
          <w:sz w:val="24"/>
          <w:szCs w:val="24"/>
        </w:rPr>
        <w:t>工艺相关指标对比结果如下表所示</w:t>
      </w:r>
      <w:r>
        <w:rPr>
          <w:rFonts w:hint="eastAsia" w:ascii="Times New Roman" w:hAnsi="Times New Roman" w:eastAsia="宋体" w:cs="Times New Roman"/>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422" w:firstLineChars="200"/>
        <w:jc w:val="center"/>
        <w:textAlignment w:val="auto"/>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表</w:t>
      </w:r>
      <w:r>
        <w:rPr>
          <w:rFonts w:hint="eastAsia" w:ascii="Times New Roman" w:hAnsi="Times New Roman" w:eastAsia="宋体" w:cs="Times New Roman"/>
          <w:b/>
          <w:color w:val="auto"/>
          <w:sz w:val="21"/>
          <w:szCs w:val="21"/>
        </w:rPr>
        <w:t>3.</w:t>
      </w:r>
      <w:r>
        <w:rPr>
          <w:rFonts w:hint="eastAsia" w:ascii="Times New Roman" w:hAnsi="Times New Roman" w:eastAsia="宋体" w:cs="Times New Roman"/>
          <w:b/>
          <w:color w:val="auto"/>
          <w:sz w:val="21"/>
          <w:szCs w:val="21"/>
          <w:lang w:val="en-US" w:eastAsia="zh-CN"/>
        </w:rPr>
        <w:t>7</w:t>
      </w:r>
      <w:r>
        <w:rPr>
          <w:rFonts w:ascii="Times New Roman" w:hAnsi="Times New Roman" w:eastAsia="宋体" w:cs="Times New Roman"/>
          <w:b/>
          <w:color w:val="auto"/>
          <w:sz w:val="21"/>
          <w:szCs w:val="21"/>
        </w:rPr>
        <w:t>-</w:t>
      </w:r>
      <w:r>
        <w:rPr>
          <w:rFonts w:hint="eastAsia" w:ascii="Times New Roman" w:hAnsi="Times New Roman" w:eastAsia="宋体" w:cs="Times New Roman"/>
          <w:b/>
          <w:color w:val="auto"/>
          <w:sz w:val="21"/>
          <w:szCs w:val="21"/>
        </w:rPr>
        <w:t>1</w:t>
      </w:r>
      <w:r>
        <w:rPr>
          <w:rFonts w:hint="eastAsia" w:ascii="Times New Roman" w:hAnsi="Times New Roman" w:eastAsia="宋体" w:cs="Times New Roman"/>
          <w:b/>
          <w:color w:val="auto"/>
          <w:sz w:val="21"/>
          <w:szCs w:val="21"/>
          <w:lang w:val="en-US" w:eastAsia="zh-CN"/>
        </w:rPr>
        <w:t xml:space="preserve">  </w:t>
      </w:r>
      <w:r>
        <w:rPr>
          <w:rFonts w:hint="eastAsia" w:ascii="Times New Roman" w:hAnsi="Times New Roman" w:eastAsia="宋体" w:cs="Times New Roman"/>
          <w:b/>
          <w:color w:val="auto"/>
          <w:sz w:val="21"/>
          <w:szCs w:val="21"/>
        </w:rPr>
        <w:t>清粪工艺相关指标对比</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1"/>
        <w:gridCol w:w="4185"/>
        <w:gridCol w:w="3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1" w:type="dxa"/>
            <w:vAlign w:val="center"/>
          </w:tcPr>
          <w:p>
            <w:pPr>
              <w:jc w:val="center"/>
              <w:rPr>
                <w:rFonts w:hint="eastAsia" w:ascii="Times New Roman" w:hAnsi="Times New Roman" w:eastAsia="宋体"/>
                <w:b/>
                <w:bCs/>
                <w:color w:val="auto"/>
                <w:szCs w:val="21"/>
                <w:lang w:eastAsia="zh-CN"/>
              </w:rPr>
            </w:pPr>
            <w:r>
              <w:rPr>
                <w:rFonts w:hint="eastAsia" w:ascii="Times New Roman" w:hAnsi="Times New Roman" w:eastAsia="宋体"/>
                <w:b/>
                <w:bCs/>
                <w:color w:val="auto"/>
                <w:szCs w:val="21"/>
                <w:lang w:eastAsia="zh-CN"/>
              </w:rPr>
              <w:t>指标</w:t>
            </w:r>
          </w:p>
        </w:tc>
        <w:tc>
          <w:tcPr>
            <w:tcW w:w="4185" w:type="dxa"/>
            <w:vAlign w:val="center"/>
          </w:tcPr>
          <w:p>
            <w:pPr>
              <w:jc w:val="center"/>
              <w:rPr>
                <w:rFonts w:hint="eastAsia" w:ascii="Times New Roman" w:hAnsi="Times New Roman" w:eastAsia="宋体"/>
                <w:b/>
                <w:bCs/>
                <w:color w:val="auto"/>
                <w:szCs w:val="21"/>
                <w:lang w:eastAsia="zh-CN"/>
              </w:rPr>
            </w:pPr>
            <w:r>
              <w:rPr>
                <w:rFonts w:hint="eastAsia" w:ascii="Times New Roman" w:hAnsi="Times New Roman" w:eastAsia="宋体"/>
                <w:b/>
                <w:bCs/>
                <w:color w:val="auto"/>
                <w:szCs w:val="21"/>
                <w:lang w:eastAsia="zh-CN"/>
              </w:rPr>
              <w:t>干清粪</w:t>
            </w:r>
          </w:p>
        </w:tc>
        <w:tc>
          <w:tcPr>
            <w:tcW w:w="3844" w:type="dxa"/>
            <w:vAlign w:val="center"/>
          </w:tcPr>
          <w:p>
            <w:pPr>
              <w:jc w:val="center"/>
              <w:rPr>
                <w:rFonts w:hint="eastAsia" w:ascii="Times New Roman" w:hAnsi="Times New Roman" w:eastAsia="宋体"/>
                <w:b/>
                <w:bCs/>
                <w:color w:val="auto"/>
                <w:szCs w:val="21"/>
                <w:lang w:eastAsia="zh-CN"/>
              </w:rPr>
            </w:pPr>
            <w:r>
              <w:rPr>
                <w:rFonts w:hint="eastAsia" w:ascii="Times New Roman" w:hAnsi="Times New Roman" w:eastAsia="宋体"/>
                <w:b/>
                <w:bCs/>
                <w:color w:val="auto"/>
                <w:szCs w:val="21"/>
                <w:lang w:eastAsia="zh-CN"/>
              </w:rPr>
              <w:t>水冲粪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1" w:type="dxa"/>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工艺说明</w:t>
            </w:r>
          </w:p>
        </w:tc>
        <w:tc>
          <w:tcPr>
            <w:tcW w:w="4185" w:type="dxa"/>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干清粪工艺的主要方法是，粪便一经产生便分流，干粪由机械或人工收集、清扫、运走，尿及冲洗水则从下水道流出，分别进行处理。设备简单，不用电力，一次性投资少，还可以做到粪尿分离，便于后面的粪尿处理。</w:t>
            </w:r>
          </w:p>
        </w:tc>
        <w:tc>
          <w:tcPr>
            <w:tcW w:w="3844" w:type="dxa"/>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及时、有效地清除畜舍内的粪便、尿液，保持畜舍环境卫生。水冲粪的方法是粪尿污水混合进入缝隙地板下的粪沟，每天数次从沟端的水喷头放水冲洗。粪水顺粪沟流入粪便主干沟，进入地下贮粪池或用泵抽吸到地面贮粪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1" w:type="dxa"/>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优点</w:t>
            </w:r>
          </w:p>
        </w:tc>
        <w:tc>
          <w:tcPr>
            <w:tcW w:w="4185" w:type="dxa"/>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干清粪工艺固态粪污含水量低，粪中营养成分损失小，肥料价值高，便于高温堆肥或其他方式的处理利用。自动化程度高</w:t>
            </w:r>
          </w:p>
        </w:tc>
        <w:tc>
          <w:tcPr>
            <w:tcW w:w="3844" w:type="dxa"/>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冲粪方式可保持猪舍内的环境清洁，有利于动物健康。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1" w:type="dxa"/>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缺点</w:t>
            </w:r>
          </w:p>
        </w:tc>
        <w:tc>
          <w:tcPr>
            <w:tcW w:w="4185" w:type="dxa"/>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缺点是一次性投资较大，还要花费一定的运行维护费用，</w:t>
            </w:r>
          </w:p>
        </w:tc>
        <w:tc>
          <w:tcPr>
            <w:tcW w:w="3844" w:type="dxa"/>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耗水量大，一个万头养猪场每天需消耗大量的水（200~250m</w:t>
            </w:r>
            <w:r>
              <w:rPr>
                <w:rFonts w:hint="eastAsia" w:ascii="Times New Roman" w:hAnsi="Times New Roman" w:eastAsia="宋体"/>
                <w:color w:val="auto"/>
                <w:szCs w:val="21"/>
                <w:vertAlign w:val="superscript"/>
              </w:rPr>
              <w:t>3</w:t>
            </w:r>
            <w:r>
              <w:rPr>
                <w:rFonts w:hint="eastAsia" w:ascii="Times New Roman" w:hAnsi="Times New Roman" w:eastAsia="宋体"/>
                <w:color w:val="auto"/>
                <w:szCs w:val="21"/>
              </w:rPr>
              <w:t>）来冲洗猪舍的粪便，污染物浓度高</w:t>
            </w:r>
          </w:p>
        </w:tc>
      </w:tr>
    </w:tbl>
    <w:p>
      <w:pPr>
        <w:adjustRightInd w:val="0"/>
        <w:snapToGrid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综上所示，本项目所采取的干清粪工艺在废水产生方便较为先进，同时结合项目所在地的实际情况，更有利于项目的日常生产。</w:t>
      </w:r>
    </w:p>
    <w:p>
      <w:pPr>
        <w:adjustRightInd w:val="0"/>
        <w:snapToGrid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同时本项目的主要设备包括猪舍内配置的自动喂料机、饮水器、环控设备等设备，所有这些设备是传统的圈养工艺没有的，是目前集约化养殖较为先进的设备</w:t>
      </w:r>
    </w:p>
    <w:p>
      <w:pPr>
        <w:adjustRightInd w:val="0"/>
        <w:snapToGrid w:val="0"/>
        <w:spacing w:line="360" w:lineRule="auto"/>
        <w:ind w:firstLine="482" w:firstLineChars="200"/>
        <w:rPr>
          <w:rFonts w:hint="eastAsia" w:ascii="Times New Roman" w:hAnsi="Times New Roman" w:eastAsia="宋体" w:cs="Times New Roman"/>
          <w:b/>
          <w:bCs/>
          <w:color w:val="auto"/>
          <w:sz w:val="24"/>
          <w:szCs w:val="24"/>
          <w:lang w:eastAsia="zh-CN"/>
        </w:rPr>
      </w:pPr>
      <w:r>
        <w:rPr>
          <w:rFonts w:hint="eastAsia" w:ascii="Times New Roman" w:hAnsi="Times New Roman" w:eastAsia="宋体" w:cs="Times New Roman"/>
          <w:b/>
          <w:bCs/>
          <w:color w:val="auto"/>
          <w:sz w:val="24"/>
          <w:szCs w:val="24"/>
          <w:lang w:eastAsia="zh-CN"/>
        </w:rPr>
        <w:t>（</w:t>
      </w:r>
      <w:r>
        <w:rPr>
          <w:rFonts w:hint="eastAsia" w:ascii="Times New Roman" w:hAnsi="Times New Roman" w:eastAsia="宋体" w:cs="Times New Roman"/>
          <w:b/>
          <w:bCs/>
          <w:color w:val="auto"/>
          <w:sz w:val="24"/>
          <w:szCs w:val="24"/>
          <w:lang w:val="en-US" w:eastAsia="zh-CN"/>
        </w:rPr>
        <w:t>3</w:t>
      </w:r>
      <w:r>
        <w:rPr>
          <w:rFonts w:hint="eastAsia" w:ascii="Times New Roman" w:hAnsi="Times New Roman" w:eastAsia="宋体" w:cs="Times New Roman"/>
          <w:b/>
          <w:bCs/>
          <w:color w:val="auto"/>
          <w:sz w:val="24"/>
          <w:szCs w:val="24"/>
          <w:lang w:eastAsia="zh-CN"/>
        </w:rPr>
        <w:t>）污染物排放量分析</w:t>
      </w:r>
    </w:p>
    <w:p>
      <w:pPr>
        <w:adjustRightInd w:val="0"/>
        <w:snapToGrid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根据本报告书中的工程分析，该项目采用的是</w:t>
      </w:r>
      <w:r>
        <w:rPr>
          <w:rFonts w:hint="eastAsia" w:ascii="Times New Roman" w:hAnsi="Times New Roman" w:eastAsia="宋体" w:cs="Times New Roman"/>
          <w:color w:val="auto"/>
          <w:sz w:val="24"/>
          <w:szCs w:val="24"/>
          <w:lang w:eastAsia="zh-CN"/>
        </w:rPr>
        <w:t>重力式干清粪</w:t>
      </w:r>
      <w:r>
        <w:rPr>
          <w:rFonts w:hint="eastAsia" w:ascii="Times New Roman" w:hAnsi="Times New Roman" w:eastAsia="宋体" w:cs="Times New Roman"/>
          <w:color w:val="auto"/>
          <w:sz w:val="24"/>
          <w:szCs w:val="24"/>
        </w:rPr>
        <w:t>工艺，每年只对猪舍进行</w:t>
      </w:r>
      <w:r>
        <w:rPr>
          <w:rFonts w:hint="eastAsia" w:ascii="Times New Roman" w:hAnsi="Times New Roman" w:eastAsia="宋体" w:cs="Times New Roman"/>
          <w:color w:val="auto"/>
          <w:sz w:val="24"/>
          <w:szCs w:val="24"/>
          <w:lang w:val="en-US" w:eastAsia="zh-CN"/>
        </w:rPr>
        <w:t>2</w:t>
      </w:r>
      <w:r>
        <w:rPr>
          <w:rFonts w:hint="eastAsia" w:ascii="Times New Roman" w:hAnsi="Times New Roman" w:eastAsia="宋体" w:cs="Times New Roman"/>
          <w:color w:val="auto"/>
          <w:sz w:val="24"/>
          <w:szCs w:val="24"/>
        </w:rPr>
        <w:t>次冲洗，比水冲工艺用水量（平均每天 2.5～3.5 m</w:t>
      </w:r>
      <w:r>
        <w:rPr>
          <w:rFonts w:hint="eastAsia" w:ascii="Times New Roman" w:hAnsi="Times New Roman" w:eastAsia="宋体" w:cs="Times New Roman"/>
          <w:color w:val="auto"/>
          <w:sz w:val="24"/>
          <w:szCs w:val="24"/>
          <w:vertAlign w:val="superscript"/>
        </w:rPr>
        <w:t>3</w:t>
      </w:r>
      <w:r>
        <w:rPr>
          <w:rFonts w:hint="eastAsia" w:ascii="Times New Roman" w:hAnsi="Times New Roman" w:eastAsia="宋体" w:cs="Times New Roman"/>
          <w:color w:val="auto"/>
          <w:sz w:val="24"/>
          <w:szCs w:val="24"/>
        </w:rPr>
        <w:t>）减少很多，因此排放的污水量也比水冲工艺排放的污水量减少一半以上。</w:t>
      </w:r>
    </w:p>
    <w:p>
      <w:pPr>
        <w:adjustRightInd w:val="0"/>
        <w:snapToGrid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本项目采用化学除臭和物理除臭等方法，可以减少臭气的产生；如在饲料中添加防蚊蝇添加剂，即可防蚊蝇，同时还可以减轻猪粪的臭味，减少恶臭气体的产生量。</w:t>
      </w:r>
    </w:p>
    <w:p>
      <w:pPr>
        <w:adjustRightInd w:val="0"/>
        <w:snapToGrid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通过上述分析可看出，该项目体现了最小的环境影响、最少的资源、能源使用这一清洁生产的要求。该项目建成运营过程中，企业还应加强管理，运用最佳的管理模式和最优化的经济增长水平，达到环境效益和经济效益的双赢。</w:t>
      </w:r>
    </w:p>
    <w:p>
      <w:pPr>
        <w:adjustRightInd w:val="0"/>
        <w:snapToGrid w:val="0"/>
        <w:spacing w:line="360" w:lineRule="auto"/>
        <w:ind w:firstLine="482" w:firstLineChars="200"/>
        <w:rPr>
          <w:rFonts w:hint="eastAsia" w:ascii="Times New Roman" w:hAnsi="Times New Roman" w:eastAsia="宋体" w:cs="Times New Roman"/>
          <w:b/>
          <w:bCs/>
          <w:color w:val="auto"/>
          <w:sz w:val="24"/>
          <w:szCs w:val="24"/>
          <w:lang w:eastAsia="zh-CN"/>
        </w:rPr>
      </w:pPr>
      <w:r>
        <w:rPr>
          <w:rFonts w:hint="eastAsia" w:ascii="Times New Roman" w:hAnsi="Times New Roman" w:eastAsia="宋体" w:cs="Times New Roman"/>
          <w:b/>
          <w:bCs/>
          <w:color w:val="auto"/>
          <w:sz w:val="24"/>
          <w:szCs w:val="24"/>
          <w:lang w:eastAsia="zh-CN"/>
        </w:rPr>
        <w:t>（</w:t>
      </w:r>
      <w:r>
        <w:rPr>
          <w:rFonts w:hint="eastAsia" w:ascii="Times New Roman" w:hAnsi="Times New Roman" w:eastAsia="宋体" w:cs="Times New Roman"/>
          <w:b/>
          <w:bCs/>
          <w:color w:val="auto"/>
          <w:sz w:val="24"/>
          <w:szCs w:val="24"/>
          <w:lang w:val="en-US" w:eastAsia="zh-CN"/>
        </w:rPr>
        <w:t>4</w:t>
      </w:r>
      <w:r>
        <w:rPr>
          <w:rFonts w:hint="eastAsia" w:ascii="Times New Roman" w:hAnsi="Times New Roman" w:eastAsia="宋体" w:cs="Times New Roman"/>
          <w:b/>
          <w:bCs/>
          <w:color w:val="auto"/>
          <w:sz w:val="24"/>
          <w:szCs w:val="24"/>
          <w:lang w:eastAsia="zh-CN"/>
        </w:rPr>
        <w:t>）废物回收利用要求</w:t>
      </w:r>
    </w:p>
    <w:p>
      <w:pPr>
        <w:adjustRightInd w:val="0"/>
        <w:snapToGrid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本项目对场区产生的养殖废水经过</w:t>
      </w:r>
      <w:r>
        <w:rPr>
          <w:rFonts w:hint="eastAsia" w:ascii="Times New Roman" w:hAnsi="Times New Roman" w:eastAsia="宋体" w:cs="Times New Roman"/>
          <w:color w:val="auto"/>
          <w:sz w:val="24"/>
          <w:szCs w:val="24"/>
          <w:lang w:eastAsia="zh-CN"/>
        </w:rPr>
        <w:t>污水处理区处理后用作周边消纳地施肥</w:t>
      </w:r>
      <w:r>
        <w:rPr>
          <w:rFonts w:hint="eastAsia" w:ascii="Times New Roman" w:hAnsi="Times New Roman" w:eastAsia="宋体" w:cs="Times New Roman"/>
          <w:color w:val="auto"/>
          <w:sz w:val="24"/>
          <w:szCs w:val="24"/>
        </w:rPr>
        <w:t>，不外排入水体。生产的</w:t>
      </w:r>
      <w:r>
        <w:rPr>
          <w:rFonts w:hint="eastAsia" w:ascii="Times New Roman" w:hAnsi="Times New Roman" w:eastAsia="宋体" w:cs="Times New Roman"/>
          <w:color w:val="auto"/>
          <w:sz w:val="24"/>
          <w:szCs w:val="24"/>
          <w:lang w:eastAsia="zh-CN"/>
        </w:rPr>
        <w:t>堆肥产物</w:t>
      </w:r>
      <w:r>
        <w:rPr>
          <w:rFonts w:hint="eastAsia" w:ascii="Times New Roman" w:hAnsi="Times New Roman" w:eastAsia="宋体" w:cs="Times New Roman"/>
          <w:color w:val="auto"/>
          <w:sz w:val="24"/>
          <w:szCs w:val="24"/>
        </w:rPr>
        <w:t>，富含有机质、氮、磷、钾及植物所需的其他各种中微量元素，可作为优质、高效的肥料，用作场区周边经济作物和农作物肥料，可改善土壤，促进植物生长，从清洁生产角度考虑，本项目废物回收利用方面达到资源合理利用的效果。</w:t>
      </w:r>
    </w:p>
    <w:p>
      <w:pPr>
        <w:adjustRightInd w:val="0"/>
        <w:snapToGrid w:val="0"/>
        <w:spacing w:line="360" w:lineRule="auto"/>
        <w:ind w:firstLine="482" w:firstLineChars="200"/>
        <w:rPr>
          <w:rFonts w:hint="eastAsia" w:ascii="Times New Roman" w:hAnsi="Times New Roman" w:eastAsia="宋体" w:cs="Times New Roman"/>
          <w:b/>
          <w:bCs/>
          <w:color w:val="auto"/>
          <w:sz w:val="24"/>
          <w:szCs w:val="24"/>
          <w:lang w:eastAsia="zh-CN"/>
        </w:rPr>
      </w:pPr>
      <w:r>
        <w:rPr>
          <w:rFonts w:hint="eastAsia" w:ascii="Times New Roman" w:hAnsi="Times New Roman" w:eastAsia="宋体" w:cs="Times New Roman"/>
          <w:b/>
          <w:bCs/>
          <w:color w:val="auto"/>
          <w:sz w:val="24"/>
          <w:szCs w:val="24"/>
          <w:lang w:eastAsia="zh-CN"/>
        </w:rPr>
        <w:t>（</w:t>
      </w:r>
      <w:r>
        <w:rPr>
          <w:rFonts w:hint="eastAsia" w:ascii="Times New Roman" w:hAnsi="Times New Roman" w:eastAsia="宋体" w:cs="Times New Roman"/>
          <w:b/>
          <w:bCs/>
          <w:color w:val="auto"/>
          <w:sz w:val="24"/>
          <w:szCs w:val="24"/>
          <w:lang w:val="en-US" w:eastAsia="zh-CN"/>
        </w:rPr>
        <w:t>5</w:t>
      </w:r>
      <w:r>
        <w:rPr>
          <w:rFonts w:hint="eastAsia" w:ascii="Times New Roman" w:hAnsi="Times New Roman" w:eastAsia="宋体" w:cs="Times New Roman"/>
          <w:b/>
          <w:bCs/>
          <w:color w:val="auto"/>
          <w:sz w:val="24"/>
          <w:szCs w:val="24"/>
          <w:lang w:eastAsia="zh-CN"/>
        </w:rPr>
        <w:t>）环境管理要求</w:t>
      </w:r>
    </w:p>
    <w:p>
      <w:pPr>
        <w:adjustRightInd w:val="0"/>
        <w:snapToGrid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通过对同类型项目的类比调查，生猪养殖场所排放的各种污染物均可再生利用，环境管理方面有很大的潜力可挖。企业采取的环境管理措施有以下方面：</w:t>
      </w:r>
    </w:p>
    <w:p>
      <w:pPr>
        <w:numPr>
          <w:ilvl w:val="0"/>
          <w:numId w:val="18"/>
        </w:numPr>
        <w:adjustRightInd w:val="0"/>
        <w:snapToGrid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清粪工艺</w:t>
      </w:r>
    </w:p>
    <w:p>
      <w:pPr>
        <w:adjustRightInd w:val="0"/>
        <w:snapToGrid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本项目采用</w:t>
      </w:r>
      <w:r>
        <w:rPr>
          <w:rFonts w:hint="eastAsia" w:ascii="Times New Roman" w:hAnsi="Times New Roman" w:eastAsia="宋体" w:cs="Times New Roman"/>
          <w:color w:val="auto"/>
          <w:sz w:val="24"/>
          <w:szCs w:val="24"/>
          <w:lang w:eastAsia="zh-CN"/>
        </w:rPr>
        <w:t>重力式干清粪</w:t>
      </w:r>
      <w:r>
        <w:rPr>
          <w:rFonts w:hint="eastAsia" w:ascii="Times New Roman" w:hAnsi="Times New Roman" w:eastAsia="宋体" w:cs="Times New Roman"/>
          <w:color w:val="auto"/>
          <w:sz w:val="24"/>
          <w:szCs w:val="24"/>
        </w:rPr>
        <w:t>工艺，能定时、有效地清除畜舍内的粪便、尿液，减少粪污清理过程中的劳动力投入，减少冲洗用水，提高养殖场自动化管理水平。</w:t>
      </w:r>
    </w:p>
    <w:p>
      <w:pPr>
        <w:adjustRightInd w:val="0"/>
        <w:snapToGrid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2</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rPr>
        <w:t>防疫措施的严格性</w:t>
      </w:r>
    </w:p>
    <w:p>
      <w:pPr>
        <w:adjustRightInd w:val="0"/>
        <w:snapToGrid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严格执行科学的兽医卫生防疫措施，有效地预防和控制传染病和普通病的发生。</w:t>
      </w:r>
    </w:p>
    <w:p>
      <w:pPr>
        <w:adjustRightInd w:val="0"/>
        <w:snapToGrid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①慎重引种。对能引入的种猪要隔离观察</w:t>
      </w:r>
      <w:r>
        <w:rPr>
          <w:rFonts w:hint="eastAsia" w:ascii="Times New Roman" w:hAnsi="Times New Roman" w:eastAsia="宋体" w:cs="Times New Roman"/>
          <w:color w:val="auto"/>
          <w:sz w:val="24"/>
          <w:szCs w:val="24"/>
          <w:lang w:val="en-US" w:eastAsia="zh-CN"/>
        </w:rPr>
        <w:t>40</w:t>
      </w:r>
      <w:r>
        <w:rPr>
          <w:rFonts w:hint="eastAsia" w:ascii="Times New Roman" w:hAnsi="Times New Roman" w:eastAsia="宋体" w:cs="Times New Roman"/>
          <w:color w:val="auto"/>
          <w:sz w:val="24"/>
          <w:szCs w:val="24"/>
        </w:rPr>
        <w:t>天左右，确保种源的无害性。</w:t>
      </w:r>
    </w:p>
    <w:p>
      <w:pPr>
        <w:adjustRightInd w:val="0"/>
        <w:snapToGrid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②猪场布局合理，生产、生活区严格分开，生产区周围应有防护设施，非生产人员不得随意进入生产区。</w:t>
      </w:r>
    </w:p>
    <w:p>
      <w:pPr>
        <w:adjustRightInd w:val="0"/>
        <w:snapToGrid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③猪场内设病猪隔离舍和无害化处理场，对病猪进行隔离观察、诊治；对死亡的猪，由兽医将尸体收集进行无害化处理，严格消毒现场。</w:t>
      </w:r>
    </w:p>
    <w:p>
      <w:pPr>
        <w:adjustRightInd w:val="0"/>
        <w:snapToGrid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④对装载种猪、商品猪的运输车辆进行严格消毒。</w:t>
      </w:r>
    </w:p>
    <w:p>
      <w:pPr>
        <w:adjustRightInd w:val="0"/>
        <w:snapToGrid w:val="0"/>
        <w:spacing w:line="360" w:lineRule="auto"/>
        <w:ind w:firstLine="480"/>
        <w:rPr>
          <w:rFonts w:hint="eastAsia" w:ascii="Times New Roman" w:hAnsi="Times New Roman" w:eastAsia="宋体"/>
          <w:b/>
          <w:bCs/>
          <w:color w:val="auto"/>
          <w:sz w:val="24"/>
          <w:szCs w:val="24"/>
          <w:lang w:eastAsia="zh-CN"/>
        </w:rPr>
      </w:pPr>
      <w:r>
        <w:rPr>
          <w:rFonts w:hint="eastAsia" w:ascii="Times New Roman" w:hAnsi="Times New Roman" w:eastAsia="宋体"/>
          <w:b/>
          <w:bCs/>
          <w:color w:val="auto"/>
          <w:sz w:val="24"/>
          <w:szCs w:val="24"/>
          <w:lang w:eastAsia="zh-CN"/>
        </w:rPr>
        <w:t>（</w:t>
      </w:r>
      <w:r>
        <w:rPr>
          <w:rFonts w:hint="eastAsia" w:ascii="Times New Roman" w:hAnsi="Times New Roman" w:eastAsia="宋体"/>
          <w:b/>
          <w:bCs/>
          <w:color w:val="auto"/>
          <w:sz w:val="24"/>
          <w:szCs w:val="24"/>
          <w:lang w:val="en-US" w:eastAsia="zh-CN"/>
        </w:rPr>
        <w:t>6</w:t>
      </w:r>
      <w:r>
        <w:rPr>
          <w:rFonts w:hint="eastAsia" w:ascii="Times New Roman" w:hAnsi="Times New Roman" w:eastAsia="宋体"/>
          <w:b/>
          <w:bCs/>
          <w:color w:val="auto"/>
          <w:sz w:val="24"/>
          <w:szCs w:val="24"/>
          <w:lang w:eastAsia="zh-CN"/>
        </w:rPr>
        <w:t>）企业清洁生产水平小结</w:t>
      </w:r>
    </w:p>
    <w:p>
      <w:pPr>
        <w:adjustRightInd w:val="0"/>
        <w:snapToGrid w:val="0"/>
        <w:spacing w:line="360" w:lineRule="auto"/>
        <w:ind w:firstLine="480"/>
        <w:rPr>
          <w:rFonts w:hint="eastAsia" w:ascii="Times New Roman" w:hAnsi="Times New Roman" w:eastAsia="宋体"/>
          <w:color w:val="auto"/>
          <w:sz w:val="24"/>
          <w:szCs w:val="24"/>
        </w:rPr>
      </w:pPr>
      <w:r>
        <w:rPr>
          <w:rFonts w:hint="eastAsia" w:ascii="Times New Roman" w:hAnsi="Times New Roman" w:eastAsia="宋体"/>
          <w:color w:val="auto"/>
          <w:sz w:val="24"/>
          <w:szCs w:val="24"/>
        </w:rPr>
        <w:t>本项目属禽畜养殖项目，通过对本项目各清洁生产指标的分析，生产过程中使用的各种原辅材料均为无毒材料，所用能源</w:t>
      </w:r>
      <w:r>
        <w:rPr>
          <w:rFonts w:hint="eastAsia" w:ascii="Times New Roman" w:hAnsi="Times New Roman" w:eastAsia="宋体"/>
          <w:color w:val="auto"/>
          <w:sz w:val="24"/>
          <w:szCs w:val="24"/>
          <w:lang w:eastAsia="zh-CN"/>
        </w:rPr>
        <w:t>沼气</w:t>
      </w:r>
      <w:r>
        <w:rPr>
          <w:rFonts w:hint="eastAsia" w:ascii="Times New Roman" w:hAnsi="Times New Roman" w:eastAsia="宋体"/>
          <w:color w:val="auto"/>
          <w:sz w:val="24"/>
          <w:szCs w:val="24"/>
        </w:rPr>
        <w:t>、电属清洁能源，产品在使用过程中产生的污染物很少，企业也通过采用节能设备、合理调配猪的饲料、加强对猪的日常管理，降低生产运营过程对环境的污染，清洁生产水平属于国内先进水平。</w:t>
      </w:r>
    </w:p>
    <w:p>
      <w:pPr>
        <w:pStyle w:val="6"/>
        <w:adjustRightInd w:val="0"/>
        <w:snapToGrid w:val="0"/>
        <w:spacing w:before="0" w:after="0" w:line="360" w:lineRule="auto"/>
        <w:rPr>
          <w:rFonts w:hint="eastAsia" w:ascii="Times New Roman" w:hAnsi="Times New Roman" w:eastAsia="宋体"/>
          <w:color w:val="auto"/>
          <w:lang w:eastAsia="zh-CN"/>
        </w:rPr>
      </w:pPr>
      <w:r>
        <w:rPr>
          <w:rFonts w:hint="eastAsia" w:ascii="Times New Roman" w:hAnsi="Times New Roman" w:eastAsia="宋体"/>
          <w:bCs w:val="0"/>
          <w:color w:val="auto"/>
          <w:kern w:val="0"/>
          <w:sz w:val="28"/>
          <w:szCs w:val="28"/>
        </w:rPr>
        <w:t>3.</w:t>
      </w:r>
      <w:r>
        <w:rPr>
          <w:rFonts w:hint="eastAsia" w:ascii="Times New Roman" w:hAnsi="Times New Roman" w:eastAsia="宋体"/>
          <w:bCs w:val="0"/>
          <w:color w:val="auto"/>
          <w:kern w:val="0"/>
          <w:sz w:val="28"/>
          <w:szCs w:val="28"/>
          <w:lang w:val="en-US" w:eastAsia="zh-CN"/>
        </w:rPr>
        <w:t>7.2清洁生产建议</w:t>
      </w:r>
    </w:p>
    <w:p>
      <w:pPr>
        <w:adjustRightInd w:val="0"/>
        <w:snapToGrid w:val="0"/>
        <w:spacing w:line="360" w:lineRule="auto"/>
        <w:ind w:firstLine="480"/>
        <w:rPr>
          <w:rFonts w:hint="eastAsia" w:ascii="Times New Roman" w:hAnsi="Times New Roman" w:eastAsia="宋体"/>
          <w:b/>
          <w:bCs/>
          <w:color w:val="auto"/>
          <w:sz w:val="24"/>
          <w:szCs w:val="24"/>
          <w:lang w:eastAsia="zh-CN"/>
        </w:rPr>
      </w:pPr>
      <w:r>
        <w:rPr>
          <w:rFonts w:hint="eastAsia" w:ascii="Times New Roman" w:hAnsi="Times New Roman" w:eastAsia="宋体"/>
          <w:b/>
          <w:bCs/>
          <w:color w:val="auto"/>
          <w:sz w:val="24"/>
          <w:szCs w:val="24"/>
          <w:lang w:eastAsia="zh-CN"/>
        </w:rPr>
        <w:t>（</w:t>
      </w:r>
      <w:r>
        <w:rPr>
          <w:rFonts w:hint="eastAsia" w:ascii="Times New Roman" w:hAnsi="Times New Roman" w:eastAsia="宋体"/>
          <w:b/>
          <w:bCs/>
          <w:color w:val="auto"/>
          <w:sz w:val="24"/>
          <w:szCs w:val="24"/>
          <w:lang w:val="en-US" w:eastAsia="zh-CN"/>
        </w:rPr>
        <w:t>1</w:t>
      </w:r>
      <w:r>
        <w:rPr>
          <w:rFonts w:hint="eastAsia" w:ascii="Times New Roman" w:hAnsi="Times New Roman" w:eastAsia="宋体"/>
          <w:b/>
          <w:bCs/>
          <w:color w:val="auto"/>
          <w:sz w:val="24"/>
          <w:szCs w:val="24"/>
          <w:lang w:eastAsia="zh-CN"/>
        </w:rPr>
        <w:t>）通过营养调控减少猪粪中氮和磷的排泄</w:t>
      </w:r>
    </w:p>
    <w:p>
      <w:pPr>
        <w:adjustRightInd w:val="0"/>
        <w:snapToGrid w:val="0"/>
        <w:spacing w:line="360" w:lineRule="auto"/>
        <w:ind w:firstLine="480"/>
        <w:rPr>
          <w:rFonts w:hint="eastAsia" w:ascii="Times New Roman" w:hAnsi="Times New Roman" w:eastAsia="宋体"/>
          <w:color w:val="auto"/>
          <w:sz w:val="24"/>
          <w:szCs w:val="24"/>
        </w:rPr>
      </w:pPr>
      <w:r>
        <w:rPr>
          <w:rFonts w:hint="eastAsia" w:ascii="Times New Roman" w:hAnsi="Times New Roman" w:eastAsia="宋体"/>
          <w:color w:val="auto"/>
          <w:sz w:val="24"/>
          <w:szCs w:val="24"/>
        </w:rPr>
        <w:t>营养物质的排泄是由于消化和代谢效率不高所致。对于氮一般仅有20%～40%在猪体内沉积。这表明可以通过营养调控减少营养物质排泄。如何通过饲料的营养调控来降低猪排泄物对环境的污染是每一个饲料工作者应该思考的问题。氮排泄包括粪氮和尿氮，通过营养学技术，提高猪的饲料转化效率，减少排污（粪尿），已成为当前养猪学及营养学研究的一个热点。</w:t>
      </w:r>
    </w:p>
    <w:p>
      <w:pPr>
        <w:adjustRightInd w:val="0"/>
        <w:snapToGrid w:val="0"/>
        <w:spacing w:line="360" w:lineRule="auto"/>
        <w:ind w:firstLine="480"/>
        <w:rPr>
          <w:rFonts w:hint="eastAsia" w:ascii="Times New Roman" w:hAnsi="Times New Roman" w:eastAsia="宋体"/>
          <w:b/>
          <w:bCs/>
          <w:color w:val="auto"/>
          <w:sz w:val="24"/>
          <w:szCs w:val="24"/>
          <w:lang w:eastAsia="zh-CN"/>
        </w:rPr>
      </w:pPr>
      <w:r>
        <w:rPr>
          <w:rFonts w:hint="eastAsia" w:ascii="Times New Roman" w:hAnsi="Times New Roman" w:eastAsia="宋体"/>
          <w:b/>
          <w:bCs/>
          <w:color w:val="auto"/>
          <w:sz w:val="24"/>
          <w:szCs w:val="24"/>
          <w:lang w:eastAsia="zh-CN"/>
        </w:rPr>
        <w:t>（</w:t>
      </w:r>
      <w:r>
        <w:rPr>
          <w:rFonts w:hint="eastAsia" w:ascii="Times New Roman" w:hAnsi="Times New Roman" w:eastAsia="宋体"/>
          <w:b/>
          <w:bCs/>
          <w:color w:val="auto"/>
          <w:sz w:val="24"/>
          <w:szCs w:val="24"/>
          <w:lang w:val="en-US" w:eastAsia="zh-CN"/>
        </w:rPr>
        <w:t>2</w:t>
      </w:r>
      <w:r>
        <w:rPr>
          <w:rFonts w:hint="eastAsia" w:ascii="Times New Roman" w:hAnsi="Times New Roman" w:eastAsia="宋体"/>
          <w:b/>
          <w:bCs/>
          <w:color w:val="auto"/>
          <w:sz w:val="24"/>
          <w:szCs w:val="24"/>
          <w:lang w:eastAsia="zh-CN"/>
        </w:rPr>
        <w:t>）在饲料中添加除臭剂</w:t>
      </w:r>
    </w:p>
    <w:p>
      <w:pPr>
        <w:adjustRightInd w:val="0"/>
        <w:snapToGrid w:val="0"/>
        <w:spacing w:line="360" w:lineRule="auto"/>
        <w:ind w:firstLine="480"/>
        <w:rPr>
          <w:rFonts w:hint="eastAsia" w:ascii="Times New Roman" w:hAnsi="Times New Roman" w:eastAsia="宋体"/>
          <w:color w:val="auto"/>
          <w:sz w:val="24"/>
          <w:szCs w:val="24"/>
        </w:rPr>
      </w:pPr>
      <w:r>
        <w:rPr>
          <w:rFonts w:hint="eastAsia" w:ascii="Times New Roman" w:hAnsi="Times New Roman" w:eastAsia="宋体"/>
          <w:color w:val="auto"/>
          <w:sz w:val="24"/>
          <w:szCs w:val="24"/>
        </w:rPr>
        <w:t>为了减轻规模化猪场排泄物及其气味的污染，从预防的角度出发，可在猪饲料中添加活菌制剂、微生态制剂、益生菌、生物制剂等各类除臭剂。如应用丝兰属植物提取物、天然沸石为主的偏硅酸盐矿石（海泡石、膨润土、凹凸棒石、蛭石、硅藻石等）、绿矾、微胶囊化微生物和酶制剂等，来吸咐、抑制、分解、转化排泄物中的有毒有害成份，将氨变成硝酸盐，将硫化氢变成硫酸盐，从而可达到减轻或消除臭气污染的作用。</w:t>
      </w:r>
    </w:p>
    <w:p>
      <w:pPr>
        <w:adjustRightInd w:val="0"/>
        <w:snapToGrid w:val="0"/>
        <w:spacing w:line="360" w:lineRule="auto"/>
        <w:ind w:firstLine="480"/>
        <w:rPr>
          <w:rFonts w:hint="eastAsia" w:ascii="Times New Roman" w:hAnsi="Times New Roman" w:eastAsia="宋体"/>
          <w:b/>
          <w:bCs/>
          <w:color w:val="auto"/>
          <w:sz w:val="24"/>
          <w:szCs w:val="24"/>
          <w:lang w:eastAsia="zh-CN"/>
        </w:rPr>
      </w:pPr>
      <w:r>
        <w:rPr>
          <w:rFonts w:hint="eastAsia" w:ascii="Times New Roman" w:hAnsi="Times New Roman" w:eastAsia="宋体"/>
          <w:b/>
          <w:bCs/>
          <w:color w:val="auto"/>
          <w:sz w:val="24"/>
          <w:szCs w:val="24"/>
          <w:lang w:eastAsia="zh-CN"/>
        </w:rPr>
        <w:t>（</w:t>
      </w:r>
      <w:r>
        <w:rPr>
          <w:rFonts w:hint="eastAsia" w:ascii="Times New Roman" w:hAnsi="Times New Roman" w:eastAsia="宋体"/>
          <w:b/>
          <w:bCs/>
          <w:color w:val="auto"/>
          <w:sz w:val="24"/>
          <w:szCs w:val="24"/>
          <w:lang w:val="en-US" w:eastAsia="zh-CN"/>
        </w:rPr>
        <w:t>3</w:t>
      </w:r>
      <w:r>
        <w:rPr>
          <w:rFonts w:hint="eastAsia" w:ascii="Times New Roman" w:hAnsi="Times New Roman" w:eastAsia="宋体"/>
          <w:b/>
          <w:bCs/>
          <w:color w:val="auto"/>
          <w:sz w:val="24"/>
          <w:szCs w:val="24"/>
          <w:lang w:eastAsia="zh-CN"/>
        </w:rPr>
        <w:t>）猪舍采用湿帘通风</w:t>
      </w:r>
    </w:p>
    <w:p>
      <w:pPr>
        <w:adjustRightInd w:val="0"/>
        <w:snapToGrid w:val="0"/>
        <w:spacing w:line="360" w:lineRule="auto"/>
        <w:ind w:firstLine="480"/>
        <w:rPr>
          <w:rFonts w:hint="eastAsia" w:ascii="Times New Roman" w:hAnsi="Times New Roman" w:eastAsia="宋体"/>
          <w:color w:val="auto"/>
          <w:sz w:val="24"/>
          <w:szCs w:val="24"/>
        </w:rPr>
      </w:pPr>
      <w:r>
        <w:rPr>
          <w:rFonts w:hint="eastAsia" w:ascii="Times New Roman" w:hAnsi="Times New Roman" w:eastAsia="宋体"/>
          <w:color w:val="auto"/>
          <w:sz w:val="24"/>
          <w:szCs w:val="24"/>
        </w:rPr>
        <w:t>湿帘通风在国外养禽业上已应用多年。目前台湾把湿帘通风用于养猪上，已取得明显效果。有资料表明，在台湾用卷帘式猪舍饲养大肉猪，生长速度提高25-30%，饲料报酬也有大幅度提高（据介绍，应用猪生长激素，生长速度仅可提高 10-20%）。此外，卷帘式猪舍饲养公猪和配种前后的母猪，其公猪精液质量，母猪配种受孕率均有明显提高。因此，卷帘式猪舍内的细菌数可以减少至普通猪舍的千分之一，而且密闭的卷帘式猪舍内没有蚊蝇的干扰，氨和臭味也明显减少。</w:t>
      </w:r>
    </w:p>
    <w:p>
      <w:pPr>
        <w:pStyle w:val="5"/>
        <w:adjustRightInd w:val="0"/>
        <w:snapToGrid w:val="0"/>
        <w:spacing w:before="0" w:after="0" w:line="360" w:lineRule="auto"/>
        <w:rPr>
          <w:rFonts w:ascii="Times New Roman" w:hAnsi="Times New Roman" w:eastAsia="宋体"/>
          <w:color w:val="auto"/>
          <w:sz w:val="30"/>
          <w:szCs w:val="30"/>
        </w:rPr>
      </w:pPr>
      <w:bookmarkStart w:id="136" w:name="_Toc23407"/>
      <w:r>
        <w:rPr>
          <w:rFonts w:hint="eastAsia" w:ascii="Times New Roman" w:hAnsi="Times New Roman" w:eastAsia="宋体"/>
          <w:color w:val="auto"/>
          <w:sz w:val="30"/>
          <w:szCs w:val="30"/>
        </w:rPr>
        <w:t>3.8总量控制</w:t>
      </w:r>
      <w:bookmarkEnd w:id="131"/>
      <w:bookmarkEnd w:id="132"/>
      <w:bookmarkEnd w:id="136"/>
    </w:p>
    <w:p>
      <w:pPr>
        <w:adjustRightInd w:val="0"/>
        <w:snapToGrid w:val="0"/>
        <w:spacing w:line="360" w:lineRule="auto"/>
        <w:ind w:firstLine="480"/>
        <w:rPr>
          <w:rFonts w:ascii="Times New Roman" w:hAnsi="Times New Roman" w:eastAsia="宋体"/>
          <w:color w:val="auto"/>
          <w:sz w:val="24"/>
          <w:szCs w:val="24"/>
        </w:rPr>
      </w:pPr>
      <w:r>
        <w:rPr>
          <w:rFonts w:hint="eastAsia" w:ascii="Times New Roman" w:hAnsi="Times New Roman" w:eastAsia="宋体"/>
          <w:color w:val="auto"/>
          <w:sz w:val="24"/>
          <w:szCs w:val="24"/>
        </w:rPr>
        <w:t>《建设项目环境保护管理条例》中第三条规定：“建设产生污染的建设项目，必须遵守污染物排放的国家和地方标准；在实施重点污染物排放总量控制的区域内，还必须符合重点污染物排放总量控制的要求。”因此，总量控制的目的就是为了有效地保护和改善环境质量，保证经济建设和环境保护协调发展，使环境质量不因经济发展而随之恶化，并逐步改善。</w:t>
      </w:r>
    </w:p>
    <w:p>
      <w:pPr>
        <w:pStyle w:val="6"/>
        <w:adjustRightInd w:val="0"/>
        <w:snapToGrid w:val="0"/>
        <w:spacing w:before="0" w:after="0" w:line="360" w:lineRule="auto"/>
        <w:rPr>
          <w:rFonts w:ascii="Times New Roman" w:hAnsi="Times New Roman" w:eastAsia="宋体"/>
          <w:color w:val="auto"/>
          <w:sz w:val="28"/>
          <w:szCs w:val="28"/>
        </w:rPr>
      </w:pPr>
      <w:bookmarkStart w:id="137" w:name="_Toc5200"/>
      <w:bookmarkStart w:id="138" w:name="_Toc330819703"/>
      <w:bookmarkStart w:id="139" w:name="_Toc24889"/>
      <w:bookmarkStart w:id="140" w:name="_Toc330819966"/>
      <w:bookmarkStart w:id="141" w:name="_Toc410382827"/>
      <w:bookmarkStart w:id="142" w:name="_Toc410978165"/>
      <w:r>
        <w:rPr>
          <w:rFonts w:hint="eastAsia" w:ascii="Times New Roman" w:hAnsi="Times New Roman" w:eastAsia="宋体"/>
          <w:color w:val="auto"/>
          <w:sz w:val="28"/>
          <w:szCs w:val="28"/>
        </w:rPr>
        <w:t>3.8.1总量控制原则</w:t>
      </w:r>
      <w:bookmarkEnd w:id="137"/>
      <w:bookmarkEnd w:id="138"/>
      <w:bookmarkEnd w:id="139"/>
      <w:bookmarkEnd w:id="140"/>
      <w:bookmarkEnd w:id="141"/>
      <w:bookmarkEnd w:id="142"/>
    </w:p>
    <w:p>
      <w:pPr>
        <w:numPr>
          <w:ilvl w:val="0"/>
          <w:numId w:val="19"/>
        </w:numPr>
        <w:adjustRightInd w:val="0"/>
        <w:snapToGrid w:val="0"/>
        <w:spacing w:line="360" w:lineRule="auto"/>
        <w:ind w:firstLine="480"/>
        <w:rPr>
          <w:rFonts w:hint="eastAsia" w:ascii="Times New Roman" w:hAnsi="Times New Roman" w:eastAsia="宋体"/>
          <w:color w:val="auto"/>
          <w:sz w:val="24"/>
          <w:szCs w:val="24"/>
        </w:rPr>
      </w:pPr>
      <w:bookmarkStart w:id="143" w:name="_Toc169062703"/>
      <w:bookmarkStart w:id="144" w:name="_Toc330819704"/>
      <w:bookmarkStart w:id="145" w:name="_Toc175718825"/>
      <w:bookmarkStart w:id="146" w:name="_Toc208432936"/>
      <w:bookmarkStart w:id="147" w:name="_Toc410382829"/>
      <w:bookmarkStart w:id="148" w:name="_Toc330819967"/>
      <w:bookmarkStart w:id="149" w:name="_Toc410978166"/>
      <w:bookmarkStart w:id="150" w:name="_Toc28669"/>
      <w:bookmarkStart w:id="151" w:name="_Toc8872"/>
      <w:r>
        <w:rPr>
          <w:rFonts w:hint="eastAsia" w:ascii="Times New Roman" w:hAnsi="Times New Roman" w:eastAsia="宋体"/>
          <w:color w:val="auto"/>
          <w:sz w:val="24"/>
          <w:szCs w:val="24"/>
        </w:rPr>
        <w:t>建设项目建成投产后污染物排放必须达到国家标准和地方标准。</w:t>
      </w:r>
    </w:p>
    <w:p>
      <w:pPr>
        <w:numPr>
          <w:ilvl w:val="0"/>
          <w:numId w:val="19"/>
        </w:numPr>
        <w:adjustRightInd w:val="0"/>
        <w:snapToGrid w:val="0"/>
        <w:spacing w:line="360" w:lineRule="auto"/>
        <w:ind w:firstLine="480"/>
        <w:rPr>
          <w:rFonts w:ascii="Times New Roman" w:hAnsi="Times New Roman" w:eastAsia="宋体"/>
          <w:color w:val="auto"/>
          <w:sz w:val="24"/>
          <w:szCs w:val="24"/>
        </w:rPr>
      </w:pPr>
      <w:r>
        <w:rPr>
          <w:rFonts w:hint="eastAsia" w:ascii="Times New Roman" w:hAnsi="Times New Roman" w:eastAsia="宋体"/>
          <w:color w:val="auto"/>
          <w:sz w:val="24"/>
          <w:szCs w:val="24"/>
        </w:rPr>
        <w:t>污染物排放总量必须满足当地区域环境质量达标或区域总量控制的要 求。</w:t>
      </w:r>
    </w:p>
    <w:p>
      <w:pPr>
        <w:numPr>
          <w:ilvl w:val="0"/>
          <w:numId w:val="19"/>
        </w:numPr>
        <w:adjustRightInd w:val="0"/>
        <w:snapToGrid w:val="0"/>
        <w:spacing w:line="360" w:lineRule="auto"/>
        <w:ind w:firstLine="480"/>
        <w:rPr>
          <w:rFonts w:ascii="Times New Roman" w:hAnsi="Times New Roman" w:eastAsia="宋体"/>
          <w:color w:val="auto"/>
          <w:sz w:val="24"/>
          <w:szCs w:val="24"/>
        </w:rPr>
      </w:pPr>
      <w:r>
        <w:rPr>
          <w:rFonts w:hint="eastAsia" w:ascii="Times New Roman" w:hAnsi="Times New Roman" w:eastAsia="宋体"/>
          <w:color w:val="auto"/>
          <w:sz w:val="24"/>
          <w:szCs w:val="24"/>
        </w:rPr>
        <w:t>生产工艺及污染治理措施符合清洁生产的要求。</w:t>
      </w:r>
    </w:p>
    <w:p>
      <w:pPr>
        <w:pStyle w:val="6"/>
        <w:adjustRightInd w:val="0"/>
        <w:snapToGrid w:val="0"/>
        <w:spacing w:before="0" w:after="0" w:line="360" w:lineRule="auto"/>
        <w:rPr>
          <w:rFonts w:hint="eastAsia" w:ascii="Times New Roman" w:hAnsi="Times New Roman" w:eastAsia="宋体"/>
          <w:color w:val="auto"/>
          <w:sz w:val="28"/>
          <w:szCs w:val="28"/>
        </w:rPr>
      </w:pPr>
      <w:r>
        <w:rPr>
          <w:rFonts w:hint="eastAsia" w:ascii="Times New Roman" w:hAnsi="Times New Roman" w:eastAsia="宋体"/>
          <w:color w:val="auto"/>
          <w:sz w:val="28"/>
          <w:szCs w:val="28"/>
        </w:rPr>
        <w:t>3.8.2总量控制因子</w:t>
      </w:r>
      <w:bookmarkEnd w:id="143"/>
      <w:bookmarkEnd w:id="144"/>
      <w:bookmarkEnd w:id="145"/>
      <w:bookmarkEnd w:id="146"/>
      <w:bookmarkEnd w:id="147"/>
      <w:bookmarkEnd w:id="148"/>
      <w:bookmarkEnd w:id="149"/>
      <w:bookmarkEnd w:id="150"/>
      <w:bookmarkEnd w:id="151"/>
      <w:bookmarkStart w:id="152" w:name="_Toc169062704"/>
      <w:bookmarkStart w:id="153" w:name="_Toc175718826"/>
      <w:bookmarkStart w:id="154" w:name="_Toc208432937"/>
      <w:bookmarkStart w:id="155" w:name="_Toc330819968"/>
      <w:bookmarkStart w:id="156" w:name="_Toc330819705"/>
    </w:p>
    <w:p>
      <w:pPr>
        <w:adjustRightInd w:val="0"/>
        <w:snapToGrid w:val="0"/>
        <w:spacing w:line="360" w:lineRule="auto"/>
        <w:ind w:firstLine="480"/>
        <w:rPr>
          <w:rFonts w:ascii="Times New Roman" w:hAnsi="Times New Roman" w:eastAsia="宋体"/>
          <w:color w:val="auto"/>
          <w:sz w:val="24"/>
          <w:szCs w:val="24"/>
        </w:rPr>
      </w:pPr>
      <w:r>
        <w:rPr>
          <w:rFonts w:ascii="Times New Roman" w:hAnsi="Times New Roman" w:eastAsia="宋体"/>
          <w:color w:val="auto"/>
          <w:sz w:val="24"/>
          <w:szCs w:val="24"/>
        </w:rPr>
        <w:t>根据</w:t>
      </w:r>
      <w:r>
        <w:rPr>
          <w:rFonts w:hint="eastAsia" w:ascii="Times New Roman" w:hAnsi="Times New Roman" w:eastAsia="宋体" w:cs="宋体"/>
          <w:color w:val="auto"/>
          <w:sz w:val="24"/>
          <w:szCs w:val="24"/>
        </w:rPr>
        <w:t>国发</w:t>
      </w:r>
      <w:r>
        <w:rPr>
          <w:rFonts w:hint="default" w:ascii="Times New Roman" w:hAnsi="Times New Roman" w:eastAsia="宋体" w:cs="Times New Roman"/>
          <w:color w:val="auto"/>
          <w:sz w:val="24"/>
          <w:szCs w:val="24"/>
        </w:rPr>
        <w:t>〔2016〕74</w:t>
      </w:r>
      <w:r>
        <w:rPr>
          <w:rFonts w:hint="eastAsia" w:ascii="Times New Roman" w:hAnsi="Times New Roman" w:eastAsia="宋体" w:cs="宋体"/>
          <w:color w:val="auto"/>
          <w:sz w:val="24"/>
          <w:szCs w:val="24"/>
        </w:rPr>
        <w:t>号</w:t>
      </w:r>
      <w:r>
        <w:rPr>
          <w:rFonts w:ascii="Times New Roman" w:hAnsi="Times New Roman" w:eastAsia="宋体"/>
          <w:color w:val="auto"/>
          <w:sz w:val="24"/>
          <w:szCs w:val="24"/>
        </w:rPr>
        <w:t>《国务院关于印发“十</w:t>
      </w:r>
      <w:r>
        <w:rPr>
          <w:rFonts w:hint="eastAsia" w:ascii="Times New Roman" w:hAnsi="Times New Roman" w:eastAsia="宋体"/>
          <w:color w:val="auto"/>
          <w:sz w:val="24"/>
          <w:szCs w:val="24"/>
        </w:rPr>
        <w:t>三</w:t>
      </w:r>
      <w:r>
        <w:rPr>
          <w:rFonts w:ascii="Times New Roman" w:hAnsi="Times New Roman" w:eastAsia="宋体"/>
          <w:color w:val="auto"/>
          <w:sz w:val="24"/>
          <w:szCs w:val="24"/>
        </w:rPr>
        <w:t>五”节能减排综合性工作方案的通知》，</w:t>
      </w:r>
      <w:r>
        <w:rPr>
          <w:rFonts w:hint="eastAsia" w:ascii="Times New Roman" w:hAnsi="Times New Roman" w:eastAsia="宋体" w:cs="宋体"/>
          <w:color w:val="auto"/>
          <w:sz w:val="24"/>
          <w:szCs w:val="24"/>
        </w:rPr>
        <w:t>“十三五”期间</w:t>
      </w:r>
      <w:r>
        <w:rPr>
          <w:rFonts w:ascii="Times New Roman" w:hAnsi="Times New Roman" w:eastAsia="宋体"/>
          <w:color w:val="auto"/>
          <w:sz w:val="24"/>
          <w:szCs w:val="24"/>
        </w:rPr>
        <w:t>国家减排约束性指标为COD、氨氮、S</w:t>
      </w:r>
      <w:r>
        <w:rPr>
          <w:rFonts w:hint="eastAsia" w:ascii="Times New Roman" w:hAnsi="Times New Roman" w:eastAsia="宋体"/>
          <w:color w:val="auto"/>
          <w:sz w:val="24"/>
          <w:szCs w:val="24"/>
        </w:rPr>
        <w:t>O</w:t>
      </w:r>
      <w:r>
        <w:rPr>
          <w:rFonts w:hint="eastAsia" w:ascii="Times New Roman" w:hAnsi="Times New Roman" w:eastAsia="宋体"/>
          <w:color w:val="auto"/>
          <w:sz w:val="24"/>
          <w:szCs w:val="24"/>
          <w:vertAlign w:val="subscript"/>
        </w:rPr>
        <w:t>2</w:t>
      </w:r>
      <w:r>
        <w:rPr>
          <w:rFonts w:ascii="Times New Roman" w:hAnsi="Times New Roman" w:eastAsia="宋体"/>
          <w:color w:val="auto"/>
          <w:sz w:val="24"/>
          <w:szCs w:val="24"/>
        </w:rPr>
        <w:t>、氮氧化物。此外根据国家《重金属污染综合防治</w:t>
      </w:r>
      <w:r>
        <w:rPr>
          <w:rFonts w:hint="eastAsia" w:ascii="Times New Roman" w:hAnsi="Times New Roman" w:eastAsia="宋体" w:cs="宋体"/>
          <w:color w:val="auto"/>
          <w:sz w:val="24"/>
          <w:szCs w:val="24"/>
        </w:rPr>
        <w:t>“十三五”</w:t>
      </w:r>
      <w:r>
        <w:rPr>
          <w:rFonts w:ascii="Times New Roman" w:hAnsi="Times New Roman" w:eastAsia="宋体"/>
          <w:color w:val="auto"/>
          <w:sz w:val="24"/>
          <w:szCs w:val="24"/>
        </w:rPr>
        <w:t>规划》</w:t>
      </w:r>
      <w:r>
        <w:rPr>
          <w:rFonts w:hint="eastAsia" w:ascii="Times New Roman" w:hAnsi="Times New Roman" w:eastAsia="宋体"/>
          <w:color w:val="auto"/>
          <w:sz w:val="24"/>
          <w:szCs w:val="24"/>
        </w:rPr>
        <w:t>、《</w:t>
      </w:r>
      <w:r>
        <w:rPr>
          <w:rFonts w:ascii="Times New Roman" w:hAnsi="Times New Roman" w:eastAsia="宋体"/>
          <w:color w:val="auto"/>
          <w:sz w:val="24"/>
          <w:szCs w:val="24"/>
        </w:rPr>
        <w:t>四川省“十三五”环境保护规划</w:t>
      </w:r>
      <w:r>
        <w:rPr>
          <w:rFonts w:hint="eastAsia" w:ascii="Times New Roman" w:hAnsi="Times New Roman" w:eastAsia="宋体"/>
          <w:color w:val="auto"/>
          <w:sz w:val="24"/>
          <w:szCs w:val="24"/>
        </w:rPr>
        <w:t>》</w:t>
      </w:r>
      <w:r>
        <w:rPr>
          <w:rFonts w:ascii="Times New Roman" w:hAnsi="Times New Roman" w:eastAsia="宋体"/>
          <w:color w:val="auto"/>
          <w:sz w:val="24"/>
          <w:szCs w:val="24"/>
        </w:rPr>
        <w:t>中指出</w:t>
      </w:r>
      <w:r>
        <w:rPr>
          <w:rFonts w:hint="eastAsia" w:ascii="Times New Roman" w:hAnsi="Times New Roman" w:eastAsia="宋体"/>
          <w:color w:val="auto"/>
          <w:sz w:val="24"/>
          <w:szCs w:val="24"/>
        </w:rPr>
        <w:t>，</w:t>
      </w:r>
      <w:r>
        <w:rPr>
          <w:rFonts w:ascii="Times New Roman" w:hAnsi="Times New Roman" w:eastAsia="宋体"/>
          <w:color w:val="auto"/>
          <w:sz w:val="24"/>
          <w:szCs w:val="24"/>
        </w:rPr>
        <w:t>重金属总量控制指标有汞、铬、镉、铅和类金属砷等5种。</w:t>
      </w:r>
    </w:p>
    <w:p>
      <w:pPr>
        <w:pStyle w:val="6"/>
        <w:adjustRightInd w:val="0"/>
        <w:snapToGrid w:val="0"/>
        <w:spacing w:before="0" w:after="0" w:line="360" w:lineRule="auto"/>
        <w:rPr>
          <w:rFonts w:ascii="Times New Roman" w:hAnsi="Times New Roman" w:eastAsia="宋体"/>
          <w:color w:val="auto"/>
          <w:sz w:val="28"/>
          <w:szCs w:val="28"/>
        </w:rPr>
      </w:pPr>
      <w:bookmarkStart w:id="157" w:name="_Toc19340"/>
      <w:bookmarkStart w:id="158" w:name="_Toc410978167"/>
      <w:bookmarkStart w:id="159" w:name="_Toc410382830"/>
      <w:bookmarkStart w:id="160" w:name="_Toc4493"/>
      <w:r>
        <w:rPr>
          <w:rFonts w:hint="eastAsia" w:ascii="Times New Roman" w:hAnsi="Times New Roman" w:eastAsia="宋体"/>
          <w:color w:val="auto"/>
          <w:sz w:val="28"/>
          <w:szCs w:val="28"/>
        </w:rPr>
        <w:t>3.8.3总量控制建议指标</w:t>
      </w:r>
      <w:bookmarkEnd w:id="152"/>
      <w:bookmarkEnd w:id="153"/>
      <w:bookmarkEnd w:id="154"/>
      <w:bookmarkEnd w:id="155"/>
      <w:bookmarkEnd w:id="156"/>
      <w:bookmarkEnd w:id="157"/>
      <w:bookmarkEnd w:id="158"/>
      <w:bookmarkEnd w:id="159"/>
      <w:bookmarkEnd w:id="160"/>
    </w:p>
    <w:p>
      <w:pPr>
        <w:pStyle w:val="8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lang w:eastAsia="zh-CN"/>
        </w:rPr>
      </w:pPr>
      <w:r>
        <w:rPr>
          <w:rFonts w:ascii="Times New Roman" w:hAnsi="Times New Roman" w:eastAsia="宋体"/>
          <w:color w:val="auto"/>
        </w:rPr>
        <w:t>依据工程分析，项目采取有效的污染防治措施后各种</w:t>
      </w:r>
      <w:r>
        <w:rPr>
          <w:rFonts w:hint="eastAsia" w:ascii="Times New Roman" w:hAnsi="Times New Roman" w:eastAsia="宋体"/>
          <w:color w:val="auto"/>
          <w:lang w:eastAsia="zh-CN"/>
        </w:rPr>
        <w:t>废水不外排</w:t>
      </w:r>
      <w:r>
        <w:rPr>
          <w:rFonts w:ascii="Times New Roman" w:hAnsi="Times New Roman" w:eastAsia="宋体"/>
          <w:color w:val="auto"/>
        </w:rPr>
        <w:t>。</w:t>
      </w:r>
      <w:r>
        <w:rPr>
          <w:rFonts w:hint="eastAsia" w:ascii="Times New Roman" w:hAnsi="Times New Roman" w:eastAsia="宋体"/>
          <w:color w:val="auto"/>
        </w:rPr>
        <w:t>废气排放为</w:t>
      </w:r>
      <w:r>
        <w:rPr>
          <w:rFonts w:hint="eastAsia" w:ascii="Times New Roman" w:hAnsi="Times New Roman" w:eastAsia="宋体"/>
          <w:color w:val="auto"/>
          <w:lang w:eastAsia="zh-CN"/>
        </w:rPr>
        <w:t>恶臭</w:t>
      </w:r>
      <w:r>
        <w:rPr>
          <w:rFonts w:hint="eastAsia" w:ascii="Times New Roman" w:hAnsi="Times New Roman" w:eastAsia="宋体"/>
          <w:color w:val="auto"/>
        </w:rPr>
        <w:t>，</w:t>
      </w:r>
      <w:r>
        <w:rPr>
          <w:rFonts w:ascii="Times New Roman" w:hAnsi="Times New Roman" w:eastAsia="宋体"/>
          <w:color w:val="auto"/>
        </w:rPr>
        <w:t>固体废物处置率100%。本项目</w:t>
      </w:r>
      <w:r>
        <w:rPr>
          <w:rFonts w:hint="eastAsia" w:ascii="Times New Roman" w:hAnsi="Times New Roman" w:eastAsia="宋体"/>
          <w:color w:val="auto"/>
          <w:lang w:eastAsia="zh-CN"/>
        </w:rPr>
        <w:t>无需</w:t>
      </w:r>
      <w:r>
        <w:rPr>
          <w:rFonts w:ascii="Times New Roman" w:hAnsi="Times New Roman" w:eastAsia="宋体"/>
          <w:color w:val="auto"/>
        </w:rPr>
        <w:t>总量控制指标</w:t>
      </w:r>
      <w:r>
        <w:rPr>
          <w:rFonts w:hint="eastAsia" w:ascii="Times New Roman" w:hAnsi="Times New Roman" w:eastAsia="宋体"/>
          <w:color w:val="auto"/>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lang w:val="en-US" w:eastAsia="zh-CN"/>
        </w:rPr>
      </w:pPr>
    </w:p>
    <w:p>
      <w:pPr>
        <w:pStyle w:val="82"/>
        <w:adjustRightInd w:val="0"/>
        <w:snapToGrid w:val="0"/>
        <w:ind w:firstLine="0" w:firstLineChars="0"/>
        <w:rPr>
          <w:rFonts w:ascii="Times New Roman" w:hAnsi="Times New Roman" w:eastAsia="宋体"/>
          <w:color w:val="auto"/>
          <w:szCs w:val="24"/>
        </w:rPr>
        <w:sectPr>
          <w:pgSz w:w="11906" w:h="16838"/>
          <w:pgMar w:top="1440" w:right="1451" w:bottom="1440" w:left="1451" w:header="851" w:footer="992" w:gutter="0"/>
          <w:pgBorders>
            <w:top w:val="none" w:sz="0" w:space="0"/>
            <w:left w:val="none" w:sz="0" w:space="0"/>
            <w:bottom w:val="none" w:sz="0" w:space="0"/>
            <w:right w:val="none" w:sz="0" w:space="0"/>
          </w:pgBorders>
          <w:pgNumType w:fmt="decimal"/>
          <w:cols w:space="0" w:num="1"/>
          <w:rtlGutter w:val="0"/>
          <w:docGrid w:type="lines" w:linePitch="321" w:charSpace="0"/>
        </w:sectPr>
      </w:pPr>
    </w:p>
    <w:p>
      <w:pPr>
        <w:pStyle w:val="4"/>
        <w:adjustRightInd w:val="0"/>
        <w:snapToGrid w:val="0"/>
        <w:spacing w:line="360" w:lineRule="auto"/>
        <w:jc w:val="center"/>
        <w:rPr>
          <w:rFonts w:ascii="Times New Roman" w:hAnsi="Times New Roman" w:eastAsia="宋体"/>
          <w:color w:val="auto"/>
          <w:sz w:val="32"/>
          <w:szCs w:val="32"/>
        </w:rPr>
      </w:pPr>
      <w:bookmarkStart w:id="161" w:name="_Toc25828"/>
      <w:r>
        <w:rPr>
          <w:rFonts w:hint="eastAsia" w:ascii="Times New Roman" w:hAnsi="Times New Roman" w:eastAsia="宋体"/>
          <w:color w:val="auto"/>
          <w:sz w:val="32"/>
          <w:szCs w:val="32"/>
        </w:rPr>
        <w:t>4</w:t>
      </w:r>
      <w:bookmarkEnd w:id="133"/>
      <w:r>
        <w:rPr>
          <w:rFonts w:hint="eastAsia" w:ascii="Times New Roman" w:hAnsi="Times New Roman" w:eastAsia="宋体"/>
          <w:color w:val="auto"/>
          <w:sz w:val="32"/>
          <w:szCs w:val="32"/>
        </w:rPr>
        <w:t>建设项目周围环境概况</w:t>
      </w:r>
      <w:bookmarkEnd w:id="134"/>
      <w:bookmarkEnd w:id="161"/>
    </w:p>
    <w:p>
      <w:pPr>
        <w:pStyle w:val="5"/>
        <w:adjustRightInd w:val="0"/>
        <w:snapToGrid w:val="0"/>
        <w:spacing w:before="0" w:after="0" w:line="360" w:lineRule="auto"/>
        <w:rPr>
          <w:rFonts w:ascii="Times New Roman" w:hAnsi="Times New Roman" w:eastAsia="宋体"/>
          <w:color w:val="auto"/>
          <w:sz w:val="30"/>
          <w:szCs w:val="30"/>
        </w:rPr>
      </w:pPr>
      <w:bookmarkStart w:id="162" w:name="_Toc18271"/>
      <w:bookmarkStart w:id="163" w:name="_Toc6348"/>
      <w:bookmarkStart w:id="164" w:name="_Toc459118442"/>
      <w:r>
        <w:rPr>
          <w:rFonts w:hint="eastAsia" w:ascii="Times New Roman" w:hAnsi="Times New Roman" w:eastAsia="宋体"/>
          <w:color w:val="auto"/>
          <w:sz w:val="30"/>
          <w:szCs w:val="30"/>
        </w:rPr>
        <w:t>4.1</w:t>
      </w:r>
      <w:r>
        <w:rPr>
          <w:rFonts w:ascii="Times New Roman" w:hAnsi="Times New Roman" w:eastAsia="宋体"/>
          <w:color w:val="auto"/>
          <w:sz w:val="30"/>
          <w:szCs w:val="30"/>
        </w:rPr>
        <w:t>自然环境概况</w:t>
      </w:r>
      <w:bookmarkEnd w:id="162"/>
      <w:bookmarkEnd w:id="163"/>
      <w:bookmarkEnd w:id="164"/>
    </w:p>
    <w:p>
      <w:pPr>
        <w:pStyle w:val="6"/>
        <w:adjustRightInd w:val="0"/>
        <w:snapToGrid w:val="0"/>
        <w:spacing w:before="0" w:after="0" w:line="360" w:lineRule="auto"/>
        <w:rPr>
          <w:rFonts w:ascii="Times New Roman" w:hAnsi="Times New Roman" w:eastAsia="宋体"/>
          <w:color w:val="auto"/>
          <w:sz w:val="28"/>
          <w:szCs w:val="28"/>
        </w:rPr>
      </w:pPr>
      <w:bookmarkStart w:id="165" w:name="_Toc29157"/>
      <w:bookmarkStart w:id="166" w:name="_Toc459118443"/>
      <w:r>
        <w:rPr>
          <w:rFonts w:hint="eastAsia" w:ascii="Times New Roman" w:hAnsi="Times New Roman" w:eastAsia="宋体"/>
          <w:color w:val="auto"/>
          <w:sz w:val="28"/>
          <w:szCs w:val="28"/>
        </w:rPr>
        <w:t>4.1</w:t>
      </w:r>
      <w:r>
        <w:rPr>
          <w:rFonts w:ascii="Times New Roman" w:hAnsi="Times New Roman" w:eastAsia="宋体"/>
          <w:color w:val="auto"/>
          <w:sz w:val="28"/>
          <w:szCs w:val="28"/>
        </w:rPr>
        <w:t>.1地理位置</w:t>
      </w:r>
      <w:bookmarkEnd w:id="165"/>
      <w:bookmarkEnd w:id="166"/>
    </w:p>
    <w:p>
      <w:pPr>
        <w:adjustRightInd w:val="0"/>
        <w:snapToGrid w:val="0"/>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眉山位于四川盆地成都平原西南部，岷江中游。北接省会成都，南连乐山，东邻内江、资阳、自贡，西接雅安，是成（都）乐（山）黄金走廊的中段重点地区及“成都平原经济圈”的重要组成部分。眉山市政府所在地东坡区距成都 70 余公里，距峨眉山 80余公里，距乐山大佛 60 余公里；北临成都双流机场 40 余公里，南距乐山大件运输码头70 余公里。境内成乐大件公路、213 国道、岷江水道并行纵贯南北，雅安¬—洪雅—眉山—仁寿—内江—自贡（省道 106 线）横跨东西，成乐（山）、成雅（安）高速公路在境内交汇；县乡标美路路网连动发展，公路等级和通行能力大大提高；“丰”字型主骨架公路网络、“半小时经济圈”、 “一小时成都”形成。成昆铁路由北向南穿过彭山县、东坡区，是邻近地区客货进出的主运道。形成纵横交错、四通八达的交通网络。</w:t>
      </w:r>
    </w:p>
    <w:p>
      <w:pPr>
        <w:adjustRightInd w:val="0"/>
        <w:snapToGrid w:val="0"/>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丹棱县地处四川盆地西南边缘，东与眉山市东坡区毗邻、南与夹江接壤，西南同洪雅相连，西北与雅安名山为邻，北同蒲江联接。</w:t>
      </w:r>
    </w:p>
    <w:p>
      <w:pPr>
        <w:adjustRightInd w:val="0"/>
        <w:snapToGrid w:val="0"/>
        <w:spacing w:line="360" w:lineRule="auto"/>
        <w:ind w:firstLine="480" w:firstLineChars="200"/>
        <w:rPr>
          <w:rFonts w:ascii="Times New Roman" w:hAnsi="Times New Roman" w:eastAsia="宋体"/>
          <w:bCs/>
          <w:color w:val="auto"/>
          <w:sz w:val="24"/>
          <w:szCs w:val="24"/>
        </w:rPr>
      </w:pPr>
      <w:r>
        <w:rPr>
          <w:rFonts w:hint="eastAsia" w:ascii="Times New Roman" w:hAnsi="Times New Roman" w:eastAsia="宋体"/>
          <w:color w:val="auto"/>
          <w:sz w:val="24"/>
          <w:szCs w:val="24"/>
          <w:lang w:eastAsia="zh-CN"/>
        </w:rPr>
        <w:t>本项目选址于眉山市丹棱县仁美镇。具体地理位置见附图 1</w:t>
      </w:r>
      <w:r>
        <w:rPr>
          <w:rFonts w:hint="eastAsia" w:ascii="Times New Roman" w:hAnsi="Times New Roman" w:eastAsia="宋体"/>
          <w:color w:val="auto"/>
          <w:sz w:val="24"/>
          <w:szCs w:val="24"/>
        </w:rPr>
        <w:t>。</w:t>
      </w:r>
    </w:p>
    <w:p>
      <w:pPr>
        <w:pStyle w:val="6"/>
        <w:adjustRightInd w:val="0"/>
        <w:snapToGrid w:val="0"/>
        <w:spacing w:before="0" w:after="0" w:line="360" w:lineRule="auto"/>
        <w:rPr>
          <w:rFonts w:ascii="Times New Roman" w:hAnsi="Times New Roman" w:eastAsia="宋体"/>
          <w:color w:val="auto"/>
          <w:sz w:val="28"/>
          <w:szCs w:val="28"/>
        </w:rPr>
      </w:pPr>
      <w:bookmarkStart w:id="167" w:name="_Toc1539"/>
      <w:bookmarkStart w:id="168" w:name="_Toc459118444"/>
      <w:r>
        <w:rPr>
          <w:rFonts w:hint="eastAsia" w:ascii="Times New Roman" w:hAnsi="Times New Roman" w:eastAsia="宋体"/>
          <w:color w:val="auto"/>
          <w:sz w:val="28"/>
          <w:szCs w:val="28"/>
        </w:rPr>
        <w:t>4.1</w:t>
      </w:r>
      <w:r>
        <w:rPr>
          <w:rFonts w:ascii="Times New Roman" w:hAnsi="Times New Roman" w:eastAsia="宋体"/>
          <w:color w:val="auto"/>
          <w:sz w:val="28"/>
          <w:szCs w:val="28"/>
        </w:rPr>
        <w:t>.2地形</w:t>
      </w:r>
      <w:r>
        <w:rPr>
          <w:rFonts w:hint="eastAsia" w:ascii="Times New Roman" w:hAnsi="Times New Roman" w:eastAsia="宋体"/>
          <w:color w:val="auto"/>
          <w:sz w:val="28"/>
          <w:szCs w:val="28"/>
          <w:lang w:eastAsia="zh-CN"/>
        </w:rPr>
        <w:t>、地质及</w:t>
      </w:r>
      <w:r>
        <w:rPr>
          <w:rFonts w:ascii="Times New Roman" w:hAnsi="Times New Roman" w:eastAsia="宋体"/>
          <w:color w:val="auto"/>
          <w:sz w:val="28"/>
          <w:szCs w:val="28"/>
        </w:rPr>
        <w:t>地貌</w:t>
      </w:r>
      <w:bookmarkEnd w:id="167"/>
      <w:bookmarkEnd w:id="168"/>
    </w:p>
    <w:p>
      <w:pPr>
        <w:adjustRightInd w:val="0"/>
        <w:snapToGrid w:val="0"/>
        <w:spacing w:line="360" w:lineRule="auto"/>
        <w:ind w:firstLine="480" w:firstLineChars="200"/>
        <w:rPr>
          <w:rFonts w:hint="eastAsia" w:ascii="Times New Roman" w:hAnsi="Times New Roman" w:eastAsia="宋体"/>
          <w:color w:val="auto"/>
          <w:sz w:val="24"/>
          <w:szCs w:val="24"/>
          <w:lang w:eastAsia="zh-CN"/>
        </w:rPr>
      </w:pPr>
      <w:bookmarkStart w:id="169" w:name="_Toc26122"/>
      <w:bookmarkStart w:id="170" w:name="_Toc459118445"/>
      <w:r>
        <w:rPr>
          <w:rFonts w:hint="eastAsia" w:ascii="Times New Roman" w:hAnsi="Times New Roman" w:eastAsia="宋体"/>
          <w:color w:val="auto"/>
          <w:sz w:val="24"/>
          <w:szCs w:val="24"/>
          <w:lang w:eastAsia="zh-CN"/>
        </w:rPr>
        <w:t>眉山地处总岗山与龙泉山之间，东、西面是丘陵、浅山，中部是河川平原，地势相对平坦，且由西北向东南逐渐倾斜。全区最高海拔高948.5米，最低点海拔高391.4米，其间相差557.1米。境内兼有各种地形，大致分为五个类型：平坝、阶地、浅丘、深丘、低山。其中平坝占33.8％。浅丘占53.8％，低山仅占12.4％。项目所在地区地处岷江平原，属河漫滩，江岸两侧带状平原和冰水堆积扇状平原。平原分为沙坝，由冲积物构成，海拔400～415米，潮泥坝，由泛滥物构成，高于沙坝2～3米；再积平坝：系黄色老冲积物经水再搬运形成，高于潮泥坝2～3米，海拔403～420米，国家地震局划定眉山一带地震烈度为7度。</w:t>
      </w:r>
    </w:p>
    <w:p>
      <w:pPr>
        <w:adjustRightInd w:val="0"/>
        <w:snapToGrid w:val="0"/>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丹棱县地势西北高，东南低，逐渐倾斜。西北多山地，东南多浅丘平坝，丘陵约占土地总面积的 54%。总岗山脉横亘于县域西北，在县境绵延约 25 公里，最高点老峨山海拔 1142 米，最低点在县境东南扬场镇宋扁村，海拔 450m。</w:t>
      </w:r>
    </w:p>
    <w:p>
      <w:pPr>
        <w:adjustRightInd w:val="0"/>
        <w:snapToGrid w:val="0"/>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全县地貌分为平坝、台地、宽谷浅中丘、山麓深丘、低山窄谷五大单元，其分别占全县总面积的 9.81%、22.51%、24.53%、23.13%和 20.02%。</w:t>
      </w:r>
    </w:p>
    <w:p>
      <w:pPr>
        <w:adjustRightInd w:val="0"/>
        <w:snapToGrid w:val="0"/>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丹棱县在地质构造上属四川中台坳。县境之北为熊坡背斜构造带（即总岗山），东南为三苏场斜构造带。熊坡背斜构造带北翼陡而南翼缓。北翼的浦江附近可见断层和笔陡的山岗，南翼本县境内则地势逐渐低缓为密集的斜岗丘陵地带。县境内主要地形构造有侏罗系沙溪庙组、遂宁组、蓬莱镇组、白垩系夹组、灌口组和第四系地层。</w:t>
      </w:r>
    </w:p>
    <w:p>
      <w:pPr>
        <w:adjustRightInd w:val="0"/>
        <w:snapToGrid w:val="0"/>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项目所在地区域地貌单元属于岷江平原Ⅱ、Ⅲ级阶地，西侧为Ⅲ级阶地。地面高程415～417 米，最大高差 3 米，阶地陡坎为 1～2 米。总体地势北、西高。南东略低，开阔平坦。现为农田、林地用地，机耕道交错，交通较为方便。</w:t>
      </w:r>
    </w:p>
    <w:p>
      <w:pPr>
        <w:adjustRightInd w:val="0"/>
        <w:snapToGrid w:val="0"/>
        <w:spacing w:line="360" w:lineRule="auto"/>
        <w:outlineLvl w:val="2"/>
        <w:rPr>
          <w:rFonts w:hint="eastAsia" w:ascii="Times New Roman" w:hAnsi="Times New Roman" w:eastAsia="宋体"/>
          <w:b/>
          <w:bCs/>
          <w:color w:val="auto"/>
          <w:sz w:val="28"/>
          <w:szCs w:val="28"/>
          <w:lang w:eastAsia="zh-CN"/>
        </w:rPr>
      </w:pPr>
      <w:r>
        <w:rPr>
          <w:rFonts w:hint="eastAsia" w:ascii="Times New Roman" w:hAnsi="Times New Roman" w:eastAsia="宋体"/>
          <w:b/>
          <w:bCs/>
          <w:color w:val="auto"/>
          <w:sz w:val="28"/>
          <w:szCs w:val="28"/>
        </w:rPr>
        <w:t>4.1</w:t>
      </w:r>
      <w:r>
        <w:rPr>
          <w:rFonts w:ascii="Times New Roman" w:hAnsi="Times New Roman" w:eastAsia="宋体"/>
          <w:b/>
          <w:bCs/>
          <w:color w:val="auto"/>
          <w:sz w:val="28"/>
          <w:szCs w:val="28"/>
        </w:rPr>
        <w:t>.</w:t>
      </w:r>
      <w:r>
        <w:rPr>
          <w:rFonts w:hint="eastAsia" w:ascii="Times New Roman" w:hAnsi="Times New Roman" w:eastAsia="宋体"/>
          <w:b/>
          <w:bCs/>
          <w:color w:val="auto"/>
          <w:sz w:val="28"/>
          <w:szCs w:val="28"/>
        </w:rPr>
        <w:t>3</w:t>
      </w:r>
      <w:r>
        <w:rPr>
          <w:rFonts w:hint="eastAsia" w:ascii="Times New Roman" w:hAnsi="Times New Roman" w:eastAsia="宋体"/>
          <w:b/>
          <w:bCs/>
          <w:color w:val="auto"/>
          <w:sz w:val="28"/>
          <w:szCs w:val="28"/>
          <w:lang w:eastAsia="zh-CN"/>
        </w:rPr>
        <w:t>气候</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rPr>
        <w:t>项目区地处四川盆地西南部浅丘地区，属亚热带季风气候。多雨夏热，四季分明，季风影响明显，根据眉山市气象局提供的气象资料，1999～2000年该地区地面常规气象统计资料如下：</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rPr>
        <w:t>年平均气温           18℃</w:t>
      </w:r>
      <w:r>
        <w:rPr>
          <w:rFonts w:hint="eastAsia" w:ascii="Times New Roman" w:hAnsi="Times New Roman" w:eastAsia="宋体"/>
          <w:color w:val="auto"/>
          <w:sz w:val="24"/>
          <w:szCs w:val="24"/>
        </w:rPr>
        <w:tab/>
      </w:r>
      <w:r>
        <w:rPr>
          <w:rFonts w:hint="eastAsia" w:ascii="Times New Roman" w:hAnsi="Times New Roman" w:eastAsia="宋体"/>
          <w:color w:val="auto"/>
          <w:sz w:val="24"/>
          <w:szCs w:val="24"/>
        </w:rPr>
        <w:tab/>
      </w:r>
      <w:r>
        <w:rPr>
          <w:rFonts w:hint="eastAsia" w:ascii="Times New Roman" w:hAnsi="Times New Roman" w:eastAsia="宋体"/>
          <w:color w:val="auto"/>
          <w:sz w:val="24"/>
          <w:szCs w:val="24"/>
        </w:rPr>
        <w:tab/>
      </w:r>
      <w:r>
        <w:rPr>
          <w:rFonts w:hint="eastAsia" w:ascii="Times New Roman" w:hAnsi="Times New Roman" w:eastAsia="宋体"/>
          <w:color w:val="auto"/>
          <w:sz w:val="24"/>
          <w:szCs w:val="24"/>
        </w:rPr>
        <w:tab/>
      </w:r>
      <w:r>
        <w:rPr>
          <w:rFonts w:hint="eastAsia" w:ascii="Times New Roman" w:hAnsi="Times New Roman" w:eastAsia="宋体"/>
          <w:color w:val="auto"/>
          <w:sz w:val="24"/>
          <w:szCs w:val="24"/>
        </w:rPr>
        <w:t>年平均降雨量       1070.7毫米</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rPr>
        <w:t>年平均最大相对湿度   75%</w:t>
      </w:r>
      <w:r>
        <w:rPr>
          <w:rFonts w:hint="eastAsia" w:ascii="Times New Roman" w:hAnsi="Times New Roman" w:eastAsia="宋体"/>
          <w:color w:val="auto"/>
          <w:sz w:val="24"/>
          <w:szCs w:val="24"/>
        </w:rPr>
        <w:tab/>
      </w:r>
      <w:r>
        <w:rPr>
          <w:rFonts w:hint="eastAsia" w:ascii="Times New Roman" w:hAnsi="Times New Roman" w:eastAsia="宋体"/>
          <w:color w:val="auto"/>
          <w:sz w:val="24"/>
          <w:szCs w:val="24"/>
        </w:rPr>
        <w:tab/>
      </w:r>
      <w:r>
        <w:rPr>
          <w:rFonts w:hint="eastAsia" w:ascii="Times New Roman" w:hAnsi="Times New Roman" w:eastAsia="宋体"/>
          <w:color w:val="auto"/>
          <w:sz w:val="24"/>
          <w:szCs w:val="24"/>
        </w:rPr>
        <w:tab/>
      </w:r>
      <w:r>
        <w:rPr>
          <w:rFonts w:hint="eastAsia" w:ascii="Times New Roman" w:hAnsi="Times New Roman" w:eastAsia="宋体"/>
          <w:color w:val="auto"/>
          <w:sz w:val="24"/>
          <w:szCs w:val="24"/>
        </w:rPr>
        <w:t xml:space="preserve">    年平均雷暴次数</w:t>
      </w:r>
      <w:r>
        <w:rPr>
          <w:rFonts w:hint="eastAsia" w:ascii="Times New Roman" w:hAnsi="Times New Roman" w:eastAsia="宋体"/>
          <w:color w:val="auto"/>
          <w:sz w:val="24"/>
          <w:szCs w:val="24"/>
        </w:rPr>
        <w:tab/>
      </w:r>
      <w:r>
        <w:rPr>
          <w:rFonts w:hint="eastAsia" w:ascii="Times New Roman" w:hAnsi="Times New Roman" w:eastAsia="宋体"/>
          <w:color w:val="auto"/>
          <w:sz w:val="24"/>
          <w:szCs w:val="24"/>
        </w:rPr>
        <w:tab/>
      </w:r>
      <w:r>
        <w:rPr>
          <w:rFonts w:hint="eastAsia" w:ascii="Times New Roman" w:hAnsi="Times New Roman" w:eastAsia="宋体"/>
          <w:color w:val="auto"/>
          <w:sz w:val="24"/>
          <w:szCs w:val="24"/>
        </w:rPr>
        <w:t>3次</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rPr>
        <w:t>年平均风速</w:t>
      </w:r>
      <w:r>
        <w:rPr>
          <w:rFonts w:hint="eastAsia" w:ascii="Times New Roman" w:hAnsi="Times New Roman" w:eastAsia="宋体"/>
          <w:color w:val="auto"/>
          <w:sz w:val="24"/>
          <w:szCs w:val="24"/>
        </w:rPr>
        <w:tab/>
      </w:r>
      <w:r>
        <w:rPr>
          <w:rFonts w:hint="eastAsia" w:ascii="Times New Roman" w:hAnsi="Times New Roman" w:eastAsia="宋体"/>
          <w:color w:val="auto"/>
          <w:sz w:val="24"/>
          <w:szCs w:val="24"/>
        </w:rPr>
        <w:t xml:space="preserve">        1.4米/秒</w:t>
      </w:r>
      <w:r>
        <w:rPr>
          <w:rFonts w:hint="eastAsia" w:ascii="Times New Roman" w:hAnsi="Times New Roman" w:eastAsia="宋体"/>
          <w:color w:val="auto"/>
          <w:sz w:val="24"/>
          <w:szCs w:val="24"/>
        </w:rPr>
        <w:tab/>
      </w:r>
      <w:r>
        <w:rPr>
          <w:rFonts w:hint="eastAsia" w:ascii="Times New Roman" w:hAnsi="Times New Roman" w:eastAsia="宋体"/>
          <w:color w:val="auto"/>
          <w:sz w:val="24"/>
          <w:szCs w:val="24"/>
        </w:rPr>
        <w:tab/>
      </w:r>
      <w:r>
        <w:rPr>
          <w:rFonts w:hint="eastAsia" w:ascii="Times New Roman" w:hAnsi="Times New Roman" w:eastAsia="宋体"/>
          <w:color w:val="auto"/>
          <w:sz w:val="24"/>
          <w:szCs w:val="24"/>
        </w:rPr>
        <w:t xml:space="preserve"> </w:t>
      </w:r>
      <w:r>
        <w:rPr>
          <w:rFonts w:hint="eastAsia" w:ascii="Times New Roman" w:hAnsi="Times New Roman" w:eastAsia="宋体"/>
          <w:color w:val="auto"/>
          <w:sz w:val="24"/>
          <w:szCs w:val="24"/>
        </w:rPr>
        <w:tab/>
      </w:r>
      <w:r>
        <w:rPr>
          <w:rFonts w:hint="eastAsia" w:ascii="Times New Roman" w:hAnsi="Times New Roman" w:eastAsia="宋体"/>
          <w:color w:val="auto"/>
          <w:sz w:val="24"/>
          <w:szCs w:val="24"/>
        </w:rPr>
        <w:t>主导风向</w:t>
      </w:r>
      <w:r>
        <w:rPr>
          <w:rFonts w:hint="eastAsia" w:ascii="Times New Roman" w:hAnsi="Times New Roman" w:eastAsia="宋体"/>
          <w:color w:val="auto"/>
          <w:sz w:val="24"/>
          <w:szCs w:val="24"/>
        </w:rPr>
        <w:tab/>
      </w:r>
      <w:r>
        <w:rPr>
          <w:rFonts w:hint="eastAsia" w:ascii="Times New Roman" w:hAnsi="Times New Roman" w:eastAsia="宋体"/>
          <w:color w:val="auto"/>
          <w:sz w:val="24"/>
          <w:szCs w:val="24"/>
        </w:rPr>
        <w:tab/>
      </w:r>
      <w:r>
        <w:rPr>
          <w:rFonts w:hint="eastAsia" w:ascii="Times New Roman" w:hAnsi="Times New Roman" w:eastAsia="宋体"/>
          <w:color w:val="auto"/>
          <w:sz w:val="24"/>
          <w:szCs w:val="24"/>
        </w:rPr>
        <w:t xml:space="preserve">       北</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rPr>
        <w:t>极端最高气温</w:t>
      </w:r>
      <w:r>
        <w:rPr>
          <w:rFonts w:hint="eastAsia" w:ascii="Times New Roman" w:hAnsi="Times New Roman" w:eastAsia="宋体"/>
          <w:color w:val="auto"/>
          <w:sz w:val="24"/>
          <w:szCs w:val="24"/>
        </w:rPr>
        <w:tab/>
      </w:r>
      <w:r>
        <w:rPr>
          <w:rFonts w:hint="eastAsia" w:ascii="Times New Roman" w:hAnsi="Times New Roman" w:eastAsia="宋体"/>
          <w:color w:val="auto"/>
          <w:sz w:val="24"/>
          <w:szCs w:val="24"/>
        </w:rPr>
        <w:t xml:space="preserve">     37.2℃</w:t>
      </w:r>
      <w:r>
        <w:rPr>
          <w:rFonts w:hint="eastAsia" w:ascii="Times New Roman" w:hAnsi="Times New Roman" w:eastAsia="宋体"/>
          <w:color w:val="auto"/>
          <w:sz w:val="24"/>
          <w:szCs w:val="24"/>
        </w:rPr>
        <w:tab/>
      </w:r>
      <w:r>
        <w:rPr>
          <w:rFonts w:hint="eastAsia" w:ascii="Times New Roman" w:hAnsi="Times New Roman" w:eastAsia="宋体"/>
          <w:color w:val="auto"/>
          <w:sz w:val="24"/>
          <w:szCs w:val="24"/>
        </w:rPr>
        <w:tab/>
      </w:r>
      <w:r>
        <w:rPr>
          <w:rFonts w:hint="eastAsia" w:ascii="Times New Roman" w:hAnsi="Times New Roman" w:eastAsia="宋体"/>
          <w:color w:val="auto"/>
          <w:sz w:val="24"/>
          <w:szCs w:val="24"/>
        </w:rPr>
        <w:tab/>
      </w:r>
      <w:r>
        <w:rPr>
          <w:rFonts w:hint="eastAsia" w:ascii="Times New Roman" w:hAnsi="Times New Roman" w:eastAsia="宋体"/>
          <w:color w:val="auto"/>
          <w:sz w:val="24"/>
          <w:szCs w:val="24"/>
        </w:rPr>
        <w:t>极端最低气温</w:t>
      </w:r>
      <w:r>
        <w:rPr>
          <w:rFonts w:hint="eastAsia" w:ascii="Times New Roman" w:hAnsi="Times New Roman" w:eastAsia="宋体"/>
          <w:color w:val="auto"/>
          <w:sz w:val="24"/>
          <w:szCs w:val="24"/>
        </w:rPr>
        <w:tab/>
      </w:r>
      <w:r>
        <w:rPr>
          <w:rFonts w:hint="eastAsia" w:ascii="Times New Roman" w:hAnsi="Times New Roman" w:eastAsia="宋体"/>
          <w:color w:val="auto"/>
          <w:sz w:val="24"/>
          <w:szCs w:val="24"/>
        </w:rPr>
        <w:t xml:space="preserve">       -3.4℃</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rPr>
        <w:t>最热月(七月)平均气温 26℃</w:t>
      </w:r>
      <w:r>
        <w:rPr>
          <w:rFonts w:hint="eastAsia" w:ascii="Times New Roman" w:hAnsi="Times New Roman" w:eastAsia="宋体"/>
          <w:color w:val="auto"/>
          <w:sz w:val="24"/>
          <w:szCs w:val="24"/>
        </w:rPr>
        <w:tab/>
      </w:r>
      <w:r>
        <w:rPr>
          <w:rFonts w:hint="eastAsia" w:ascii="Times New Roman" w:hAnsi="Times New Roman" w:eastAsia="宋体"/>
          <w:color w:val="auto"/>
          <w:sz w:val="24"/>
          <w:szCs w:val="24"/>
        </w:rPr>
        <w:tab/>
      </w:r>
      <w:r>
        <w:rPr>
          <w:rFonts w:hint="eastAsia" w:ascii="Times New Roman" w:hAnsi="Times New Roman" w:eastAsia="宋体"/>
          <w:color w:val="auto"/>
          <w:sz w:val="24"/>
          <w:szCs w:val="24"/>
        </w:rPr>
        <w:t xml:space="preserve">     </w:t>
      </w:r>
      <w:r>
        <w:rPr>
          <w:rFonts w:hint="eastAsia" w:ascii="Times New Roman" w:hAnsi="Times New Roman" w:eastAsia="宋体"/>
          <w:color w:val="auto"/>
          <w:sz w:val="24"/>
          <w:szCs w:val="24"/>
        </w:rPr>
        <w:tab/>
      </w:r>
      <w:r>
        <w:rPr>
          <w:rFonts w:hint="eastAsia" w:ascii="Times New Roman" w:hAnsi="Times New Roman" w:eastAsia="宋体"/>
          <w:color w:val="auto"/>
          <w:sz w:val="24"/>
          <w:szCs w:val="24"/>
        </w:rPr>
        <w:t>最冷月(一月)平均气温  6.6℃</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rPr>
        <w:t>≥10℃活动积温       5768.7℃</w:t>
      </w:r>
      <w:r>
        <w:rPr>
          <w:rFonts w:hint="eastAsia" w:ascii="Times New Roman" w:hAnsi="Times New Roman" w:eastAsia="宋体"/>
          <w:color w:val="auto"/>
          <w:sz w:val="24"/>
          <w:szCs w:val="24"/>
        </w:rPr>
        <w:tab/>
      </w:r>
      <w:r>
        <w:rPr>
          <w:rFonts w:hint="eastAsia" w:ascii="Times New Roman" w:hAnsi="Times New Roman" w:eastAsia="宋体"/>
          <w:color w:val="auto"/>
          <w:sz w:val="24"/>
          <w:szCs w:val="24"/>
        </w:rPr>
        <w:tab/>
      </w:r>
      <w:r>
        <w:rPr>
          <w:rFonts w:hint="eastAsia" w:ascii="Times New Roman" w:hAnsi="Times New Roman" w:eastAsia="宋体"/>
          <w:color w:val="auto"/>
          <w:sz w:val="24"/>
          <w:szCs w:val="24"/>
        </w:rPr>
        <w:t xml:space="preserve">  </w:t>
      </w:r>
      <w:r>
        <w:rPr>
          <w:rFonts w:hint="eastAsia" w:ascii="Times New Roman" w:hAnsi="Times New Roman" w:eastAsia="宋体"/>
          <w:color w:val="auto"/>
          <w:sz w:val="24"/>
          <w:szCs w:val="24"/>
        </w:rPr>
        <w:tab/>
      </w:r>
      <w:r>
        <w:rPr>
          <w:rFonts w:hint="eastAsia" w:ascii="Times New Roman" w:hAnsi="Times New Roman" w:eastAsia="宋体"/>
          <w:color w:val="auto"/>
          <w:sz w:val="24"/>
          <w:szCs w:val="24"/>
        </w:rPr>
        <w:t xml:space="preserve">无霜期              </w:t>
      </w:r>
      <w:r>
        <w:rPr>
          <w:rFonts w:hint="eastAsia" w:ascii="Times New Roman" w:hAnsi="Times New Roman" w:eastAsia="宋体"/>
          <w:color w:val="auto"/>
          <w:sz w:val="24"/>
          <w:szCs w:val="24"/>
        </w:rPr>
        <w:tab/>
      </w:r>
      <w:r>
        <w:rPr>
          <w:rFonts w:hint="eastAsia" w:ascii="Times New Roman" w:hAnsi="Times New Roman" w:eastAsia="宋体"/>
          <w:color w:val="auto"/>
          <w:sz w:val="24"/>
          <w:szCs w:val="24"/>
        </w:rPr>
        <w:t>322天</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rPr>
        <w:t>月(七月)最大降雨量    256.1mm</w:t>
      </w:r>
      <w:r>
        <w:rPr>
          <w:rFonts w:hint="eastAsia" w:ascii="Times New Roman" w:hAnsi="Times New Roman" w:eastAsia="宋体"/>
          <w:color w:val="auto"/>
          <w:sz w:val="24"/>
          <w:szCs w:val="24"/>
        </w:rPr>
        <w:tab/>
      </w:r>
      <w:r>
        <w:rPr>
          <w:rFonts w:hint="eastAsia" w:ascii="Times New Roman" w:hAnsi="Times New Roman" w:eastAsia="宋体"/>
          <w:color w:val="auto"/>
          <w:sz w:val="24"/>
          <w:szCs w:val="24"/>
        </w:rPr>
        <w:tab/>
      </w:r>
      <w:r>
        <w:rPr>
          <w:rFonts w:hint="eastAsia" w:ascii="Times New Roman" w:hAnsi="Times New Roman" w:eastAsia="宋体"/>
          <w:color w:val="auto"/>
          <w:sz w:val="24"/>
          <w:szCs w:val="24"/>
        </w:rPr>
        <w:t xml:space="preserve">  </w:t>
      </w:r>
      <w:r>
        <w:rPr>
          <w:rFonts w:hint="eastAsia" w:ascii="Times New Roman" w:hAnsi="Times New Roman" w:eastAsia="宋体"/>
          <w:color w:val="auto"/>
          <w:sz w:val="24"/>
          <w:szCs w:val="24"/>
        </w:rPr>
        <w:tab/>
      </w:r>
      <w:r>
        <w:rPr>
          <w:rFonts w:hint="eastAsia" w:ascii="Times New Roman" w:hAnsi="Times New Roman" w:eastAsia="宋体"/>
          <w:color w:val="auto"/>
          <w:sz w:val="24"/>
          <w:szCs w:val="24"/>
        </w:rPr>
        <w:t xml:space="preserve">历年日最大积雪深度  </w:t>
      </w:r>
      <w:r>
        <w:rPr>
          <w:rFonts w:hint="eastAsia" w:ascii="Times New Roman" w:hAnsi="Times New Roman" w:eastAsia="宋体"/>
          <w:color w:val="auto"/>
          <w:sz w:val="24"/>
          <w:szCs w:val="24"/>
        </w:rPr>
        <w:tab/>
      </w:r>
      <w:r>
        <w:rPr>
          <w:rFonts w:hint="eastAsia" w:ascii="Times New Roman" w:hAnsi="Times New Roman" w:eastAsia="宋体"/>
          <w:color w:val="auto"/>
          <w:sz w:val="24"/>
          <w:szCs w:val="24"/>
        </w:rPr>
        <w:t>5.5mm</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rPr>
        <w:t xml:space="preserve">月平均最大相对湿度   90% </w:t>
      </w:r>
      <w:r>
        <w:rPr>
          <w:rFonts w:hint="eastAsia" w:ascii="Times New Roman" w:hAnsi="Times New Roman" w:eastAsia="宋体"/>
          <w:color w:val="auto"/>
          <w:sz w:val="24"/>
          <w:szCs w:val="24"/>
        </w:rPr>
        <w:tab/>
      </w:r>
      <w:r>
        <w:rPr>
          <w:rFonts w:hint="eastAsia" w:ascii="Times New Roman" w:hAnsi="Times New Roman" w:eastAsia="宋体"/>
          <w:color w:val="auto"/>
          <w:sz w:val="24"/>
          <w:szCs w:val="24"/>
        </w:rPr>
        <w:tab/>
      </w:r>
      <w:r>
        <w:rPr>
          <w:rFonts w:hint="eastAsia" w:ascii="Times New Roman" w:hAnsi="Times New Roman" w:eastAsia="宋体"/>
          <w:color w:val="auto"/>
          <w:sz w:val="24"/>
          <w:szCs w:val="24"/>
        </w:rPr>
        <w:t xml:space="preserve">     </w:t>
      </w:r>
      <w:r>
        <w:rPr>
          <w:rFonts w:hint="eastAsia" w:ascii="Times New Roman" w:hAnsi="Times New Roman" w:eastAsia="宋体"/>
          <w:color w:val="auto"/>
          <w:sz w:val="24"/>
          <w:szCs w:val="24"/>
        </w:rPr>
        <w:tab/>
      </w:r>
      <w:r>
        <w:rPr>
          <w:rFonts w:hint="eastAsia" w:ascii="Times New Roman" w:hAnsi="Times New Roman" w:eastAsia="宋体"/>
          <w:color w:val="auto"/>
          <w:sz w:val="24"/>
          <w:szCs w:val="24"/>
        </w:rPr>
        <w:t xml:space="preserve">最大风速            </w:t>
      </w:r>
      <w:r>
        <w:rPr>
          <w:rFonts w:hint="eastAsia" w:ascii="Times New Roman" w:hAnsi="Times New Roman" w:eastAsia="宋体"/>
          <w:color w:val="auto"/>
          <w:sz w:val="24"/>
          <w:szCs w:val="24"/>
        </w:rPr>
        <w:tab/>
      </w:r>
      <w:r>
        <w:rPr>
          <w:rFonts w:hint="eastAsia" w:ascii="Times New Roman" w:hAnsi="Times New Roman" w:eastAsia="宋体"/>
          <w:color w:val="auto"/>
          <w:sz w:val="24"/>
          <w:szCs w:val="24"/>
        </w:rPr>
        <w:t>18.0m/s</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rPr>
        <w:t>静风频率             35%</w:t>
      </w:r>
    </w:p>
    <w:p>
      <w:pPr>
        <w:adjustRightInd w:val="0"/>
        <w:snapToGrid w:val="0"/>
        <w:spacing w:line="360" w:lineRule="auto"/>
        <w:ind w:firstLine="420" w:firstLineChars="200"/>
        <w:jc w:val="center"/>
        <w:rPr>
          <w:rFonts w:hint="eastAsia" w:ascii="Times New Roman" w:hAnsi="Times New Roman" w:eastAsia="宋体"/>
          <w:color w:val="auto"/>
          <w:sz w:val="24"/>
          <w:szCs w:val="24"/>
        </w:rPr>
      </w:pPr>
      <w:r>
        <w:rPr>
          <w:color w:val="auto"/>
        </w:rPr>
        <w:object>
          <v:shape id="_x0000_i1027" o:spt="75" type="#_x0000_t75" style="height:78.9pt;width:72.05pt;" o:ole="t" filled="f" stroked="f" coordsize="21600,21600">
            <v:path/>
            <v:fill on="f" focussize="0,0"/>
            <v:stroke on="f"/>
            <v:imagedata r:id="rId41" cropleft="21370f" croptop="22868f" cropright="32768f" cropbottom="10224f" o:title=""/>
            <o:lock v:ext="edit" aspectratio="t"/>
            <w10:wrap type="none"/>
            <w10:anchorlock/>
          </v:shape>
          <o:OLEObject Type="Embed" ProgID="AutoCAD.Drawing.16" ShapeID="_x0000_i1027" DrawAspect="Content" ObjectID="_1468075727" r:id="rId40">
            <o:LockedField>false</o:LockedField>
          </o:OLEObject>
        </w:object>
      </w:r>
    </w:p>
    <w:p>
      <w:pPr>
        <w:adjustRightInd w:val="0"/>
        <w:snapToGrid w:val="0"/>
        <w:spacing w:line="360" w:lineRule="auto"/>
        <w:ind w:firstLine="480" w:firstLineChars="200"/>
        <w:jc w:val="center"/>
        <w:rPr>
          <w:rFonts w:hint="eastAsia" w:ascii="Times New Roman" w:hAnsi="Times New Roman" w:eastAsia="宋体"/>
          <w:color w:val="auto"/>
          <w:sz w:val="24"/>
          <w:szCs w:val="24"/>
        </w:rPr>
      </w:pPr>
      <w:r>
        <w:rPr>
          <w:rFonts w:hint="eastAsia" w:ascii="Times New Roman" w:hAnsi="Times New Roman" w:eastAsia="宋体"/>
          <w:color w:val="auto"/>
          <w:sz w:val="24"/>
          <w:szCs w:val="24"/>
        </w:rPr>
        <w:t>项目风玫瑰图</w:t>
      </w:r>
    </w:p>
    <w:p>
      <w:pPr>
        <w:pStyle w:val="6"/>
        <w:adjustRightInd w:val="0"/>
        <w:snapToGrid w:val="0"/>
        <w:spacing w:before="0" w:after="0" w:line="360" w:lineRule="auto"/>
        <w:rPr>
          <w:rFonts w:ascii="Times New Roman" w:hAnsi="Times New Roman" w:eastAsia="宋体"/>
          <w:color w:val="auto"/>
          <w:sz w:val="28"/>
          <w:szCs w:val="28"/>
        </w:rPr>
      </w:pPr>
      <w:r>
        <w:rPr>
          <w:rFonts w:hint="eastAsia" w:ascii="Times New Roman" w:hAnsi="Times New Roman" w:eastAsia="宋体"/>
          <w:color w:val="auto"/>
          <w:sz w:val="28"/>
          <w:szCs w:val="28"/>
        </w:rPr>
        <w:t>4.1.4</w:t>
      </w:r>
      <w:r>
        <w:rPr>
          <w:rFonts w:hint="eastAsia" w:ascii="Times New Roman" w:hAnsi="Times New Roman" w:eastAsia="宋体"/>
          <w:color w:val="auto"/>
          <w:sz w:val="28"/>
          <w:szCs w:val="28"/>
          <w:lang w:eastAsia="zh-CN"/>
        </w:rPr>
        <w:t>河流与</w:t>
      </w:r>
      <w:r>
        <w:rPr>
          <w:rFonts w:hint="eastAsia" w:ascii="Times New Roman" w:hAnsi="Times New Roman" w:eastAsia="宋体"/>
          <w:color w:val="auto"/>
          <w:sz w:val="28"/>
          <w:szCs w:val="28"/>
        </w:rPr>
        <w:t>水文</w:t>
      </w:r>
    </w:p>
    <w:p>
      <w:pPr>
        <w:adjustRightInd w:val="0"/>
        <w:snapToGrid w:val="0"/>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eastAsia="zh-CN"/>
        </w:rPr>
        <w:t>地表水</w:t>
      </w:r>
    </w:p>
    <w:p>
      <w:pPr>
        <w:adjustRightInd w:val="0"/>
        <w:snapToGrid w:val="0"/>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眉山市所辖区域属长江流域岷沱江水系。东部仁寿县大部分流域处于沱江一级支流球溪河的上、中游，也是支流龙水河、青水河、通江河、吴家坝河及绛溪河发源地。岷江干流位于辖区中部，从北部向南纵贯彭山县、东坡区、青神县、丹棱思蒙河、金牛河流域，仁寿鲫江河、芦溪河、筒车河、芒溪河、越溪河流域属岷江水系，位于岷江中游。</w:t>
      </w:r>
    </w:p>
    <w:p>
      <w:pPr>
        <w:adjustRightInd w:val="0"/>
        <w:snapToGrid w:val="0"/>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在市境两岸岷江干流接纳了数条支流汇入。西部洪雅县和丹棱安溪河属青衣江中游，青衣江境内两岸接纳了数条支流汇入。</w:t>
      </w:r>
    </w:p>
    <w:p>
      <w:pPr>
        <w:adjustRightInd w:val="0"/>
        <w:snapToGrid w:val="0"/>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丹棱县地处岷江和青衣江分水岭地带，东部属岷江水系，西部属青衣江水系。 县城所在的东部地表水环境属岷江水系的丹棱河。丹棱河主河道长约 26km，流域面积为140km</w:t>
      </w:r>
      <w:r>
        <w:rPr>
          <w:rFonts w:hint="eastAsia" w:ascii="Times New Roman" w:hAnsi="Times New Roman" w:eastAsia="宋体"/>
          <w:color w:val="auto"/>
          <w:sz w:val="24"/>
          <w:szCs w:val="24"/>
          <w:vertAlign w:val="superscript"/>
          <w:lang w:eastAsia="zh-CN"/>
        </w:rPr>
        <w:t>2</w:t>
      </w:r>
      <w:r>
        <w:rPr>
          <w:rFonts w:hint="eastAsia" w:ascii="Times New Roman" w:hAnsi="Times New Roman" w:eastAsia="宋体"/>
          <w:color w:val="auto"/>
          <w:sz w:val="24"/>
          <w:szCs w:val="24"/>
          <w:lang w:eastAsia="zh-CN"/>
        </w:rPr>
        <w:t>，发源于石桥乡和顺河乡的低山区，源流海拔 900m，该河流流经丹棱县政府所在地丹棱镇后， 至沧海堰有黑石河注入，至孙坝出丹棱县境，名为思蒙河，至青神县瑞丰乡注入岷江。丹棱河多年平均流量约 4m</w:t>
      </w:r>
      <w:r>
        <w:rPr>
          <w:rFonts w:hint="eastAsia" w:ascii="Times New Roman" w:hAnsi="Times New Roman" w:eastAsia="宋体"/>
          <w:color w:val="auto"/>
          <w:sz w:val="24"/>
          <w:szCs w:val="24"/>
          <w:vertAlign w:val="superscript"/>
          <w:lang w:eastAsia="zh-CN"/>
        </w:rPr>
        <w:t>3</w:t>
      </w:r>
      <w:r>
        <w:rPr>
          <w:rFonts w:hint="eastAsia" w:ascii="Times New Roman" w:hAnsi="Times New Roman" w:eastAsia="宋体"/>
          <w:color w:val="auto"/>
          <w:sz w:val="24"/>
          <w:szCs w:val="24"/>
          <w:lang w:eastAsia="zh-CN"/>
        </w:rPr>
        <w:t>/s，最枯流量约 0.5m</w:t>
      </w:r>
      <w:r>
        <w:rPr>
          <w:rFonts w:hint="eastAsia" w:ascii="Times New Roman" w:hAnsi="Times New Roman" w:eastAsia="宋体"/>
          <w:color w:val="auto"/>
          <w:sz w:val="24"/>
          <w:szCs w:val="24"/>
          <w:vertAlign w:val="superscript"/>
          <w:lang w:eastAsia="zh-CN"/>
        </w:rPr>
        <w:t>3</w:t>
      </w:r>
      <w:r>
        <w:rPr>
          <w:rFonts w:hint="eastAsia" w:ascii="Times New Roman" w:hAnsi="Times New Roman" w:eastAsia="宋体"/>
          <w:color w:val="auto"/>
          <w:sz w:val="24"/>
          <w:szCs w:val="24"/>
          <w:lang w:eastAsia="zh-CN"/>
        </w:rPr>
        <w:t>/s，洪峰流量大于 100m</w:t>
      </w:r>
      <w:r>
        <w:rPr>
          <w:rFonts w:hint="eastAsia" w:ascii="Times New Roman" w:hAnsi="Times New Roman" w:eastAsia="宋体"/>
          <w:color w:val="auto"/>
          <w:sz w:val="24"/>
          <w:szCs w:val="24"/>
          <w:vertAlign w:val="superscript"/>
          <w:lang w:eastAsia="zh-CN"/>
        </w:rPr>
        <w:t>3</w:t>
      </w:r>
      <w:r>
        <w:rPr>
          <w:rFonts w:hint="eastAsia" w:ascii="Times New Roman" w:hAnsi="Times New Roman" w:eastAsia="宋体"/>
          <w:color w:val="auto"/>
          <w:sz w:val="24"/>
          <w:szCs w:val="24"/>
          <w:lang w:eastAsia="zh-CN"/>
        </w:rPr>
        <w:t>/s。</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金牛河（金流河）属岷江水系，流域面积 62.35km</w:t>
      </w:r>
      <w:r>
        <w:rPr>
          <w:rFonts w:hint="eastAsia" w:ascii="Times New Roman" w:hAnsi="Times New Roman" w:eastAsia="宋体"/>
          <w:color w:val="auto"/>
          <w:sz w:val="24"/>
          <w:szCs w:val="24"/>
          <w:vertAlign w:val="superscript"/>
          <w:lang w:eastAsia="zh-CN"/>
        </w:rPr>
        <w:t>2</w:t>
      </w:r>
      <w:r>
        <w:rPr>
          <w:rFonts w:hint="eastAsia" w:ascii="Times New Roman" w:hAnsi="Times New Roman" w:eastAsia="宋体"/>
          <w:color w:val="auto"/>
          <w:sz w:val="24"/>
          <w:szCs w:val="24"/>
          <w:lang w:eastAsia="zh-CN"/>
        </w:rPr>
        <w:t>，径流主要由降水产生，并受降水规律支配，年内分配不均，洪枯变化较大。据《巴蜀江河辞典》资料，金牛河河口年平均流量 6. 09m</w:t>
      </w:r>
      <w:r>
        <w:rPr>
          <w:rFonts w:hint="eastAsia" w:ascii="Times New Roman" w:hAnsi="Times New Roman" w:eastAsia="宋体"/>
          <w:color w:val="auto"/>
          <w:sz w:val="24"/>
          <w:szCs w:val="24"/>
          <w:vertAlign w:val="superscript"/>
          <w:lang w:eastAsia="zh-CN"/>
        </w:rPr>
        <w:t>3</w:t>
      </w:r>
      <w:r>
        <w:rPr>
          <w:rFonts w:hint="eastAsia" w:ascii="Times New Roman" w:hAnsi="Times New Roman" w:eastAsia="宋体"/>
          <w:color w:val="auto"/>
          <w:sz w:val="24"/>
          <w:szCs w:val="24"/>
          <w:lang w:eastAsia="zh-CN"/>
        </w:rPr>
        <w:t>/s,年径流量 1. 90 亿立方米，全流域平均径流深 557 毫米。径流主要集中在 5－10 月丰水期，占全年径流量 40-50%；最大径流量发生在 7－8 月，占全年径流量 30－50%，11－4 月为枯水期，径流量占全年 20%－30%。金牛河南支源头有</w:t>
      </w:r>
      <w:r>
        <w:rPr>
          <w:rFonts w:hint="eastAsia" w:ascii="Times New Roman" w:hAnsi="Times New Roman" w:eastAsia="宋体"/>
          <w:color w:val="auto"/>
          <w:sz w:val="24"/>
          <w:szCs w:val="24"/>
          <w:lang w:val="en-US" w:eastAsia="zh-CN"/>
        </w:rPr>
        <w:t>5</w:t>
      </w:r>
      <w:r>
        <w:rPr>
          <w:rFonts w:hint="eastAsia" w:ascii="Times New Roman" w:hAnsi="Times New Roman" w:eastAsia="宋体"/>
          <w:color w:val="auto"/>
          <w:sz w:val="24"/>
          <w:szCs w:val="24"/>
          <w:lang w:eastAsia="zh-CN"/>
        </w:rPr>
        <w:t>处，即荷叶沟、大岩山、杨山、白果树、六角丘；北支源有</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lang w:eastAsia="zh-CN"/>
        </w:rPr>
        <w:t>处，即赵大塘（高坡口水库）、凤凰嘴、银定寺。南北两支交汇于徐坝村大月滩后进入龙华水库入夹江县境，在青神县汉阳乡汇入岷江</w:t>
      </w:r>
      <w:r>
        <w:rPr>
          <w:rFonts w:hint="eastAsia" w:ascii="Times New Roman" w:hAnsi="Times New Roman" w:eastAsia="宋体"/>
          <w:color w:val="auto"/>
          <w:sz w:val="24"/>
          <w:szCs w:val="24"/>
        </w:rPr>
        <w:t>。</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2、地下水</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眉山市境内的地下水资源主要来自于大气降水和河流过境水，水量未经详细勘测、蕴藏量不明，水质因受岩层的影响而有所不同。</w:t>
      </w:r>
    </w:p>
    <w:p>
      <w:pPr>
        <w:adjustRightInd w:val="0"/>
        <w:snapToGrid w:val="0"/>
        <w:spacing w:line="360" w:lineRule="auto"/>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据区域水文地质条件并结合钻探结果，场地内地下水位为第四系卵石层孔隙型潜水。粉质粘土为隔水层、淤泥质粘土为滞水层、粉砂和细砂层为弱含水层、卵石层为强含水层，水量丰富，透水性好，受大气降水及河沟水渗透补给。</w:t>
      </w:r>
    </w:p>
    <w:bookmarkEnd w:id="169"/>
    <w:bookmarkEnd w:id="170"/>
    <w:p>
      <w:pPr>
        <w:pStyle w:val="6"/>
        <w:adjustRightInd w:val="0"/>
        <w:snapToGrid w:val="0"/>
        <w:spacing w:before="0" w:after="0" w:line="360" w:lineRule="auto"/>
        <w:rPr>
          <w:rFonts w:hint="eastAsia" w:ascii="Times New Roman" w:hAnsi="Times New Roman" w:eastAsia="宋体"/>
          <w:color w:val="auto"/>
          <w:sz w:val="28"/>
          <w:szCs w:val="28"/>
          <w:lang w:eastAsia="zh-CN"/>
        </w:rPr>
      </w:pPr>
      <w:bookmarkStart w:id="171" w:name="_Toc17021"/>
      <w:bookmarkStart w:id="172" w:name="_Toc459118447"/>
      <w:r>
        <w:rPr>
          <w:rFonts w:hint="eastAsia" w:ascii="Times New Roman" w:hAnsi="Times New Roman" w:eastAsia="宋体"/>
          <w:color w:val="auto"/>
          <w:sz w:val="28"/>
          <w:szCs w:val="28"/>
        </w:rPr>
        <w:t>4.1.5</w:t>
      </w:r>
      <w:r>
        <w:rPr>
          <w:rFonts w:hint="eastAsia" w:ascii="Times New Roman" w:hAnsi="Times New Roman" w:eastAsia="宋体"/>
          <w:color w:val="auto"/>
          <w:sz w:val="28"/>
          <w:szCs w:val="28"/>
          <w:lang w:eastAsia="zh-CN"/>
        </w:rPr>
        <w:t>土壤、矿产</w:t>
      </w:r>
    </w:p>
    <w:p>
      <w:pPr>
        <w:adjustRightInd w:val="0"/>
        <w:snapToGrid w:val="0"/>
        <w:spacing w:line="360" w:lineRule="auto"/>
        <w:ind w:firstLine="480" w:firstLineChars="200"/>
        <w:rPr>
          <w:rFonts w:hint="eastAsia" w:ascii="Times New Roman" w:hAnsi="Times New Roman" w:eastAsia="宋体"/>
          <w:color w:val="auto"/>
          <w:sz w:val="24"/>
          <w:lang w:eastAsia="zh-CN"/>
        </w:rPr>
      </w:pPr>
      <w:r>
        <w:rPr>
          <w:rFonts w:hint="eastAsia" w:ascii="Times New Roman" w:hAnsi="Times New Roman" w:eastAsia="宋体"/>
          <w:color w:val="auto"/>
          <w:sz w:val="24"/>
        </w:rPr>
        <w:t>项目所在地眉山市丹棱县，其境内的土壤主要有三大类，分别为冲积土、黄壤土、紫色土三大类。还可分为6个亚类，6个土属和25个土种。其中主要为紫色土以及三类土壤经过长期耕作而形成的水稻土</w:t>
      </w:r>
      <w:r>
        <w:rPr>
          <w:rFonts w:hint="eastAsia" w:ascii="Times New Roman" w:hAnsi="Times New Roman" w:eastAsia="宋体"/>
          <w:color w:val="auto"/>
          <w:sz w:val="24"/>
          <w:lang w:eastAsia="zh-CN"/>
        </w:rPr>
        <w:t>。</w:t>
      </w:r>
    </w:p>
    <w:p>
      <w:pPr>
        <w:adjustRightInd w:val="0"/>
        <w:snapToGrid w:val="0"/>
        <w:spacing w:line="360" w:lineRule="auto"/>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眉山市境内地下矿藏有芒硝、金、银、铜、铁、铅、锌、煤炭、石膏等20多种，其中芒硝总储量达650亿吨。水力资源丰富，青衣江等大小河流300余条，全区水能资源蕴藏量达100万千瓦以上，其中可开发量为80万千瓦，目前仅开发了20万千瓦，占可开发量的25%。</w:t>
      </w:r>
    </w:p>
    <w:p>
      <w:pPr>
        <w:adjustRightInd w:val="0"/>
        <w:snapToGrid w:val="0"/>
        <w:spacing w:line="360" w:lineRule="auto"/>
        <w:outlineLvl w:val="2"/>
        <w:rPr>
          <w:rFonts w:hint="eastAsia" w:ascii="Times New Roman" w:hAnsi="Times New Roman" w:eastAsia="宋体"/>
          <w:b/>
          <w:bCs/>
          <w:color w:val="auto"/>
          <w:sz w:val="28"/>
          <w:szCs w:val="28"/>
          <w:lang w:eastAsia="zh-CN"/>
        </w:rPr>
      </w:pPr>
      <w:r>
        <w:rPr>
          <w:rFonts w:hint="eastAsia" w:ascii="Times New Roman" w:hAnsi="Times New Roman" w:eastAsia="宋体"/>
          <w:b/>
          <w:bCs/>
          <w:color w:val="auto"/>
          <w:sz w:val="28"/>
          <w:szCs w:val="28"/>
        </w:rPr>
        <w:t>4.1</w:t>
      </w:r>
      <w:r>
        <w:rPr>
          <w:rFonts w:ascii="Times New Roman" w:hAnsi="Times New Roman" w:eastAsia="宋体"/>
          <w:b/>
          <w:bCs/>
          <w:color w:val="auto"/>
          <w:sz w:val="28"/>
          <w:szCs w:val="28"/>
        </w:rPr>
        <w:t>.</w:t>
      </w:r>
      <w:bookmarkEnd w:id="171"/>
      <w:bookmarkEnd w:id="172"/>
      <w:bookmarkStart w:id="173" w:name="_Toc18729"/>
      <w:bookmarkStart w:id="174" w:name="_Toc477649055"/>
      <w:bookmarkStart w:id="175" w:name="_Toc505029037"/>
      <w:r>
        <w:rPr>
          <w:rFonts w:hint="eastAsia" w:ascii="Times New Roman" w:hAnsi="Times New Roman" w:eastAsia="宋体"/>
          <w:b/>
          <w:bCs/>
          <w:color w:val="auto"/>
          <w:sz w:val="28"/>
          <w:szCs w:val="28"/>
        </w:rPr>
        <w:t>6</w:t>
      </w:r>
      <w:r>
        <w:rPr>
          <w:rFonts w:hint="eastAsia" w:ascii="Times New Roman" w:hAnsi="Times New Roman" w:eastAsia="宋体"/>
          <w:b/>
          <w:bCs/>
          <w:color w:val="auto"/>
          <w:sz w:val="28"/>
          <w:szCs w:val="28"/>
          <w:lang w:eastAsia="zh-CN"/>
        </w:rPr>
        <w:t>植被、生物多样性</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（1）植被森林资源</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境内属亚热带常绿阔叶林区，森林覆盖面积32%，是全省第一个绿化达标市。林木品种约437种，其中有不少国家保护植物和珍稀树木。如有“活化石”之称的水杉、银杏，名贵的苏铁、红豆树、马桂木和独具特色的古柏、榕树等。经济林主要有油桐、油橄榄、乌柏、核桃、蓖麻、棕榈等树种。境内盛产柑桔、橙、柚、梨、桃、李、苹果，其中以沙田柚、青苹、红桔、“贡橙”等品种质量最为优良，享誉省内外。</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根据现场勘查以及《国家重点保护野生植物名录（第一批）修正案》（2001.8.4，农业部、国家林业局令第53号）、《中华人民共和国植物新品种保护名录》（林业部分第二批），本项目评价范围内未发现珍稀濒危及国家重点保护的野生植物，不会对珍稀濒危的保护植物产生影响，不会减少当地行政区域内濒危珍稀野生植物种类。</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（2）生物多样性</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根据现场调查、访问和查阅相关资料，本工程所在区域人类活动频繁，动物种类不多，本项目所在区域主要属农业生态系统，生物多样性较简单。区域动物以家禽、家畜为主，经常出没的动物为常见的小型野生动物。</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根据现场踏勘以及《国家重点保护野生动物名录》（2003.3，国家林业局令第7号）、《四川省重点保护野生动物名录》（1990.3）、《四川省新增重点保护野生动物名录》（2000.9），工程建设影响范围内及评价范围内，无珍稀濒危及国家重点保护野生动物。</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综上，项目评价区域属成都平原经济圈，区内原生植被及野生动物生境受人类活动影响，基本已不复存在。植被主要有松树、柏树、慈竹和少量杂木(含灌木)；农作物主要为水稻、小麦、玉米、红苕、和土豆以及柑桔、油菜等；动物主要为兔、鼠科及牛、羊、猪、家禽等养殖动物。评价区域内无特殊保护的珍稀野生动植物，生物多样性单一。</w:t>
      </w:r>
    </w:p>
    <w:p>
      <w:pPr>
        <w:pStyle w:val="86"/>
        <w:adjustRightInd w:val="0"/>
        <w:snapToGrid w:val="0"/>
        <w:spacing w:beforeLines="0" w:afterLines="0"/>
        <w:rPr>
          <w:rFonts w:ascii="Times New Roman" w:hAnsi="Times New Roman" w:eastAsia="宋体"/>
          <w:color w:val="auto"/>
        </w:rPr>
      </w:pPr>
      <w:bookmarkStart w:id="176" w:name="_Toc15983"/>
      <w:r>
        <w:rPr>
          <w:rFonts w:ascii="Times New Roman" w:hAnsi="Times New Roman" w:eastAsia="宋体"/>
          <w:color w:val="auto"/>
        </w:rPr>
        <w:t>4.2</w:t>
      </w:r>
      <w:bookmarkEnd w:id="173"/>
      <w:bookmarkEnd w:id="174"/>
      <w:bookmarkEnd w:id="175"/>
      <w:r>
        <w:rPr>
          <w:rFonts w:hint="eastAsia" w:ascii="Times New Roman" w:hAnsi="Times New Roman" w:eastAsia="宋体"/>
          <w:color w:val="auto"/>
          <w:lang w:eastAsia="zh-CN"/>
        </w:rPr>
        <w:t>丹棱县仁美镇</w:t>
      </w:r>
      <w:r>
        <w:rPr>
          <w:rFonts w:hint="eastAsia" w:ascii="Times New Roman" w:hAnsi="Times New Roman" w:eastAsia="宋体"/>
          <w:color w:val="auto"/>
        </w:rPr>
        <w:t>概况</w:t>
      </w:r>
      <w:bookmarkEnd w:id="176"/>
    </w:p>
    <w:p>
      <w:pPr>
        <w:adjustRightInd w:val="0"/>
        <w:snapToGrid w:val="0"/>
        <w:spacing w:line="360" w:lineRule="auto"/>
        <w:ind w:firstLine="480" w:firstLineChars="200"/>
        <w:rPr>
          <w:rFonts w:ascii="Times New Roman" w:hAnsi="Times New Roman" w:eastAsia="宋体"/>
          <w:bCs/>
          <w:color w:val="auto"/>
          <w:sz w:val="24"/>
          <w:szCs w:val="24"/>
        </w:rPr>
      </w:pPr>
      <w:bookmarkStart w:id="177" w:name="_Toc133302889"/>
      <w:r>
        <w:rPr>
          <w:rFonts w:hint="eastAsia" w:ascii="Times New Roman" w:hAnsi="Times New Roman" w:eastAsia="宋体"/>
          <w:bCs/>
          <w:color w:val="auto"/>
          <w:sz w:val="24"/>
          <w:szCs w:val="24"/>
        </w:rPr>
        <w:t>仁美镇，隶属于四川省眉山市丹棱县，地处丹棱县西南部，东临</w:t>
      </w:r>
      <w:r>
        <w:rPr>
          <w:rFonts w:hint="eastAsia" w:ascii="Times New Roman" w:hAnsi="Times New Roman" w:eastAsia="宋体"/>
          <w:bCs/>
          <w:color w:val="auto"/>
          <w:sz w:val="24"/>
          <w:szCs w:val="24"/>
        </w:rPr>
        <w:fldChar w:fldCharType="begin"/>
      </w:r>
      <w:r>
        <w:rPr>
          <w:rFonts w:hint="eastAsia" w:ascii="Times New Roman" w:hAnsi="Times New Roman" w:eastAsia="宋体"/>
          <w:bCs/>
          <w:color w:val="auto"/>
          <w:sz w:val="24"/>
          <w:szCs w:val="24"/>
        </w:rPr>
        <w:instrText xml:space="preserve"> HYPERLINK "https://baike.baidu.com/item/%E6%9D%A8%E5%9C%BA%E9%95%87/6731757" \t "https://baike.baidu.com/item/%E4%BB%81%E7%BE%8E%E9%95%87/_blank" </w:instrText>
      </w:r>
      <w:r>
        <w:rPr>
          <w:rFonts w:hint="eastAsia" w:ascii="Times New Roman" w:hAnsi="Times New Roman" w:eastAsia="宋体"/>
          <w:bCs/>
          <w:color w:val="auto"/>
          <w:sz w:val="24"/>
          <w:szCs w:val="24"/>
        </w:rPr>
        <w:fldChar w:fldCharType="separate"/>
      </w:r>
      <w:r>
        <w:rPr>
          <w:rFonts w:hint="eastAsia" w:ascii="Times New Roman" w:hAnsi="Times New Roman" w:eastAsia="宋体"/>
          <w:bCs/>
          <w:color w:val="auto"/>
          <w:sz w:val="24"/>
          <w:szCs w:val="24"/>
        </w:rPr>
        <w:t>杨场镇</w:t>
      </w:r>
      <w:r>
        <w:rPr>
          <w:rFonts w:hint="eastAsia" w:ascii="Times New Roman" w:hAnsi="Times New Roman" w:eastAsia="宋体"/>
          <w:bCs/>
          <w:color w:val="auto"/>
          <w:sz w:val="24"/>
          <w:szCs w:val="24"/>
        </w:rPr>
        <w:fldChar w:fldCharType="end"/>
      </w:r>
      <w:r>
        <w:rPr>
          <w:rFonts w:hint="eastAsia" w:ascii="Times New Roman" w:hAnsi="Times New Roman" w:eastAsia="宋体"/>
          <w:bCs/>
          <w:color w:val="auto"/>
          <w:sz w:val="24"/>
          <w:szCs w:val="24"/>
        </w:rPr>
        <w:t>，西与</w:t>
      </w:r>
      <w:r>
        <w:rPr>
          <w:rFonts w:hint="eastAsia" w:ascii="Times New Roman" w:hAnsi="Times New Roman" w:eastAsia="宋体"/>
          <w:bCs/>
          <w:color w:val="auto"/>
          <w:sz w:val="24"/>
          <w:szCs w:val="24"/>
        </w:rPr>
        <w:fldChar w:fldCharType="begin"/>
      </w:r>
      <w:r>
        <w:rPr>
          <w:rFonts w:hint="eastAsia" w:ascii="Times New Roman" w:hAnsi="Times New Roman" w:eastAsia="宋体"/>
          <w:bCs/>
          <w:color w:val="auto"/>
          <w:sz w:val="24"/>
          <w:szCs w:val="24"/>
        </w:rPr>
        <w:instrText xml:space="preserve"> HYPERLINK "https://baike.baidu.com/item/%E9%BD%90%E4%B9%90%E9%95%87/24195002" \t "https://baike.baidu.com/item/%E4%BB%81%E7%BE%8E%E9%95%87/_blank" </w:instrText>
      </w:r>
      <w:r>
        <w:rPr>
          <w:rFonts w:hint="eastAsia" w:ascii="Times New Roman" w:hAnsi="Times New Roman" w:eastAsia="宋体"/>
          <w:bCs/>
          <w:color w:val="auto"/>
          <w:sz w:val="24"/>
          <w:szCs w:val="24"/>
        </w:rPr>
        <w:fldChar w:fldCharType="separate"/>
      </w:r>
      <w:r>
        <w:rPr>
          <w:rFonts w:hint="eastAsia" w:ascii="Times New Roman" w:hAnsi="Times New Roman" w:eastAsia="宋体"/>
          <w:bCs/>
          <w:color w:val="auto"/>
          <w:sz w:val="24"/>
          <w:szCs w:val="24"/>
        </w:rPr>
        <w:t>齐乐镇</w:t>
      </w:r>
      <w:r>
        <w:rPr>
          <w:rFonts w:hint="eastAsia" w:ascii="Times New Roman" w:hAnsi="Times New Roman" w:eastAsia="宋体"/>
          <w:bCs/>
          <w:color w:val="auto"/>
          <w:sz w:val="24"/>
          <w:szCs w:val="24"/>
        </w:rPr>
        <w:fldChar w:fldCharType="end"/>
      </w:r>
      <w:r>
        <w:rPr>
          <w:rFonts w:hint="eastAsia" w:ascii="Times New Roman" w:hAnsi="Times New Roman" w:eastAsia="宋体"/>
          <w:bCs/>
          <w:color w:val="auto"/>
          <w:sz w:val="24"/>
          <w:szCs w:val="24"/>
        </w:rPr>
        <w:t>接壤，南与</w:t>
      </w:r>
      <w:r>
        <w:rPr>
          <w:rFonts w:hint="eastAsia" w:ascii="Times New Roman" w:hAnsi="Times New Roman" w:eastAsia="宋体"/>
          <w:bCs/>
          <w:color w:val="auto"/>
          <w:sz w:val="24"/>
          <w:szCs w:val="24"/>
        </w:rPr>
        <w:fldChar w:fldCharType="begin"/>
      </w:r>
      <w:r>
        <w:rPr>
          <w:rFonts w:hint="eastAsia" w:ascii="Times New Roman" w:hAnsi="Times New Roman" w:eastAsia="宋体"/>
          <w:bCs/>
          <w:color w:val="auto"/>
          <w:sz w:val="24"/>
          <w:szCs w:val="24"/>
        </w:rPr>
        <w:instrText xml:space="preserve"> HYPERLINK "https://baike.baidu.com/item/%E6%B4%AA%E9%9B%85%E5%8E%BF/4911377" \t "https://baike.baidu.com/item/%E4%BB%81%E7%BE%8E%E9%95%87/_blank" </w:instrText>
      </w:r>
      <w:r>
        <w:rPr>
          <w:rFonts w:hint="eastAsia" w:ascii="Times New Roman" w:hAnsi="Times New Roman" w:eastAsia="宋体"/>
          <w:bCs/>
          <w:color w:val="auto"/>
          <w:sz w:val="24"/>
          <w:szCs w:val="24"/>
        </w:rPr>
        <w:fldChar w:fldCharType="separate"/>
      </w:r>
      <w:r>
        <w:rPr>
          <w:rFonts w:hint="eastAsia" w:ascii="Times New Roman" w:hAnsi="Times New Roman" w:eastAsia="宋体"/>
          <w:bCs/>
          <w:color w:val="auto"/>
          <w:sz w:val="24"/>
          <w:szCs w:val="24"/>
        </w:rPr>
        <w:t>洪雅县</w:t>
      </w:r>
      <w:r>
        <w:rPr>
          <w:rFonts w:hint="eastAsia" w:ascii="Times New Roman" w:hAnsi="Times New Roman" w:eastAsia="宋体"/>
          <w:bCs/>
          <w:color w:val="auto"/>
          <w:sz w:val="24"/>
          <w:szCs w:val="24"/>
        </w:rPr>
        <w:fldChar w:fldCharType="end"/>
      </w:r>
      <w:r>
        <w:rPr>
          <w:rFonts w:hint="eastAsia" w:ascii="Times New Roman" w:hAnsi="Times New Roman" w:eastAsia="宋体"/>
          <w:bCs/>
          <w:color w:val="auto"/>
          <w:sz w:val="24"/>
          <w:szCs w:val="24"/>
        </w:rPr>
        <w:t>比邻，区域面积89平方千米。仁美镇辖2个社区、8个行政村：里仁社区、双桥社区、雄义村、罗沟村、高河村、光明村、桂香村、金藏村、五龙村、中山村。仁美镇有106省道自北向南过境；丹洪路、仁张路穿境而过。</w:t>
      </w:r>
    </w:p>
    <w:bookmarkEnd w:id="177"/>
    <w:p>
      <w:pPr>
        <w:pStyle w:val="5"/>
        <w:adjustRightInd w:val="0"/>
        <w:snapToGrid w:val="0"/>
        <w:spacing w:before="0" w:after="0" w:line="360" w:lineRule="auto"/>
        <w:rPr>
          <w:rFonts w:ascii="Times New Roman" w:hAnsi="Times New Roman" w:eastAsia="宋体"/>
          <w:color w:val="auto"/>
          <w:sz w:val="30"/>
          <w:szCs w:val="30"/>
        </w:rPr>
      </w:pPr>
      <w:bookmarkStart w:id="178" w:name="_Toc13545"/>
      <w:bookmarkStart w:id="179" w:name="_Toc459118453"/>
      <w:bookmarkStart w:id="180" w:name="_Toc13026"/>
      <w:r>
        <w:rPr>
          <w:rFonts w:hint="eastAsia" w:ascii="Times New Roman" w:hAnsi="Times New Roman" w:eastAsia="宋体"/>
          <w:color w:val="auto"/>
          <w:sz w:val="30"/>
          <w:szCs w:val="30"/>
        </w:rPr>
        <w:t>4.3环境质量现状</w:t>
      </w:r>
      <w:bookmarkEnd w:id="178"/>
      <w:bookmarkEnd w:id="179"/>
      <w:r>
        <w:rPr>
          <w:rFonts w:hint="eastAsia" w:ascii="Times New Roman" w:hAnsi="Times New Roman" w:eastAsia="宋体"/>
          <w:color w:val="auto"/>
          <w:sz w:val="30"/>
          <w:szCs w:val="30"/>
        </w:rPr>
        <w:t>评价</w:t>
      </w:r>
      <w:bookmarkEnd w:id="180"/>
    </w:p>
    <w:p>
      <w:pPr>
        <w:pStyle w:val="6"/>
        <w:adjustRightInd w:val="0"/>
        <w:snapToGrid w:val="0"/>
        <w:spacing w:before="0" w:after="0" w:line="360" w:lineRule="auto"/>
        <w:rPr>
          <w:rFonts w:ascii="Times New Roman" w:hAnsi="Times New Roman" w:eastAsia="宋体"/>
          <w:color w:val="auto"/>
          <w:sz w:val="28"/>
          <w:szCs w:val="28"/>
        </w:rPr>
      </w:pPr>
      <w:bookmarkStart w:id="181" w:name="_Toc119570681"/>
      <w:bookmarkStart w:id="182" w:name="_Toc107920835"/>
      <w:bookmarkStart w:id="183" w:name="_Toc124150960"/>
      <w:bookmarkStart w:id="184" w:name="_Toc459118454"/>
      <w:bookmarkStart w:id="185" w:name="_Toc117401999"/>
      <w:bookmarkStart w:id="186" w:name="_Toc211411967"/>
      <w:bookmarkStart w:id="187" w:name="_Toc202417126"/>
      <w:bookmarkStart w:id="188" w:name="_Toc19731"/>
      <w:bookmarkStart w:id="189" w:name="_Toc323023509"/>
      <w:bookmarkStart w:id="190" w:name="_Toc211738555"/>
      <w:bookmarkStart w:id="191" w:name="_Toc107920836"/>
      <w:r>
        <w:rPr>
          <w:rFonts w:hint="eastAsia" w:ascii="Times New Roman" w:hAnsi="Times New Roman" w:eastAsia="宋体"/>
          <w:color w:val="auto"/>
          <w:sz w:val="28"/>
          <w:szCs w:val="28"/>
        </w:rPr>
        <w:t>4.3.</w:t>
      </w:r>
      <w:r>
        <w:rPr>
          <w:rFonts w:ascii="Times New Roman" w:hAnsi="Times New Roman" w:eastAsia="宋体"/>
          <w:color w:val="auto"/>
          <w:sz w:val="28"/>
          <w:szCs w:val="28"/>
        </w:rPr>
        <w:t>1环境空气质量现状</w:t>
      </w:r>
      <w:bookmarkEnd w:id="181"/>
      <w:bookmarkEnd w:id="182"/>
      <w:bookmarkEnd w:id="183"/>
      <w:bookmarkEnd w:id="184"/>
      <w:bookmarkEnd w:id="185"/>
      <w:bookmarkEnd w:id="186"/>
      <w:bookmarkEnd w:id="187"/>
      <w:bookmarkEnd w:id="188"/>
      <w:bookmarkEnd w:id="189"/>
      <w:bookmarkEnd w:id="190"/>
      <w:r>
        <w:rPr>
          <w:rFonts w:hint="eastAsia" w:ascii="Times New Roman" w:hAnsi="Times New Roman" w:eastAsia="宋体"/>
          <w:color w:val="auto"/>
          <w:sz w:val="28"/>
          <w:szCs w:val="28"/>
        </w:rPr>
        <w:t>评价</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outlineLvl w:val="9"/>
        <w:rPr>
          <w:rFonts w:hint="eastAsia"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b/>
          <w:bCs/>
          <w:color w:val="auto"/>
          <w:kern w:val="2"/>
          <w:sz w:val="24"/>
          <w:szCs w:val="24"/>
          <w:lang w:val="en-US" w:eastAsia="zh-CN"/>
        </w:rPr>
        <w:t>1、区域环境质量达标情况分析</w:t>
      </w:r>
    </w:p>
    <w:p>
      <w:pPr>
        <w:pStyle w:val="137"/>
        <w:spacing w:beforeLines="0" w:afterLines="0"/>
        <w:ind w:firstLine="420"/>
        <w:jc w:val="both"/>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本项目采用眉山市生态环境局于 2021 年 6 月公布的《眉山市 2020 年环境质量公报》中的大气环境质量状况对项目所在地的大气环境质量现状进行分析。</w:t>
      </w:r>
    </w:p>
    <w:p>
      <w:pPr>
        <w:pStyle w:val="137"/>
        <w:spacing w:beforeLines="0" w:afterLines="0"/>
        <w:jc w:val="both"/>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根据《眉山市 2020 年环境质量报告书》，环境空气基本污染物单因子评价结论：</w:t>
      </w:r>
    </w:p>
    <w:p>
      <w:pPr>
        <w:pStyle w:val="137"/>
        <w:spacing w:beforeLines="0" w:afterLines="0"/>
        <w:jc w:val="both"/>
        <w:rPr>
          <w:rFonts w:hint="eastAsia" w:ascii="Times New Roman" w:hAnsi="Times New Roman" w:eastAsia="宋体" w:cs="Times New Roman"/>
          <w:snapToGrid w:val="0"/>
          <w:color w:val="auto"/>
          <w:sz w:val="24"/>
          <w:szCs w:val="24"/>
          <w:lang w:eastAsia="zh-CN"/>
        </w:rPr>
      </w:pPr>
      <w:r>
        <w:rPr>
          <w:rFonts w:hint="eastAsia" w:ascii="Times New Roman" w:hAnsi="Times New Roman" w:eastAsia="宋体" w:cs="Times New Roman"/>
          <w:snapToGrid w:val="0"/>
          <w:color w:val="auto"/>
          <w:sz w:val="24"/>
          <w:szCs w:val="24"/>
          <w:lang w:eastAsia="zh-CN"/>
        </w:rPr>
        <w:t>（</w:t>
      </w:r>
      <w:r>
        <w:rPr>
          <w:rFonts w:hint="eastAsia" w:ascii="Times New Roman" w:hAnsi="Times New Roman" w:eastAsia="宋体" w:cs="Times New Roman"/>
          <w:snapToGrid w:val="0"/>
          <w:color w:val="auto"/>
          <w:sz w:val="24"/>
          <w:szCs w:val="24"/>
          <w:lang w:val="en-US" w:eastAsia="zh-CN"/>
        </w:rPr>
        <w:t>1</w:t>
      </w:r>
      <w:r>
        <w:rPr>
          <w:rFonts w:hint="eastAsia" w:ascii="Times New Roman" w:hAnsi="Times New Roman" w:eastAsia="宋体" w:cs="Times New Roman"/>
          <w:snapToGrid w:val="0"/>
          <w:color w:val="auto"/>
          <w:sz w:val="24"/>
          <w:szCs w:val="24"/>
          <w:lang w:eastAsia="zh-CN"/>
        </w:rPr>
        <w:t>）二氧化硫(SO</w:t>
      </w:r>
      <w:r>
        <w:rPr>
          <w:rFonts w:hint="eastAsia" w:ascii="Times New Roman" w:hAnsi="Times New Roman" w:eastAsia="宋体" w:cs="Times New Roman"/>
          <w:snapToGrid w:val="0"/>
          <w:color w:val="auto"/>
          <w:sz w:val="24"/>
          <w:szCs w:val="24"/>
          <w:vertAlign w:val="subscript"/>
          <w:lang w:eastAsia="zh-CN"/>
        </w:rPr>
        <w:t>2</w:t>
      </w:r>
      <w:r>
        <w:rPr>
          <w:rFonts w:hint="eastAsia" w:ascii="Times New Roman" w:hAnsi="Times New Roman" w:eastAsia="宋体" w:cs="Times New Roman"/>
          <w:snapToGrid w:val="0"/>
          <w:color w:val="auto"/>
          <w:sz w:val="24"/>
          <w:szCs w:val="24"/>
          <w:lang w:eastAsia="zh-CN"/>
        </w:rPr>
        <w:t>)：2020 年，眉山市二氧化硫浓度年均值 9.3µg/m3，眉山市各区县（丹棱县）二氧化硫年均值达到《环境空气质量标准》(GB3095-2012)一级标准限值。</w:t>
      </w:r>
    </w:p>
    <w:p>
      <w:pPr>
        <w:pStyle w:val="137"/>
        <w:spacing w:beforeLines="0" w:afterLines="0"/>
        <w:jc w:val="both"/>
        <w:rPr>
          <w:rFonts w:hint="default" w:ascii="Times New Roman" w:hAnsi="Times New Roman" w:eastAsia="宋体" w:cs="Times New Roman"/>
          <w:snapToGrid w:val="0"/>
          <w:color w:val="auto"/>
          <w:sz w:val="24"/>
          <w:szCs w:val="24"/>
          <w:lang w:eastAsia="zh-CN"/>
        </w:rPr>
      </w:pPr>
      <w:r>
        <w:rPr>
          <w:rFonts w:hint="eastAsia" w:ascii="Times New Roman" w:hAnsi="Times New Roman" w:eastAsia="宋体" w:cs="Times New Roman"/>
          <w:snapToGrid w:val="0"/>
          <w:color w:val="auto"/>
          <w:sz w:val="24"/>
          <w:szCs w:val="24"/>
          <w:lang w:eastAsia="zh-CN"/>
        </w:rPr>
        <w:t>（</w:t>
      </w:r>
      <w:r>
        <w:rPr>
          <w:rFonts w:hint="eastAsia" w:ascii="Times New Roman" w:hAnsi="Times New Roman" w:eastAsia="宋体" w:cs="Times New Roman"/>
          <w:snapToGrid w:val="0"/>
          <w:color w:val="auto"/>
          <w:sz w:val="24"/>
          <w:szCs w:val="24"/>
          <w:lang w:val="en-US" w:eastAsia="zh-CN"/>
        </w:rPr>
        <w:t>2</w:t>
      </w:r>
      <w:r>
        <w:rPr>
          <w:rFonts w:hint="eastAsia" w:ascii="Times New Roman" w:hAnsi="Times New Roman" w:eastAsia="宋体" w:cs="Times New Roman"/>
          <w:snapToGrid w:val="0"/>
          <w:color w:val="auto"/>
          <w:sz w:val="24"/>
          <w:szCs w:val="24"/>
          <w:lang w:eastAsia="zh-CN"/>
        </w:rPr>
        <w:t>）二氧化氮(NO</w:t>
      </w:r>
      <w:r>
        <w:rPr>
          <w:rFonts w:hint="eastAsia" w:ascii="Times New Roman" w:hAnsi="Times New Roman" w:eastAsia="宋体" w:cs="Times New Roman"/>
          <w:snapToGrid w:val="0"/>
          <w:color w:val="auto"/>
          <w:sz w:val="24"/>
          <w:szCs w:val="24"/>
          <w:vertAlign w:val="subscript"/>
          <w:lang w:eastAsia="zh-CN"/>
        </w:rPr>
        <w:t>2</w:t>
      </w:r>
      <w:r>
        <w:rPr>
          <w:rFonts w:hint="eastAsia" w:ascii="Times New Roman" w:hAnsi="Times New Roman" w:eastAsia="宋体" w:cs="Times New Roman"/>
          <w:snapToGrid w:val="0"/>
          <w:color w:val="auto"/>
          <w:sz w:val="24"/>
          <w:szCs w:val="24"/>
          <w:lang w:eastAsia="zh-CN"/>
        </w:rPr>
        <w:t>)：2020 年，眉山市二氧化氮浓度年均值 33.8µg/m</w:t>
      </w:r>
      <w:r>
        <w:rPr>
          <w:rFonts w:hint="eastAsia" w:ascii="Times New Roman" w:hAnsi="Times New Roman" w:eastAsia="宋体" w:cs="Times New Roman"/>
          <w:snapToGrid w:val="0"/>
          <w:color w:val="auto"/>
          <w:sz w:val="24"/>
          <w:szCs w:val="24"/>
          <w:vertAlign w:val="superscript"/>
          <w:lang w:eastAsia="zh-CN"/>
        </w:rPr>
        <w:t>3</w:t>
      </w:r>
      <w:r>
        <w:rPr>
          <w:rFonts w:hint="eastAsia" w:ascii="Times New Roman" w:hAnsi="Times New Roman" w:eastAsia="宋体" w:cs="Times New Roman"/>
          <w:snapToGrid w:val="0"/>
          <w:color w:val="auto"/>
          <w:sz w:val="24"/>
          <w:szCs w:val="24"/>
          <w:lang w:eastAsia="zh-CN"/>
        </w:rPr>
        <w:t>，眉山市各区县（丹棱县）二氧化氮年均值达到《环境空气质量标准》(GB3095-2012)一级标准限值。</w:t>
      </w:r>
    </w:p>
    <w:p>
      <w:pPr>
        <w:pStyle w:val="137"/>
        <w:spacing w:beforeLines="0" w:afterLines="0"/>
        <w:jc w:val="both"/>
        <w:rPr>
          <w:rFonts w:hint="default" w:ascii="Times New Roman" w:hAnsi="Times New Roman" w:eastAsia="宋体" w:cs="Times New Roman"/>
          <w:snapToGrid w:val="0"/>
          <w:color w:val="auto"/>
          <w:sz w:val="24"/>
          <w:szCs w:val="24"/>
          <w:lang w:eastAsia="zh-CN"/>
        </w:rPr>
      </w:pPr>
      <w:r>
        <w:rPr>
          <w:rFonts w:hint="eastAsia" w:ascii="Times New Roman" w:hAnsi="Times New Roman" w:eastAsia="宋体" w:cs="Times New Roman"/>
          <w:snapToGrid w:val="0"/>
          <w:color w:val="auto"/>
          <w:sz w:val="24"/>
          <w:szCs w:val="24"/>
          <w:lang w:eastAsia="zh-CN"/>
        </w:rPr>
        <w:t>（</w:t>
      </w:r>
      <w:r>
        <w:rPr>
          <w:rFonts w:hint="eastAsia" w:ascii="Times New Roman" w:hAnsi="Times New Roman" w:eastAsia="宋体" w:cs="Times New Roman"/>
          <w:snapToGrid w:val="0"/>
          <w:color w:val="auto"/>
          <w:sz w:val="24"/>
          <w:szCs w:val="24"/>
          <w:lang w:val="en-US" w:eastAsia="zh-CN"/>
        </w:rPr>
        <w:t>3</w:t>
      </w:r>
      <w:r>
        <w:rPr>
          <w:rFonts w:hint="eastAsia" w:ascii="Times New Roman" w:hAnsi="Times New Roman" w:eastAsia="宋体" w:cs="Times New Roman"/>
          <w:snapToGrid w:val="0"/>
          <w:color w:val="auto"/>
          <w:sz w:val="24"/>
          <w:szCs w:val="24"/>
          <w:lang w:eastAsia="zh-CN"/>
        </w:rPr>
        <w:t>）可吸入颗粒物(PM</w:t>
      </w:r>
      <w:r>
        <w:rPr>
          <w:rFonts w:hint="eastAsia" w:ascii="Times New Roman" w:hAnsi="Times New Roman" w:eastAsia="宋体" w:cs="Times New Roman"/>
          <w:snapToGrid w:val="0"/>
          <w:color w:val="auto"/>
          <w:sz w:val="24"/>
          <w:szCs w:val="24"/>
          <w:vertAlign w:val="subscript"/>
          <w:lang w:eastAsia="zh-CN"/>
        </w:rPr>
        <w:t>10</w:t>
      </w:r>
      <w:r>
        <w:rPr>
          <w:rFonts w:hint="eastAsia" w:ascii="Times New Roman" w:hAnsi="Times New Roman" w:eastAsia="宋体" w:cs="Times New Roman"/>
          <w:snapToGrid w:val="0"/>
          <w:color w:val="auto"/>
          <w:sz w:val="24"/>
          <w:szCs w:val="24"/>
          <w:lang w:eastAsia="zh-CN"/>
        </w:rPr>
        <w:t>)：2020 年，眉山市可吸入颗粒物浓度年均值 54.3µg/m</w:t>
      </w:r>
      <w:r>
        <w:rPr>
          <w:rFonts w:hint="eastAsia" w:ascii="Times New Roman" w:hAnsi="Times New Roman" w:eastAsia="宋体" w:cs="Times New Roman"/>
          <w:snapToGrid w:val="0"/>
          <w:color w:val="auto"/>
          <w:sz w:val="24"/>
          <w:szCs w:val="24"/>
          <w:vertAlign w:val="superscript"/>
          <w:lang w:eastAsia="zh-CN"/>
        </w:rPr>
        <w:t>3</w:t>
      </w:r>
      <w:r>
        <w:rPr>
          <w:rFonts w:hint="eastAsia" w:ascii="Times New Roman" w:hAnsi="Times New Roman" w:eastAsia="宋体" w:cs="Times New Roman"/>
          <w:snapToGrid w:val="0"/>
          <w:color w:val="auto"/>
          <w:sz w:val="24"/>
          <w:szCs w:val="24"/>
          <w:lang w:eastAsia="zh-CN"/>
        </w:rPr>
        <w:t>，眉山市各区县（丹棱县）可吸入颗粒物浓度年均值达到《环境空气质量标准》(GB3095-2012)二级标准限值，其中青神县颗粒物浓度年均值达到《环境空气质量标准》(GB3095-2012)一级标准限值。</w:t>
      </w:r>
    </w:p>
    <w:p>
      <w:pPr>
        <w:pStyle w:val="137"/>
        <w:spacing w:beforeLines="0" w:afterLines="0"/>
        <w:jc w:val="both"/>
        <w:rPr>
          <w:rFonts w:hint="default" w:ascii="Times New Roman" w:hAnsi="Times New Roman" w:eastAsia="宋体" w:cs="Times New Roman"/>
          <w:snapToGrid w:val="0"/>
          <w:color w:val="auto"/>
          <w:sz w:val="24"/>
          <w:szCs w:val="24"/>
          <w:lang w:eastAsia="zh-CN"/>
        </w:rPr>
      </w:pPr>
      <w:r>
        <w:rPr>
          <w:rFonts w:hint="eastAsia" w:ascii="Times New Roman" w:hAnsi="Times New Roman" w:eastAsia="宋体" w:cs="Times New Roman"/>
          <w:snapToGrid w:val="0"/>
          <w:color w:val="auto"/>
          <w:sz w:val="24"/>
          <w:szCs w:val="24"/>
          <w:lang w:eastAsia="zh-CN"/>
        </w:rPr>
        <w:t>（</w:t>
      </w:r>
      <w:r>
        <w:rPr>
          <w:rFonts w:hint="eastAsia" w:ascii="Times New Roman" w:hAnsi="Times New Roman" w:eastAsia="宋体" w:cs="Times New Roman"/>
          <w:snapToGrid w:val="0"/>
          <w:color w:val="auto"/>
          <w:sz w:val="24"/>
          <w:szCs w:val="24"/>
          <w:lang w:val="en-US" w:eastAsia="zh-CN"/>
        </w:rPr>
        <w:t>4</w:t>
      </w:r>
      <w:r>
        <w:rPr>
          <w:rFonts w:hint="eastAsia" w:ascii="Times New Roman" w:hAnsi="Times New Roman" w:eastAsia="宋体" w:cs="Times New Roman"/>
          <w:snapToGrid w:val="0"/>
          <w:color w:val="auto"/>
          <w:sz w:val="24"/>
          <w:szCs w:val="24"/>
          <w:lang w:eastAsia="zh-CN"/>
        </w:rPr>
        <w:t>）细颗粒物(PM</w:t>
      </w:r>
      <w:r>
        <w:rPr>
          <w:rFonts w:hint="eastAsia" w:ascii="Times New Roman" w:hAnsi="Times New Roman" w:eastAsia="宋体" w:cs="Times New Roman"/>
          <w:snapToGrid w:val="0"/>
          <w:color w:val="auto"/>
          <w:sz w:val="24"/>
          <w:szCs w:val="24"/>
          <w:vertAlign w:val="subscript"/>
          <w:lang w:eastAsia="zh-CN"/>
        </w:rPr>
        <w:t>2</w:t>
      </w:r>
      <w:r>
        <w:rPr>
          <w:rFonts w:hint="eastAsia" w:ascii="Times New Roman" w:hAnsi="Times New Roman" w:eastAsia="宋体" w:cs="Times New Roman"/>
          <w:snapToGrid w:val="0"/>
          <w:color w:val="auto"/>
          <w:sz w:val="24"/>
          <w:szCs w:val="24"/>
          <w:vertAlign w:val="subscript"/>
          <w:lang w:val="en-US" w:eastAsia="zh-CN"/>
        </w:rPr>
        <w:t>.</w:t>
      </w:r>
      <w:r>
        <w:rPr>
          <w:rFonts w:hint="eastAsia" w:ascii="Times New Roman" w:hAnsi="Times New Roman" w:eastAsia="宋体" w:cs="Times New Roman"/>
          <w:snapToGrid w:val="0"/>
          <w:color w:val="auto"/>
          <w:sz w:val="24"/>
          <w:szCs w:val="24"/>
          <w:vertAlign w:val="subscript"/>
          <w:lang w:eastAsia="zh-CN"/>
        </w:rPr>
        <w:t>5</w:t>
      </w:r>
      <w:r>
        <w:rPr>
          <w:rFonts w:hint="eastAsia" w:ascii="Times New Roman" w:hAnsi="Times New Roman" w:eastAsia="宋体" w:cs="Times New Roman"/>
          <w:snapToGrid w:val="0"/>
          <w:color w:val="auto"/>
          <w:sz w:val="24"/>
          <w:szCs w:val="24"/>
          <w:lang w:eastAsia="zh-CN"/>
        </w:rPr>
        <w:t>)：2020 年，眉山市细颗粒物浓度年均值 32.0µg/m</w:t>
      </w:r>
      <w:r>
        <w:rPr>
          <w:rFonts w:hint="eastAsia" w:ascii="Times New Roman" w:hAnsi="Times New Roman" w:eastAsia="宋体" w:cs="Times New Roman"/>
          <w:snapToGrid w:val="0"/>
          <w:color w:val="auto"/>
          <w:sz w:val="24"/>
          <w:szCs w:val="24"/>
          <w:vertAlign w:val="superscript"/>
          <w:lang w:eastAsia="zh-CN"/>
        </w:rPr>
        <w:t>3</w:t>
      </w:r>
      <w:r>
        <w:rPr>
          <w:rFonts w:hint="eastAsia" w:ascii="Times New Roman" w:hAnsi="Times New Roman" w:eastAsia="宋体" w:cs="Times New Roman"/>
          <w:snapToGrid w:val="0"/>
          <w:color w:val="auto"/>
          <w:sz w:val="24"/>
          <w:szCs w:val="24"/>
          <w:lang w:eastAsia="zh-CN"/>
        </w:rPr>
        <w:t>，眉山市各区县（丹棱县）细颗粒物浓度年均值达到《环境空气质量标准》(GB3095-2012)二级标准限值。</w:t>
      </w:r>
    </w:p>
    <w:p>
      <w:pPr>
        <w:pStyle w:val="137"/>
        <w:spacing w:beforeLines="0" w:afterLines="0"/>
        <w:jc w:val="both"/>
        <w:rPr>
          <w:rFonts w:hint="default" w:ascii="Times New Roman" w:hAnsi="Times New Roman" w:eastAsia="宋体" w:cs="Times New Roman"/>
          <w:snapToGrid w:val="0"/>
          <w:color w:val="auto"/>
          <w:sz w:val="24"/>
          <w:szCs w:val="24"/>
          <w:lang w:eastAsia="zh-CN"/>
        </w:rPr>
      </w:pPr>
      <w:r>
        <w:rPr>
          <w:rFonts w:hint="eastAsia" w:ascii="Times New Roman" w:hAnsi="Times New Roman" w:eastAsia="宋体" w:cs="Times New Roman"/>
          <w:snapToGrid w:val="0"/>
          <w:color w:val="auto"/>
          <w:sz w:val="24"/>
          <w:szCs w:val="24"/>
          <w:lang w:eastAsia="zh-CN"/>
        </w:rPr>
        <w:t>（</w:t>
      </w:r>
      <w:r>
        <w:rPr>
          <w:rFonts w:hint="eastAsia" w:ascii="Times New Roman" w:hAnsi="Times New Roman" w:eastAsia="宋体" w:cs="Times New Roman"/>
          <w:snapToGrid w:val="0"/>
          <w:color w:val="auto"/>
          <w:sz w:val="24"/>
          <w:szCs w:val="24"/>
          <w:lang w:val="en-US" w:eastAsia="zh-CN"/>
        </w:rPr>
        <w:t>5</w:t>
      </w:r>
      <w:r>
        <w:rPr>
          <w:rFonts w:hint="eastAsia" w:ascii="Times New Roman" w:hAnsi="Times New Roman" w:eastAsia="宋体" w:cs="Times New Roman"/>
          <w:snapToGrid w:val="0"/>
          <w:color w:val="auto"/>
          <w:sz w:val="24"/>
          <w:szCs w:val="24"/>
          <w:lang w:eastAsia="zh-CN"/>
        </w:rPr>
        <w:t>）臭氧(O</w:t>
      </w:r>
      <w:r>
        <w:rPr>
          <w:rFonts w:hint="eastAsia" w:ascii="Times New Roman" w:hAnsi="Times New Roman" w:eastAsia="宋体" w:cs="Times New Roman"/>
          <w:snapToGrid w:val="0"/>
          <w:color w:val="auto"/>
          <w:sz w:val="24"/>
          <w:szCs w:val="24"/>
          <w:vertAlign w:val="subscript"/>
          <w:lang w:eastAsia="zh-CN"/>
        </w:rPr>
        <w:t>3</w:t>
      </w:r>
      <w:r>
        <w:rPr>
          <w:rFonts w:hint="eastAsia" w:ascii="Times New Roman" w:hAnsi="Times New Roman" w:eastAsia="宋体" w:cs="Times New Roman"/>
          <w:snapToGrid w:val="0"/>
          <w:color w:val="auto"/>
          <w:sz w:val="24"/>
          <w:szCs w:val="24"/>
          <w:lang w:eastAsia="zh-CN"/>
        </w:rPr>
        <w:t>)：2020 年，眉山市臭氧日最大 8 小时滑动平均浓度第 90 百分位数(以下简称“臭氧浓度”)为 156.0µg/m</w:t>
      </w:r>
      <w:r>
        <w:rPr>
          <w:rFonts w:hint="eastAsia" w:ascii="Times New Roman" w:hAnsi="Times New Roman" w:eastAsia="宋体" w:cs="Times New Roman"/>
          <w:snapToGrid w:val="0"/>
          <w:color w:val="auto"/>
          <w:sz w:val="24"/>
          <w:szCs w:val="24"/>
          <w:vertAlign w:val="superscript"/>
          <w:lang w:eastAsia="zh-CN"/>
        </w:rPr>
        <w:t>3</w:t>
      </w:r>
      <w:r>
        <w:rPr>
          <w:rFonts w:hint="eastAsia" w:ascii="Times New Roman" w:hAnsi="Times New Roman" w:eastAsia="宋体" w:cs="Times New Roman"/>
          <w:snapToGrid w:val="0"/>
          <w:color w:val="auto"/>
          <w:sz w:val="24"/>
          <w:szCs w:val="24"/>
          <w:lang w:eastAsia="zh-CN"/>
        </w:rPr>
        <w:t>。眉山市各区县（丹棱县）臭氧年浓度达到《环境空气质量标准》(GB3095-2012)二级标准限值。</w:t>
      </w:r>
    </w:p>
    <w:p>
      <w:pPr>
        <w:pStyle w:val="137"/>
        <w:spacing w:beforeLines="0" w:afterLines="0"/>
        <w:jc w:val="both"/>
        <w:rPr>
          <w:rFonts w:hint="default" w:ascii="Times New Roman" w:hAnsi="Times New Roman" w:eastAsia="宋体" w:cs="Times New Roman"/>
          <w:snapToGrid w:val="0"/>
          <w:color w:val="auto"/>
          <w:sz w:val="24"/>
          <w:szCs w:val="24"/>
          <w:lang w:eastAsia="zh-CN"/>
        </w:rPr>
      </w:pPr>
      <w:r>
        <w:rPr>
          <w:rFonts w:hint="eastAsia" w:ascii="Times New Roman" w:hAnsi="Times New Roman" w:eastAsia="宋体" w:cs="Times New Roman"/>
          <w:snapToGrid w:val="0"/>
          <w:color w:val="auto"/>
          <w:sz w:val="24"/>
          <w:szCs w:val="24"/>
          <w:lang w:eastAsia="zh-CN"/>
        </w:rPr>
        <w:t>（</w:t>
      </w:r>
      <w:r>
        <w:rPr>
          <w:rFonts w:hint="eastAsia" w:ascii="Times New Roman" w:hAnsi="Times New Roman" w:eastAsia="宋体" w:cs="Times New Roman"/>
          <w:snapToGrid w:val="0"/>
          <w:color w:val="auto"/>
          <w:sz w:val="24"/>
          <w:szCs w:val="24"/>
          <w:lang w:val="en-US" w:eastAsia="zh-CN"/>
        </w:rPr>
        <w:t>6</w:t>
      </w:r>
      <w:r>
        <w:rPr>
          <w:rFonts w:hint="eastAsia" w:ascii="Times New Roman" w:hAnsi="Times New Roman" w:eastAsia="宋体" w:cs="Times New Roman"/>
          <w:snapToGrid w:val="0"/>
          <w:color w:val="auto"/>
          <w:sz w:val="24"/>
          <w:szCs w:val="24"/>
          <w:lang w:eastAsia="zh-CN"/>
        </w:rPr>
        <w:t>）一氧化碳(CO)</w:t>
      </w:r>
    </w:p>
    <w:p>
      <w:pPr>
        <w:pStyle w:val="137"/>
        <w:spacing w:beforeLines="0" w:afterLines="0"/>
        <w:jc w:val="both"/>
        <w:rPr>
          <w:rFonts w:hint="default" w:ascii="Times New Roman" w:hAnsi="Times New Roman" w:eastAsia="宋体" w:cs="Times New Roman"/>
          <w:snapToGrid w:val="0"/>
          <w:color w:val="auto"/>
          <w:sz w:val="24"/>
          <w:szCs w:val="24"/>
          <w:lang w:eastAsia="zh-CN"/>
        </w:rPr>
      </w:pPr>
      <w:r>
        <w:rPr>
          <w:rFonts w:hint="default" w:ascii="Times New Roman" w:hAnsi="Times New Roman" w:eastAsia="宋体" w:cs="Times New Roman"/>
          <w:snapToGrid w:val="0"/>
          <w:color w:val="auto"/>
          <w:sz w:val="24"/>
          <w:szCs w:val="24"/>
          <w:lang w:eastAsia="zh-CN"/>
        </w:rPr>
        <w:t>2020年，眉山市一氧化碳日均浓度第</w:t>
      </w:r>
      <w:r>
        <w:rPr>
          <w:rFonts w:hint="eastAsia" w:ascii="Times New Roman" w:hAnsi="Times New Roman" w:eastAsia="宋体" w:cs="Times New Roman"/>
          <w:snapToGrid w:val="0"/>
          <w:color w:val="auto"/>
          <w:sz w:val="24"/>
          <w:szCs w:val="24"/>
          <w:lang w:val="en-US" w:eastAsia="zh-CN"/>
        </w:rPr>
        <w:t>95</w:t>
      </w:r>
      <w:r>
        <w:rPr>
          <w:rFonts w:hint="default" w:ascii="Times New Roman" w:hAnsi="Times New Roman" w:eastAsia="宋体" w:cs="Times New Roman"/>
          <w:snapToGrid w:val="0"/>
          <w:color w:val="auto"/>
          <w:sz w:val="24"/>
          <w:szCs w:val="24"/>
          <w:lang w:eastAsia="zh-CN"/>
        </w:rPr>
        <w:t>百分位数(以下简称“一氧化碳浓度”)为</w:t>
      </w:r>
    </w:p>
    <w:p>
      <w:pPr>
        <w:pStyle w:val="137"/>
        <w:spacing w:beforeLines="0" w:afterLines="0"/>
        <w:ind w:left="0" w:leftChars="0" w:firstLine="0" w:firstLineChars="0"/>
        <w:jc w:val="both"/>
        <w:rPr>
          <w:rFonts w:hint="default" w:ascii="Times New Roman" w:hAnsi="Times New Roman" w:eastAsia="宋体" w:cs="Times New Roman"/>
          <w:snapToGrid w:val="0"/>
          <w:color w:val="auto"/>
          <w:sz w:val="24"/>
          <w:szCs w:val="24"/>
          <w:lang w:eastAsia="zh-CN"/>
        </w:rPr>
      </w:pPr>
      <w:r>
        <w:rPr>
          <w:rFonts w:hint="default" w:ascii="Times New Roman" w:hAnsi="Times New Roman" w:eastAsia="宋体" w:cs="Times New Roman"/>
          <w:snapToGrid w:val="0"/>
          <w:color w:val="auto"/>
          <w:sz w:val="24"/>
          <w:szCs w:val="24"/>
          <w:lang w:eastAsia="zh-CN"/>
        </w:rPr>
        <w:t>1.1mg/</w:t>
      </w:r>
      <w:r>
        <w:rPr>
          <w:rFonts w:hint="eastAsia" w:ascii="Times New Roman" w:hAnsi="Times New Roman" w:eastAsia="宋体" w:cs="Times New Roman"/>
          <w:snapToGrid w:val="0"/>
          <w:color w:val="auto"/>
          <w:sz w:val="24"/>
          <w:szCs w:val="24"/>
          <w:lang w:eastAsia="zh-CN"/>
        </w:rPr>
        <w:t>m</w:t>
      </w:r>
      <w:r>
        <w:rPr>
          <w:rFonts w:hint="eastAsia" w:ascii="Times New Roman" w:hAnsi="Times New Roman" w:eastAsia="宋体" w:cs="Times New Roman"/>
          <w:snapToGrid w:val="0"/>
          <w:color w:val="auto"/>
          <w:sz w:val="24"/>
          <w:szCs w:val="24"/>
          <w:vertAlign w:val="superscript"/>
          <w:lang w:eastAsia="zh-CN"/>
        </w:rPr>
        <w:t>3</w:t>
      </w:r>
      <w:r>
        <w:rPr>
          <w:rFonts w:hint="default" w:ascii="Times New Roman" w:hAnsi="Times New Roman" w:eastAsia="宋体" w:cs="Times New Roman"/>
          <w:snapToGrid w:val="0"/>
          <w:color w:val="auto"/>
          <w:sz w:val="24"/>
          <w:szCs w:val="24"/>
          <w:lang w:eastAsia="zh-CN"/>
        </w:rPr>
        <w:t>。眉山市各区县（丹棱县）一氧化碳年浓度达到《环境空气质量标准》( GB3095-2012)一级标准限值。</w:t>
      </w:r>
    </w:p>
    <w:p>
      <w:pPr>
        <w:pStyle w:val="137"/>
        <w:spacing w:beforeLines="0" w:afterLines="0"/>
        <w:ind w:firstLine="420"/>
        <w:jc w:val="both"/>
        <w:rPr>
          <w:rFonts w:hint="eastAsia" w:ascii="Times New Roman" w:hAnsi="Times New Roman" w:eastAsia="宋体" w:cs="Times New Roman"/>
          <w:snapToGrid w:val="0"/>
          <w:color w:val="auto"/>
          <w:sz w:val="24"/>
          <w:szCs w:val="24"/>
        </w:rPr>
      </w:pPr>
      <w:r>
        <w:rPr>
          <w:rFonts w:hint="eastAsia" w:ascii="Times New Roman" w:hAnsi="Times New Roman" w:eastAsia="宋体" w:cs="Times New Roman"/>
          <w:snapToGrid w:val="0"/>
          <w:color w:val="auto"/>
          <w:sz w:val="24"/>
          <w:szCs w:val="24"/>
        </w:rPr>
        <w:t>2020年，眉山市（东坡区）环境空气质量优良天数320天（优122天、良198天），优良天数率87.4%；轻度污染43天，占比11.7%；中度污染3天，占比0.8%；未出现重度污染，与 2019年相比，优良天数率上升1.6个百分点。各区县空气质量主 要以优和良为主，优良率在85.8%~93.2%之间；与2019年相 比，优良天数均有不同程度上升。眉山市（东坡区）环境空气综合污染指数3.94，与2019年相比下降6.6%。眉山市（东坡区）及各区县环境空气综合污染 指数与2019年相比均有所下降，表明空气质量都有不同程度改善。全年空气质量排名为：青神县、洪雅县、仁寿县、丹棱 县、彭山区、眉山市（东坡区）</w:t>
      </w:r>
      <w:r>
        <w:rPr>
          <w:rFonts w:hint="default" w:ascii="Times New Roman" w:hAnsi="Times New Roman" w:eastAsia="宋体" w:cs="Times New Roman"/>
          <w:snapToGrid w:val="0"/>
          <w:color w:val="auto"/>
          <w:sz w:val="24"/>
          <w:szCs w:val="24"/>
        </w:rPr>
        <w:t>。</w:t>
      </w:r>
    </w:p>
    <w:p>
      <w:pPr>
        <w:pStyle w:val="139"/>
        <w:rPr>
          <w:rFonts w:hint="default" w:ascii="Times New Roman" w:hAnsi="Times New Roman" w:eastAsia="宋体" w:cs="Times New Roman"/>
          <w:color w:val="auto"/>
          <w:sz w:val="24"/>
          <w:szCs w:val="24"/>
        </w:rPr>
      </w:pPr>
      <w:r>
        <w:rPr>
          <w:rFonts w:hint="default" w:ascii="Times New Roman" w:hAnsi="Times New Roman" w:eastAsia="宋体" w:cs="Times New Roman"/>
          <w:b/>
          <w:snapToGrid w:val="0"/>
          <w:color w:val="auto"/>
          <w:sz w:val="24"/>
          <w:szCs w:val="24"/>
        </w:rPr>
        <w:t>环境空气质量结论：</w:t>
      </w:r>
      <w:r>
        <w:rPr>
          <w:rFonts w:hint="eastAsia" w:ascii="Times New Roman" w:hAnsi="Times New Roman" w:eastAsia="宋体" w:cs="Times New Roman"/>
          <w:color w:val="auto"/>
          <w:sz w:val="24"/>
          <w:szCs w:val="24"/>
        </w:rPr>
        <w:t>2020年我市中心城区及各区县环境空气质量六项指标均达到国家二级标准</w:t>
      </w:r>
      <w:r>
        <w:rPr>
          <w:rFonts w:hint="default" w:ascii="Times New Roman" w:hAnsi="Times New Roman" w:eastAsia="宋体" w:cs="Times New Roman"/>
          <w:color w:val="auto"/>
          <w:sz w:val="24"/>
          <w:szCs w:val="24"/>
        </w:rPr>
        <w:t>，正式迈入达标城市行列，提前七年完成环境空气质量达标规划，成为成都平原经济区第二个实现辖区空气质量全域达标的城市。“2020中国蓝天百强城市榜”中，眉山位列成效榜第3位。</w:t>
      </w:r>
    </w:p>
    <w:p>
      <w:pPr>
        <w:keepNext w:val="0"/>
        <w:keepLines w:val="0"/>
        <w:pageBreakBefore w:val="0"/>
        <w:kinsoku/>
        <w:wordWrap/>
        <w:overflowPunct/>
        <w:topLinePunct w:val="0"/>
        <w:autoSpaceDE w:val="0"/>
        <w:autoSpaceDN w:val="0"/>
        <w:bidi w:val="0"/>
        <w:adjustRightInd w:val="0"/>
        <w:snapToGrid w:val="0"/>
        <w:spacing w:line="360" w:lineRule="auto"/>
        <w:ind w:left="0" w:right="0" w:firstLine="482" w:firstLineChars="200"/>
        <w:textAlignment w:val="auto"/>
        <w:rPr>
          <w:rFonts w:hint="eastAsia"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b/>
          <w:bCs/>
          <w:color w:val="auto"/>
          <w:sz w:val="24"/>
          <w:szCs w:val="24"/>
        </w:rPr>
        <w:t>根据以上分析，项目所在区域环境空气质量达标，属于达标区。</w:t>
      </w:r>
    </w:p>
    <w:p>
      <w:pPr>
        <w:pStyle w:val="3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eastAsia" w:ascii="Times New Roman" w:hAnsi="Times New Roman" w:eastAsia="宋体" w:cs="Times New Roman"/>
          <w:b/>
          <w:bCs/>
          <w:color w:val="auto"/>
          <w:kern w:val="2"/>
          <w:sz w:val="24"/>
          <w:szCs w:val="24"/>
          <w:highlight w:val="none"/>
          <w:lang w:val="en-US" w:eastAsia="zh-CN"/>
        </w:rPr>
      </w:pPr>
      <w:r>
        <w:rPr>
          <w:rFonts w:hint="eastAsia" w:ascii="Times New Roman" w:hAnsi="Times New Roman" w:eastAsia="宋体" w:cs="Times New Roman"/>
          <w:b/>
          <w:bCs/>
          <w:color w:val="auto"/>
          <w:kern w:val="2"/>
          <w:sz w:val="24"/>
          <w:szCs w:val="24"/>
          <w:highlight w:val="none"/>
          <w:lang w:val="en-US" w:eastAsia="zh-CN"/>
        </w:rPr>
        <w:t>2、大气环境质量现状特征因子</w:t>
      </w:r>
      <w:bookmarkEnd w:id="191"/>
      <w:bookmarkStart w:id="192" w:name="_Toc323023510"/>
      <w:bookmarkStart w:id="193" w:name="_Toc459118457"/>
      <w:bookmarkStart w:id="194" w:name="_Toc8609"/>
      <w:bookmarkStart w:id="195" w:name="_Toc117402000"/>
      <w:bookmarkStart w:id="196" w:name="_Toc124150961"/>
      <w:bookmarkStart w:id="197" w:name="_Toc213646135"/>
      <w:bookmarkStart w:id="198" w:name="_Toc202417127"/>
      <w:bookmarkStart w:id="199" w:name="_Toc211411968"/>
    </w:p>
    <w:p>
      <w:pPr>
        <w:spacing w:line="360" w:lineRule="auto"/>
        <w:ind w:firstLine="480" w:firstLineChars="200"/>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（1）监测项目</w:t>
      </w:r>
    </w:p>
    <w:p>
      <w:pPr>
        <w:spacing w:line="360" w:lineRule="auto"/>
        <w:ind w:firstLine="480" w:firstLineChars="200"/>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监测数据监测因子为：</w:t>
      </w:r>
      <w:r>
        <w:rPr>
          <w:rFonts w:hint="eastAsia" w:ascii="Times New Roman" w:hAnsi="Times New Roman" w:eastAsia="宋体" w:cs="Times New Roman"/>
          <w:color w:val="auto"/>
          <w:sz w:val="24"/>
          <w:highlight w:val="none"/>
          <w:lang w:val="en-US" w:eastAsia="zh-CN"/>
        </w:rPr>
        <w:t>H</w:t>
      </w:r>
      <w:r>
        <w:rPr>
          <w:rFonts w:hint="eastAsia" w:ascii="Times New Roman" w:hAnsi="Times New Roman" w:eastAsia="宋体" w:cs="Times New Roman"/>
          <w:color w:val="auto"/>
          <w:sz w:val="24"/>
          <w:highlight w:val="none"/>
          <w:vertAlign w:val="subscript"/>
          <w:lang w:val="en-US" w:eastAsia="zh-CN"/>
        </w:rPr>
        <w:t>2</w:t>
      </w:r>
      <w:r>
        <w:rPr>
          <w:rFonts w:hint="eastAsia" w:ascii="Times New Roman" w:hAnsi="Times New Roman" w:eastAsia="宋体" w:cs="Times New Roman"/>
          <w:color w:val="auto"/>
          <w:sz w:val="24"/>
          <w:highlight w:val="none"/>
          <w:lang w:val="en-US" w:eastAsia="zh-CN"/>
        </w:rPr>
        <w:t>S、NH</w:t>
      </w:r>
      <w:r>
        <w:rPr>
          <w:rFonts w:hint="eastAsia" w:ascii="Times New Roman" w:hAnsi="Times New Roman" w:eastAsia="宋体" w:cs="Times New Roman"/>
          <w:color w:val="auto"/>
          <w:sz w:val="24"/>
          <w:highlight w:val="none"/>
          <w:vertAlign w:val="subscript"/>
          <w:lang w:val="en-US" w:eastAsia="zh-CN"/>
        </w:rPr>
        <w:t>3</w:t>
      </w:r>
      <w:r>
        <w:rPr>
          <w:rFonts w:hint="eastAsia" w:ascii="Times New Roman" w:hAnsi="Times New Roman" w:eastAsia="宋体" w:cs="Times New Roman"/>
          <w:color w:val="auto"/>
          <w:sz w:val="24"/>
          <w:highlight w:val="none"/>
          <w:lang w:val="en-US" w:eastAsia="zh-CN"/>
        </w:rPr>
        <w:t>、臭气浓度</w:t>
      </w:r>
      <w:r>
        <w:rPr>
          <w:rFonts w:hint="eastAsia" w:ascii="Times New Roman" w:hAnsi="Times New Roman" w:eastAsia="宋体" w:cs="Times New Roman"/>
          <w:color w:val="auto"/>
          <w:sz w:val="24"/>
          <w:highlight w:val="none"/>
        </w:rPr>
        <w:t>。</w:t>
      </w:r>
    </w:p>
    <w:p>
      <w:pPr>
        <w:spacing w:line="360" w:lineRule="auto"/>
        <w:ind w:firstLine="480" w:firstLineChars="200"/>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（2）监测点位</w:t>
      </w:r>
    </w:p>
    <w:p>
      <w:pPr>
        <w:spacing w:line="360" w:lineRule="auto"/>
        <w:ind w:firstLine="480" w:firstLineChars="200"/>
        <w:rPr>
          <w:rFonts w:hint="default" w:ascii="Times New Roman" w:hAnsi="Times New Roman" w:eastAsia="宋体" w:cs="Times New Roman"/>
          <w:color w:val="auto"/>
          <w:sz w:val="24"/>
          <w:vertAlign w:val="baseline"/>
          <w:lang w:val="en-US"/>
        </w:rPr>
      </w:pPr>
      <w:r>
        <w:rPr>
          <w:rFonts w:hint="eastAsia" w:ascii="Times New Roman" w:hAnsi="Times New Roman" w:eastAsia="宋体" w:cs="Times New Roman"/>
          <w:color w:val="auto"/>
          <w:sz w:val="24"/>
        </w:rPr>
        <w:t>为了解评价区域环境空气质量现状，本次评价引用</w:t>
      </w:r>
      <w:r>
        <w:rPr>
          <w:rFonts w:hint="eastAsia" w:ascii="Times New Roman" w:hAnsi="Times New Roman" w:cs="Times New Roman"/>
          <w:color w:val="auto"/>
          <w:sz w:val="24"/>
          <w:szCs w:val="24"/>
          <w:highlight w:val="none"/>
          <w:lang w:val="en-US" w:eastAsia="zh-CN"/>
        </w:rPr>
        <w:t>四川地风升检测服务有限公司</w:t>
      </w:r>
      <w:r>
        <w:rPr>
          <w:rFonts w:hint="default" w:ascii="Times New Roman" w:hAnsi="Times New Roman" w:eastAsia="宋体" w:cs="Times New Roman"/>
          <w:color w:val="auto"/>
          <w:sz w:val="24"/>
          <w:szCs w:val="24"/>
          <w:highlight w:val="none"/>
        </w:rPr>
        <w:t>于2020年</w:t>
      </w:r>
      <w:r>
        <w:rPr>
          <w:rFonts w:hint="eastAsia" w:ascii="Times New Roman" w:hAnsi="Times New Roman" w:cs="Times New Roman"/>
          <w:color w:val="auto"/>
          <w:sz w:val="24"/>
          <w:szCs w:val="24"/>
          <w:highlight w:val="none"/>
          <w:lang w:val="en-US" w:eastAsia="zh-CN"/>
        </w:rPr>
        <w:t>10</w:t>
      </w:r>
      <w:r>
        <w:rPr>
          <w:rFonts w:hint="default" w:ascii="Times New Roman" w:hAnsi="Times New Roman" w:eastAsia="宋体" w:cs="Times New Roman"/>
          <w:color w:val="auto"/>
          <w:sz w:val="24"/>
          <w:szCs w:val="24"/>
          <w:highlight w:val="none"/>
        </w:rPr>
        <w:t>月对本项目所在区域环境空气质量进行</w:t>
      </w:r>
      <w:r>
        <w:rPr>
          <w:rFonts w:hint="eastAsia" w:ascii="Times New Roman" w:hAnsi="Times New Roman" w:eastAsia="宋体" w:cs="Times New Roman"/>
          <w:color w:val="auto"/>
          <w:sz w:val="24"/>
          <w:szCs w:val="24"/>
          <w:highlight w:val="none"/>
          <w:lang w:eastAsia="zh-CN"/>
        </w:rPr>
        <w:t>的</w:t>
      </w:r>
      <w:r>
        <w:rPr>
          <w:rFonts w:hint="default" w:ascii="Times New Roman" w:hAnsi="Times New Roman" w:eastAsia="宋体" w:cs="Times New Roman"/>
          <w:color w:val="auto"/>
          <w:sz w:val="24"/>
          <w:szCs w:val="24"/>
          <w:highlight w:val="none"/>
        </w:rPr>
        <w:t>现状监测</w:t>
      </w:r>
      <w:r>
        <w:rPr>
          <w:rFonts w:hint="eastAsia" w:ascii="Times New Roman" w:hAnsi="Times New Roman" w:eastAsia="宋体" w:cs="Times New Roman"/>
          <w:color w:val="auto"/>
          <w:sz w:val="24"/>
          <w:szCs w:val="24"/>
          <w:highlight w:val="none"/>
          <w:lang w:eastAsia="zh-CN"/>
        </w:rPr>
        <w:t>结果</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2021年1月对区域臭气浓度进行了现状监测，</w:t>
      </w:r>
      <w:r>
        <w:rPr>
          <w:rFonts w:hint="default" w:ascii="Times New Roman" w:hAnsi="Times New Roman" w:eastAsia="宋体" w:cs="Times New Roman"/>
          <w:color w:val="auto"/>
          <w:sz w:val="24"/>
          <w:szCs w:val="24"/>
          <w:highlight w:val="none"/>
        </w:rPr>
        <w:t>其监测结果及评价如下</w:t>
      </w:r>
      <w:r>
        <w:rPr>
          <w:rFonts w:hint="eastAsia" w:ascii="Times New Roman" w:hAnsi="Times New Roman" w:eastAsia="宋体" w:cs="Times New Roman"/>
          <w:color w:val="auto"/>
          <w:sz w:val="24"/>
          <w:highlight w:val="none"/>
          <w:vertAlign w:val="baseline"/>
          <w:lang w:val="en-US" w:eastAsia="zh-CN"/>
        </w:rPr>
        <w:t>。</w:t>
      </w:r>
    </w:p>
    <w:p>
      <w:pPr>
        <w:pStyle w:val="16"/>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4</w:t>
      </w:r>
      <w:r>
        <w:rPr>
          <w:rFonts w:hint="default" w:ascii="Times New Roman" w:hAnsi="Times New Roman" w:eastAsia="宋体" w:cs="Times New Roman"/>
          <w:color w:val="auto"/>
          <w:sz w:val="21"/>
          <w:szCs w:val="21"/>
        </w:rPr>
        <w:t>.3-1 环境空气监测点位一览表</w:t>
      </w:r>
    </w:p>
    <w:tbl>
      <w:tblPr>
        <w:tblStyle w:val="34"/>
        <w:tblpPr w:leftFromText="180" w:rightFromText="180" w:vertAnchor="text" w:horzAnchor="margin" w:tblpXSpec="center" w:tblpY="7"/>
        <w:tblOverlap w:val="never"/>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580"/>
        <w:gridCol w:w="663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2581" w:type="dxa"/>
            <w:tcBorders>
              <w:top w:val="single" w:color="auto" w:sz="12" w:space="0"/>
              <w:bottom w:val="single" w:color="auto" w:sz="12" w:space="0"/>
            </w:tcBorders>
            <w:noWrap w:val="0"/>
            <w:vAlign w:val="top"/>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t>监测点编号</w:t>
            </w:r>
          </w:p>
        </w:tc>
        <w:tc>
          <w:tcPr>
            <w:tcW w:w="6637" w:type="dxa"/>
            <w:tcBorders>
              <w:top w:val="single" w:color="auto" w:sz="12" w:space="0"/>
              <w:bottom w:val="single" w:color="auto" w:sz="12" w:space="0"/>
            </w:tcBorders>
            <w:noWrap w:val="0"/>
            <w:vAlign w:val="top"/>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t>监测点位置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81" w:type="dxa"/>
            <w:tcBorders>
              <w:top w:val="single" w:color="auto" w:sz="12" w:space="0"/>
              <w:bottom w:val="single" w:color="auto" w:sz="12" w:space="0"/>
            </w:tcBorders>
            <w:noWrap w:val="0"/>
            <w:vAlign w:val="top"/>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t>1#</w:t>
            </w:r>
          </w:p>
        </w:tc>
        <w:tc>
          <w:tcPr>
            <w:tcW w:w="6637" w:type="dxa"/>
            <w:tcBorders>
              <w:top w:val="single" w:color="auto" w:sz="12" w:space="0"/>
              <w:bottom w:val="single" w:color="auto" w:sz="12" w:space="0"/>
            </w:tcBorders>
            <w:noWrap w:val="0"/>
            <w:vAlign w:val="center"/>
          </w:tcPr>
          <w:p>
            <w:pPr>
              <w:pStyle w:val="140"/>
              <w:spacing w:line="240" w:lineRule="auto"/>
              <w:ind w:right="17" w:rightChars="8"/>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eastAsia="宋体" w:cs="Times New Roman"/>
                <w:color w:val="auto"/>
                <w:sz w:val="21"/>
                <w:szCs w:val="21"/>
                <w:highlight w:val="none"/>
                <w:lang w:val="en-US" w:eastAsia="zh-CN"/>
              </w:rPr>
              <w:t>项目厂区中心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2581" w:type="dxa"/>
            <w:tcBorders>
              <w:top w:val="single" w:color="auto" w:sz="12" w:space="0"/>
              <w:bottom w:val="single" w:color="auto" w:sz="12" w:space="0"/>
            </w:tcBorders>
            <w:noWrap w:val="0"/>
            <w:vAlign w:val="top"/>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t>2#</w:t>
            </w:r>
          </w:p>
        </w:tc>
        <w:tc>
          <w:tcPr>
            <w:tcW w:w="6637" w:type="dxa"/>
            <w:tcBorders>
              <w:top w:val="single" w:color="auto" w:sz="12" w:space="0"/>
              <w:bottom w:val="single" w:color="auto" w:sz="12" w:space="0"/>
            </w:tcBorders>
            <w:noWrap w:val="0"/>
            <w:vAlign w:val="center"/>
          </w:tcPr>
          <w:p>
            <w:pPr>
              <w:pStyle w:val="140"/>
              <w:spacing w:line="240" w:lineRule="auto"/>
              <w:ind w:right="17" w:rightChars="8"/>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eastAsia="宋体" w:cs="Times New Roman"/>
                <w:color w:val="auto"/>
                <w:sz w:val="21"/>
                <w:szCs w:val="21"/>
                <w:highlight w:val="none"/>
              </w:rPr>
              <w:t>项目厂区</w:t>
            </w:r>
            <w:r>
              <w:rPr>
                <w:rFonts w:hint="eastAsia" w:ascii="Times New Roman" w:hAnsi="Times New Roman" w:eastAsia="宋体" w:cs="Times New Roman"/>
                <w:color w:val="auto"/>
                <w:sz w:val="21"/>
                <w:szCs w:val="21"/>
                <w:highlight w:val="none"/>
                <w:lang w:val="en-US" w:eastAsia="zh-CN"/>
              </w:rPr>
              <w:t>下风向</w:t>
            </w:r>
          </w:p>
        </w:tc>
      </w:tr>
    </w:tbl>
    <w:p>
      <w:pPr>
        <w:spacing w:line="360" w:lineRule="auto"/>
        <w:ind w:firstLine="480" w:firstLineChars="200"/>
        <w:rPr>
          <w:rFonts w:ascii="Times New Roman" w:hAnsi="Times New Roman" w:eastAsia="宋体" w:cs="Times New Roman"/>
          <w:color w:val="auto"/>
          <w:sz w:val="24"/>
        </w:rPr>
      </w:pPr>
      <w:r>
        <w:rPr>
          <w:rFonts w:hint="eastAsia" w:ascii="Times New Roman" w:hAnsi="Times New Roman" w:eastAsia="宋体" w:cs="Times New Roman"/>
          <w:color w:val="auto"/>
          <w:sz w:val="24"/>
        </w:rPr>
        <w:t>（3）监测时间及频次</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val="en-US" w:eastAsia="zh-CN"/>
        </w:rPr>
        <w:t>1#、2#号点位</w:t>
      </w:r>
      <w:r>
        <w:rPr>
          <w:rFonts w:hint="default" w:ascii="Times New Roman" w:hAnsi="Times New Roman" w:eastAsia="宋体" w:cs="Times New Roman"/>
          <w:color w:val="auto"/>
          <w:sz w:val="24"/>
        </w:rPr>
        <w:t>监测时间为</w:t>
      </w:r>
      <w:r>
        <w:rPr>
          <w:rFonts w:hint="default" w:ascii="Times New Roman" w:hAnsi="Times New Roman" w:eastAsia="宋体" w:cs="Times New Roman"/>
          <w:color w:val="auto"/>
          <w:sz w:val="24"/>
          <w:szCs w:val="24"/>
          <w:highlight w:val="none"/>
        </w:rPr>
        <w:t>2020年</w:t>
      </w:r>
      <w:r>
        <w:rPr>
          <w:rFonts w:hint="eastAsia" w:ascii="Times New Roman" w:hAnsi="Times New Roman" w:cs="Times New Roman"/>
          <w:color w:val="auto"/>
          <w:sz w:val="24"/>
          <w:szCs w:val="24"/>
          <w:highlight w:val="none"/>
          <w:lang w:val="en-US" w:eastAsia="zh-CN"/>
        </w:rPr>
        <w:t>10</w:t>
      </w:r>
      <w:r>
        <w:rPr>
          <w:rFonts w:hint="default" w:ascii="Times New Roman" w:hAnsi="Times New Roman" w:eastAsia="宋体" w:cs="Times New Roman"/>
          <w:color w:val="auto"/>
          <w:sz w:val="24"/>
          <w:szCs w:val="24"/>
          <w:highlight w:val="none"/>
        </w:rPr>
        <w:t>月9日至</w:t>
      </w:r>
      <w:r>
        <w:rPr>
          <w:rFonts w:hint="eastAsia" w:ascii="Times New Roman" w:hAnsi="Times New Roman" w:cs="Times New Roman"/>
          <w:color w:val="auto"/>
          <w:sz w:val="24"/>
          <w:szCs w:val="24"/>
          <w:highlight w:val="none"/>
          <w:lang w:val="en-US" w:eastAsia="zh-CN"/>
        </w:rPr>
        <w:t>10</w:t>
      </w:r>
      <w:r>
        <w:rPr>
          <w:rFonts w:hint="default" w:ascii="Times New Roman" w:hAnsi="Times New Roman" w:eastAsia="宋体" w:cs="Times New Roman"/>
          <w:color w:val="auto"/>
          <w:sz w:val="24"/>
          <w:szCs w:val="24"/>
          <w:highlight w:val="none"/>
        </w:rPr>
        <w:t>月</w:t>
      </w:r>
      <w:r>
        <w:rPr>
          <w:rFonts w:hint="eastAsia"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5日</w:t>
      </w:r>
      <w:r>
        <w:rPr>
          <w:rFonts w:hint="default" w:ascii="Times New Roman" w:hAnsi="Times New Roman" w:eastAsia="宋体" w:cs="Times New Roman"/>
          <w:color w:val="auto"/>
          <w:sz w:val="24"/>
        </w:rPr>
        <w:t>，连续监测7天， H</w:t>
      </w:r>
      <w:r>
        <w:rPr>
          <w:rFonts w:hint="default" w:ascii="Times New Roman" w:hAnsi="Times New Roman" w:eastAsia="宋体" w:cs="Times New Roman"/>
          <w:color w:val="auto"/>
          <w:sz w:val="24"/>
          <w:vertAlign w:val="subscript"/>
        </w:rPr>
        <w:t>2</w:t>
      </w:r>
      <w:r>
        <w:rPr>
          <w:rFonts w:hint="default" w:ascii="Times New Roman" w:hAnsi="Times New Roman" w:eastAsia="宋体" w:cs="Times New Roman"/>
          <w:color w:val="auto"/>
          <w:sz w:val="24"/>
        </w:rPr>
        <w:t>S和NH</w:t>
      </w:r>
      <w:r>
        <w:rPr>
          <w:rFonts w:hint="default" w:ascii="Times New Roman" w:hAnsi="Times New Roman" w:eastAsia="宋体" w:cs="Times New Roman"/>
          <w:color w:val="auto"/>
          <w:sz w:val="24"/>
          <w:vertAlign w:val="subscript"/>
        </w:rPr>
        <w:t>3</w:t>
      </w:r>
      <w:r>
        <w:rPr>
          <w:rFonts w:hint="default" w:ascii="Times New Roman" w:hAnsi="Times New Roman" w:eastAsia="宋体" w:cs="Times New Roman"/>
          <w:color w:val="auto"/>
          <w:sz w:val="24"/>
        </w:rPr>
        <w:t>小时均值，每天监测4次。</w:t>
      </w:r>
    </w:p>
    <w:p>
      <w:pPr>
        <w:spacing w:line="360" w:lineRule="auto"/>
        <w:ind w:firstLine="480" w:firstLineChars="200"/>
        <w:rPr>
          <w:rFonts w:ascii="Times New Roman" w:hAnsi="Times New Roman" w:eastAsia="宋体" w:cs="Times New Roman"/>
          <w:color w:val="auto"/>
          <w:sz w:val="24"/>
        </w:rPr>
      </w:pPr>
      <w:r>
        <w:rPr>
          <w:rFonts w:hint="eastAsia" w:ascii="Times New Roman" w:hAnsi="Times New Roman" w:eastAsia="宋体" w:cs="Times New Roman"/>
          <w:color w:val="auto"/>
          <w:sz w:val="24"/>
        </w:rPr>
        <w:t>（4）监测方法及方法来源</w:t>
      </w:r>
    </w:p>
    <w:p>
      <w:pPr>
        <w:spacing w:line="360" w:lineRule="auto"/>
        <w:ind w:firstLine="480" w:firstLineChars="200"/>
        <w:rPr>
          <w:rFonts w:ascii="Times New Roman" w:hAnsi="Times New Roman" w:eastAsia="宋体" w:cs="Times New Roman"/>
          <w:color w:val="auto"/>
          <w:sz w:val="24"/>
        </w:rPr>
      </w:pPr>
      <w:r>
        <w:rPr>
          <w:rFonts w:hint="eastAsia" w:ascii="Times New Roman" w:hAnsi="Times New Roman" w:eastAsia="宋体" w:cs="Times New Roman"/>
          <w:color w:val="auto"/>
          <w:sz w:val="24"/>
        </w:rPr>
        <w:t>按《环境监测技术规范》（环境空气质量手工监测技术规范 HJ/T194-2005）和《空气和废气监测分析方法》（第四版）的有关要求和规定进行。</w:t>
      </w:r>
    </w:p>
    <w:p>
      <w:pPr>
        <w:spacing w:line="360" w:lineRule="auto"/>
        <w:ind w:firstLine="480" w:firstLineChars="200"/>
        <w:rPr>
          <w:rFonts w:ascii="Times New Roman" w:hAnsi="Times New Roman" w:eastAsia="宋体" w:cs="Times New Roman"/>
          <w:color w:val="auto"/>
          <w:sz w:val="24"/>
        </w:rPr>
      </w:pPr>
      <w:r>
        <w:rPr>
          <w:rFonts w:hint="eastAsia" w:ascii="Times New Roman" w:hAnsi="Times New Roman" w:eastAsia="宋体" w:cs="Times New Roman"/>
          <w:color w:val="auto"/>
          <w:sz w:val="24"/>
        </w:rPr>
        <w:t>（5）监测结果</w:t>
      </w:r>
    </w:p>
    <w:p>
      <w:pPr>
        <w:tabs>
          <w:tab w:val="left" w:pos="6052"/>
        </w:tabs>
        <w:spacing w:line="360" w:lineRule="auto"/>
        <w:ind w:firstLine="480" w:firstLineChars="200"/>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rPr>
        <w:t>环境空气质量现状监测结果见</w:t>
      </w:r>
      <w:r>
        <w:rPr>
          <w:rFonts w:hint="eastAsia" w:ascii="Times New Roman" w:hAnsi="Times New Roman" w:eastAsia="宋体"/>
          <w:color w:val="auto"/>
          <w:sz w:val="24"/>
          <w:szCs w:val="24"/>
        </w:rPr>
        <w:t>下表：</w:t>
      </w:r>
      <w:r>
        <w:rPr>
          <w:rFonts w:hint="eastAsia" w:ascii="Times New Roman" w:hAnsi="Times New Roman" w:eastAsia="宋体"/>
          <w:color w:val="auto"/>
          <w:sz w:val="24"/>
          <w:szCs w:val="24"/>
          <w:lang w:eastAsia="zh-CN"/>
        </w:rPr>
        <w:tab/>
      </w:r>
    </w:p>
    <w:p>
      <w:pPr>
        <w:pStyle w:val="10"/>
        <w:ind w:firstLine="422"/>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表</w:t>
      </w:r>
      <w:r>
        <w:rPr>
          <w:rFonts w:hint="eastAsia" w:ascii="Times New Roman" w:hAnsi="Times New Roman" w:cs="Times New Roman"/>
          <w:b/>
          <w:bCs/>
          <w:color w:val="auto"/>
          <w:sz w:val="21"/>
          <w:szCs w:val="21"/>
          <w:lang w:val="en-US" w:eastAsia="zh-CN"/>
        </w:rPr>
        <w:t>4</w:t>
      </w:r>
      <w:r>
        <w:rPr>
          <w:rFonts w:hint="default" w:ascii="Times New Roman" w:hAnsi="Times New Roman" w:cs="Times New Roman"/>
          <w:b/>
          <w:bCs/>
          <w:color w:val="auto"/>
          <w:sz w:val="21"/>
          <w:szCs w:val="21"/>
        </w:rPr>
        <w:t>.3-2 环境空气质量</w:t>
      </w:r>
      <w:r>
        <w:rPr>
          <w:rFonts w:hint="default" w:ascii="Times New Roman" w:hAnsi="Times New Roman" w:cs="Times New Roman"/>
          <w:b/>
          <w:bCs/>
          <w:color w:val="auto"/>
          <w:sz w:val="21"/>
          <w:szCs w:val="21"/>
          <w:lang w:eastAsia="zh-CN"/>
        </w:rPr>
        <w:t>（</w:t>
      </w:r>
      <w:r>
        <w:rPr>
          <w:rFonts w:hint="default" w:ascii="Times New Roman" w:hAnsi="Times New Roman" w:cs="Times New Roman"/>
          <w:b/>
          <w:bCs/>
          <w:color w:val="auto"/>
          <w:sz w:val="21"/>
          <w:szCs w:val="21"/>
          <w:lang w:val="en-US" w:eastAsia="zh-CN"/>
        </w:rPr>
        <w:t>1#、2#号点位</w:t>
      </w:r>
      <w:r>
        <w:rPr>
          <w:rFonts w:hint="default" w:ascii="Times New Roman" w:hAnsi="Times New Roman" w:cs="Times New Roman"/>
          <w:b/>
          <w:bCs/>
          <w:color w:val="auto"/>
          <w:sz w:val="21"/>
          <w:szCs w:val="21"/>
          <w:lang w:eastAsia="zh-CN"/>
        </w:rPr>
        <w:t>）</w:t>
      </w:r>
      <w:r>
        <w:rPr>
          <w:rFonts w:hint="default" w:ascii="Times New Roman" w:hAnsi="Times New Roman" w:cs="Times New Roman"/>
          <w:b/>
          <w:bCs/>
          <w:color w:val="auto"/>
          <w:sz w:val="21"/>
          <w:szCs w:val="21"/>
        </w:rPr>
        <w:t xml:space="preserve">监测结果 </w:t>
      </w:r>
    </w:p>
    <w:tbl>
      <w:tblPr>
        <w:tblStyle w:val="35"/>
        <w:tblW w:w="4997"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73"/>
        <w:gridCol w:w="1224"/>
        <w:gridCol w:w="918"/>
        <w:gridCol w:w="918"/>
        <w:gridCol w:w="918"/>
        <w:gridCol w:w="922"/>
        <w:gridCol w:w="918"/>
        <w:gridCol w:w="918"/>
        <w:gridCol w:w="918"/>
        <w:gridCol w:w="98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11" w:type="pct"/>
            <w:vMerge w:val="restart"/>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t>检测点位</w:t>
            </w:r>
          </w:p>
        </w:tc>
        <w:tc>
          <w:tcPr>
            <w:tcW w:w="664" w:type="pct"/>
            <w:vMerge w:val="restart"/>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t>采样日期</w:t>
            </w:r>
          </w:p>
        </w:tc>
        <w:tc>
          <w:tcPr>
            <w:tcW w:w="4023" w:type="pct"/>
            <w:gridSpan w:val="8"/>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t>检测结果</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311" w:type="pct"/>
            <w:vMerge w:val="continue"/>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pPr>
          </w:p>
        </w:tc>
        <w:tc>
          <w:tcPr>
            <w:tcW w:w="664" w:type="pct"/>
            <w:vMerge w:val="continue"/>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pPr>
          </w:p>
        </w:tc>
        <w:tc>
          <w:tcPr>
            <w:tcW w:w="1994" w:type="pct"/>
            <w:gridSpan w:val="4"/>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t>氨（mg/m</w:t>
            </w:r>
            <w:r>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vertAlign w:val="superscript"/>
                <w:lang w:val="en-US" w:eastAsia="zh-CN" w:bidi="en-US"/>
              </w:rPr>
              <w:t>3</w:t>
            </w:r>
            <w:r>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t>）</w:t>
            </w:r>
          </w:p>
        </w:tc>
        <w:tc>
          <w:tcPr>
            <w:tcW w:w="2029" w:type="pct"/>
            <w:gridSpan w:val="4"/>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t>硫化氢（mg/m</w:t>
            </w:r>
            <w:r>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vertAlign w:val="superscript"/>
                <w:lang w:val="en-US" w:eastAsia="zh-CN" w:bidi="en-US"/>
              </w:rPr>
              <w:t>3</w:t>
            </w:r>
            <w:r>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11" w:type="pct"/>
            <w:vMerge w:val="continue"/>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pPr>
          </w:p>
        </w:tc>
        <w:tc>
          <w:tcPr>
            <w:tcW w:w="664" w:type="pct"/>
            <w:vMerge w:val="continue"/>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pPr>
          </w:p>
        </w:tc>
        <w:tc>
          <w:tcPr>
            <w:tcW w:w="498" w:type="pct"/>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t>第一次</w:t>
            </w:r>
          </w:p>
        </w:tc>
        <w:tc>
          <w:tcPr>
            <w:tcW w:w="498" w:type="pct"/>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t>第二次</w:t>
            </w:r>
          </w:p>
        </w:tc>
        <w:tc>
          <w:tcPr>
            <w:tcW w:w="498" w:type="pct"/>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t>第三次</w:t>
            </w:r>
          </w:p>
        </w:tc>
        <w:tc>
          <w:tcPr>
            <w:tcW w:w="500" w:type="pct"/>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t>第四次</w:t>
            </w:r>
          </w:p>
        </w:tc>
        <w:tc>
          <w:tcPr>
            <w:tcW w:w="498" w:type="pct"/>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t>第一次</w:t>
            </w:r>
          </w:p>
        </w:tc>
        <w:tc>
          <w:tcPr>
            <w:tcW w:w="498" w:type="pct"/>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t>第二次</w:t>
            </w:r>
          </w:p>
        </w:tc>
        <w:tc>
          <w:tcPr>
            <w:tcW w:w="498" w:type="pct"/>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t>第三次</w:t>
            </w:r>
          </w:p>
        </w:tc>
        <w:tc>
          <w:tcPr>
            <w:tcW w:w="534" w:type="pct"/>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t>第四次</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11" w:type="pct"/>
            <w:vMerge w:val="restart"/>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t>1#</w:t>
            </w:r>
          </w:p>
        </w:tc>
        <w:tc>
          <w:tcPr>
            <w:tcW w:w="664" w:type="pct"/>
            <w:noWrap w:val="0"/>
            <w:vAlign w:val="center"/>
          </w:tcPr>
          <w:p>
            <w:pPr>
              <w:jc w:val="center"/>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eastAsia="宋体" w:cs="Times New Roman"/>
                <w:color w:val="auto"/>
                <w:sz w:val="21"/>
                <w:szCs w:val="21"/>
                <w:highlight w:val="none"/>
                <w:lang w:eastAsia="zh-CN"/>
              </w:rPr>
              <w:t>20</w:t>
            </w:r>
            <w:r>
              <w:rPr>
                <w:rFonts w:hint="eastAsia" w:ascii="Times New Roman" w:hAnsi="Times New Roman" w:eastAsia="宋体" w:cs="Times New Roman"/>
                <w:color w:val="auto"/>
                <w:sz w:val="21"/>
                <w:szCs w:val="21"/>
                <w:highlight w:val="none"/>
                <w:lang w:val="en-US" w:eastAsia="zh-CN"/>
              </w:rPr>
              <w:t>20.10.9</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0.16</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0.13</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0.15</w:t>
            </w:r>
          </w:p>
        </w:tc>
        <w:tc>
          <w:tcPr>
            <w:tcW w:w="500"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0.14</w:t>
            </w:r>
          </w:p>
        </w:tc>
        <w:tc>
          <w:tcPr>
            <w:tcW w:w="498" w:type="pct"/>
            <w:noWrap w:val="0"/>
            <w:vAlign w:val="center"/>
          </w:tcPr>
          <w:p>
            <w:pPr>
              <w:jc w:val="center"/>
              <w:outlineLvl w:val="4"/>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eastAsia="宋体" w:cs="Times New Roman"/>
                <w:color w:val="auto"/>
                <w:sz w:val="21"/>
                <w:szCs w:val="21"/>
                <w:highlight w:val="none"/>
                <w:lang w:val="en-US" w:eastAsia="zh-CN"/>
              </w:rPr>
              <w:t>0.002</w:t>
            </w:r>
          </w:p>
        </w:tc>
        <w:tc>
          <w:tcPr>
            <w:tcW w:w="498" w:type="pct"/>
            <w:noWrap w:val="0"/>
            <w:vAlign w:val="center"/>
          </w:tcPr>
          <w:p>
            <w:pPr>
              <w:jc w:val="center"/>
              <w:outlineLvl w:val="4"/>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eastAsia="宋体" w:cs="Times New Roman"/>
                <w:color w:val="auto"/>
                <w:sz w:val="21"/>
                <w:szCs w:val="21"/>
                <w:highlight w:val="none"/>
                <w:lang w:val="en-US" w:eastAsia="zh-CN"/>
              </w:rPr>
              <w:t>0.003</w:t>
            </w:r>
          </w:p>
        </w:tc>
        <w:tc>
          <w:tcPr>
            <w:tcW w:w="498" w:type="pct"/>
            <w:noWrap w:val="0"/>
            <w:vAlign w:val="center"/>
          </w:tcPr>
          <w:p>
            <w:pPr>
              <w:jc w:val="center"/>
              <w:outlineLvl w:val="4"/>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eastAsia="宋体" w:cs="Times New Roman"/>
                <w:color w:val="auto"/>
                <w:sz w:val="21"/>
                <w:szCs w:val="21"/>
                <w:highlight w:val="none"/>
                <w:lang w:val="en-US" w:eastAsia="zh-CN"/>
              </w:rPr>
              <w:t>0.003</w:t>
            </w:r>
          </w:p>
        </w:tc>
        <w:tc>
          <w:tcPr>
            <w:tcW w:w="534" w:type="pct"/>
            <w:noWrap w:val="0"/>
            <w:vAlign w:val="center"/>
          </w:tcPr>
          <w:p>
            <w:pPr>
              <w:jc w:val="center"/>
              <w:outlineLvl w:val="4"/>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eastAsia="宋体" w:cs="Times New Roman"/>
                <w:color w:val="auto"/>
                <w:sz w:val="21"/>
                <w:szCs w:val="21"/>
                <w:highlight w:val="none"/>
                <w:lang w:val="en-US" w:eastAsia="zh-CN"/>
              </w:rPr>
              <w:t>0.004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11" w:type="pct"/>
            <w:vMerge w:val="continue"/>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p>
        </w:tc>
        <w:tc>
          <w:tcPr>
            <w:tcW w:w="664" w:type="pct"/>
            <w:noWrap w:val="0"/>
            <w:vAlign w:val="center"/>
          </w:tcPr>
          <w:p>
            <w:pPr>
              <w:jc w:val="center"/>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eastAsia="宋体" w:cs="Times New Roman"/>
                <w:color w:val="auto"/>
                <w:sz w:val="21"/>
                <w:szCs w:val="21"/>
                <w:highlight w:val="none"/>
                <w:lang w:eastAsia="zh-CN"/>
              </w:rPr>
              <w:t>20</w:t>
            </w:r>
            <w:r>
              <w:rPr>
                <w:rFonts w:hint="eastAsia" w:ascii="Times New Roman" w:hAnsi="Times New Roman" w:eastAsia="宋体" w:cs="Times New Roman"/>
                <w:color w:val="auto"/>
                <w:sz w:val="21"/>
                <w:szCs w:val="21"/>
                <w:highlight w:val="none"/>
                <w:lang w:val="en-US" w:eastAsia="zh-CN"/>
              </w:rPr>
              <w:t>20.10.10</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0.15</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0.12</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0.16</w:t>
            </w:r>
          </w:p>
        </w:tc>
        <w:tc>
          <w:tcPr>
            <w:tcW w:w="500"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0.14</w:t>
            </w:r>
          </w:p>
        </w:tc>
        <w:tc>
          <w:tcPr>
            <w:tcW w:w="498" w:type="pct"/>
            <w:noWrap w:val="0"/>
            <w:vAlign w:val="center"/>
          </w:tcPr>
          <w:p>
            <w:pPr>
              <w:jc w:val="center"/>
              <w:outlineLvl w:val="4"/>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eastAsia="宋体" w:cs="Times New Roman"/>
                <w:color w:val="auto"/>
                <w:sz w:val="21"/>
                <w:szCs w:val="21"/>
                <w:highlight w:val="none"/>
                <w:lang w:val="en-US" w:eastAsia="zh-CN"/>
              </w:rPr>
              <w:t>0.003</w:t>
            </w:r>
          </w:p>
        </w:tc>
        <w:tc>
          <w:tcPr>
            <w:tcW w:w="498" w:type="pct"/>
            <w:noWrap w:val="0"/>
            <w:vAlign w:val="center"/>
          </w:tcPr>
          <w:p>
            <w:pPr>
              <w:jc w:val="center"/>
              <w:outlineLvl w:val="4"/>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eastAsia="宋体" w:cs="Times New Roman"/>
                <w:color w:val="auto"/>
                <w:sz w:val="21"/>
                <w:szCs w:val="21"/>
                <w:highlight w:val="none"/>
                <w:lang w:val="en-US" w:eastAsia="zh-CN"/>
              </w:rPr>
              <w:t>0.003</w:t>
            </w:r>
          </w:p>
        </w:tc>
        <w:tc>
          <w:tcPr>
            <w:tcW w:w="498" w:type="pct"/>
            <w:noWrap w:val="0"/>
            <w:vAlign w:val="center"/>
          </w:tcPr>
          <w:p>
            <w:pPr>
              <w:jc w:val="center"/>
              <w:outlineLvl w:val="4"/>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eastAsia="宋体" w:cs="Times New Roman"/>
                <w:color w:val="auto"/>
                <w:sz w:val="21"/>
                <w:szCs w:val="21"/>
                <w:highlight w:val="none"/>
                <w:lang w:val="en-US" w:eastAsia="zh-CN"/>
              </w:rPr>
              <w:t>0.003</w:t>
            </w:r>
          </w:p>
        </w:tc>
        <w:tc>
          <w:tcPr>
            <w:tcW w:w="534" w:type="pct"/>
            <w:noWrap w:val="0"/>
            <w:vAlign w:val="center"/>
          </w:tcPr>
          <w:p>
            <w:pPr>
              <w:jc w:val="center"/>
              <w:outlineLvl w:val="4"/>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eastAsia="宋体" w:cs="Times New Roman"/>
                <w:color w:val="auto"/>
                <w:sz w:val="21"/>
                <w:szCs w:val="21"/>
                <w:highlight w:val="none"/>
                <w:lang w:val="en-US" w:eastAsia="zh-CN"/>
              </w:rPr>
              <w:t>0.004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11" w:type="pct"/>
            <w:vMerge w:val="continue"/>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p>
        </w:tc>
        <w:tc>
          <w:tcPr>
            <w:tcW w:w="664" w:type="pct"/>
            <w:noWrap w:val="0"/>
            <w:vAlign w:val="center"/>
          </w:tcPr>
          <w:p>
            <w:pPr>
              <w:jc w:val="center"/>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eastAsia="宋体" w:cs="Times New Roman"/>
                <w:color w:val="auto"/>
                <w:sz w:val="21"/>
                <w:szCs w:val="21"/>
                <w:highlight w:val="none"/>
                <w:lang w:eastAsia="zh-CN"/>
              </w:rPr>
              <w:t>20</w:t>
            </w:r>
            <w:r>
              <w:rPr>
                <w:rFonts w:hint="eastAsia" w:ascii="Times New Roman" w:hAnsi="Times New Roman" w:eastAsia="宋体" w:cs="Times New Roman"/>
                <w:color w:val="auto"/>
                <w:sz w:val="21"/>
                <w:szCs w:val="21"/>
                <w:highlight w:val="none"/>
                <w:lang w:val="en-US" w:eastAsia="zh-CN"/>
              </w:rPr>
              <w:t>20.10.11</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0.15</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0.14</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0.13</w:t>
            </w:r>
          </w:p>
        </w:tc>
        <w:tc>
          <w:tcPr>
            <w:tcW w:w="500"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0.15</w:t>
            </w:r>
          </w:p>
        </w:tc>
        <w:tc>
          <w:tcPr>
            <w:tcW w:w="498" w:type="pct"/>
            <w:noWrap w:val="0"/>
            <w:vAlign w:val="center"/>
          </w:tcPr>
          <w:p>
            <w:pPr>
              <w:jc w:val="center"/>
              <w:outlineLvl w:val="4"/>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eastAsia="宋体" w:cs="Times New Roman"/>
                <w:color w:val="auto"/>
                <w:sz w:val="21"/>
                <w:szCs w:val="21"/>
                <w:highlight w:val="none"/>
                <w:lang w:val="en-US" w:eastAsia="zh-CN"/>
              </w:rPr>
              <w:t>0.003</w:t>
            </w:r>
          </w:p>
        </w:tc>
        <w:tc>
          <w:tcPr>
            <w:tcW w:w="498" w:type="pct"/>
            <w:noWrap w:val="0"/>
            <w:vAlign w:val="center"/>
          </w:tcPr>
          <w:p>
            <w:pPr>
              <w:jc w:val="center"/>
              <w:outlineLvl w:val="4"/>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eastAsia="宋体" w:cs="Times New Roman"/>
                <w:color w:val="auto"/>
                <w:sz w:val="21"/>
                <w:szCs w:val="21"/>
                <w:highlight w:val="none"/>
                <w:lang w:val="en-US" w:eastAsia="zh-CN"/>
              </w:rPr>
              <w:t>0.003</w:t>
            </w:r>
          </w:p>
        </w:tc>
        <w:tc>
          <w:tcPr>
            <w:tcW w:w="498" w:type="pct"/>
            <w:noWrap w:val="0"/>
            <w:vAlign w:val="center"/>
          </w:tcPr>
          <w:p>
            <w:pPr>
              <w:jc w:val="center"/>
              <w:outlineLvl w:val="4"/>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eastAsia="宋体" w:cs="Times New Roman"/>
                <w:color w:val="auto"/>
                <w:sz w:val="21"/>
                <w:szCs w:val="21"/>
                <w:highlight w:val="none"/>
                <w:lang w:val="en-US" w:eastAsia="zh-CN"/>
              </w:rPr>
              <w:t>0.004</w:t>
            </w:r>
          </w:p>
        </w:tc>
        <w:tc>
          <w:tcPr>
            <w:tcW w:w="534" w:type="pct"/>
            <w:noWrap w:val="0"/>
            <w:vAlign w:val="center"/>
          </w:tcPr>
          <w:p>
            <w:pPr>
              <w:jc w:val="center"/>
              <w:outlineLvl w:val="4"/>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eastAsia="宋体" w:cs="Times New Roman"/>
                <w:color w:val="auto"/>
                <w:sz w:val="21"/>
                <w:szCs w:val="21"/>
                <w:highlight w:val="none"/>
                <w:lang w:val="en-US" w:eastAsia="zh-CN"/>
              </w:rPr>
              <w:t>0.003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11" w:type="pct"/>
            <w:vMerge w:val="continue"/>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p>
        </w:tc>
        <w:tc>
          <w:tcPr>
            <w:tcW w:w="664" w:type="pct"/>
            <w:noWrap w:val="0"/>
            <w:vAlign w:val="center"/>
          </w:tcPr>
          <w:p>
            <w:pPr>
              <w:jc w:val="center"/>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eastAsia="宋体" w:cs="Times New Roman"/>
                <w:color w:val="auto"/>
                <w:sz w:val="21"/>
                <w:szCs w:val="21"/>
                <w:highlight w:val="none"/>
                <w:lang w:eastAsia="zh-CN"/>
              </w:rPr>
              <w:t>20</w:t>
            </w:r>
            <w:r>
              <w:rPr>
                <w:rFonts w:hint="eastAsia" w:ascii="Times New Roman" w:hAnsi="Times New Roman" w:eastAsia="宋体" w:cs="Times New Roman"/>
                <w:color w:val="auto"/>
                <w:sz w:val="21"/>
                <w:szCs w:val="21"/>
                <w:highlight w:val="none"/>
                <w:lang w:val="en-US" w:eastAsia="zh-CN"/>
              </w:rPr>
              <w:t>20.10.12</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0.15</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0.13</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0.16</w:t>
            </w:r>
          </w:p>
        </w:tc>
        <w:tc>
          <w:tcPr>
            <w:tcW w:w="500"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0.15</w:t>
            </w:r>
          </w:p>
        </w:tc>
        <w:tc>
          <w:tcPr>
            <w:tcW w:w="498" w:type="pct"/>
            <w:noWrap w:val="0"/>
            <w:vAlign w:val="center"/>
          </w:tcPr>
          <w:p>
            <w:pPr>
              <w:jc w:val="center"/>
              <w:outlineLvl w:val="4"/>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eastAsia="宋体" w:cs="Times New Roman"/>
                <w:color w:val="auto"/>
                <w:sz w:val="21"/>
                <w:szCs w:val="21"/>
                <w:highlight w:val="none"/>
                <w:lang w:val="en-US" w:eastAsia="zh-CN"/>
              </w:rPr>
              <w:t>0.004</w:t>
            </w:r>
          </w:p>
        </w:tc>
        <w:tc>
          <w:tcPr>
            <w:tcW w:w="498" w:type="pct"/>
            <w:noWrap w:val="0"/>
            <w:vAlign w:val="center"/>
          </w:tcPr>
          <w:p>
            <w:pPr>
              <w:jc w:val="center"/>
              <w:outlineLvl w:val="4"/>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eastAsia="宋体" w:cs="Times New Roman"/>
                <w:color w:val="auto"/>
                <w:sz w:val="21"/>
                <w:szCs w:val="21"/>
                <w:highlight w:val="none"/>
                <w:lang w:val="en-US" w:eastAsia="zh-CN"/>
              </w:rPr>
              <w:t>0.005</w:t>
            </w:r>
          </w:p>
        </w:tc>
        <w:tc>
          <w:tcPr>
            <w:tcW w:w="498" w:type="pct"/>
            <w:noWrap w:val="0"/>
            <w:vAlign w:val="center"/>
          </w:tcPr>
          <w:p>
            <w:pPr>
              <w:jc w:val="center"/>
              <w:outlineLvl w:val="4"/>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eastAsia="宋体" w:cs="Times New Roman"/>
                <w:color w:val="auto"/>
                <w:sz w:val="21"/>
                <w:szCs w:val="21"/>
                <w:highlight w:val="none"/>
                <w:lang w:val="en-US" w:eastAsia="zh-CN"/>
              </w:rPr>
              <w:t>0.004</w:t>
            </w:r>
          </w:p>
        </w:tc>
        <w:tc>
          <w:tcPr>
            <w:tcW w:w="534" w:type="pct"/>
            <w:noWrap w:val="0"/>
            <w:vAlign w:val="center"/>
          </w:tcPr>
          <w:p>
            <w:pPr>
              <w:jc w:val="center"/>
              <w:outlineLvl w:val="4"/>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eastAsia="宋体" w:cs="Times New Roman"/>
                <w:color w:val="auto"/>
                <w:sz w:val="21"/>
                <w:szCs w:val="21"/>
                <w:highlight w:val="none"/>
                <w:lang w:val="en-US" w:eastAsia="zh-CN"/>
              </w:rPr>
              <w:t>0.004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11" w:type="pct"/>
            <w:vMerge w:val="continue"/>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p>
        </w:tc>
        <w:tc>
          <w:tcPr>
            <w:tcW w:w="664" w:type="pct"/>
            <w:noWrap w:val="0"/>
            <w:vAlign w:val="center"/>
          </w:tcPr>
          <w:p>
            <w:pPr>
              <w:jc w:val="center"/>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eastAsia="宋体" w:cs="Times New Roman"/>
                <w:color w:val="auto"/>
                <w:sz w:val="21"/>
                <w:szCs w:val="21"/>
                <w:highlight w:val="none"/>
                <w:lang w:eastAsia="zh-CN"/>
              </w:rPr>
              <w:t>20</w:t>
            </w:r>
            <w:r>
              <w:rPr>
                <w:rFonts w:hint="eastAsia" w:ascii="Times New Roman" w:hAnsi="Times New Roman" w:eastAsia="宋体" w:cs="Times New Roman"/>
                <w:color w:val="auto"/>
                <w:sz w:val="21"/>
                <w:szCs w:val="21"/>
                <w:highlight w:val="none"/>
                <w:lang w:val="en-US" w:eastAsia="zh-CN"/>
              </w:rPr>
              <w:t>20.10.13</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0.15</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0.14</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0.16</w:t>
            </w:r>
          </w:p>
        </w:tc>
        <w:tc>
          <w:tcPr>
            <w:tcW w:w="500"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0.12</w:t>
            </w:r>
          </w:p>
        </w:tc>
        <w:tc>
          <w:tcPr>
            <w:tcW w:w="498" w:type="pct"/>
            <w:noWrap w:val="0"/>
            <w:vAlign w:val="center"/>
          </w:tcPr>
          <w:p>
            <w:pPr>
              <w:jc w:val="center"/>
              <w:outlineLvl w:val="4"/>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eastAsia="宋体" w:cs="Times New Roman"/>
                <w:color w:val="auto"/>
                <w:sz w:val="21"/>
                <w:szCs w:val="21"/>
                <w:highlight w:val="none"/>
                <w:lang w:val="en-US" w:eastAsia="zh-CN"/>
              </w:rPr>
              <w:t>0.002</w:t>
            </w:r>
          </w:p>
        </w:tc>
        <w:tc>
          <w:tcPr>
            <w:tcW w:w="498" w:type="pct"/>
            <w:noWrap w:val="0"/>
            <w:vAlign w:val="center"/>
          </w:tcPr>
          <w:p>
            <w:pPr>
              <w:jc w:val="center"/>
              <w:outlineLvl w:val="4"/>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eastAsia="宋体" w:cs="Times New Roman"/>
                <w:color w:val="auto"/>
                <w:sz w:val="21"/>
                <w:szCs w:val="21"/>
                <w:highlight w:val="none"/>
                <w:lang w:val="en-US" w:eastAsia="zh-CN"/>
              </w:rPr>
              <w:t>0.003</w:t>
            </w:r>
          </w:p>
        </w:tc>
        <w:tc>
          <w:tcPr>
            <w:tcW w:w="498" w:type="pct"/>
            <w:noWrap w:val="0"/>
            <w:vAlign w:val="center"/>
          </w:tcPr>
          <w:p>
            <w:pPr>
              <w:jc w:val="center"/>
              <w:outlineLvl w:val="4"/>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eastAsia="宋体" w:cs="Times New Roman"/>
                <w:color w:val="auto"/>
                <w:sz w:val="21"/>
                <w:szCs w:val="21"/>
                <w:highlight w:val="none"/>
                <w:lang w:val="en-US" w:eastAsia="zh-CN"/>
              </w:rPr>
              <w:t>0.003</w:t>
            </w:r>
          </w:p>
        </w:tc>
        <w:tc>
          <w:tcPr>
            <w:tcW w:w="534" w:type="pct"/>
            <w:noWrap w:val="0"/>
            <w:vAlign w:val="center"/>
          </w:tcPr>
          <w:p>
            <w:pPr>
              <w:jc w:val="center"/>
              <w:outlineLvl w:val="4"/>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eastAsia="宋体" w:cs="Times New Roman"/>
                <w:color w:val="auto"/>
                <w:sz w:val="21"/>
                <w:szCs w:val="21"/>
                <w:highlight w:val="none"/>
                <w:lang w:val="en-US" w:eastAsia="zh-CN"/>
              </w:rPr>
              <w:t>0.003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11" w:type="pct"/>
            <w:vMerge w:val="continue"/>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p>
        </w:tc>
        <w:tc>
          <w:tcPr>
            <w:tcW w:w="664" w:type="pct"/>
            <w:noWrap w:val="0"/>
            <w:vAlign w:val="center"/>
          </w:tcPr>
          <w:p>
            <w:pPr>
              <w:jc w:val="center"/>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eastAsia="宋体" w:cs="Times New Roman"/>
                <w:color w:val="auto"/>
                <w:sz w:val="21"/>
                <w:szCs w:val="21"/>
                <w:highlight w:val="none"/>
                <w:lang w:eastAsia="zh-CN"/>
              </w:rPr>
              <w:t>20</w:t>
            </w:r>
            <w:r>
              <w:rPr>
                <w:rFonts w:hint="eastAsia" w:ascii="Times New Roman" w:hAnsi="Times New Roman" w:eastAsia="宋体" w:cs="Times New Roman"/>
                <w:color w:val="auto"/>
                <w:sz w:val="21"/>
                <w:szCs w:val="21"/>
                <w:highlight w:val="none"/>
                <w:lang w:val="en-US" w:eastAsia="zh-CN"/>
              </w:rPr>
              <w:t>20.10.14</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0.15</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0.15</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0.12</w:t>
            </w:r>
          </w:p>
        </w:tc>
        <w:tc>
          <w:tcPr>
            <w:tcW w:w="500"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0.16</w:t>
            </w:r>
          </w:p>
        </w:tc>
        <w:tc>
          <w:tcPr>
            <w:tcW w:w="498" w:type="pct"/>
            <w:noWrap w:val="0"/>
            <w:vAlign w:val="center"/>
          </w:tcPr>
          <w:p>
            <w:pPr>
              <w:jc w:val="center"/>
              <w:outlineLvl w:val="4"/>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eastAsia="宋体" w:cs="Times New Roman"/>
                <w:color w:val="auto"/>
                <w:sz w:val="21"/>
                <w:szCs w:val="21"/>
                <w:highlight w:val="none"/>
                <w:lang w:val="en-US" w:eastAsia="zh-CN"/>
              </w:rPr>
              <w:t>0.003</w:t>
            </w:r>
          </w:p>
        </w:tc>
        <w:tc>
          <w:tcPr>
            <w:tcW w:w="498" w:type="pct"/>
            <w:noWrap w:val="0"/>
            <w:vAlign w:val="center"/>
          </w:tcPr>
          <w:p>
            <w:pPr>
              <w:jc w:val="center"/>
              <w:outlineLvl w:val="4"/>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eastAsia="宋体" w:cs="Times New Roman"/>
                <w:color w:val="auto"/>
                <w:sz w:val="21"/>
                <w:szCs w:val="21"/>
                <w:highlight w:val="none"/>
                <w:lang w:val="en-US" w:eastAsia="zh-CN"/>
              </w:rPr>
              <w:t>0.003</w:t>
            </w:r>
          </w:p>
        </w:tc>
        <w:tc>
          <w:tcPr>
            <w:tcW w:w="498" w:type="pct"/>
            <w:noWrap w:val="0"/>
            <w:vAlign w:val="center"/>
          </w:tcPr>
          <w:p>
            <w:pPr>
              <w:jc w:val="center"/>
              <w:outlineLvl w:val="4"/>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eastAsia="宋体" w:cs="Times New Roman"/>
                <w:color w:val="auto"/>
                <w:sz w:val="21"/>
                <w:szCs w:val="21"/>
                <w:highlight w:val="none"/>
                <w:lang w:val="en-US" w:eastAsia="zh-CN"/>
              </w:rPr>
              <w:t>0.003</w:t>
            </w:r>
          </w:p>
        </w:tc>
        <w:tc>
          <w:tcPr>
            <w:tcW w:w="534" w:type="pct"/>
            <w:noWrap w:val="0"/>
            <w:vAlign w:val="center"/>
          </w:tcPr>
          <w:p>
            <w:pPr>
              <w:jc w:val="center"/>
              <w:outlineLvl w:val="4"/>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eastAsia="宋体" w:cs="Times New Roman"/>
                <w:color w:val="auto"/>
                <w:sz w:val="21"/>
                <w:szCs w:val="21"/>
                <w:highlight w:val="none"/>
                <w:lang w:val="en-US" w:eastAsia="zh-CN"/>
              </w:rPr>
              <w:t>0.004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11" w:type="pct"/>
            <w:vMerge w:val="continue"/>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p>
        </w:tc>
        <w:tc>
          <w:tcPr>
            <w:tcW w:w="664" w:type="pct"/>
            <w:noWrap w:val="0"/>
            <w:vAlign w:val="center"/>
          </w:tcPr>
          <w:p>
            <w:pPr>
              <w:jc w:val="center"/>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eastAsia="宋体" w:cs="Times New Roman"/>
                <w:color w:val="auto"/>
                <w:sz w:val="21"/>
                <w:szCs w:val="21"/>
                <w:highlight w:val="none"/>
                <w:lang w:eastAsia="zh-CN"/>
              </w:rPr>
              <w:t>20</w:t>
            </w:r>
            <w:r>
              <w:rPr>
                <w:rFonts w:hint="eastAsia" w:ascii="Times New Roman" w:hAnsi="Times New Roman" w:eastAsia="宋体" w:cs="Times New Roman"/>
                <w:color w:val="auto"/>
                <w:sz w:val="21"/>
                <w:szCs w:val="21"/>
                <w:highlight w:val="none"/>
                <w:lang w:val="en-US" w:eastAsia="zh-CN"/>
              </w:rPr>
              <w:t>20.10.15</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0.16</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0.16</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0.14</w:t>
            </w:r>
          </w:p>
        </w:tc>
        <w:tc>
          <w:tcPr>
            <w:tcW w:w="500"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0.15</w:t>
            </w:r>
          </w:p>
        </w:tc>
        <w:tc>
          <w:tcPr>
            <w:tcW w:w="498" w:type="pct"/>
            <w:noWrap w:val="0"/>
            <w:vAlign w:val="center"/>
          </w:tcPr>
          <w:p>
            <w:pPr>
              <w:jc w:val="center"/>
              <w:outlineLvl w:val="4"/>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eastAsia="宋体" w:cs="Times New Roman"/>
                <w:color w:val="auto"/>
                <w:sz w:val="21"/>
                <w:szCs w:val="21"/>
                <w:highlight w:val="none"/>
                <w:lang w:val="en-US" w:eastAsia="zh-CN"/>
              </w:rPr>
              <w:t>0.004</w:t>
            </w:r>
          </w:p>
        </w:tc>
        <w:tc>
          <w:tcPr>
            <w:tcW w:w="498" w:type="pct"/>
            <w:noWrap w:val="0"/>
            <w:vAlign w:val="center"/>
          </w:tcPr>
          <w:p>
            <w:pPr>
              <w:jc w:val="center"/>
              <w:outlineLvl w:val="4"/>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eastAsia="宋体" w:cs="Times New Roman"/>
                <w:color w:val="auto"/>
                <w:sz w:val="21"/>
                <w:szCs w:val="21"/>
                <w:highlight w:val="none"/>
                <w:lang w:val="en-US" w:eastAsia="zh-CN"/>
              </w:rPr>
              <w:t>0.003</w:t>
            </w:r>
          </w:p>
        </w:tc>
        <w:tc>
          <w:tcPr>
            <w:tcW w:w="498" w:type="pct"/>
            <w:noWrap w:val="0"/>
            <w:vAlign w:val="center"/>
          </w:tcPr>
          <w:p>
            <w:pPr>
              <w:jc w:val="center"/>
              <w:outlineLvl w:val="4"/>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eastAsia="宋体" w:cs="Times New Roman"/>
                <w:color w:val="auto"/>
                <w:sz w:val="21"/>
                <w:szCs w:val="21"/>
                <w:highlight w:val="none"/>
                <w:lang w:val="en-US" w:eastAsia="zh-CN"/>
              </w:rPr>
              <w:t>0.004</w:t>
            </w:r>
          </w:p>
        </w:tc>
        <w:tc>
          <w:tcPr>
            <w:tcW w:w="534" w:type="pct"/>
            <w:noWrap w:val="0"/>
            <w:vAlign w:val="center"/>
          </w:tcPr>
          <w:p>
            <w:pPr>
              <w:jc w:val="center"/>
              <w:outlineLvl w:val="4"/>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eastAsia="宋体" w:cs="Times New Roman"/>
                <w:color w:val="auto"/>
                <w:sz w:val="21"/>
                <w:szCs w:val="21"/>
                <w:highlight w:val="none"/>
                <w:lang w:val="en-US" w:eastAsia="zh-CN"/>
              </w:rPr>
              <w:t>0.004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11" w:type="pct"/>
            <w:vMerge w:val="restart"/>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t>2#</w:t>
            </w:r>
          </w:p>
        </w:tc>
        <w:tc>
          <w:tcPr>
            <w:tcW w:w="664" w:type="pct"/>
            <w:noWrap w:val="0"/>
            <w:vAlign w:val="center"/>
          </w:tcPr>
          <w:p>
            <w:pPr>
              <w:jc w:val="center"/>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eastAsia="宋体" w:cs="Times New Roman"/>
                <w:color w:val="auto"/>
                <w:sz w:val="21"/>
                <w:szCs w:val="21"/>
                <w:highlight w:val="none"/>
                <w:lang w:eastAsia="zh-CN"/>
              </w:rPr>
              <w:t>20</w:t>
            </w:r>
            <w:r>
              <w:rPr>
                <w:rFonts w:hint="eastAsia" w:ascii="Times New Roman" w:hAnsi="Times New Roman" w:eastAsia="宋体" w:cs="Times New Roman"/>
                <w:color w:val="auto"/>
                <w:sz w:val="21"/>
                <w:szCs w:val="21"/>
                <w:highlight w:val="none"/>
                <w:lang w:val="en-US" w:eastAsia="zh-CN"/>
              </w:rPr>
              <w:t>20.10.9</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0.10</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0.13</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0.11</w:t>
            </w:r>
          </w:p>
        </w:tc>
        <w:tc>
          <w:tcPr>
            <w:tcW w:w="500"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0.14</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0.001</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0.001</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0.001</w:t>
            </w:r>
          </w:p>
        </w:tc>
        <w:tc>
          <w:tcPr>
            <w:tcW w:w="534"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11" w:type="pct"/>
            <w:vMerge w:val="continue"/>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p>
        </w:tc>
        <w:tc>
          <w:tcPr>
            <w:tcW w:w="664" w:type="pct"/>
            <w:noWrap w:val="0"/>
            <w:vAlign w:val="center"/>
          </w:tcPr>
          <w:p>
            <w:pPr>
              <w:jc w:val="center"/>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eastAsia="宋体" w:cs="Times New Roman"/>
                <w:color w:val="auto"/>
                <w:sz w:val="21"/>
                <w:szCs w:val="21"/>
                <w:highlight w:val="none"/>
                <w:lang w:eastAsia="zh-CN"/>
              </w:rPr>
              <w:t>20</w:t>
            </w:r>
            <w:r>
              <w:rPr>
                <w:rFonts w:hint="eastAsia" w:ascii="Times New Roman" w:hAnsi="Times New Roman" w:eastAsia="宋体" w:cs="Times New Roman"/>
                <w:color w:val="auto"/>
                <w:sz w:val="21"/>
                <w:szCs w:val="21"/>
                <w:highlight w:val="none"/>
                <w:lang w:val="en-US" w:eastAsia="zh-CN"/>
              </w:rPr>
              <w:t>20.10.10</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0.10</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0.11</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0.12</w:t>
            </w:r>
          </w:p>
        </w:tc>
        <w:tc>
          <w:tcPr>
            <w:tcW w:w="500"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0.13</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0.002</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0.002</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0.001</w:t>
            </w:r>
          </w:p>
        </w:tc>
        <w:tc>
          <w:tcPr>
            <w:tcW w:w="534"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11" w:type="pct"/>
            <w:vMerge w:val="continue"/>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p>
        </w:tc>
        <w:tc>
          <w:tcPr>
            <w:tcW w:w="664" w:type="pct"/>
            <w:noWrap w:val="0"/>
            <w:vAlign w:val="center"/>
          </w:tcPr>
          <w:p>
            <w:pPr>
              <w:jc w:val="center"/>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eastAsia="宋体" w:cs="Times New Roman"/>
                <w:color w:val="auto"/>
                <w:sz w:val="21"/>
                <w:szCs w:val="21"/>
                <w:highlight w:val="none"/>
                <w:lang w:eastAsia="zh-CN"/>
              </w:rPr>
              <w:t>20</w:t>
            </w:r>
            <w:r>
              <w:rPr>
                <w:rFonts w:hint="eastAsia" w:ascii="Times New Roman" w:hAnsi="Times New Roman" w:eastAsia="宋体" w:cs="Times New Roman"/>
                <w:color w:val="auto"/>
                <w:sz w:val="21"/>
                <w:szCs w:val="21"/>
                <w:highlight w:val="none"/>
                <w:lang w:val="en-US" w:eastAsia="zh-CN"/>
              </w:rPr>
              <w:t>20.10.11</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0.10</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0.12</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0.10</w:t>
            </w:r>
          </w:p>
        </w:tc>
        <w:tc>
          <w:tcPr>
            <w:tcW w:w="500"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0.10</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0.001</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0.002</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0.002</w:t>
            </w:r>
          </w:p>
        </w:tc>
        <w:tc>
          <w:tcPr>
            <w:tcW w:w="534"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11" w:type="pct"/>
            <w:vMerge w:val="continue"/>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p>
        </w:tc>
        <w:tc>
          <w:tcPr>
            <w:tcW w:w="664" w:type="pct"/>
            <w:noWrap w:val="0"/>
            <w:vAlign w:val="center"/>
          </w:tcPr>
          <w:p>
            <w:pPr>
              <w:jc w:val="center"/>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eastAsia="宋体" w:cs="Times New Roman"/>
                <w:color w:val="auto"/>
                <w:sz w:val="21"/>
                <w:szCs w:val="21"/>
                <w:highlight w:val="none"/>
                <w:lang w:eastAsia="zh-CN"/>
              </w:rPr>
              <w:t>20</w:t>
            </w:r>
            <w:r>
              <w:rPr>
                <w:rFonts w:hint="eastAsia" w:ascii="Times New Roman" w:hAnsi="Times New Roman" w:eastAsia="宋体" w:cs="Times New Roman"/>
                <w:color w:val="auto"/>
                <w:sz w:val="21"/>
                <w:szCs w:val="21"/>
                <w:highlight w:val="none"/>
                <w:lang w:val="en-US" w:eastAsia="zh-CN"/>
              </w:rPr>
              <w:t>20.10.12</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0.09</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0.13</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0.10</w:t>
            </w:r>
          </w:p>
        </w:tc>
        <w:tc>
          <w:tcPr>
            <w:tcW w:w="500"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0.12</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0.002</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0.002</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0.003</w:t>
            </w:r>
          </w:p>
        </w:tc>
        <w:tc>
          <w:tcPr>
            <w:tcW w:w="534"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11" w:type="pct"/>
            <w:vMerge w:val="continue"/>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p>
        </w:tc>
        <w:tc>
          <w:tcPr>
            <w:tcW w:w="664" w:type="pct"/>
            <w:noWrap w:val="0"/>
            <w:vAlign w:val="center"/>
          </w:tcPr>
          <w:p>
            <w:pPr>
              <w:jc w:val="center"/>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eastAsia="宋体" w:cs="Times New Roman"/>
                <w:color w:val="auto"/>
                <w:sz w:val="21"/>
                <w:szCs w:val="21"/>
                <w:highlight w:val="none"/>
                <w:lang w:eastAsia="zh-CN"/>
              </w:rPr>
              <w:t>20</w:t>
            </w:r>
            <w:r>
              <w:rPr>
                <w:rFonts w:hint="eastAsia" w:ascii="Times New Roman" w:hAnsi="Times New Roman" w:eastAsia="宋体" w:cs="Times New Roman"/>
                <w:color w:val="auto"/>
                <w:sz w:val="21"/>
                <w:szCs w:val="21"/>
                <w:highlight w:val="none"/>
                <w:lang w:val="en-US" w:eastAsia="zh-CN"/>
              </w:rPr>
              <w:t>20.10.13</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0.10</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0.11</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0.10</w:t>
            </w:r>
          </w:p>
        </w:tc>
        <w:tc>
          <w:tcPr>
            <w:tcW w:w="500"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0.11</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0.001</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0.002</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0.001</w:t>
            </w:r>
          </w:p>
        </w:tc>
        <w:tc>
          <w:tcPr>
            <w:tcW w:w="534"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11" w:type="pct"/>
            <w:vMerge w:val="continue"/>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p>
        </w:tc>
        <w:tc>
          <w:tcPr>
            <w:tcW w:w="664" w:type="pct"/>
            <w:noWrap w:val="0"/>
            <w:vAlign w:val="center"/>
          </w:tcPr>
          <w:p>
            <w:pPr>
              <w:jc w:val="center"/>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eastAsia="宋体" w:cs="Times New Roman"/>
                <w:color w:val="auto"/>
                <w:sz w:val="21"/>
                <w:szCs w:val="21"/>
                <w:highlight w:val="none"/>
                <w:lang w:eastAsia="zh-CN"/>
              </w:rPr>
              <w:t>20</w:t>
            </w:r>
            <w:r>
              <w:rPr>
                <w:rFonts w:hint="eastAsia" w:ascii="Times New Roman" w:hAnsi="Times New Roman" w:eastAsia="宋体" w:cs="Times New Roman"/>
                <w:color w:val="auto"/>
                <w:sz w:val="21"/>
                <w:szCs w:val="21"/>
                <w:highlight w:val="none"/>
                <w:lang w:val="en-US" w:eastAsia="zh-CN"/>
              </w:rPr>
              <w:t>20.10.14</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0.10</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0.10</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0.11</w:t>
            </w:r>
          </w:p>
        </w:tc>
        <w:tc>
          <w:tcPr>
            <w:tcW w:w="500"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0.11</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0.002</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0.001</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0.002</w:t>
            </w:r>
          </w:p>
        </w:tc>
        <w:tc>
          <w:tcPr>
            <w:tcW w:w="534"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11" w:type="pct"/>
            <w:vMerge w:val="continue"/>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p>
        </w:tc>
        <w:tc>
          <w:tcPr>
            <w:tcW w:w="664" w:type="pct"/>
            <w:noWrap w:val="0"/>
            <w:vAlign w:val="center"/>
          </w:tcPr>
          <w:p>
            <w:pPr>
              <w:jc w:val="center"/>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eastAsia="宋体" w:cs="Times New Roman"/>
                <w:color w:val="auto"/>
                <w:sz w:val="21"/>
                <w:szCs w:val="21"/>
                <w:highlight w:val="none"/>
                <w:lang w:eastAsia="zh-CN"/>
              </w:rPr>
              <w:t>20</w:t>
            </w:r>
            <w:r>
              <w:rPr>
                <w:rFonts w:hint="eastAsia" w:ascii="Times New Roman" w:hAnsi="Times New Roman" w:eastAsia="宋体" w:cs="Times New Roman"/>
                <w:color w:val="auto"/>
                <w:sz w:val="21"/>
                <w:szCs w:val="21"/>
                <w:highlight w:val="none"/>
                <w:lang w:val="en-US" w:eastAsia="zh-CN"/>
              </w:rPr>
              <w:t>20.10.15</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0.11</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0.10</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0.11</w:t>
            </w:r>
          </w:p>
        </w:tc>
        <w:tc>
          <w:tcPr>
            <w:tcW w:w="500"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0.12</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0.002</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0.001</w:t>
            </w:r>
          </w:p>
        </w:tc>
        <w:tc>
          <w:tcPr>
            <w:tcW w:w="498"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0.001</w:t>
            </w:r>
          </w:p>
        </w:tc>
        <w:tc>
          <w:tcPr>
            <w:tcW w:w="534" w:type="pct"/>
            <w:noWrap w:val="0"/>
            <w:vAlign w:val="center"/>
          </w:tcPr>
          <w:p>
            <w:pPr>
              <w:jc w:val="center"/>
              <w:outlineLvl w:val="4"/>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0.002</w:t>
            </w:r>
          </w:p>
        </w:tc>
      </w:tr>
    </w:tbl>
    <w:p>
      <w:pPr>
        <w:adjustRightInd w:val="0"/>
        <w:snapToGrid w:val="0"/>
        <w:spacing w:line="360" w:lineRule="auto"/>
        <w:ind w:firstLine="482" w:firstLineChars="200"/>
        <w:rPr>
          <w:rFonts w:hint="eastAsia" w:ascii="Times New Roman" w:hAnsi="Times New Roman" w:eastAsia="宋体" w:cs="Times New Roman"/>
          <w:b/>
          <w:bCs/>
          <w:color w:val="auto"/>
          <w:sz w:val="24"/>
          <w:lang w:eastAsia="zh-CN"/>
        </w:rPr>
      </w:pPr>
      <w:r>
        <w:rPr>
          <w:rFonts w:hint="eastAsia" w:ascii="Times New Roman" w:hAnsi="Times New Roman" w:eastAsia="宋体" w:cs="Times New Roman"/>
          <w:b/>
          <w:bCs/>
          <w:color w:val="auto"/>
          <w:sz w:val="24"/>
          <w:lang w:val="en-US" w:eastAsia="zh-CN"/>
        </w:rPr>
        <w:t>3、环境空气质量现状与评价</w:t>
      </w:r>
    </w:p>
    <w:p>
      <w:pPr>
        <w:spacing w:line="360" w:lineRule="auto"/>
        <w:ind w:firstLine="480" w:firstLineChars="2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（1）评价标准</w:t>
      </w:r>
    </w:p>
    <w:p>
      <w:pPr>
        <w:spacing w:line="360" w:lineRule="auto"/>
        <w:ind w:firstLine="480" w:firstLineChars="2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NH</w:t>
      </w:r>
      <w:r>
        <w:rPr>
          <w:rFonts w:hint="eastAsia" w:ascii="Times New Roman" w:hAnsi="Times New Roman" w:eastAsia="宋体" w:cs="Times New Roman"/>
          <w:color w:val="auto"/>
          <w:sz w:val="24"/>
          <w:vertAlign w:val="subscript"/>
          <w:lang w:val="en-US" w:eastAsia="zh-CN"/>
        </w:rPr>
        <w:t>3</w:t>
      </w:r>
      <w:r>
        <w:rPr>
          <w:rFonts w:hint="eastAsia" w:ascii="Times New Roman" w:hAnsi="Times New Roman" w:eastAsia="宋体" w:cs="Times New Roman"/>
          <w:color w:val="auto"/>
          <w:sz w:val="24"/>
          <w:lang w:val="en-US" w:eastAsia="zh-CN"/>
        </w:rPr>
        <w:t>、H</w:t>
      </w:r>
      <w:r>
        <w:rPr>
          <w:rFonts w:hint="eastAsia" w:ascii="Times New Roman" w:hAnsi="Times New Roman" w:eastAsia="宋体" w:cs="Times New Roman"/>
          <w:color w:val="auto"/>
          <w:sz w:val="24"/>
          <w:vertAlign w:val="subscript"/>
          <w:lang w:val="en-US" w:eastAsia="zh-CN"/>
        </w:rPr>
        <w:t>2</w:t>
      </w:r>
      <w:r>
        <w:rPr>
          <w:rFonts w:hint="eastAsia" w:ascii="Times New Roman" w:hAnsi="Times New Roman" w:eastAsia="宋体" w:cs="Times New Roman"/>
          <w:color w:val="auto"/>
          <w:sz w:val="24"/>
          <w:lang w:val="en-US" w:eastAsia="zh-CN"/>
        </w:rPr>
        <w:t>S参照</w:t>
      </w:r>
      <w:r>
        <w:rPr>
          <w:rFonts w:hint="eastAsia" w:ascii="Times New Roman" w:hAnsi="Times New Roman" w:eastAsia="宋体" w:cs="Times New Roman"/>
          <w:color w:val="auto"/>
          <w:sz w:val="24"/>
        </w:rPr>
        <w:t>《环境影响评价技术导则 大气环境》（HJ2.2-2018）中附录D表D.1《其它污染物空气质量浓度参考限值》中相关限值标准</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具体标准值详见下表：</w:t>
      </w:r>
    </w:p>
    <w:p>
      <w:pPr>
        <w:pStyle w:val="16"/>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表</w:t>
      </w:r>
      <w:r>
        <w:rPr>
          <w:rFonts w:hint="eastAsia" w:ascii="Times New Roman" w:hAnsi="Times New Roman" w:eastAsia="宋体" w:cs="Times New Roman"/>
          <w:color w:val="auto"/>
          <w:sz w:val="21"/>
          <w:szCs w:val="21"/>
          <w:lang w:val="en-US" w:eastAsia="zh-CN"/>
        </w:rPr>
        <w:t>4.</w:t>
      </w:r>
      <w:r>
        <w:rPr>
          <w:rFonts w:hint="eastAsia"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val="en-US" w:eastAsia="zh-CN"/>
        </w:rPr>
        <w:t xml:space="preserve">3 </w:t>
      </w:r>
      <w:r>
        <w:rPr>
          <w:rFonts w:hint="eastAsia" w:ascii="Times New Roman" w:hAnsi="Times New Roman" w:eastAsia="宋体" w:cs="Times New Roman"/>
          <w:color w:val="auto"/>
          <w:sz w:val="21"/>
          <w:szCs w:val="21"/>
        </w:rPr>
        <w:t xml:space="preserve"> 环境空气质量现状评价标准</w:t>
      </w:r>
    </w:p>
    <w:tbl>
      <w:tblPr>
        <w:tblStyle w:val="34"/>
        <w:tblW w:w="9219" w:type="dxa"/>
        <w:jc w:val="center"/>
        <w:tblBorders>
          <w:top w:val="single" w:color="000000" w:sz="2" w:space="0"/>
          <w:left w:val="none" w:color="auto" w:sz="0" w:space="0"/>
          <w:bottom w:val="single" w:color="000000" w:sz="2" w:space="0"/>
          <w:right w:val="none" w:color="auto" w:sz="0" w:space="0"/>
          <w:insideH w:val="single" w:color="auto" w:sz="4" w:space="0"/>
          <w:insideV w:val="single" w:color="000000" w:sz="2" w:space="0"/>
        </w:tblBorders>
        <w:tblLayout w:type="fixed"/>
        <w:tblCellMar>
          <w:top w:w="0" w:type="dxa"/>
          <w:left w:w="0" w:type="dxa"/>
          <w:bottom w:w="0" w:type="dxa"/>
          <w:right w:w="0" w:type="dxa"/>
        </w:tblCellMar>
      </w:tblPr>
      <w:tblGrid>
        <w:gridCol w:w="1688"/>
        <w:gridCol w:w="1425"/>
        <w:gridCol w:w="957"/>
        <w:gridCol w:w="1003"/>
        <w:gridCol w:w="4146"/>
      </w:tblGrid>
      <w:tr>
        <w:tblPrEx>
          <w:tblBorders>
            <w:top w:val="single" w:color="000000" w:sz="2" w:space="0"/>
            <w:left w:val="none" w:color="auto" w:sz="0" w:space="0"/>
            <w:bottom w:val="single" w:color="000000" w:sz="2" w:space="0"/>
            <w:right w:val="none" w:color="auto" w:sz="0" w:space="0"/>
            <w:insideH w:val="single" w:color="auto" w:sz="4" w:space="0"/>
            <w:insideV w:val="single" w:color="000000" w:sz="2" w:space="0"/>
          </w:tblBorders>
          <w:tblCellMar>
            <w:top w:w="0" w:type="dxa"/>
            <w:left w:w="0" w:type="dxa"/>
            <w:bottom w:w="0" w:type="dxa"/>
            <w:right w:w="0" w:type="dxa"/>
          </w:tblCellMar>
        </w:tblPrEx>
        <w:trPr>
          <w:trHeight w:val="319" w:hRule="atLeast"/>
          <w:jc w:val="center"/>
        </w:trPr>
        <w:tc>
          <w:tcPr>
            <w:tcW w:w="1688" w:type="dxa"/>
            <w:vMerge w:val="restart"/>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t>评价因子</w:t>
            </w:r>
          </w:p>
        </w:tc>
        <w:tc>
          <w:tcPr>
            <w:tcW w:w="3385" w:type="dxa"/>
            <w:gridSpan w:val="3"/>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t>浓度限值（mg/m</w:t>
            </w:r>
            <w:r>
              <w:rPr>
                <w:rFonts w:hint="eastAsia" w:ascii="Times New Roman" w:hAnsi="Times New Roman" w:cs="Times New Roman" w:eastAsiaTheme="minorEastAsia"/>
                <w:b/>
                <w:bCs/>
                <w:i w:val="0"/>
                <w:iCs w:val="0"/>
                <w:smallCaps w:val="0"/>
                <w:strike w:val="0"/>
                <w:color w:val="auto"/>
                <w:spacing w:val="0"/>
                <w:w w:val="100"/>
                <w:kern w:val="2"/>
                <w:position w:val="0"/>
                <w:sz w:val="21"/>
                <w:szCs w:val="21"/>
                <w:u w:val="none"/>
                <w:vertAlign w:val="superscript"/>
                <w:lang w:val="en-US" w:eastAsia="zh-CN" w:bidi="en-US"/>
              </w:rPr>
              <w:t>3</w:t>
            </w:r>
            <w:r>
              <w:rPr>
                <w:rFonts w:hint="eastAsia"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t>）</w:t>
            </w:r>
          </w:p>
        </w:tc>
        <w:tc>
          <w:tcPr>
            <w:tcW w:w="4146" w:type="dxa"/>
            <w:vMerge w:val="restart"/>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t>标准来源</w:t>
            </w:r>
          </w:p>
        </w:tc>
      </w:tr>
      <w:tr>
        <w:tblPrEx>
          <w:tblBorders>
            <w:top w:val="single" w:color="000000" w:sz="2" w:space="0"/>
            <w:left w:val="none" w:color="auto" w:sz="0" w:space="0"/>
            <w:bottom w:val="single" w:color="000000" w:sz="2" w:space="0"/>
            <w:right w:val="none" w:color="auto" w:sz="0" w:space="0"/>
            <w:insideH w:val="single" w:color="auto" w:sz="4" w:space="0"/>
            <w:insideV w:val="single" w:color="000000" w:sz="2" w:space="0"/>
          </w:tblBorders>
          <w:tblCellMar>
            <w:top w:w="0" w:type="dxa"/>
            <w:left w:w="0" w:type="dxa"/>
            <w:bottom w:w="0" w:type="dxa"/>
            <w:right w:w="0" w:type="dxa"/>
          </w:tblCellMar>
        </w:tblPrEx>
        <w:trPr>
          <w:trHeight w:val="325" w:hRule="atLeast"/>
          <w:jc w:val="center"/>
        </w:trPr>
        <w:tc>
          <w:tcPr>
            <w:tcW w:w="1688" w:type="dxa"/>
            <w:vMerge w:val="continue"/>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p>
        </w:tc>
        <w:tc>
          <w:tcPr>
            <w:tcW w:w="1425" w:type="dxa"/>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t>1小时平均</w:t>
            </w:r>
          </w:p>
        </w:tc>
        <w:tc>
          <w:tcPr>
            <w:tcW w:w="957" w:type="dxa"/>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t>日平均</w:t>
            </w:r>
          </w:p>
        </w:tc>
        <w:tc>
          <w:tcPr>
            <w:tcW w:w="1003" w:type="dxa"/>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t>年平均</w:t>
            </w:r>
          </w:p>
        </w:tc>
        <w:tc>
          <w:tcPr>
            <w:tcW w:w="4146" w:type="dxa"/>
            <w:vMerge w:val="continue"/>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p>
        </w:tc>
      </w:tr>
      <w:tr>
        <w:tblPrEx>
          <w:tblBorders>
            <w:top w:val="single" w:color="000000" w:sz="2" w:space="0"/>
            <w:left w:val="none" w:color="auto" w:sz="0" w:space="0"/>
            <w:bottom w:val="single" w:color="000000" w:sz="2" w:space="0"/>
            <w:right w:val="none" w:color="auto" w:sz="0" w:space="0"/>
            <w:insideH w:val="single" w:color="auto" w:sz="4" w:space="0"/>
            <w:insideV w:val="single" w:color="000000" w:sz="2" w:space="0"/>
          </w:tblBorders>
          <w:tblCellMar>
            <w:top w:w="0" w:type="dxa"/>
            <w:left w:w="0" w:type="dxa"/>
            <w:bottom w:w="0" w:type="dxa"/>
            <w:right w:w="0" w:type="dxa"/>
          </w:tblCellMar>
        </w:tblPrEx>
        <w:trPr>
          <w:trHeight w:val="325" w:hRule="atLeast"/>
          <w:jc w:val="center"/>
        </w:trPr>
        <w:tc>
          <w:tcPr>
            <w:tcW w:w="1688" w:type="dxa"/>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t>NH</w:t>
            </w: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vertAlign w:val="subscript"/>
                <w:lang w:val="en-US" w:eastAsia="zh-CN" w:bidi="en-US"/>
              </w:rPr>
              <w:t>3</w:t>
            </w:r>
          </w:p>
        </w:tc>
        <w:tc>
          <w:tcPr>
            <w:tcW w:w="1425" w:type="dxa"/>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t>0.2</w:t>
            </w:r>
          </w:p>
        </w:tc>
        <w:tc>
          <w:tcPr>
            <w:tcW w:w="957" w:type="dxa"/>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t>/</w:t>
            </w:r>
          </w:p>
        </w:tc>
        <w:tc>
          <w:tcPr>
            <w:tcW w:w="1003" w:type="dxa"/>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t>/</w:t>
            </w:r>
          </w:p>
        </w:tc>
        <w:tc>
          <w:tcPr>
            <w:tcW w:w="4146" w:type="dxa"/>
            <w:vMerge w:val="restart"/>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t>《环境影响评价技术导则 大气环境》（HJ2.2-2018）中附录D表D.1《其它污染物空气质量浓度参考限值》中的相关限值标准</w:t>
            </w:r>
          </w:p>
        </w:tc>
      </w:tr>
      <w:tr>
        <w:tblPrEx>
          <w:tblBorders>
            <w:top w:val="single" w:color="000000" w:sz="2" w:space="0"/>
            <w:left w:val="none" w:color="auto" w:sz="0" w:space="0"/>
            <w:bottom w:val="single" w:color="000000" w:sz="2" w:space="0"/>
            <w:right w:val="none" w:color="auto" w:sz="0" w:space="0"/>
            <w:insideH w:val="single" w:color="auto" w:sz="4" w:space="0"/>
            <w:insideV w:val="single" w:color="000000" w:sz="2" w:space="0"/>
          </w:tblBorders>
          <w:tblCellMar>
            <w:top w:w="0" w:type="dxa"/>
            <w:left w:w="0" w:type="dxa"/>
            <w:bottom w:w="0" w:type="dxa"/>
            <w:right w:w="0" w:type="dxa"/>
          </w:tblCellMar>
        </w:tblPrEx>
        <w:trPr>
          <w:trHeight w:val="634" w:hRule="atLeast"/>
          <w:jc w:val="center"/>
        </w:trPr>
        <w:tc>
          <w:tcPr>
            <w:tcW w:w="1688" w:type="dxa"/>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t>H</w:t>
            </w: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vertAlign w:val="subscript"/>
                <w:lang w:val="en-US" w:eastAsia="zh-CN" w:bidi="en-US"/>
              </w:rPr>
              <w:t>2</w:t>
            </w: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t>S</w:t>
            </w:r>
          </w:p>
        </w:tc>
        <w:tc>
          <w:tcPr>
            <w:tcW w:w="1425" w:type="dxa"/>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t>0.01</w:t>
            </w:r>
          </w:p>
        </w:tc>
        <w:tc>
          <w:tcPr>
            <w:tcW w:w="957" w:type="dxa"/>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t>/</w:t>
            </w:r>
          </w:p>
        </w:tc>
        <w:tc>
          <w:tcPr>
            <w:tcW w:w="1003" w:type="dxa"/>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t>/</w:t>
            </w:r>
          </w:p>
        </w:tc>
        <w:tc>
          <w:tcPr>
            <w:tcW w:w="4146" w:type="dxa"/>
            <w:vMerge w:val="continue"/>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p>
        </w:tc>
      </w:tr>
    </w:tbl>
    <w:p>
      <w:pPr>
        <w:spacing w:line="360" w:lineRule="auto"/>
        <w:ind w:firstLine="480" w:firstLineChars="2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（2）评价因子</w:t>
      </w:r>
    </w:p>
    <w:p>
      <w:pPr>
        <w:spacing w:line="360" w:lineRule="auto"/>
        <w:ind w:firstLine="480" w:firstLineChars="200"/>
        <w:rPr>
          <w:rFonts w:hint="eastAsia" w:ascii="Times New Roman" w:hAnsi="Times New Roman" w:eastAsia="宋体" w:cs="Times New Roman"/>
          <w:b/>
          <w:bCs/>
          <w:color w:val="auto"/>
          <w:sz w:val="24"/>
          <w:lang w:val="en-US" w:eastAsia="zh-CN"/>
        </w:rPr>
      </w:pPr>
      <w:r>
        <w:rPr>
          <w:rFonts w:hint="eastAsia" w:ascii="Times New Roman" w:hAnsi="Times New Roman" w:eastAsia="宋体" w:cs="Times New Roman"/>
          <w:color w:val="auto"/>
          <w:sz w:val="24"/>
          <w:lang w:val="en-US" w:eastAsia="zh-CN"/>
        </w:rPr>
        <w:t>NH</w:t>
      </w:r>
      <w:r>
        <w:rPr>
          <w:rFonts w:hint="eastAsia" w:ascii="Times New Roman" w:hAnsi="Times New Roman" w:eastAsia="宋体" w:cs="Times New Roman"/>
          <w:color w:val="auto"/>
          <w:sz w:val="24"/>
          <w:vertAlign w:val="subscript"/>
          <w:lang w:val="en-US" w:eastAsia="zh-CN"/>
        </w:rPr>
        <w:t>3</w:t>
      </w:r>
      <w:r>
        <w:rPr>
          <w:rFonts w:hint="eastAsia" w:ascii="Times New Roman" w:hAnsi="Times New Roman" w:eastAsia="宋体" w:cs="Times New Roman"/>
          <w:color w:val="auto"/>
          <w:sz w:val="24"/>
          <w:lang w:val="en-US" w:eastAsia="zh-CN"/>
        </w:rPr>
        <w:t>、H</w:t>
      </w:r>
      <w:r>
        <w:rPr>
          <w:rFonts w:hint="eastAsia" w:ascii="Times New Roman" w:hAnsi="Times New Roman" w:eastAsia="宋体" w:cs="Times New Roman"/>
          <w:color w:val="auto"/>
          <w:sz w:val="24"/>
          <w:vertAlign w:val="subscript"/>
          <w:lang w:val="en-US" w:eastAsia="zh-CN"/>
        </w:rPr>
        <w:t>2</w:t>
      </w:r>
      <w:r>
        <w:rPr>
          <w:rFonts w:hint="eastAsia" w:ascii="Times New Roman" w:hAnsi="Times New Roman" w:eastAsia="宋体" w:cs="Times New Roman"/>
          <w:color w:val="auto"/>
          <w:sz w:val="24"/>
          <w:lang w:val="en-US" w:eastAsia="zh-CN"/>
        </w:rPr>
        <w:t>S</w:t>
      </w:r>
    </w:p>
    <w:p>
      <w:pPr>
        <w:spacing w:line="360" w:lineRule="auto"/>
        <w:ind w:firstLine="480" w:firstLineChars="200"/>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3</w:t>
      </w:r>
      <w:r>
        <w:rPr>
          <w:rFonts w:hint="eastAsia" w:ascii="Times New Roman" w:hAnsi="Times New Roman" w:eastAsia="宋体" w:cs="Times New Roman"/>
          <w:color w:val="auto"/>
          <w:sz w:val="24"/>
          <w:lang w:eastAsia="zh-CN"/>
        </w:rPr>
        <w:t>）评价方法</w:t>
      </w:r>
    </w:p>
    <w:p>
      <w:pPr>
        <w:spacing w:line="360" w:lineRule="auto"/>
        <w:ind w:firstLine="480" w:firstLineChars="200"/>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评价区域内环境空气采用单项因子质量指数法进行评价，其数学模式为：</w:t>
      </w:r>
    </w:p>
    <w:p>
      <w:pPr>
        <w:spacing w:line="360" w:lineRule="auto"/>
        <w:ind w:firstLine="480" w:firstLineChars="200"/>
        <w:jc w:val="center"/>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val="en-US" w:eastAsia="zh-CN"/>
        </w:rPr>
        <w:t>P</w:t>
      </w:r>
      <w:r>
        <w:rPr>
          <w:rFonts w:hint="default" w:ascii="Times New Roman" w:hAnsi="Times New Roman" w:eastAsia="宋体" w:cs="Times New Roman"/>
          <w:color w:val="auto"/>
          <w:sz w:val="24"/>
        </w:rPr>
        <w:t>i=Ci/Si</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式中：</w:t>
      </w:r>
      <w:r>
        <w:rPr>
          <w:rFonts w:hint="eastAsia" w:ascii="Times New Roman" w:hAnsi="Times New Roman" w:eastAsia="宋体" w:cs="Times New Roman"/>
          <w:color w:val="auto"/>
          <w:sz w:val="24"/>
          <w:lang w:val="en-US" w:eastAsia="zh-CN"/>
        </w:rPr>
        <w:t>P</w:t>
      </w:r>
      <w:r>
        <w:rPr>
          <w:rFonts w:hint="default" w:ascii="Times New Roman" w:hAnsi="Times New Roman" w:eastAsia="宋体" w:cs="Times New Roman"/>
          <w:color w:val="auto"/>
          <w:sz w:val="24"/>
        </w:rPr>
        <w:t>i——i种污染物单项指数；</w:t>
      </w:r>
    </w:p>
    <w:p>
      <w:pPr>
        <w:spacing w:line="360" w:lineRule="auto"/>
        <w:ind w:firstLine="1200" w:firstLineChars="5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Ci——i种污染物的实测浓度，mg/N</w:t>
      </w:r>
      <w:r>
        <w:rPr>
          <w:rFonts w:hint="eastAsia" w:ascii="Times New Roman" w:hAnsi="Times New Roman" w:eastAsia="宋体" w:cs="Times New Roman"/>
          <w:color w:val="auto"/>
          <w:sz w:val="24"/>
          <w:lang w:eastAsia="zh-CN"/>
        </w:rPr>
        <w:t>m³</w:t>
      </w:r>
      <w:r>
        <w:rPr>
          <w:rFonts w:hint="default" w:ascii="Times New Roman" w:hAnsi="Times New Roman" w:eastAsia="宋体" w:cs="Times New Roman"/>
          <w:color w:val="auto"/>
          <w:sz w:val="24"/>
        </w:rPr>
        <w:t>；</w:t>
      </w:r>
    </w:p>
    <w:p>
      <w:pPr>
        <w:spacing w:line="360" w:lineRule="auto"/>
        <w:ind w:firstLine="1200" w:firstLineChars="5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Si——i种污染物的评价浓度，mg/N</w:t>
      </w:r>
      <w:r>
        <w:rPr>
          <w:rFonts w:hint="eastAsia" w:ascii="Times New Roman" w:hAnsi="Times New Roman" w:eastAsia="宋体" w:cs="Times New Roman"/>
          <w:color w:val="auto"/>
          <w:sz w:val="24"/>
          <w:lang w:eastAsia="zh-CN"/>
        </w:rPr>
        <w:t>m³</w:t>
      </w:r>
      <w:r>
        <w:rPr>
          <w:rFonts w:hint="default" w:ascii="Times New Roman" w:hAnsi="Times New Roman" w:eastAsia="宋体" w:cs="Times New Roman"/>
          <w:color w:val="auto"/>
          <w:sz w:val="24"/>
        </w:rPr>
        <w:t>。</w:t>
      </w:r>
    </w:p>
    <w:p>
      <w:pPr>
        <w:spacing w:line="360" w:lineRule="auto"/>
        <w:ind w:firstLine="480" w:firstLineChars="200"/>
        <w:rPr>
          <w:rFonts w:hint="eastAsia" w:ascii="Times New Roman" w:hAnsi="Times New Roman" w:eastAsia="宋体" w:cs="Times New Roman"/>
          <w:color w:val="auto"/>
          <w:sz w:val="24"/>
          <w:lang w:eastAsia="zh-CN"/>
        </w:rPr>
      </w:pPr>
      <w:r>
        <w:rPr>
          <w:rFonts w:hint="default" w:ascii="Times New Roman" w:hAnsi="Times New Roman" w:eastAsia="宋体" w:cs="Times New Roman"/>
          <w:color w:val="auto"/>
          <w:sz w:val="24"/>
        </w:rPr>
        <w:t>根据污染物单因子指数计算结果，分析环境空气质量现状，论证其是否满足项目所在区域功能规划的要求，为项目实施对环境空气的影响分析提供依据</w:t>
      </w:r>
      <w:r>
        <w:rPr>
          <w:rFonts w:hint="eastAsia" w:ascii="Times New Roman" w:hAnsi="Times New Roman" w:eastAsia="宋体" w:cs="Times New Roman"/>
          <w:color w:val="auto"/>
          <w:sz w:val="24"/>
          <w:lang w:eastAsia="zh-CN"/>
        </w:rPr>
        <w:t>。</w:t>
      </w:r>
    </w:p>
    <w:p>
      <w:pPr>
        <w:spacing w:line="360" w:lineRule="auto"/>
        <w:ind w:firstLine="480" w:firstLineChars="200"/>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4</w:t>
      </w:r>
      <w:r>
        <w:rPr>
          <w:rFonts w:hint="eastAsia" w:ascii="Times New Roman" w:hAnsi="Times New Roman" w:eastAsia="宋体" w:cs="Times New Roman"/>
          <w:color w:val="auto"/>
          <w:sz w:val="24"/>
          <w:lang w:eastAsia="zh-CN"/>
        </w:rPr>
        <w:t>）空气环境质量现状评价结果</w:t>
      </w:r>
    </w:p>
    <w:p>
      <w:pPr>
        <w:spacing w:line="360" w:lineRule="auto"/>
        <w:ind w:firstLine="480" w:firstLineChars="2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eastAsia="zh-CN"/>
        </w:rPr>
        <w:t>根据监测结果，项目所在区域环境空气现状监测统计及评价结果见</w:t>
      </w:r>
      <w:r>
        <w:rPr>
          <w:rFonts w:hint="eastAsia" w:ascii="Times New Roman" w:hAnsi="Times New Roman" w:eastAsia="宋体" w:cs="Times New Roman"/>
          <w:color w:val="auto"/>
          <w:sz w:val="24"/>
          <w:lang w:val="en-US" w:eastAsia="zh-CN"/>
        </w:rPr>
        <w:t>下</w:t>
      </w:r>
      <w:r>
        <w:rPr>
          <w:rFonts w:hint="eastAsia" w:ascii="Times New Roman" w:hAnsi="Times New Roman" w:eastAsia="宋体" w:cs="Times New Roman"/>
          <w:color w:val="auto"/>
          <w:sz w:val="24"/>
          <w:lang w:eastAsia="zh-CN"/>
        </w:rPr>
        <w:t>表</w:t>
      </w:r>
      <w:r>
        <w:rPr>
          <w:rFonts w:hint="eastAsia" w:ascii="Times New Roman" w:hAnsi="Times New Roman" w:eastAsia="宋体" w:cs="Times New Roman"/>
          <w:color w:val="auto"/>
          <w:sz w:val="24"/>
          <w:lang w:val="en-US" w:eastAsia="zh-CN"/>
        </w:rPr>
        <w:t>：</w:t>
      </w:r>
    </w:p>
    <w:p>
      <w:pPr>
        <w:pStyle w:val="16"/>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表</w:t>
      </w:r>
      <w:r>
        <w:rPr>
          <w:rFonts w:hint="eastAsia" w:ascii="Times New Roman" w:hAnsi="Times New Roman" w:eastAsia="宋体" w:cs="Times New Roman"/>
          <w:color w:val="auto"/>
          <w:sz w:val="21"/>
          <w:szCs w:val="21"/>
          <w:lang w:val="en-US" w:eastAsia="zh-CN"/>
        </w:rPr>
        <w:t>4.</w:t>
      </w: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val="en-US" w:eastAsia="zh-CN"/>
        </w:rPr>
        <w:t>4</w:t>
      </w:r>
      <w:r>
        <w:rPr>
          <w:rFonts w:hint="default" w:ascii="Times New Roman" w:hAnsi="Times New Roman" w:eastAsia="宋体" w:cs="Times New Roman"/>
          <w:color w:val="auto"/>
          <w:sz w:val="21"/>
          <w:szCs w:val="21"/>
        </w:rPr>
        <w:t xml:space="preserve">  环境空气</w:t>
      </w:r>
      <w:r>
        <w:rPr>
          <w:rFonts w:hint="default" w:ascii="Times New Roman" w:hAnsi="Times New Roman" w:eastAsia="宋体" w:cs="Times New Roman"/>
          <w:color w:val="auto"/>
          <w:sz w:val="21"/>
          <w:szCs w:val="21"/>
          <w:lang w:eastAsia="zh-CN"/>
        </w:rPr>
        <w:t>评价</w:t>
      </w:r>
      <w:r>
        <w:rPr>
          <w:rFonts w:hint="default" w:ascii="Times New Roman" w:hAnsi="Times New Roman" w:eastAsia="宋体" w:cs="Times New Roman"/>
          <w:color w:val="auto"/>
          <w:sz w:val="21"/>
          <w:szCs w:val="21"/>
        </w:rPr>
        <w:t>结果表</w:t>
      </w:r>
    </w:p>
    <w:tbl>
      <w:tblPr>
        <w:tblStyle w:val="34"/>
        <w:tblW w:w="0" w:type="auto"/>
        <w:jc w:val="center"/>
        <w:tblBorders>
          <w:top w:val="single" w:color="auto" w:sz="2" w:space="0"/>
          <w:left w:val="none" w:color="auto" w:sz="0" w:space="0"/>
          <w:bottom w:val="single" w:color="auto" w:sz="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004"/>
        <w:gridCol w:w="1323"/>
        <w:gridCol w:w="1172"/>
        <w:gridCol w:w="1541"/>
        <w:gridCol w:w="1350"/>
        <w:gridCol w:w="1091"/>
        <w:gridCol w:w="795"/>
      </w:tblGrid>
      <w:tr>
        <w:tblPrEx>
          <w:tblBorders>
            <w:top w:val="single" w:color="auto" w:sz="2" w:space="0"/>
            <w:left w:val="none" w:color="auto" w:sz="0" w:space="0"/>
            <w:bottom w:val="single" w:color="auto" w:sz="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828" w:type="dxa"/>
            <w:tcBorders>
              <w:tl2br w:val="nil"/>
              <w:tr2bl w:val="nil"/>
            </w:tcBorders>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t>监测点位</w:t>
            </w:r>
          </w:p>
        </w:tc>
        <w:tc>
          <w:tcPr>
            <w:tcW w:w="1004" w:type="dxa"/>
            <w:tcBorders>
              <w:tl2br w:val="nil"/>
              <w:tr2bl w:val="nil"/>
            </w:tcBorders>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t>污染物</w:t>
            </w:r>
          </w:p>
        </w:tc>
        <w:tc>
          <w:tcPr>
            <w:tcW w:w="1323" w:type="dxa"/>
            <w:tcBorders>
              <w:tl2br w:val="nil"/>
              <w:tr2bl w:val="nil"/>
            </w:tcBorders>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t>平均时间</w:t>
            </w:r>
          </w:p>
        </w:tc>
        <w:tc>
          <w:tcPr>
            <w:tcW w:w="1172" w:type="dxa"/>
            <w:tcBorders>
              <w:tl2br w:val="nil"/>
              <w:tr2bl w:val="nil"/>
            </w:tcBorders>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t>评价标准（mg/m</w:t>
            </w:r>
            <w:r>
              <w:rPr>
                <w:rFonts w:hint="eastAsia" w:ascii="Times New Roman" w:hAnsi="Times New Roman" w:cs="Times New Roman" w:eastAsiaTheme="minorEastAsia"/>
                <w:b/>
                <w:bCs/>
                <w:i w:val="0"/>
                <w:iCs w:val="0"/>
                <w:smallCaps w:val="0"/>
                <w:strike w:val="0"/>
                <w:color w:val="auto"/>
                <w:spacing w:val="0"/>
                <w:w w:val="100"/>
                <w:kern w:val="2"/>
                <w:position w:val="0"/>
                <w:sz w:val="21"/>
                <w:szCs w:val="21"/>
                <w:u w:val="none"/>
                <w:vertAlign w:val="superscript"/>
                <w:lang w:val="en-US" w:eastAsia="zh-CN" w:bidi="en-US"/>
              </w:rPr>
              <w:t>3</w:t>
            </w:r>
            <w:r>
              <w:rPr>
                <w:rFonts w:hint="eastAsia"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t>）</w:t>
            </w:r>
          </w:p>
        </w:tc>
        <w:tc>
          <w:tcPr>
            <w:tcW w:w="1541" w:type="dxa"/>
            <w:tcBorders>
              <w:tl2br w:val="nil"/>
              <w:tr2bl w:val="nil"/>
            </w:tcBorders>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t>监测浓度范围（mg/m</w:t>
            </w:r>
            <w:r>
              <w:rPr>
                <w:rFonts w:hint="eastAsia" w:ascii="Times New Roman" w:hAnsi="Times New Roman" w:cs="Times New Roman" w:eastAsiaTheme="minorEastAsia"/>
                <w:b/>
                <w:bCs/>
                <w:i w:val="0"/>
                <w:iCs w:val="0"/>
                <w:smallCaps w:val="0"/>
                <w:strike w:val="0"/>
                <w:color w:val="auto"/>
                <w:spacing w:val="0"/>
                <w:w w:val="100"/>
                <w:kern w:val="2"/>
                <w:position w:val="0"/>
                <w:sz w:val="21"/>
                <w:szCs w:val="21"/>
                <w:u w:val="none"/>
                <w:vertAlign w:val="superscript"/>
                <w:lang w:val="en-US" w:eastAsia="zh-CN" w:bidi="en-US"/>
              </w:rPr>
              <w:t>3</w:t>
            </w:r>
            <w:r>
              <w:rPr>
                <w:rFonts w:hint="eastAsia"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t>）</w:t>
            </w:r>
          </w:p>
        </w:tc>
        <w:tc>
          <w:tcPr>
            <w:tcW w:w="1350" w:type="dxa"/>
            <w:tcBorders>
              <w:tl2br w:val="nil"/>
              <w:tr2bl w:val="nil"/>
            </w:tcBorders>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t>最大浓度占标率（Pimax）</w:t>
            </w:r>
          </w:p>
        </w:tc>
        <w:tc>
          <w:tcPr>
            <w:tcW w:w="1091" w:type="dxa"/>
            <w:tcBorders>
              <w:tl2br w:val="nil"/>
              <w:tr2bl w:val="nil"/>
            </w:tcBorders>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t>超标率（%）</w:t>
            </w:r>
          </w:p>
        </w:tc>
        <w:tc>
          <w:tcPr>
            <w:tcW w:w="795" w:type="dxa"/>
            <w:tcBorders>
              <w:tl2br w:val="nil"/>
              <w:tr2bl w:val="nil"/>
            </w:tcBorders>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cs="Times New Roman" w:eastAsiaTheme="minorEastAsia"/>
                <w:b/>
                <w:bCs/>
                <w:i w:val="0"/>
                <w:iCs w:val="0"/>
                <w:smallCaps w:val="0"/>
                <w:strike w:val="0"/>
                <w:color w:val="auto"/>
                <w:spacing w:val="0"/>
                <w:w w:val="100"/>
                <w:kern w:val="2"/>
                <w:position w:val="0"/>
                <w:sz w:val="21"/>
                <w:szCs w:val="21"/>
                <w:u w:val="none"/>
                <w:lang w:val="en-US" w:eastAsia="zh-CN" w:bidi="en-US"/>
              </w:rPr>
              <w:t>达标情况</w:t>
            </w:r>
          </w:p>
        </w:tc>
      </w:tr>
      <w:tr>
        <w:tblPrEx>
          <w:tblBorders>
            <w:top w:val="single" w:color="auto" w:sz="2" w:space="0"/>
            <w:left w:val="none" w:color="auto" w:sz="0" w:space="0"/>
            <w:bottom w:val="single" w:color="auto" w:sz="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28" w:type="dxa"/>
            <w:vMerge w:val="restart"/>
            <w:tcBorders>
              <w:tl2br w:val="nil"/>
              <w:tr2bl w:val="nil"/>
            </w:tcBorders>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t>1#</w:t>
            </w:r>
          </w:p>
        </w:tc>
        <w:tc>
          <w:tcPr>
            <w:tcW w:w="1004" w:type="dxa"/>
            <w:tcBorders>
              <w:tl2br w:val="nil"/>
              <w:tr2bl w:val="nil"/>
            </w:tcBorders>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t>H</w:t>
            </w: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vertAlign w:val="subscript"/>
                <w:lang w:val="en-US" w:eastAsia="zh-CN" w:bidi="en-US"/>
              </w:rPr>
              <w:t>2</w:t>
            </w: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t>S</w:t>
            </w:r>
          </w:p>
        </w:tc>
        <w:tc>
          <w:tcPr>
            <w:tcW w:w="1323" w:type="dxa"/>
            <w:vMerge w:val="restart"/>
            <w:tcBorders>
              <w:tl2br w:val="nil"/>
              <w:tr2bl w:val="nil"/>
            </w:tcBorders>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t>1小时均值</w:t>
            </w:r>
          </w:p>
        </w:tc>
        <w:tc>
          <w:tcPr>
            <w:tcW w:w="1172" w:type="dxa"/>
            <w:tcBorders>
              <w:tl2br w:val="nil"/>
              <w:tr2bl w:val="nil"/>
            </w:tcBorders>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t>0.2</w:t>
            </w:r>
          </w:p>
        </w:tc>
        <w:tc>
          <w:tcPr>
            <w:tcW w:w="1541" w:type="dxa"/>
            <w:tcBorders>
              <w:tl2br w:val="nil"/>
              <w:tr2bl w:val="nil"/>
            </w:tcBorders>
            <w:noWrap w:val="0"/>
            <w:vAlign w:val="center"/>
          </w:tcPr>
          <w:p>
            <w:pPr>
              <w:jc w:val="center"/>
              <w:outlineLvl w:val="4"/>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eastAsia="宋体" w:cs="Times New Roman"/>
                <w:color w:val="auto"/>
                <w:sz w:val="21"/>
                <w:szCs w:val="21"/>
                <w:highlight w:val="none"/>
                <w:lang w:eastAsia="zh-CN"/>
              </w:rPr>
              <w:t>0</w:t>
            </w:r>
            <w:r>
              <w:rPr>
                <w:rFonts w:hint="eastAsia" w:ascii="Times New Roman" w:hAnsi="Times New Roman" w:eastAsia="宋体" w:cs="Times New Roman"/>
                <w:color w:val="auto"/>
                <w:sz w:val="21"/>
                <w:szCs w:val="21"/>
                <w:highlight w:val="none"/>
                <w:lang w:val="en-US" w:eastAsia="zh-CN"/>
              </w:rPr>
              <w:t>002</w:t>
            </w:r>
            <w:r>
              <w:rPr>
                <w:rFonts w:hint="default" w:ascii="Times New Roman" w:hAnsi="Times New Roman" w:eastAsia="宋体" w:cs="Times New Roman"/>
                <w:color w:val="auto"/>
                <w:sz w:val="21"/>
                <w:szCs w:val="21"/>
                <w:highlight w:val="none"/>
                <w:lang w:eastAsia="zh-CN"/>
              </w:rPr>
              <w:t>~0.00</w:t>
            </w:r>
            <w:r>
              <w:rPr>
                <w:rFonts w:hint="eastAsia" w:ascii="Times New Roman" w:hAnsi="Times New Roman" w:eastAsia="宋体" w:cs="Times New Roman"/>
                <w:color w:val="auto"/>
                <w:sz w:val="21"/>
                <w:szCs w:val="21"/>
                <w:highlight w:val="none"/>
                <w:lang w:val="en-US" w:eastAsia="zh-CN"/>
              </w:rPr>
              <w:t>4</w:t>
            </w:r>
          </w:p>
        </w:tc>
        <w:tc>
          <w:tcPr>
            <w:tcW w:w="1350" w:type="dxa"/>
            <w:tcBorders>
              <w:tl2br w:val="nil"/>
              <w:tr2bl w:val="nil"/>
            </w:tcBorders>
            <w:noWrap w:val="0"/>
            <w:vAlign w:val="center"/>
          </w:tcPr>
          <w:p>
            <w:pPr>
              <w:jc w:val="center"/>
              <w:outlineLvl w:val="4"/>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eastAsia="宋体" w:cs="Times New Roman"/>
                <w:color w:val="auto"/>
                <w:sz w:val="21"/>
                <w:szCs w:val="21"/>
                <w:highlight w:val="none"/>
                <w:lang w:eastAsia="zh-CN"/>
              </w:rPr>
              <w:t>0.</w:t>
            </w:r>
            <w:r>
              <w:rPr>
                <w:rFonts w:hint="eastAsia" w:ascii="Times New Roman" w:hAnsi="Times New Roman" w:eastAsia="宋体" w:cs="Times New Roman"/>
                <w:color w:val="auto"/>
                <w:sz w:val="21"/>
                <w:szCs w:val="21"/>
                <w:highlight w:val="none"/>
                <w:lang w:val="en-US" w:eastAsia="zh-CN"/>
              </w:rPr>
              <w:t>3</w:t>
            </w:r>
          </w:p>
        </w:tc>
        <w:tc>
          <w:tcPr>
            <w:tcW w:w="1091" w:type="dxa"/>
            <w:tcBorders>
              <w:tl2br w:val="nil"/>
              <w:tr2bl w:val="nil"/>
            </w:tcBorders>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t>0</w:t>
            </w:r>
          </w:p>
        </w:tc>
        <w:tc>
          <w:tcPr>
            <w:tcW w:w="795" w:type="dxa"/>
            <w:tcBorders>
              <w:tl2br w:val="nil"/>
              <w:tr2bl w:val="nil"/>
            </w:tcBorders>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t>达标</w:t>
            </w:r>
          </w:p>
        </w:tc>
      </w:tr>
      <w:tr>
        <w:tblPrEx>
          <w:tblBorders>
            <w:top w:val="single" w:color="auto" w:sz="2" w:space="0"/>
            <w:left w:val="none" w:color="auto" w:sz="0" w:space="0"/>
            <w:bottom w:val="single" w:color="auto" w:sz="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28" w:type="dxa"/>
            <w:vMerge w:val="continue"/>
            <w:tcBorders>
              <w:tl2br w:val="nil"/>
              <w:tr2bl w:val="nil"/>
            </w:tcBorders>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p>
        </w:tc>
        <w:tc>
          <w:tcPr>
            <w:tcW w:w="1004" w:type="dxa"/>
            <w:tcBorders>
              <w:tl2br w:val="nil"/>
              <w:tr2bl w:val="nil"/>
            </w:tcBorders>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t>NH</w:t>
            </w: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vertAlign w:val="subscript"/>
                <w:lang w:val="en-US" w:eastAsia="zh-CN" w:bidi="en-US"/>
              </w:rPr>
              <w:t>3</w:t>
            </w:r>
          </w:p>
        </w:tc>
        <w:tc>
          <w:tcPr>
            <w:tcW w:w="1323" w:type="dxa"/>
            <w:vMerge w:val="continue"/>
            <w:tcBorders>
              <w:tl2br w:val="nil"/>
              <w:tr2bl w:val="nil"/>
            </w:tcBorders>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p>
        </w:tc>
        <w:tc>
          <w:tcPr>
            <w:tcW w:w="1172" w:type="dxa"/>
            <w:tcBorders>
              <w:tl2br w:val="nil"/>
              <w:tr2bl w:val="nil"/>
            </w:tcBorders>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t>0.01</w:t>
            </w:r>
          </w:p>
        </w:tc>
        <w:tc>
          <w:tcPr>
            <w:tcW w:w="1541" w:type="dxa"/>
            <w:tcBorders>
              <w:tl2br w:val="nil"/>
              <w:tr2bl w:val="nil"/>
            </w:tcBorders>
            <w:noWrap w:val="0"/>
            <w:vAlign w:val="center"/>
          </w:tcPr>
          <w:p>
            <w:pPr>
              <w:jc w:val="center"/>
              <w:outlineLvl w:val="4"/>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eastAsia="宋体" w:cs="Times New Roman"/>
                <w:color w:val="auto"/>
                <w:sz w:val="21"/>
                <w:szCs w:val="21"/>
                <w:highlight w:val="none"/>
                <w:lang w:eastAsia="zh-CN"/>
              </w:rPr>
              <w:t>0.</w:t>
            </w:r>
            <w:r>
              <w:rPr>
                <w:rFonts w:hint="eastAsia" w:ascii="Times New Roman" w:hAnsi="Times New Roman" w:eastAsia="宋体" w:cs="Times New Roman"/>
                <w:color w:val="auto"/>
                <w:sz w:val="21"/>
                <w:szCs w:val="21"/>
                <w:highlight w:val="none"/>
                <w:lang w:val="en-US" w:eastAsia="zh-CN"/>
              </w:rPr>
              <w:t>12</w:t>
            </w:r>
            <w:r>
              <w:rPr>
                <w:rFonts w:hint="default" w:ascii="Times New Roman" w:hAnsi="Times New Roman" w:eastAsia="宋体" w:cs="Times New Roman"/>
                <w:color w:val="auto"/>
                <w:sz w:val="21"/>
                <w:szCs w:val="21"/>
                <w:highlight w:val="none"/>
                <w:lang w:eastAsia="zh-CN"/>
              </w:rPr>
              <w:t>~0.</w:t>
            </w:r>
            <w:r>
              <w:rPr>
                <w:rFonts w:hint="eastAsia" w:ascii="Times New Roman" w:hAnsi="Times New Roman" w:eastAsia="宋体" w:cs="Times New Roman"/>
                <w:color w:val="auto"/>
                <w:sz w:val="21"/>
                <w:szCs w:val="21"/>
                <w:highlight w:val="none"/>
                <w:lang w:val="en-US" w:eastAsia="zh-CN"/>
              </w:rPr>
              <w:t>16</w:t>
            </w:r>
          </w:p>
        </w:tc>
        <w:tc>
          <w:tcPr>
            <w:tcW w:w="1350" w:type="dxa"/>
            <w:tcBorders>
              <w:tl2br w:val="nil"/>
              <w:tr2bl w:val="nil"/>
            </w:tcBorders>
            <w:noWrap w:val="0"/>
            <w:vAlign w:val="center"/>
          </w:tcPr>
          <w:p>
            <w:pPr>
              <w:jc w:val="center"/>
              <w:outlineLvl w:val="4"/>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eastAsia="宋体" w:cs="Times New Roman"/>
                <w:color w:val="auto"/>
                <w:sz w:val="21"/>
                <w:szCs w:val="21"/>
                <w:highlight w:val="none"/>
                <w:lang w:eastAsia="zh-CN"/>
              </w:rPr>
              <w:t>0.</w:t>
            </w:r>
            <w:r>
              <w:rPr>
                <w:rFonts w:hint="eastAsia" w:ascii="Times New Roman" w:hAnsi="Times New Roman" w:eastAsia="宋体" w:cs="Times New Roman"/>
                <w:color w:val="auto"/>
                <w:sz w:val="21"/>
                <w:szCs w:val="21"/>
                <w:highlight w:val="none"/>
                <w:lang w:val="en-US" w:eastAsia="zh-CN"/>
              </w:rPr>
              <w:t>8</w:t>
            </w:r>
          </w:p>
        </w:tc>
        <w:tc>
          <w:tcPr>
            <w:tcW w:w="1091" w:type="dxa"/>
            <w:tcBorders>
              <w:tl2br w:val="nil"/>
              <w:tr2bl w:val="nil"/>
            </w:tcBorders>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default"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t>0</w:t>
            </w:r>
          </w:p>
        </w:tc>
        <w:tc>
          <w:tcPr>
            <w:tcW w:w="795" w:type="dxa"/>
            <w:tcBorders>
              <w:tl2br w:val="nil"/>
              <w:tr2bl w:val="nil"/>
            </w:tcBorders>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t>达标</w:t>
            </w:r>
          </w:p>
        </w:tc>
      </w:tr>
      <w:tr>
        <w:tblPrEx>
          <w:tblBorders>
            <w:top w:val="single" w:color="auto" w:sz="2" w:space="0"/>
            <w:left w:val="none" w:color="auto" w:sz="0" w:space="0"/>
            <w:bottom w:val="single" w:color="auto" w:sz="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28" w:type="dxa"/>
            <w:vMerge w:val="restart"/>
            <w:tcBorders>
              <w:tl2br w:val="nil"/>
              <w:tr2bl w:val="nil"/>
            </w:tcBorders>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t>2#</w:t>
            </w:r>
          </w:p>
        </w:tc>
        <w:tc>
          <w:tcPr>
            <w:tcW w:w="1004" w:type="dxa"/>
            <w:tcBorders>
              <w:tl2br w:val="nil"/>
              <w:tr2bl w:val="nil"/>
            </w:tcBorders>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t>H</w:t>
            </w: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vertAlign w:val="subscript"/>
                <w:lang w:val="en-US" w:eastAsia="zh-CN" w:bidi="en-US"/>
              </w:rPr>
              <w:t>2</w:t>
            </w: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t>S</w:t>
            </w:r>
          </w:p>
        </w:tc>
        <w:tc>
          <w:tcPr>
            <w:tcW w:w="1323" w:type="dxa"/>
            <w:vMerge w:val="restart"/>
            <w:tcBorders>
              <w:tl2br w:val="nil"/>
              <w:tr2bl w:val="nil"/>
            </w:tcBorders>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t>1小时均值</w:t>
            </w:r>
          </w:p>
        </w:tc>
        <w:tc>
          <w:tcPr>
            <w:tcW w:w="1172" w:type="dxa"/>
            <w:tcBorders>
              <w:tl2br w:val="nil"/>
              <w:tr2bl w:val="nil"/>
            </w:tcBorders>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t>0.2</w:t>
            </w:r>
          </w:p>
        </w:tc>
        <w:tc>
          <w:tcPr>
            <w:tcW w:w="1541" w:type="dxa"/>
            <w:tcBorders>
              <w:tl2br w:val="nil"/>
              <w:tr2bl w:val="nil"/>
            </w:tcBorders>
            <w:noWrap w:val="0"/>
            <w:vAlign w:val="center"/>
          </w:tcPr>
          <w:p>
            <w:pPr>
              <w:jc w:val="center"/>
              <w:outlineLvl w:val="4"/>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eastAsia="宋体" w:cs="Times New Roman"/>
                <w:color w:val="auto"/>
                <w:sz w:val="21"/>
                <w:szCs w:val="21"/>
                <w:highlight w:val="none"/>
                <w:lang w:eastAsia="zh-CN"/>
              </w:rPr>
              <w:t>0</w:t>
            </w:r>
            <w:r>
              <w:rPr>
                <w:rFonts w:hint="eastAsia" w:ascii="Times New Roman" w:hAnsi="Times New Roman" w:eastAsia="宋体" w:cs="Times New Roman"/>
                <w:color w:val="auto"/>
                <w:sz w:val="21"/>
                <w:szCs w:val="21"/>
                <w:highlight w:val="none"/>
                <w:lang w:val="en-US" w:eastAsia="zh-CN"/>
              </w:rPr>
              <w:t>001</w:t>
            </w:r>
            <w:r>
              <w:rPr>
                <w:rFonts w:hint="default" w:ascii="Times New Roman" w:hAnsi="Times New Roman" w:eastAsia="宋体" w:cs="Times New Roman"/>
                <w:color w:val="auto"/>
                <w:sz w:val="21"/>
                <w:szCs w:val="21"/>
                <w:highlight w:val="none"/>
                <w:lang w:eastAsia="zh-CN"/>
              </w:rPr>
              <w:t>~0.00</w:t>
            </w:r>
            <w:r>
              <w:rPr>
                <w:rFonts w:hint="eastAsia" w:ascii="Times New Roman" w:hAnsi="Times New Roman" w:eastAsia="宋体" w:cs="Times New Roman"/>
                <w:color w:val="auto"/>
                <w:sz w:val="21"/>
                <w:szCs w:val="21"/>
                <w:highlight w:val="none"/>
                <w:lang w:val="en-US" w:eastAsia="zh-CN"/>
              </w:rPr>
              <w:t>3</w:t>
            </w:r>
          </w:p>
        </w:tc>
        <w:tc>
          <w:tcPr>
            <w:tcW w:w="1350" w:type="dxa"/>
            <w:tcBorders>
              <w:tl2br w:val="nil"/>
              <w:tr2bl w:val="nil"/>
            </w:tcBorders>
            <w:noWrap w:val="0"/>
            <w:vAlign w:val="center"/>
          </w:tcPr>
          <w:p>
            <w:pPr>
              <w:jc w:val="center"/>
              <w:outlineLvl w:val="4"/>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eastAsia="宋体" w:cs="Times New Roman"/>
                <w:color w:val="auto"/>
                <w:sz w:val="21"/>
                <w:szCs w:val="21"/>
                <w:highlight w:val="none"/>
                <w:lang w:eastAsia="zh-CN"/>
              </w:rPr>
              <w:t>0.</w:t>
            </w:r>
            <w:r>
              <w:rPr>
                <w:rFonts w:hint="eastAsia" w:ascii="Times New Roman" w:hAnsi="Times New Roman" w:eastAsia="宋体" w:cs="Times New Roman"/>
                <w:color w:val="auto"/>
                <w:sz w:val="21"/>
                <w:szCs w:val="21"/>
                <w:highlight w:val="none"/>
                <w:lang w:val="en-US" w:eastAsia="zh-CN"/>
              </w:rPr>
              <w:t>4</w:t>
            </w:r>
          </w:p>
        </w:tc>
        <w:tc>
          <w:tcPr>
            <w:tcW w:w="1091" w:type="dxa"/>
            <w:tcBorders>
              <w:tl2br w:val="nil"/>
              <w:tr2bl w:val="nil"/>
            </w:tcBorders>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t>0</w:t>
            </w:r>
          </w:p>
        </w:tc>
        <w:tc>
          <w:tcPr>
            <w:tcW w:w="795" w:type="dxa"/>
            <w:tcBorders>
              <w:tl2br w:val="nil"/>
              <w:tr2bl w:val="nil"/>
            </w:tcBorders>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t>达标</w:t>
            </w:r>
          </w:p>
        </w:tc>
      </w:tr>
      <w:tr>
        <w:tblPrEx>
          <w:tblBorders>
            <w:top w:val="single" w:color="auto" w:sz="2" w:space="0"/>
            <w:left w:val="none" w:color="auto" w:sz="0" w:space="0"/>
            <w:bottom w:val="single" w:color="auto" w:sz="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28" w:type="dxa"/>
            <w:vMerge w:val="continue"/>
            <w:tcBorders>
              <w:tl2br w:val="nil"/>
              <w:tr2bl w:val="nil"/>
            </w:tcBorders>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p>
        </w:tc>
        <w:tc>
          <w:tcPr>
            <w:tcW w:w="1004" w:type="dxa"/>
            <w:tcBorders>
              <w:tl2br w:val="nil"/>
              <w:tr2bl w:val="nil"/>
            </w:tcBorders>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t>NH</w:t>
            </w: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vertAlign w:val="subscript"/>
                <w:lang w:val="en-US" w:eastAsia="zh-CN" w:bidi="en-US"/>
              </w:rPr>
              <w:t>3</w:t>
            </w:r>
          </w:p>
        </w:tc>
        <w:tc>
          <w:tcPr>
            <w:tcW w:w="1323" w:type="dxa"/>
            <w:vMerge w:val="continue"/>
            <w:tcBorders>
              <w:tl2br w:val="nil"/>
              <w:tr2bl w:val="nil"/>
            </w:tcBorders>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p>
        </w:tc>
        <w:tc>
          <w:tcPr>
            <w:tcW w:w="1172" w:type="dxa"/>
            <w:tcBorders>
              <w:tl2br w:val="nil"/>
              <w:tr2bl w:val="nil"/>
            </w:tcBorders>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t>0.01</w:t>
            </w:r>
          </w:p>
        </w:tc>
        <w:tc>
          <w:tcPr>
            <w:tcW w:w="1541" w:type="dxa"/>
            <w:tcBorders>
              <w:tl2br w:val="nil"/>
              <w:tr2bl w:val="nil"/>
            </w:tcBorders>
            <w:noWrap w:val="0"/>
            <w:vAlign w:val="center"/>
          </w:tcPr>
          <w:p>
            <w:pPr>
              <w:jc w:val="center"/>
              <w:outlineLvl w:val="4"/>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eastAsia="宋体" w:cs="Times New Roman"/>
                <w:color w:val="auto"/>
                <w:sz w:val="21"/>
                <w:szCs w:val="21"/>
                <w:highlight w:val="none"/>
                <w:lang w:eastAsia="zh-CN"/>
              </w:rPr>
              <w:t>0.</w:t>
            </w:r>
            <w:r>
              <w:rPr>
                <w:rFonts w:hint="eastAsia" w:ascii="Times New Roman" w:hAnsi="Times New Roman" w:eastAsia="宋体" w:cs="Times New Roman"/>
                <w:color w:val="auto"/>
                <w:sz w:val="21"/>
                <w:szCs w:val="21"/>
                <w:highlight w:val="none"/>
                <w:lang w:val="en-US" w:eastAsia="zh-CN"/>
              </w:rPr>
              <w:t>09</w:t>
            </w:r>
            <w:r>
              <w:rPr>
                <w:rFonts w:hint="default" w:ascii="Times New Roman" w:hAnsi="Times New Roman" w:eastAsia="宋体" w:cs="Times New Roman"/>
                <w:color w:val="auto"/>
                <w:sz w:val="21"/>
                <w:szCs w:val="21"/>
                <w:highlight w:val="none"/>
                <w:lang w:eastAsia="zh-CN"/>
              </w:rPr>
              <w:t>~0.</w:t>
            </w:r>
            <w:r>
              <w:rPr>
                <w:rFonts w:hint="eastAsia" w:ascii="Times New Roman" w:hAnsi="Times New Roman" w:eastAsia="宋体" w:cs="Times New Roman"/>
                <w:color w:val="auto"/>
                <w:sz w:val="21"/>
                <w:szCs w:val="21"/>
                <w:highlight w:val="none"/>
                <w:lang w:val="en-US" w:eastAsia="zh-CN"/>
              </w:rPr>
              <w:t>14</w:t>
            </w:r>
          </w:p>
        </w:tc>
        <w:tc>
          <w:tcPr>
            <w:tcW w:w="1350" w:type="dxa"/>
            <w:tcBorders>
              <w:tl2br w:val="nil"/>
              <w:tr2bl w:val="nil"/>
            </w:tcBorders>
            <w:noWrap w:val="0"/>
            <w:vAlign w:val="center"/>
          </w:tcPr>
          <w:p>
            <w:pPr>
              <w:jc w:val="center"/>
              <w:outlineLvl w:val="4"/>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default" w:ascii="Times New Roman" w:hAnsi="Times New Roman" w:eastAsia="宋体" w:cs="Times New Roman"/>
                <w:color w:val="auto"/>
                <w:sz w:val="21"/>
                <w:szCs w:val="21"/>
                <w:highlight w:val="none"/>
                <w:lang w:eastAsia="zh-CN"/>
              </w:rPr>
              <w:t>0.</w:t>
            </w:r>
            <w:r>
              <w:rPr>
                <w:rFonts w:hint="eastAsia" w:ascii="Times New Roman" w:hAnsi="Times New Roman" w:eastAsia="宋体" w:cs="Times New Roman"/>
                <w:color w:val="auto"/>
                <w:sz w:val="21"/>
                <w:szCs w:val="21"/>
                <w:highlight w:val="none"/>
                <w:lang w:val="en-US" w:eastAsia="zh-CN"/>
              </w:rPr>
              <w:t>7</w:t>
            </w:r>
          </w:p>
        </w:tc>
        <w:tc>
          <w:tcPr>
            <w:tcW w:w="1091" w:type="dxa"/>
            <w:tcBorders>
              <w:tl2br w:val="nil"/>
              <w:tr2bl w:val="nil"/>
            </w:tcBorders>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t>0</w:t>
            </w:r>
          </w:p>
        </w:tc>
        <w:tc>
          <w:tcPr>
            <w:tcW w:w="795" w:type="dxa"/>
            <w:tcBorders>
              <w:tl2br w:val="nil"/>
              <w:tr2bl w:val="nil"/>
            </w:tcBorders>
            <w:noWrap w:val="0"/>
            <w:vAlign w:val="center"/>
          </w:tcPr>
          <w:p>
            <w:pPr>
              <w:pStyle w:val="120"/>
              <w:keepNext w:val="0"/>
              <w:keepLines w:val="0"/>
              <w:pageBreakBefore w:val="0"/>
              <w:widowControl w:val="0"/>
              <w:shd w:val="clear" w:color="auto" w:fill="auto"/>
              <w:kinsoku/>
              <w:wordWrap/>
              <w:overflowPunct/>
              <w:topLinePunct w:val="0"/>
              <w:autoSpaceDE/>
              <w:autoSpaceDN/>
              <w:bidi w:val="0"/>
              <w:spacing w:before="0" w:line="240" w:lineRule="auto"/>
              <w:ind w:left="0" w:leftChars="0" w:right="0" w:rightChars="0" w:firstLine="0" w:firstLineChars="0"/>
              <w:jc w:val="center"/>
              <w:textAlignment w:val="auto"/>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pPr>
            <w:r>
              <w:rPr>
                <w:rFonts w:hint="eastAsia" w:ascii="Times New Roman" w:hAnsi="Times New Roman" w:cs="Times New Roman" w:eastAsiaTheme="minorEastAsia"/>
                <w:b w:val="0"/>
                <w:bCs w:val="0"/>
                <w:i w:val="0"/>
                <w:iCs w:val="0"/>
                <w:smallCaps w:val="0"/>
                <w:strike w:val="0"/>
                <w:color w:val="auto"/>
                <w:spacing w:val="0"/>
                <w:w w:val="100"/>
                <w:kern w:val="2"/>
                <w:position w:val="0"/>
                <w:sz w:val="21"/>
                <w:szCs w:val="21"/>
                <w:u w:val="none"/>
                <w:lang w:val="en-US" w:eastAsia="zh-CN" w:bidi="en-US"/>
              </w:rPr>
              <w:t>达标</w:t>
            </w:r>
          </w:p>
        </w:tc>
      </w:tr>
    </w:tbl>
    <w:p>
      <w:pPr>
        <w:spacing w:line="360" w:lineRule="auto"/>
        <w:ind w:firstLine="480" w:firstLineChars="2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eastAsia="zh-CN"/>
        </w:rPr>
        <w:t>从表</w:t>
      </w:r>
      <w:r>
        <w:rPr>
          <w:rFonts w:hint="eastAsia" w:ascii="Times New Roman" w:hAnsi="Times New Roman" w:eastAsia="宋体" w:cs="Times New Roman"/>
          <w:color w:val="auto"/>
          <w:sz w:val="24"/>
          <w:lang w:val="en-US" w:eastAsia="zh-CN"/>
        </w:rPr>
        <w:t>4.</w:t>
      </w:r>
      <w:r>
        <w:rPr>
          <w:rFonts w:hint="eastAsia" w:ascii="Times New Roman" w:hAnsi="Times New Roman" w:eastAsia="宋体" w:cs="Times New Roman"/>
          <w:color w:val="auto"/>
          <w:sz w:val="24"/>
          <w:lang w:eastAsia="zh-CN"/>
        </w:rPr>
        <w:t>3-</w:t>
      </w:r>
      <w:r>
        <w:rPr>
          <w:rFonts w:hint="eastAsia" w:ascii="Times New Roman" w:hAnsi="Times New Roman" w:eastAsia="宋体" w:cs="Times New Roman"/>
          <w:color w:val="auto"/>
          <w:sz w:val="24"/>
          <w:lang w:val="en-US" w:eastAsia="zh-CN"/>
        </w:rPr>
        <w:t>4</w:t>
      </w:r>
      <w:r>
        <w:rPr>
          <w:rFonts w:hint="eastAsia" w:ascii="Times New Roman" w:hAnsi="Times New Roman" w:eastAsia="宋体" w:cs="Times New Roman"/>
          <w:color w:val="auto"/>
          <w:sz w:val="24"/>
          <w:lang w:eastAsia="zh-CN"/>
        </w:rPr>
        <w:t>，环境空气评价因子</w:t>
      </w:r>
      <w:r>
        <w:rPr>
          <w:rFonts w:hint="eastAsia" w:ascii="Times New Roman" w:hAnsi="Times New Roman" w:eastAsia="宋体" w:cs="Times New Roman"/>
          <w:color w:val="auto"/>
          <w:sz w:val="24"/>
          <w:lang w:val="en-US" w:eastAsia="zh-CN"/>
        </w:rPr>
        <w:t>NH</w:t>
      </w:r>
      <w:r>
        <w:rPr>
          <w:rFonts w:hint="eastAsia" w:ascii="Times New Roman" w:hAnsi="Times New Roman" w:eastAsia="宋体" w:cs="Times New Roman"/>
          <w:color w:val="auto"/>
          <w:sz w:val="24"/>
          <w:vertAlign w:val="subscript"/>
          <w:lang w:val="en-US" w:eastAsia="zh-CN"/>
        </w:rPr>
        <w:t>3</w:t>
      </w:r>
      <w:r>
        <w:rPr>
          <w:rFonts w:hint="eastAsia" w:ascii="Times New Roman" w:hAnsi="Times New Roman" w:eastAsia="宋体" w:cs="Times New Roman"/>
          <w:color w:val="auto"/>
          <w:sz w:val="24"/>
          <w:lang w:val="en-US" w:eastAsia="zh-CN"/>
        </w:rPr>
        <w:t>、H</w:t>
      </w:r>
      <w:r>
        <w:rPr>
          <w:rFonts w:hint="eastAsia" w:ascii="Times New Roman" w:hAnsi="Times New Roman" w:eastAsia="宋体" w:cs="Times New Roman"/>
          <w:color w:val="auto"/>
          <w:sz w:val="24"/>
          <w:vertAlign w:val="subscript"/>
          <w:lang w:val="en-US" w:eastAsia="zh-CN"/>
        </w:rPr>
        <w:t>2</w:t>
      </w:r>
      <w:r>
        <w:rPr>
          <w:rFonts w:hint="eastAsia" w:ascii="Times New Roman" w:hAnsi="Times New Roman" w:eastAsia="宋体" w:cs="Times New Roman"/>
          <w:color w:val="auto"/>
          <w:sz w:val="24"/>
          <w:lang w:val="en-US" w:eastAsia="zh-CN"/>
        </w:rPr>
        <w:t>S浓度值指标未出现超标情况，符合</w:t>
      </w:r>
      <w:r>
        <w:rPr>
          <w:rFonts w:hint="default" w:ascii="Times New Roman" w:hAnsi="Times New Roman" w:eastAsia="宋体" w:cs="Times New Roman"/>
          <w:color w:val="auto"/>
          <w:sz w:val="24"/>
          <w:lang w:val="en-US" w:eastAsia="zh-CN"/>
        </w:rPr>
        <w:t>《环境影响评价技术导则 大气环境》（HJ2.2-2018）中附录D表D.1《其它污染物空气质量浓度参考限值》中的相关限值标准</w:t>
      </w:r>
      <w:r>
        <w:rPr>
          <w:rFonts w:hint="eastAsia" w:ascii="Times New Roman" w:hAnsi="Times New Roman" w:eastAsia="宋体" w:cs="Times New Roman"/>
          <w:color w:val="auto"/>
          <w:sz w:val="24"/>
          <w:lang w:val="en-US" w:eastAsia="zh-CN"/>
        </w:rPr>
        <w:t>。</w:t>
      </w:r>
    </w:p>
    <w:p>
      <w:pPr>
        <w:pStyle w:val="6"/>
        <w:adjustRightInd w:val="0"/>
        <w:snapToGrid w:val="0"/>
        <w:spacing w:before="0" w:after="0" w:line="360" w:lineRule="auto"/>
        <w:rPr>
          <w:rFonts w:ascii="Times New Roman" w:hAnsi="Times New Roman" w:eastAsia="宋体"/>
          <w:color w:val="auto"/>
          <w:sz w:val="28"/>
          <w:szCs w:val="28"/>
        </w:rPr>
      </w:pPr>
      <w:r>
        <w:rPr>
          <w:rFonts w:hint="eastAsia" w:ascii="Times New Roman" w:hAnsi="Times New Roman" w:eastAsia="宋体"/>
          <w:color w:val="auto"/>
          <w:sz w:val="28"/>
          <w:szCs w:val="28"/>
        </w:rPr>
        <w:t>4.3.2地表水质量</w:t>
      </w:r>
      <w:bookmarkEnd w:id="192"/>
      <w:bookmarkEnd w:id="193"/>
      <w:r>
        <w:rPr>
          <w:rFonts w:hint="eastAsia" w:ascii="Times New Roman" w:hAnsi="Times New Roman" w:eastAsia="宋体"/>
          <w:color w:val="auto"/>
          <w:sz w:val="28"/>
          <w:szCs w:val="28"/>
        </w:rPr>
        <w:t>现状</w:t>
      </w:r>
      <w:bookmarkEnd w:id="194"/>
      <w:r>
        <w:rPr>
          <w:rFonts w:hint="eastAsia" w:ascii="Times New Roman" w:hAnsi="Times New Roman" w:eastAsia="宋体"/>
          <w:color w:val="auto"/>
          <w:sz w:val="28"/>
          <w:szCs w:val="28"/>
        </w:rPr>
        <w:t>评价</w:t>
      </w:r>
      <w:r>
        <w:rPr>
          <w:rFonts w:hint="eastAsia" w:ascii="Times New Roman" w:hAnsi="Times New Roman" w:eastAsia="宋体"/>
          <w:color w:val="auto"/>
          <w:sz w:val="28"/>
          <w:szCs w:val="28"/>
        </w:rPr>
        <w:tab/>
      </w:r>
    </w:p>
    <w:p>
      <w:pPr>
        <w:spacing w:line="360" w:lineRule="auto"/>
        <w:ind w:firstLine="480" w:firstLineChars="200"/>
        <w:rPr>
          <w:rFonts w:hint="default" w:ascii="Times New Roman" w:hAnsi="Times New Roman" w:eastAsia="宋体" w:cs="Times New Roman"/>
          <w:color w:val="auto"/>
          <w:sz w:val="24"/>
          <w:vertAlign w:val="baseline"/>
          <w:lang w:val="en-US"/>
        </w:rPr>
      </w:pPr>
      <w:r>
        <w:rPr>
          <w:rFonts w:hint="eastAsia" w:ascii="Times New Roman" w:hAnsi="Times New Roman" w:eastAsia="宋体" w:cs="Times New Roman"/>
          <w:color w:val="auto"/>
          <w:sz w:val="24"/>
        </w:rPr>
        <w:t>为了解评价区域</w:t>
      </w:r>
      <w:r>
        <w:rPr>
          <w:rFonts w:hint="eastAsia" w:ascii="Times New Roman" w:hAnsi="Times New Roman" w:eastAsia="宋体" w:cs="Times New Roman"/>
          <w:color w:val="auto"/>
          <w:sz w:val="24"/>
          <w:lang w:eastAsia="zh-CN"/>
        </w:rPr>
        <w:t>地表水水质</w:t>
      </w:r>
      <w:r>
        <w:rPr>
          <w:rFonts w:hint="eastAsia" w:ascii="Times New Roman" w:hAnsi="Times New Roman" w:eastAsia="宋体" w:cs="Times New Roman"/>
          <w:color w:val="auto"/>
          <w:sz w:val="24"/>
        </w:rPr>
        <w:t>现状，本次评价引用</w:t>
      </w:r>
      <w:r>
        <w:rPr>
          <w:rFonts w:hint="eastAsia" w:ascii="Times New Roman" w:hAnsi="Times New Roman" w:cs="Times New Roman"/>
          <w:color w:val="auto"/>
          <w:sz w:val="24"/>
          <w:szCs w:val="24"/>
          <w:highlight w:val="none"/>
          <w:lang w:val="en-US" w:eastAsia="zh-CN"/>
        </w:rPr>
        <w:t>四川地风升检测服务有限公司</w:t>
      </w:r>
      <w:r>
        <w:rPr>
          <w:rFonts w:hint="default" w:ascii="Times New Roman" w:hAnsi="Times New Roman" w:eastAsia="宋体" w:cs="Times New Roman"/>
          <w:color w:val="auto"/>
          <w:sz w:val="24"/>
          <w:szCs w:val="24"/>
          <w:highlight w:val="none"/>
        </w:rPr>
        <w:t>于</w:t>
      </w:r>
      <w:r>
        <w:rPr>
          <w:rFonts w:hint="default" w:ascii="Times New Roman" w:hAnsi="Times New Roman" w:eastAsia="宋体" w:cs="Times New Roman"/>
          <w:color w:val="auto"/>
          <w:sz w:val="24"/>
          <w:szCs w:val="24"/>
          <w:highlight w:val="none"/>
          <w:lang w:eastAsia="zh-CN"/>
        </w:rPr>
        <w:t>20</w:t>
      </w:r>
      <w:r>
        <w:rPr>
          <w:rFonts w:hint="default" w:ascii="Times New Roman" w:hAnsi="Times New Roman" w:eastAsia="宋体" w:cs="Times New Roman"/>
          <w:color w:val="auto"/>
          <w:sz w:val="24"/>
          <w:szCs w:val="24"/>
          <w:highlight w:val="none"/>
          <w:lang w:val="en-US" w:eastAsia="zh-CN"/>
        </w:rPr>
        <w:t>20</w:t>
      </w:r>
      <w:r>
        <w:rPr>
          <w:rFonts w:hint="default" w:ascii="Times New Roman" w:hAnsi="Times New Roman" w:eastAsia="宋体" w:cs="Times New Roman"/>
          <w:color w:val="auto"/>
          <w:sz w:val="24"/>
          <w:szCs w:val="24"/>
          <w:highlight w:val="none"/>
          <w:lang w:eastAsia="zh-CN"/>
        </w:rPr>
        <w:t>年</w:t>
      </w:r>
      <w:r>
        <w:rPr>
          <w:rFonts w:hint="default" w:ascii="Times New Roman" w:hAnsi="Times New Roman" w:eastAsia="宋体" w:cs="Times New Roman"/>
          <w:color w:val="auto"/>
          <w:sz w:val="24"/>
          <w:szCs w:val="24"/>
          <w:highlight w:val="none"/>
          <w:lang w:val="en-US" w:eastAsia="zh-CN"/>
        </w:rPr>
        <w:t>10</w:t>
      </w:r>
      <w:r>
        <w:rPr>
          <w:rFonts w:hint="default" w:ascii="Times New Roman" w:hAnsi="Times New Roman" w:eastAsia="宋体" w:cs="Times New Roman"/>
          <w:color w:val="auto"/>
          <w:sz w:val="24"/>
          <w:szCs w:val="24"/>
          <w:highlight w:val="none"/>
          <w:lang w:eastAsia="zh-CN"/>
        </w:rPr>
        <w:t>月</w:t>
      </w:r>
      <w:r>
        <w:rPr>
          <w:rFonts w:hint="default" w:ascii="Times New Roman" w:hAnsi="Times New Roman" w:eastAsia="宋体" w:cs="Times New Roman"/>
          <w:color w:val="auto"/>
          <w:sz w:val="24"/>
          <w:szCs w:val="24"/>
          <w:highlight w:val="none"/>
          <w:lang w:val="en-US" w:eastAsia="zh-CN"/>
        </w:rPr>
        <w:t>12</w:t>
      </w:r>
      <w:r>
        <w:rPr>
          <w:rFonts w:hint="default" w:ascii="Times New Roman" w:hAnsi="Times New Roman" w:eastAsia="宋体" w:cs="Times New Roman"/>
          <w:color w:val="auto"/>
          <w:sz w:val="24"/>
          <w:szCs w:val="24"/>
          <w:highlight w:val="none"/>
        </w:rPr>
        <w:t>日至</w:t>
      </w:r>
      <w:r>
        <w:rPr>
          <w:rFonts w:hint="default" w:ascii="Times New Roman" w:hAnsi="Times New Roman" w:eastAsia="宋体" w:cs="Times New Roman"/>
          <w:color w:val="auto"/>
          <w:sz w:val="24"/>
          <w:szCs w:val="24"/>
          <w:highlight w:val="none"/>
          <w:lang w:val="en-US" w:eastAsia="zh-CN"/>
        </w:rPr>
        <w:t>14</w:t>
      </w:r>
      <w:r>
        <w:rPr>
          <w:rFonts w:hint="default" w:ascii="Times New Roman" w:hAnsi="Times New Roman" w:eastAsia="宋体" w:cs="Times New Roman"/>
          <w:color w:val="auto"/>
          <w:sz w:val="24"/>
          <w:szCs w:val="24"/>
          <w:highlight w:val="none"/>
        </w:rPr>
        <w:t>日对本项目所在区域</w:t>
      </w:r>
      <w:r>
        <w:rPr>
          <w:rFonts w:hint="eastAsia" w:ascii="Times New Roman" w:hAnsi="Times New Roman" w:eastAsia="宋体" w:cs="Times New Roman"/>
          <w:color w:val="auto"/>
          <w:sz w:val="24"/>
          <w:szCs w:val="24"/>
          <w:highlight w:val="none"/>
          <w:lang w:eastAsia="zh-CN"/>
        </w:rPr>
        <w:t>安溪河的</w:t>
      </w:r>
      <w:r>
        <w:rPr>
          <w:rFonts w:hint="default" w:ascii="Times New Roman" w:hAnsi="Times New Roman" w:eastAsia="宋体" w:cs="Times New Roman"/>
          <w:color w:val="auto"/>
          <w:sz w:val="24"/>
          <w:szCs w:val="24"/>
          <w:highlight w:val="none"/>
        </w:rPr>
        <w:t>现状监测</w:t>
      </w:r>
      <w:r>
        <w:rPr>
          <w:rFonts w:hint="eastAsia" w:ascii="Times New Roman" w:hAnsi="Times New Roman" w:eastAsia="宋体" w:cs="Times New Roman"/>
          <w:color w:val="auto"/>
          <w:sz w:val="24"/>
          <w:szCs w:val="24"/>
          <w:highlight w:val="none"/>
          <w:lang w:eastAsia="zh-CN"/>
        </w:rPr>
        <w:t>结果</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其监测</w:t>
      </w:r>
      <w:r>
        <w:rPr>
          <w:rFonts w:hint="eastAsia" w:ascii="Times New Roman" w:hAnsi="Times New Roman" w:eastAsia="宋体" w:cs="Times New Roman"/>
          <w:color w:val="auto"/>
          <w:sz w:val="24"/>
          <w:szCs w:val="24"/>
          <w:highlight w:val="none"/>
          <w:lang w:eastAsia="zh-CN"/>
        </w:rPr>
        <w:t>情况如下</w:t>
      </w:r>
      <w:r>
        <w:rPr>
          <w:rFonts w:hint="eastAsia" w:ascii="Times New Roman" w:hAnsi="Times New Roman" w:eastAsia="宋体" w:cs="Times New Roman"/>
          <w:color w:val="auto"/>
          <w:sz w:val="24"/>
          <w:highlight w:val="none"/>
          <w:vertAlign w:val="baseline"/>
          <w:lang w:val="en-US" w:eastAsia="zh-CN"/>
        </w:rPr>
        <w:t>。</w:t>
      </w:r>
    </w:p>
    <w:p>
      <w:pPr>
        <w:spacing w:line="360" w:lineRule="auto"/>
        <w:ind w:firstLine="480" w:firstLineChars="200"/>
        <w:rPr>
          <w:rFonts w:hint="eastAsia" w:ascii="Times New Roman" w:hAnsi="Times New Roman" w:cs="Times New Roman" w:eastAsiaTheme="minorEastAsia"/>
          <w:bCs/>
          <w:color w:val="auto"/>
          <w:sz w:val="24"/>
          <w:lang w:eastAsia="zh-CN" w:bidi="ar"/>
        </w:rPr>
      </w:pPr>
      <w:r>
        <w:rPr>
          <w:rFonts w:hint="eastAsia" w:ascii="Times New Roman" w:hAnsi="Times New Roman" w:cs="Times New Roman" w:eastAsiaTheme="minorEastAsia"/>
          <w:bCs/>
          <w:color w:val="auto"/>
          <w:sz w:val="24"/>
          <w:lang w:eastAsia="zh-CN" w:bidi="ar"/>
        </w:rPr>
        <w:t>（1）监测断面布设和监测因子</w:t>
      </w:r>
    </w:p>
    <w:p>
      <w:pPr>
        <w:spacing w:line="360" w:lineRule="auto"/>
        <w:ind w:firstLine="480" w:firstLineChars="200"/>
        <w:rPr>
          <w:rFonts w:hint="default" w:ascii="Times New Roman" w:hAnsi="Times New Roman" w:cs="Times New Roman"/>
          <w:bCs/>
          <w:color w:val="auto"/>
          <w:sz w:val="24"/>
          <w:lang w:bidi="ar"/>
        </w:rPr>
      </w:pPr>
      <w:r>
        <w:rPr>
          <w:rFonts w:hint="default" w:ascii="Times New Roman" w:hAnsi="Times New Roman" w:cs="Times New Roman"/>
          <w:bCs/>
          <w:color w:val="auto"/>
          <w:sz w:val="24"/>
          <w:lang w:bidi="ar"/>
        </w:rPr>
        <w:t>本项目地表水环境质量现状评价因子为水温、pH、COD、BOD</w:t>
      </w:r>
      <w:r>
        <w:rPr>
          <w:rFonts w:hint="default" w:ascii="Times New Roman" w:hAnsi="Times New Roman" w:cs="Times New Roman"/>
          <w:bCs/>
          <w:color w:val="auto"/>
          <w:sz w:val="24"/>
          <w:vertAlign w:val="subscript"/>
          <w:lang w:bidi="ar"/>
        </w:rPr>
        <w:t>5</w:t>
      </w:r>
      <w:r>
        <w:rPr>
          <w:rFonts w:hint="default" w:ascii="Times New Roman" w:hAnsi="Times New Roman" w:cs="Times New Roman"/>
          <w:bCs/>
          <w:color w:val="auto"/>
          <w:sz w:val="24"/>
          <w:lang w:bidi="ar"/>
        </w:rPr>
        <w:t>、溶解氧（DO）、氨氮、粪大肠菌群、总磷</w:t>
      </w:r>
      <w:r>
        <w:rPr>
          <w:rFonts w:hint="default" w:ascii="Times New Roman" w:hAnsi="Times New Roman" w:cs="Times New Roman"/>
          <w:bCs/>
          <w:color w:val="auto"/>
          <w:sz w:val="24"/>
          <w:lang w:eastAsia="zh-CN" w:bidi="ar"/>
        </w:rPr>
        <w:t>，监测项目及断面见表4.3-</w:t>
      </w:r>
      <w:r>
        <w:rPr>
          <w:rFonts w:hint="eastAsia" w:ascii="Times New Roman" w:hAnsi="Times New Roman" w:cs="Times New Roman"/>
          <w:bCs/>
          <w:color w:val="auto"/>
          <w:sz w:val="24"/>
          <w:lang w:val="en-US" w:eastAsia="zh-CN" w:bidi="ar"/>
        </w:rPr>
        <w:t>5</w:t>
      </w:r>
      <w:r>
        <w:rPr>
          <w:rFonts w:hint="default" w:ascii="Times New Roman" w:hAnsi="Times New Roman" w:cs="Times New Roman"/>
          <w:bCs/>
          <w:color w:val="auto"/>
          <w:sz w:val="24"/>
          <w:lang w:eastAsia="zh-CN" w:bidi="ar"/>
        </w:rPr>
        <w:t>，监测点位示意图详见附图。</w:t>
      </w:r>
    </w:p>
    <w:p>
      <w:pPr>
        <w:spacing w:line="360" w:lineRule="auto"/>
        <w:ind w:firstLine="413" w:firstLineChars="196"/>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表4</w:t>
      </w:r>
      <w:r>
        <w:rPr>
          <w:rFonts w:hint="default" w:ascii="Times New Roman" w:hAnsi="Times New Roman" w:eastAsia="宋体" w:cs="Times New Roman"/>
          <w:b/>
          <w:color w:val="auto"/>
          <w:sz w:val="21"/>
          <w:szCs w:val="21"/>
          <w:highlight w:val="none"/>
          <w:lang w:eastAsia="zh-CN"/>
        </w:rPr>
        <w:t>.3-</w:t>
      </w:r>
      <w:r>
        <w:rPr>
          <w:rFonts w:hint="eastAsia" w:ascii="Times New Roman" w:hAnsi="Times New Roman" w:eastAsia="宋体" w:cs="Times New Roman"/>
          <w:b/>
          <w:color w:val="auto"/>
          <w:sz w:val="21"/>
          <w:szCs w:val="21"/>
          <w:highlight w:val="none"/>
          <w:lang w:val="en-US" w:eastAsia="zh-CN"/>
        </w:rPr>
        <w:t>5</w:t>
      </w:r>
      <w:r>
        <w:rPr>
          <w:rFonts w:hint="default" w:ascii="Times New Roman" w:hAnsi="Times New Roman" w:eastAsia="宋体" w:cs="Times New Roman"/>
          <w:b/>
          <w:color w:val="auto"/>
          <w:sz w:val="21"/>
          <w:szCs w:val="21"/>
          <w:highlight w:val="none"/>
          <w:lang w:eastAsia="zh-CN"/>
        </w:rPr>
        <w:t xml:space="preserve">    </w:t>
      </w:r>
      <w:r>
        <w:rPr>
          <w:rFonts w:hint="default" w:ascii="Times New Roman" w:hAnsi="Times New Roman" w:eastAsia="宋体" w:cs="Times New Roman"/>
          <w:b/>
          <w:color w:val="auto"/>
          <w:sz w:val="21"/>
          <w:szCs w:val="21"/>
          <w:highlight w:val="none"/>
        </w:rPr>
        <w:t>水质监测断面</w:t>
      </w:r>
    </w:p>
    <w:tbl>
      <w:tblPr>
        <w:tblStyle w:val="34"/>
        <w:tblW w:w="0" w:type="auto"/>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229"/>
        <w:gridCol w:w="3529"/>
        <w:gridCol w:w="903"/>
        <w:gridCol w:w="3410"/>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9" w:type="dxa"/>
            <w:noWrap w:val="0"/>
            <w:vAlign w:val="center"/>
          </w:tcPr>
          <w:p>
            <w:pPr>
              <w:pStyle w:val="140"/>
              <w:spacing w:line="240" w:lineRule="auto"/>
              <w:ind w:right="15" w:rightChars="7"/>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断面</w:t>
            </w:r>
          </w:p>
        </w:tc>
        <w:tc>
          <w:tcPr>
            <w:tcW w:w="3529" w:type="dxa"/>
            <w:noWrap w:val="0"/>
            <w:vAlign w:val="center"/>
          </w:tcPr>
          <w:p>
            <w:pPr>
              <w:pStyle w:val="140"/>
              <w:spacing w:line="240" w:lineRule="auto"/>
              <w:ind w:right="15" w:rightChars="7"/>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点位</w:t>
            </w:r>
          </w:p>
        </w:tc>
        <w:tc>
          <w:tcPr>
            <w:tcW w:w="903" w:type="dxa"/>
            <w:noWrap w:val="0"/>
            <w:vAlign w:val="center"/>
          </w:tcPr>
          <w:p>
            <w:pPr>
              <w:pStyle w:val="140"/>
              <w:spacing w:line="240" w:lineRule="auto"/>
              <w:ind w:right="15" w:rightChars="7"/>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河流</w:t>
            </w:r>
          </w:p>
        </w:tc>
        <w:tc>
          <w:tcPr>
            <w:tcW w:w="3410" w:type="dxa"/>
            <w:noWrap w:val="0"/>
            <w:vAlign w:val="center"/>
          </w:tcPr>
          <w:p>
            <w:pPr>
              <w:pStyle w:val="140"/>
              <w:spacing w:line="240" w:lineRule="auto"/>
              <w:ind w:right="15" w:rightChars="7"/>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监测项目</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9" w:type="dxa"/>
            <w:noWrap w:val="0"/>
            <w:vAlign w:val="center"/>
          </w:tcPr>
          <w:p>
            <w:pPr>
              <w:pStyle w:val="140"/>
              <w:spacing w:line="240" w:lineRule="auto"/>
              <w:ind w:right="15" w:rightChars="7"/>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I</w:t>
            </w:r>
          </w:p>
        </w:tc>
        <w:tc>
          <w:tcPr>
            <w:tcW w:w="3529" w:type="dxa"/>
            <w:noWrap w:val="0"/>
            <w:vAlign w:val="center"/>
          </w:tcPr>
          <w:p>
            <w:pPr>
              <w:pStyle w:val="140"/>
              <w:spacing w:line="240" w:lineRule="auto"/>
              <w:ind w:right="15" w:rightChars="7"/>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项目区域上游500米</w:t>
            </w:r>
          </w:p>
        </w:tc>
        <w:tc>
          <w:tcPr>
            <w:tcW w:w="903" w:type="dxa"/>
            <w:vMerge w:val="restart"/>
            <w:noWrap w:val="0"/>
            <w:vAlign w:val="center"/>
          </w:tcPr>
          <w:p>
            <w:pPr>
              <w:pStyle w:val="140"/>
              <w:spacing w:line="240" w:lineRule="auto"/>
              <w:ind w:right="15" w:rightChars="7"/>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安溪河</w:t>
            </w:r>
          </w:p>
        </w:tc>
        <w:tc>
          <w:tcPr>
            <w:tcW w:w="3410" w:type="dxa"/>
            <w:vMerge w:val="restart"/>
            <w:noWrap w:val="0"/>
            <w:vAlign w:val="center"/>
          </w:tcPr>
          <w:p>
            <w:pPr>
              <w:pStyle w:val="140"/>
              <w:spacing w:line="240" w:lineRule="auto"/>
              <w:ind w:right="15" w:rightChars="7"/>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pH、COD、BOD</w:t>
            </w:r>
            <w:r>
              <w:rPr>
                <w:rFonts w:hint="default" w:ascii="Times New Roman" w:hAnsi="Times New Roman" w:eastAsia="宋体" w:cs="Times New Roman"/>
                <w:color w:val="auto"/>
                <w:szCs w:val="21"/>
                <w:highlight w:val="none"/>
                <w:vertAlign w:val="subscript"/>
              </w:rPr>
              <w:t>5</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悬浮物</w:t>
            </w:r>
            <w:r>
              <w:rPr>
                <w:rFonts w:hint="default" w:ascii="Times New Roman" w:hAnsi="Times New Roman" w:eastAsia="宋体" w:cs="Times New Roman"/>
                <w:color w:val="auto"/>
                <w:szCs w:val="21"/>
                <w:highlight w:val="none"/>
              </w:rPr>
              <w:t>、氨氮、粪大肠菌群、</w:t>
            </w:r>
            <w:r>
              <w:rPr>
                <w:rFonts w:hint="eastAsia" w:ascii="Times New Roman" w:hAnsi="Times New Roman" w:eastAsia="宋体" w:cs="Times New Roman"/>
                <w:color w:val="auto"/>
                <w:szCs w:val="21"/>
                <w:highlight w:val="none"/>
                <w:lang w:val="en-US" w:eastAsia="zh-CN"/>
              </w:rPr>
              <w:t>总氮、</w:t>
            </w:r>
            <w:r>
              <w:rPr>
                <w:rFonts w:hint="default" w:ascii="Times New Roman" w:hAnsi="Times New Roman" w:eastAsia="宋体" w:cs="Times New Roman"/>
                <w:color w:val="auto"/>
                <w:szCs w:val="21"/>
                <w:highlight w:val="none"/>
              </w:rPr>
              <w:t>总磷</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9" w:type="dxa"/>
            <w:noWrap w:val="0"/>
            <w:vAlign w:val="center"/>
          </w:tcPr>
          <w:p>
            <w:pPr>
              <w:pStyle w:val="140"/>
              <w:spacing w:line="240" w:lineRule="auto"/>
              <w:ind w:right="15" w:rightChars="7"/>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II</w:t>
            </w:r>
          </w:p>
        </w:tc>
        <w:tc>
          <w:tcPr>
            <w:tcW w:w="3529" w:type="dxa"/>
            <w:noWrap w:val="0"/>
            <w:vAlign w:val="center"/>
          </w:tcPr>
          <w:p>
            <w:pPr>
              <w:pStyle w:val="140"/>
              <w:spacing w:line="240" w:lineRule="auto"/>
              <w:ind w:right="15" w:rightChars="7"/>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项目区域下游1000米</w:t>
            </w:r>
          </w:p>
        </w:tc>
        <w:tc>
          <w:tcPr>
            <w:tcW w:w="903" w:type="dxa"/>
            <w:vMerge w:val="continue"/>
            <w:noWrap w:val="0"/>
            <w:vAlign w:val="center"/>
          </w:tcPr>
          <w:p>
            <w:pPr>
              <w:pStyle w:val="140"/>
              <w:spacing w:line="240" w:lineRule="auto"/>
              <w:ind w:right="15" w:rightChars="7"/>
              <w:rPr>
                <w:rFonts w:hint="default" w:ascii="Times New Roman" w:hAnsi="Times New Roman" w:eastAsia="宋体" w:cs="Times New Roman"/>
                <w:color w:val="auto"/>
                <w:szCs w:val="21"/>
                <w:highlight w:val="none"/>
              </w:rPr>
            </w:pPr>
          </w:p>
        </w:tc>
        <w:tc>
          <w:tcPr>
            <w:tcW w:w="3410" w:type="dxa"/>
            <w:vMerge w:val="continue"/>
            <w:noWrap w:val="0"/>
            <w:vAlign w:val="center"/>
          </w:tcPr>
          <w:p>
            <w:pPr>
              <w:pStyle w:val="140"/>
              <w:spacing w:line="240" w:lineRule="auto"/>
              <w:ind w:right="15" w:rightChars="7"/>
              <w:rPr>
                <w:rFonts w:hint="default" w:ascii="Times New Roman" w:hAnsi="Times New Roman" w:eastAsia="宋体" w:cs="Times New Roman"/>
                <w:color w:val="auto"/>
                <w:szCs w:val="21"/>
                <w:highlight w:val="none"/>
              </w:rPr>
            </w:pPr>
          </w:p>
        </w:tc>
      </w:tr>
    </w:tbl>
    <w:p>
      <w:pPr>
        <w:spacing w:line="360" w:lineRule="auto"/>
        <w:ind w:firstLine="480" w:firstLineChars="200"/>
        <w:rPr>
          <w:rFonts w:hint="default" w:ascii="Times New Roman" w:hAnsi="Times New Roman" w:cs="Times New Roman"/>
          <w:bCs/>
          <w:color w:val="auto"/>
          <w:sz w:val="24"/>
          <w:lang w:eastAsia="zh-CN" w:bidi="ar"/>
        </w:rPr>
      </w:pPr>
      <w:r>
        <w:rPr>
          <w:rFonts w:hint="default" w:ascii="Times New Roman" w:hAnsi="Times New Roman" w:cs="Times New Roman"/>
          <w:bCs/>
          <w:color w:val="auto"/>
          <w:sz w:val="24"/>
          <w:lang w:eastAsia="zh-CN" w:bidi="ar"/>
        </w:rPr>
        <w:t>（2）监测分析方法</w:t>
      </w:r>
    </w:p>
    <w:p>
      <w:pPr>
        <w:spacing w:line="360" w:lineRule="auto"/>
        <w:ind w:firstLine="480" w:firstLineChars="200"/>
        <w:rPr>
          <w:rFonts w:hint="default" w:ascii="Times New Roman" w:hAnsi="Times New Roman" w:cs="Times New Roman"/>
          <w:bCs/>
          <w:color w:val="auto"/>
          <w:sz w:val="24"/>
          <w:lang w:bidi="ar"/>
        </w:rPr>
      </w:pPr>
      <w:r>
        <w:rPr>
          <w:rFonts w:hint="default" w:ascii="Times New Roman" w:hAnsi="Times New Roman" w:cs="Times New Roman"/>
          <w:bCs/>
          <w:color w:val="auto"/>
          <w:sz w:val="24"/>
          <w:lang w:bidi="ar"/>
        </w:rPr>
        <w:t>监测方法：详见表</w:t>
      </w:r>
      <w:r>
        <w:rPr>
          <w:rFonts w:hint="default" w:ascii="Times New Roman" w:hAnsi="Times New Roman" w:cs="Times New Roman"/>
          <w:bCs/>
          <w:color w:val="auto"/>
          <w:sz w:val="24"/>
          <w:lang w:eastAsia="zh-CN" w:bidi="ar"/>
        </w:rPr>
        <w:t>4.3-</w:t>
      </w:r>
      <w:r>
        <w:rPr>
          <w:rFonts w:hint="eastAsia" w:ascii="Times New Roman" w:hAnsi="Times New Roman" w:cs="Times New Roman"/>
          <w:bCs/>
          <w:color w:val="auto"/>
          <w:sz w:val="24"/>
          <w:lang w:val="en-US" w:eastAsia="zh-CN" w:bidi="ar"/>
        </w:rPr>
        <w:t>6</w:t>
      </w:r>
      <w:r>
        <w:rPr>
          <w:rFonts w:hint="default" w:ascii="Times New Roman" w:hAnsi="Times New Roman" w:cs="Times New Roman"/>
          <w:bCs/>
          <w:color w:val="auto"/>
          <w:sz w:val="24"/>
          <w:lang w:bidi="ar"/>
        </w:rPr>
        <w:t>。</w:t>
      </w:r>
    </w:p>
    <w:p>
      <w:pPr>
        <w:spacing w:line="360" w:lineRule="auto"/>
        <w:ind w:firstLine="413" w:firstLineChars="196"/>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表</w:t>
      </w:r>
      <w:r>
        <w:rPr>
          <w:rFonts w:hint="default" w:ascii="Times New Roman" w:hAnsi="Times New Roman" w:eastAsia="宋体" w:cs="Times New Roman"/>
          <w:b/>
          <w:color w:val="auto"/>
          <w:sz w:val="21"/>
          <w:szCs w:val="21"/>
          <w:highlight w:val="none"/>
          <w:lang w:eastAsia="zh-CN"/>
        </w:rPr>
        <w:t>4.3-</w:t>
      </w:r>
      <w:r>
        <w:rPr>
          <w:rFonts w:hint="eastAsia" w:ascii="Times New Roman" w:hAnsi="Times New Roman" w:eastAsia="宋体" w:cs="Times New Roman"/>
          <w:b/>
          <w:color w:val="auto"/>
          <w:sz w:val="21"/>
          <w:szCs w:val="21"/>
          <w:highlight w:val="none"/>
          <w:lang w:val="en-US" w:eastAsia="zh-CN"/>
        </w:rPr>
        <w:t>6</w:t>
      </w:r>
      <w:r>
        <w:rPr>
          <w:rFonts w:hint="default" w:ascii="Times New Roman" w:hAnsi="Times New Roman" w:eastAsia="宋体" w:cs="Times New Roman"/>
          <w:b/>
          <w:color w:val="auto"/>
          <w:sz w:val="21"/>
          <w:szCs w:val="21"/>
          <w:highlight w:val="none"/>
          <w:lang w:eastAsia="zh-CN"/>
        </w:rPr>
        <w:t xml:space="preserve">  </w:t>
      </w:r>
      <w:r>
        <w:rPr>
          <w:rFonts w:hint="default" w:ascii="Times New Roman" w:hAnsi="Times New Roman" w:eastAsia="宋体" w:cs="Times New Roman"/>
          <w:b/>
          <w:color w:val="auto"/>
          <w:sz w:val="21"/>
          <w:szCs w:val="21"/>
          <w:highlight w:val="none"/>
        </w:rPr>
        <w:t>水质监测分析方法</w:t>
      </w:r>
    </w:p>
    <w:tbl>
      <w:tblPr>
        <w:tblStyle w:val="34"/>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054"/>
        <w:gridCol w:w="3255"/>
        <w:gridCol w:w="2530"/>
        <w:gridCol w:w="13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tblHeader/>
        </w:trPr>
        <w:tc>
          <w:tcPr>
            <w:tcW w:w="1114" w:type="pct"/>
            <w:tcBorders>
              <w:top w:val="single" w:color="auto" w:sz="12" w:space="0"/>
              <w:bottom w:val="single" w:color="auto" w:sz="12" w:space="0"/>
            </w:tcBorders>
            <w:noWrap w:val="0"/>
            <w:vAlign w:val="center"/>
          </w:tcPr>
          <w:p>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项目</w:t>
            </w:r>
          </w:p>
        </w:tc>
        <w:tc>
          <w:tcPr>
            <w:tcW w:w="1765" w:type="pct"/>
            <w:tcBorders>
              <w:top w:val="single" w:color="auto" w:sz="12" w:space="0"/>
              <w:bottom w:val="single" w:color="auto" w:sz="12" w:space="0"/>
            </w:tcBorders>
            <w:noWrap w:val="0"/>
            <w:vAlign w:val="center"/>
          </w:tcPr>
          <w:p>
            <w:pPr>
              <w:jc w:val="center"/>
              <w:rPr>
                <w:rFonts w:hint="default" w:ascii="Times New Roman" w:hAnsi="Times New Roman" w:cs="Times New Roman"/>
                <w:b/>
                <w:color w:val="auto"/>
                <w:sz w:val="21"/>
                <w:szCs w:val="21"/>
                <w:highlight w:val="none"/>
              </w:rPr>
            </w:pPr>
            <w:r>
              <w:rPr>
                <w:rFonts w:hint="default" w:ascii="Times New Roman" w:hAnsi="Times New Roman" w:cs="Times New Roman"/>
                <w:b/>
                <w:bCs/>
                <w:color w:val="auto"/>
                <w:sz w:val="21"/>
                <w:szCs w:val="21"/>
                <w:highlight w:val="none"/>
              </w:rPr>
              <w:t>检测</w:t>
            </w:r>
            <w:r>
              <w:rPr>
                <w:rFonts w:hint="default" w:ascii="Times New Roman" w:hAnsi="Times New Roman" w:cs="Times New Roman"/>
                <w:b/>
                <w:bCs/>
                <w:color w:val="auto"/>
                <w:sz w:val="21"/>
                <w:szCs w:val="21"/>
                <w:highlight w:val="none"/>
                <w:lang w:eastAsia="zh-CN"/>
              </w:rPr>
              <w:t>依据</w:t>
            </w:r>
          </w:p>
        </w:tc>
        <w:tc>
          <w:tcPr>
            <w:tcW w:w="1372" w:type="pct"/>
            <w:tcBorders>
              <w:top w:val="single" w:color="auto" w:sz="12" w:space="0"/>
              <w:bottom w:val="single" w:color="auto" w:sz="12" w:space="0"/>
            </w:tcBorders>
            <w:noWrap w:val="0"/>
            <w:vAlign w:val="center"/>
          </w:tcPr>
          <w:p>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使用仪器及编号</w:t>
            </w:r>
          </w:p>
        </w:tc>
        <w:tc>
          <w:tcPr>
            <w:tcW w:w="747" w:type="pct"/>
            <w:tcBorders>
              <w:top w:val="single" w:color="auto" w:sz="12" w:space="0"/>
              <w:bottom w:val="single" w:color="auto" w:sz="12" w:space="0"/>
            </w:tcBorders>
            <w:noWrap w:val="0"/>
            <w:vAlign w:val="center"/>
          </w:tcPr>
          <w:p>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检出限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1114" w:type="pct"/>
            <w:noWrap w:val="0"/>
            <w:vAlign w:val="center"/>
          </w:tcPr>
          <w:p>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pH</w:t>
            </w:r>
          </w:p>
        </w:tc>
        <w:tc>
          <w:tcPr>
            <w:tcW w:w="1765" w:type="pct"/>
            <w:noWrap w:val="0"/>
            <w:vAlign w:val="center"/>
          </w:tcPr>
          <w:p>
            <w:pPr>
              <w:autoSpaceDE w:val="0"/>
              <w:autoSpaceDN w:val="0"/>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《水和废水监测分析方法》（第四版）国家环境保护总局（2002年）</w:t>
            </w:r>
          </w:p>
        </w:tc>
        <w:tc>
          <w:tcPr>
            <w:tcW w:w="1372" w:type="pct"/>
            <w:noWrap w:val="0"/>
            <w:vAlign w:val="center"/>
          </w:tcPr>
          <w:p>
            <w:pPr>
              <w:autoSpaceDE w:val="0"/>
              <w:autoSpaceDN w:val="0"/>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PHBJ-260便携式PH计DFSJC-116</w:t>
            </w:r>
          </w:p>
        </w:tc>
        <w:tc>
          <w:tcPr>
            <w:tcW w:w="747" w:type="pct"/>
            <w:noWrap w:val="0"/>
            <w:vAlign w:val="center"/>
          </w:tcPr>
          <w:p>
            <w:pPr>
              <w:autoSpaceDE w:val="0"/>
              <w:autoSpaceDN w:val="0"/>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1114" w:type="pct"/>
            <w:noWrap w:val="0"/>
            <w:vAlign w:val="center"/>
          </w:tcPr>
          <w:p>
            <w:pPr>
              <w:autoSpaceDE w:val="0"/>
              <w:autoSpaceDN w:val="0"/>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悬浮物</w:t>
            </w:r>
          </w:p>
        </w:tc>
        <w:tc>
          <w:tcPr>
            <w:tcW w:w="1765" w:type="pct"/>
            <w:noWrap w:val="0"/>
            <w:vAlign w:val="center"/>
          </w:tcPr>
          <w:p>
            <w:pPr>
              <w:autoSpaceDE w:val="0"/>
              <w:autoSpaceDN w:val="0"/>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重量法</w:t>
            </w:r>
          </w:p>
          <w:p>
            <w:pPr>
              <w:autoSpaceDE w:val="0"/>
              <w:autoSpaceDN w:val="0"/>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GB 11901-1989</w:t>
            </w:r>
          </w:p>
        </w:tc>
        <w:tc>
          <w:tcPr>
            <w:tcW w:w="1372" w:type="pct"/>
            <w:noWrap w:val="0"/>
            <w:vAlign w:val="center"/>
          </w:tcPr>
          <w:p>
            <w:pPr>
              <w:autoSpaceDE w:val="0"/>
              <w:autoSpaceDN w:val="0"/>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FA-2204B万分之一天平DFSJC-032</w:t>
            </w:r>
          </w:p>
        </w:tc>
        <w:tc>
          <w:tcPr>
            <w:tcW w:w="747" w:type="pct"/>
            <w:noWrap w:val="0"/>
            <w:vAlign w:val="center"/>
          </w:tcPr>
          <w:p>
            <w:pPr>
              <w:autoSpaceDE w:val="0"/>
              <w:autoSpaceDN w:val="0"/>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1114" w:type="pct"/>
            <w:noWrap w:val="0"/>
            <w:vAlign w:val="center"/>
          </w:tcPr>
          <w:p>
            <w:pPr>
              <w:autoSpaceDE w:val="0"/>
              <w:autoSpaceDN w:val="0"/>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化学需氧量</w:t>
            </w:r>
          </w:p>
        </w:tc>
        <w:tc>
          <w:tcPr>
            <w:tcW w:w="1765" w:type="pct"/>
            <w:noWrap w:val="0"/>
            <w:vAlign w:val="center"/>
          </w:tcPr>
          <w:p>
            <w:pPr>
              <w:autoSpaceDE w:val="0"/>
              <w:autoSpaceDN w:val="0"/>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重铬酸盐法</w:t>
            </w:r>
          </w:p>
          <w:p>
            <w:pPr>
              <w:autoSpaceDE w:val="0"/>
              <w:autoSpaceDN w:val="0"/>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HJ 828-2017</w:t>
            </w:r>
          </w:p>
        </w:tc>
        <w:tc>
          <w:tcPr>
            <w:tcW w:w="1372" w:type="pct"/>
            <w:noWrap w:val="0"/>
            <w:vAlign w:val="center"/>
          </w:tcPr>
          <w:p>
            <w:pPr>
              <w:autoSpaceDE w:val="0"/>
              <w:autoSpaceDN w:val="0"/>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YH2010COD恒温加热器DFSJC-047</w:t>
            </w:r>
          </w:p>
        </w:tc>
        <w:tc>
          <w:tcPr>
            <w:tcW w:w="747" w:type="pct"/>
            <w:noWrap w:val="0"/>
            <w:vAlign w:val="center"/>
          </w:tcPr>
          <w:p>
            <w:pPr>
              <w:autoSpaceDE w:val="0"/>
              <w:autoSpaceDN w:val="0"/>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1114" w:type="pct"/>
            <w:noWrap w:val="0"/>
            <w:vAlign w:val="center"/>
          </w:tcPr>
          <w:p>
            <w:pPr>
              <w:autoSpaceDE w:val="0"/>
              <w:autoSpaceDN w:val="0"/>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五日生化需氧量</w:t>
            </w:r>
          </w:p>
        </w:tc>
        <w:tc>
          <w:tcPr>
            <w:tcW w:w="1765" w:type="pct"/>
            <w:noWrap w:val="0"/>
            <w:vAlign w:val="center"/>
          </w:tcPr>
          <w:p>
            <w:pPr>
              <w:autoSpaceDE w:val="0"/>
              <w:autoSpaceDN w:val="0"/>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稀释与接种法</w:t>
            </w:r>
          </w:p>
          <w:p>
            <w:pPr>
              <w:autoSpaceDE w:val="0"/>
              <w:autoSpaceDN w:val="0"/>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HJ 505-2009</w:t>
            </w:r>
          </w:p>
        </w:tc>
        <w:tc>
          <w:tcPr>
            <w:tcW w:w="1372" w:type="pct"/>
            <w:noWrap w:val="0"/>
            <w:vAlign w:val="center"/>
          </w:tcPr>
          <w:p>
            <w:pPr>
              <w:autoSpaceDE w:val="0"/>
              <w:autoSpaceDN w:val="0"/>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LRH-250生化培养箱DFSJC-042</w:t>
            </w:r>
          </w:p>
        </w:tc>
        <w:tc>
          <w:tcPr>
            <w:tcW w:w="747" w:type="pct"/>
            <w:noWrap w:val="0"/>
            <w:vAlign w:val="center"/>
          </w:tcPr>
          <w:p>
            <w:pPr>
              <w:autoSpaceDE w:val="0"/>
              <w:autoSpaceDN w:val="0"/>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0.5mg/L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1114" w:type="pct"/>
            <w:noWrap w:val="0"/>
            <w:vAlign w:val="center"/>
          </w:tcPr>
          <w:p>
            <w:pPr>
              <w:autoSpaceDE w:val="0"/>
              <w:autoSpaceDN w:val="0"/>
              <w:adjustRightInd w:val="0"/>
              <w:jc w:val="center"/>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rPr>
              <w:t>氨氮</w:t>
            </w:r>
          </w:p>
        </w:tc>
        <w:tc>
          <w:tcPr>
            <w:tcW w:w="1765" w:type="pct"/>
            <w:noWrap w:val="0"/>
            <w:vAlign w:val="center"/>
          </w:tcPr>
          <w:p>
            <w:pPr>
              <w:autoSpaceDE w:val="0"/>
              <w:autoSpaceDN w:val="0"/>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纳氏试剂分光光度法</w:t>
            </w:r>
          </w:p>
          <w:p>
            <w:pPr>
              <w:autoSpaceDE w:val="0"/>
              <w:autoSpaceDN w:val="0"/>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HJ 535-2009</w:t>
            </w:r>
          </w:p>
        </w:tc>
        <w:tc>
          <w:tcPr>
            <w:tcW w:w="1372" w:type="pct"/>
            <w:noWrap w:val="0"/>
            <w:vAlign w:val="center"/>
          </w:tcPr>
          <w:p>
            <w:pPr>
              <w:autoSpaceDE w:val="0"/>
              <w:autoSpaceDN w:val="0"/>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UV-1200紫外可见分光光度计DFSJC-035</w:t>
            </w:r>
          </w:p>
        </w:tc>
        <w:tc>
          <w:tcPr>
            <w:tcW w:w="747" w:type="pct"/>
            <w:noWrap w:val="0"/>
            <w:vAlign w:val="center"/>
          </w:tcPr>
          <w:p>
            <w:pPr>
              <w:autoSpaceDE w:val="0"/>
              <w:autoSpaceDN w:val="0"/>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0.025mg/L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1114" w:type="pct"/>
            <w:noWrap w:val="0"/>
            <w:vAlign w:val="center"/>
          </w:tcPr>
          <w:p>
            <w:pPr>
              <w:autoSpaceDE w:val="0"/>
              <w:autoSpaceDN w:val="0"/>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总氮</w:t>
            </w:r>
          </w:p>
        </w:tc>
        <w:tc>
          <w:tcPr>
            <w:tcW w:w="1765" w:type="pct"/>
            <w:noWrap w:val="0"/>
            <w:vAlign w:val="center"/>
          </w:tcPr>
          <w:p>
            <w:pPr>
              <w:autoSpaceDE w:val="0"/>
              <w:autoSpaceDN w:val="0"/>
              <w:adjustRightInd w:val="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水质总氮的测定-碱性过硫酸钾消解紫外分光光度法HJ636-2012</w:t>
            </w:r>
          </w:p>
        </w:tc>
        <w:tc>
          <w:tcPr>
            <w:tcW w:w="1372" w:type="pct"/>
            <w:noWrap w:val="0"/>
            <w:vAlign w:val="center"/>
          </w:tcPr>
          <w:p>
            <w:pPr>
              <w:autoSpaceDE w:val="0"/>
              <w:autoSpaceDN w:val="0"/>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UV-1200紫外可见分光光度计DFSJC-035</w:t>
            </w:r>
          </w:p>
        </w:tc>
        <w:tc>
          <w:tcPr>
            <w:tcW w:w="747" w:type="pct"/>
            <w:noWrap w:val="0"/>
            <w:vAlign w:val="center"/>
          </w:tcPr>
          <w:p>
            <w:pPr>
              <w:autoSpaceDE w:val="0"/>
              <w:autoSpaceDN w:val="0"/>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1114" w:type="pct"/>
            <w:noWrap w:val="0"/>
            <w:vAlign w:val="center"/>
          </w:tcPr>
          <w:p>
            <w:pPr>
              <w:jc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sz w:val="21"/>
                <w:szCs w:val="21"/>
                <w:highlight w:val="none"/>
                <w:lang w:eastAsia="zh-CN" w:bidi="ar"/>
              </w:rPr>
              <w:t>粪</w:t>
            </w:r>
            <w:r>
              <w:rPr>
                <w:rFonts w:hint="default" w:ascii="Times New Roman" w:hAnsi="Times New Roman" w:eastAsia="宋体" w:cs="Times New Roman"/>
                <w:color w:val="auto"/>
                <w:sz w:val="21"/>
                <w:szCs w:val="21"/>
                <w:highlight w:val="none"/>
                <w:lang w:eastAsia="zh-CN"/>
              </w:rPr>
              <w:t>大肠菌群</w:t>
            </w:r>
          </w:p>
        </w:tc>
        <w:tc>
          <w:tcPr>
            <w:tcW w:w="1765" w:type="pct"/>
            <w:noWrap w:val="0"/>
            <w:vAlign w:val="center"/>
          </w:tcPr>
          <w:p>
            <w:pPr>
              <w:widowControl/>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bidi="ar"/>
              </w:rPr>
              <w:t>水质粪大肠菌群的测定多管发酵法HJ347.2-2018</w:t>
            </w:r>
          </w:p>
        </w:tc>
        <w:tc>
          <w:tcPr>
            <w:tcW w:w="1372" w:type="pct"/>
            <w:noWrap w:val="0"/>
            <w:vAlign w:val="center"/>
          </w:tcPr>
          <w:p>
            <w:pPr>
              <w:jc w:val="center"/>
              <w:rPr>
                <w:rFonts w:hint="default" w:ascii="Times New Roman" w:hAnsi="Times New Roman" w:eastAsia="宋体" w:cs="Times New Roman"/>
                <w:color w:val="auto"/>
                <w:sz w:val="21"/>
                <w:szCs w:val="21"/>
                <w:highlight w:val="none"/>
                <w:lang w:eastAsia="zh-CN" w:bidi="ar"/>
              </w:rPr>
            </w:pPr>
            <w:r>
              <w:rPr>
                <w:rFonts w:hint="default" w:ascii="Times New Roman" w:hAnsi="Times New Roman" w:eastAsia="宋体" w:cs="Times New Roman"/>
                <w:color w:val="auto"/>
                <w:sz w:val="21"/>
                <w:szCs w:val="21"/>
                <w:highlight w:val="none"/>
                <w:lang w:eastAsia="zh-CN" w:bidi="ar"/>
              </w:rPr>
              <w:t>HP-9162</w:t>
            </w:r>
          </w:p>
          <w:p>
            <w:pPr>
              <w:jc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sz w:val="21"/>
                <w:szCs w:val="21"/>
                <w:highlight w:val="none"/>
                <w:lang w:eastAsia="zh-CN" w:bidi="ar"/>
              </w:rPr>
              <w:t>电热恒温培养箱DFSJC-127/DFSJC-128</w:t>
            </w:r>
          </w:p>
        </w:tc>
        <w:tc>
          <w:tcPr>
            <w:tcW w:w="747" w:type="pct"/>
            <w:noWrap w:val="0"/>
            <w:vAlign w:val="center"/>
          </w:tcPr>
          <w:p>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20MPN/L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1114" w:type="pct"/>
            <w:noWrap w:val="0"/>
            <w:vAlign w:val="center"/>
          </w:tcPr>
          <w:p>
            <w:pPr>
              <w:autoSpaceDE w:val="0"/>
              <w:autoSpaceDN w:val="0"/>
              <w:adjustRightInd w:val="0"/>
              <w:jc w:val="center"/>
              <w:rPr>
                <w:rFonts w:hint="default" w:ascii="Times New Roman" w:hAnsi="Times New Roman" w:eastAsia="宋体" w:cs="Times New Roman"/>
                <w:bCs/>
                <w:color w:val="auto"/>
                <w:kern w:val="2"/>
                <w:sz w:val="21"/>
                <w:szCs w:val="21"/>
                <w:highlight w:val="none"/>
                <w:lang w:eastAsia="zh-CN"/>
              </w:rPr>
            </w:pPr>
            <w:r>
              <w:rPr>
                <w:rFonts w:hint="default" w:ascii="Times New Roman" w:hAnsi="Times New Roman" w:cs="Times New Roman"/>
                <w:color w:val="auto"/>
                <w:sz w:val="21"/>
                <w:szCs w:val="21"/>
                <w:highlight w:val="none"/>
              </w:rPr>
              <w:t>总磷</w:t>
            </w:r>
          </w:p>
        </w:tc>
        <w:tc>
          <w:tcPr>
            <w:tcW w:w="1765" w:type="pct"/>
            <w:noWrap w:val="0"/>
            <w:vAlign w:val="center"/>
          </w:tcPr>
          <w:p>
            <w:pPr>
              <w:autoSpaceDE w:val="0"/>
              <w:autoSpaceDN w:val="0"/>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钼酸铵分光光度法</w:t>
            </w:r>
            <w:r>
              <w:rPr>
                <w:rFonts w:hint="default" w:ascii="Times New Roman" w:hAnsi="Times New Roman" w:cs="Times New Roman"/>
                <w:color w:val="auto"/>
                <w:sz w:val="21"/>
                <w:szCs w:val="21"/>
                <w:highlight w:val="none"/>
                <w:lang w:eastAsia="zh-CN"/>
              </w:rPr>
              <w:t xml:space="preserve"> </w:t>
            </w:r>
            <w:r>
              <w:rPr>
                <w:rFonts w:hint="default" w:ascii="Times New Roman" w:hAnsi="Times New Roman" w:cs="Times New Roman"/>
                <w:color w:val="auto"/>
                <w:sz w:val="21"/>
                <w:szCs w:val="21"/>
                <w:highlight w:val="none"/>
              </w:rPr>
              <w:t>GB 11893-1989</w:t>
            </w:r>
          </w:p>
        </w:tc>
        <w:tc>
          <w:tcPr>
            <w:tcW w:w="1372" w:type="pct"/>
            <w:noWrap w:val="0"/>
            <w:vAlign w:val="center"/>
          </w:tcPr>
          <w:p>
            <w:pPr>
              <w:autoSpaceDE w:val="0"/>
              <w:autoSpaceDN w:val="0"/>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UV-1200紫外可见分光光度计DFSJC-035</w:t>
            </w:r>
          </w:p>
        </w:tc>
        <w:tc>
          <w:tcPr>
            <w:tcW w:w="747" w:type="pct"/>
            <w:noWrap w:val="0"/>
            <w:vAlign w:val="center"/>
          </w:tcPr>
          <w:p>
            <w:pPr>
              <w:autoSpaceDE w:val="0"/>
              <w:autoSpaceDN w:val="0"/>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r>
    </w:tbl>
    <w:p>
      <w:pPr>
        <w:spacing w:line="360" w:lineRule="auto"/>
        <w:ind w:firstLine="480" w:firstLineChars="200"/>
        <w:rPr>
          <w:rFonts w:hint="default" w:ascii="Times New Roman" w:hAnsi="Times New Roman" w:cs="Times New Roman"/>
          <w:bCs/>
          <w:color w:val="auto"/>
          <w:sz w:val="24"/>
          <w:lang w:eastAsia="zh-CN" w:bidi="ar"/>
        </w:rPr>
      </w:pPr>
      <w:r>
        <w:rPr>
          <w:rFonts w:hint="default" w:ascii="Times New Roman" w:hAnsi="Times New Roman" w:cs="Times New Roman"/>
          <w:bCs/>
          <w:color w:val="auto"/>
          <w:sz w:val="24"/>
          <w:lang w:eastAsia="zh-CN" w:bidi="ar"/>
        </w:rPr>
        <w:t>（3）评价方法</w:t>
      </w:r>
    </w:p>
    <w:p>
      <w:pPr>
        <w:spacing w:line="360" w:lineRule="auto"/>
        <w:ind w:firstLine="480" w:firstLineChars="200"/>
        <w:rPr>
          <w:rFonts w:hint="default" w:ascii="Times New Roman" w:hAnsi="Times New Roman" w:cs="Times New Roman"/>
          <w:bCs/>
          <w:color w:val="auto"/>
          <w:sz w:val="24"/>
          <w:lang w:bidi="ar"/>
        </w:rPr>
      </w:pPr>
      <w:r>
        <w:rPr>
          <w:rFonts w:hint="default" w:ascii="Times New Roman" w:hAnsi="Times New Roman" w:cs="Times New Roman"/>
          <w:bCs/>
          <w:color w:val="auto"/>
          <w:sz w:val="24"/>
          <w:lang w:bidi="ar"/>
        </w:rPr>
        <w:t>采用标准指数法进行地下水环境现状评价，计算公式如下：</w:t>
      </w:r>
    </w:p>
    <w:p>
      <w:pPr>
        <w:spacing w:line="360" w:lineRule="auto"/>
        <w:ind w:firstLine="480" w:firstLineChars="200"/>
        <w:jc w:val="center"/>
        <w:rPr>
          <w:rFonts w:hint="default" w:ascii="Times New Roman" w:hAnsi="Times New Roman" w:cs="Times New Roman"/>
          <w:bCs/>
          <w:color w:val="auto"/>
          <w:sz w:val="24"/>
          <w:lang w:bidi="ar"/>
        </w:rPr>
      </w:pPr>
      <w:r>
        <w:rPr>
          <w:rFonts w:hint="default" w:ascii="Times New Roman" w:hAnsi="Times New Roman" w:cs="Times New Roman"/>
          <w:bCs/>
          <w:color w:val="auto"/>
          <w:sz w:val="24"/>
          <w:lang w:bidi="ar"/>
        </w:rPr>
        <w:object>
          <v:shape id="_x0000_i1028" o:spt="75" type="#_x0000_t75" style="height:35pt;width:44pt;" o:ole="t" filled="f" o:preferrelative="t" stroked="f" coordsize="21600,21600">
            <v:path/>
            <v:fill on="f" focussize="0,0"/>
            <v:stroke on="f"/>
            <v:imagedata r:id="rId43" o:title=""/>
            <o:lock v:ext="edit" grouping="f" rotation="f" text="f" aspectratio="f"/>
            <w10:wrap type="none"/>
            <w10:anchorlock/>
          </v:shape>
          <o:OLEObject Type="Embed" ProgID="Equation.3" ShapeID="_x0000_i1028" DrawAspect="Content" ObjectID="_1468075728" r:id="rId42">
            <o:LockedField>false</o:LockedField>
          </o:OLEObject>
        </w:object>
      </w:r>
    </w:p>
    <w:p>
      <w:pPr>
        <w:spacing w:line="360" w:lineRule="auto"/>
        <w:ind w:firstLine="480" w:firstLineChars="200"/>
        <w:rPr>
          <w:rFonts w:hint="default" w:ascii="Times New Roman" w:hAnsi="Times New Roman" w:cs="Times New Roman"/>
          <w:bCs/>
          <w:color w:val="auto"/>
          <w:sz w:val="24"/>
          <w:lang w:bidi="ar"/>
        </w:rPr>
      </w:pPr>
      <w:r>
        <w:rPr>
          <w:rFonts w:hint="default" w:ascii="Times New Roman" w:hAnsi="Times New Roman" w:cs="Times New Roman"/>
          <w:bCs/>
          <w:color w:val="auto"/>
          <w:sz w:val="24"/>
          <w:lang w:bidi="ar"/>
        </w:rPr>
        <w:t>式中：Pi——第i水质因子的标准指数，量纲为1；</w:t>
      </w:r>
    </w:p>
    <w:p>
      <w:pPr>
        <w:spacing w:line="360" w:lineRule="auto"/>
        <w:ind w:firstLine="480" w:firstLineChars="200"/>
        <w:rPr>
          <w:rFonts w:hint="default" w:ascii="Times New Roman" w:hAnsi="Times New Roman" w:cs="Times New Roman"/>
          <w:bCs/>
          <w:color w:val="auto"/>
          <w:sz w:val="24"/>
          <w:lang w:bidi="ar"/>
        </w:rPr>
      </w:pPr>
      <w:r>
        <w:rPr>
          <w:rFonts w:hint="default" w:ascii="Times New Roman" w:hAnsi="Times New Roman" w:cs="Times New Roman"/>
          <w:bCs/>
          <w:color w:val="auto"/>
          <w:sz w:val="24"/>
          <w:lang w:bidi="ar"/>
        </w:rPr>
        <w:t>Ci——第i水质因子的监测浓度值，mg/L；</w:t>
      </w:r>
    </w:p>
    <w:p>
      <w:pPr>
        <w:spacing w:line="360" w:lineRule="auto"/>
        <w:ind w:firstLine="480" w:firstLineChars="200"/>
        <w:rPr>
          <w:rFonts w:hint="default" w:ascii="Times New Roman" w:hAnsi="Times New Roman" w:cs="Times New Roman"/>
          <w:bCs/>
          <w:color w:val="auto"/>
          <w:sz w:val="24"/>
          <w:lang w:bidi="ar"/>
        </w:rPr>
      </w:pPr>
      <w:r>
        <w:rPr>
          <w:rFonts w:hint="default" w:ascii="Times New Roman" w:hAnsi="Times New Roman" w:cs="Times New Roman"/>
          <w:bCs/>
          <w:color w:val="auto"/>
          <w:sz w:val="24"/>
          <w:lang w:bidi="ar"/>
        </w:rPr>
        <w:t>Csi——第i水质因子标准浓度值，mg/L。</w:t>
      </w:r>
    </w:p>
    <w:p>
      <w:pPr>
        <w:spacing w:line="360" w:lineRule="auto"/>
        <w:ind w:firstLine="480" w:firstLineChars="200"/>
        <w:rPr>
          <w:rFonts w:hint="default" w:ascii="Times New Roman" w:hAnsi="Times New Roman" w:cs="Times New Roman"/>
          <w:bCs/>
          <w:color w:val="auto"/>
          <w:sz w:val="24"/>
          <w:lang w:bidi="ar"/>
        </w:rPr>
      </w:pPr>
      <w:r>
        <w:rPr>
          <w:rFonts w:hint="default" w:ascii="Times New Roman" w:hAnsi="Times New Roman" w:cs="Times New Roman"/>
          <w:bCs/>
          <w:color w:val="auto"/>
          <w:sz w:val="24"/>
          <w:lang w:bidi="ar"/>
        </w:rPr>
        <w:t>pH的标准指数为：</w:t>
      </w:r>
    </w:p>
    <w:p>
      <w:pPr>
        <w:spacing w:line="360" w:lineRule="auto"/>
        <w:ind w:firstLine="480" w:firstLineChars="200"/>
        <w:jc w:val="center"/>
        <w:rPr>
          <w:rFonts w:hint="default" w:ascii="Times New Roman" w:hAnsi="Times New Roman" w:cs="Times New Roman"/>
          <w:bCs/>
          <w:color w:val="auto"/>
          <w:sz w:val="24"/>
          <w:lang w:bidi="ar"/>
        </w:rPr>
      </w:pPr>
      <w:r>
        <w:rPr>
          <w:rFonts w:hint="default" w:ascii="Times New Roman" w:hAnsi="Times New Roman" w:cs="Times New Roman"/>
          <w:bCs/>
          <w:color w:val="auto"/>
          <w:sz w:val="24"/>
          <w:lang w:bidi="ar"/>
        </w:rPr>
        <w:object>
          <v:shape id="_x0000_i1029" o:spt="75" type="#_x0000_t75" style="height:34pt;width:145pt;" o:ole="t" filled="f" o:preferrelative="t" stroked="f" coordsize="21600,21600">
            <v:path/>
            <v:fill on="f" focussize="0,0"/>
            <v:stroke on="f"/>
            <v:imagedata r:id="rId45" o:title=""/>
            <o:lock v:ext="edit" grouping="f" rotation="f" text="f" aspectratio="f"/>
            <w10:wrap type="none"/>
            <w10:anchorlock/>
          </v:shape>
          <o:OLEObject Type="Embed" ProgID="Equation.3" ShapeID="_x0000_i1029" DrawAspect="Content" ObjectID="_1468075729" r:id="rId44">
            <o:LockedField>false</o:LockedField>
          </o:OLEObject>
        </w:object>
      </w:r>
    </w:p>
    <w:p>
      <w:pPr>
        <w:spacing w:line="360" w:lineRule="auto"/>
        <w:ind w:firstLine="480" w:firstLineChars="200"/>
        <w:jc w:val="center"/>
        <w:rPr>
          <w:rFonts w:hint="default" w:ascii="Times New Roman" w:hAnsi="Times New Roman" w:cs="Times New Roman"/>
          <w:bCs/>
          <w:color w:val="auto"/>
          <w:sz w:val="24"/>
          <w:lang w:bidi="ar"/>
        </w:rPr>
      </w:pPr>
      <w:r>
        <w:rPr>
          <w:rFonts w:hint="default" w:ascii="Times New Roman" w:hAnsi="Times New Roman" w:cs="Times New Roman"/>
          <w:bCs/>
          <w:color w:val="auto"/>
          <w:sz w:val="24"/>
          <w:lang w:bidi="ar"/>
        </w:rPr>
        <w:object>
          <v:shape id="_x0000_i1030" o:spt="75" type="#_x0000_t75" style="height:34pt;width:142pt;" o:ole="t" filled="f" o:preferrelative="t" stroked="f" coordsize="21600,21600">
            <v:path/>
            <v:fill on="f" focussize="0,0"/>
            <v:stroke on="f"/>
            <v:imagedata r:id="rId47" o:title=""/>
            <o:lock v:ext="edit" grouping="f" rotation="f" text="f" aspectratio="f"/>
            <w10:wrap type="none"/>
            <w10:anchorlock/>
          </v:shape>
          <o:OLEObject Type="Embed" ProgID="Equation.3" ShapeID="_x0000_i1030" DrawAspect="Content" ObjectID="_1468075730" r:id="rId46">
            <o:LockedField>false</o:LockedField>
          </o:OLEObject>
        </w:object>
      </w:r>
    </w:p>
    <w:p>
      <w:pPr>
        <w:spacing w:line="360" w:lineRule="auto"/>
        <w:ind w:firstLine="480" w:firstLineChars="200"/>
        <w:rPr>
          <w:rFonts w:hint="default" w:ascii="Times New Roman" w:hAnsi="Times New Roman" w:cs="Times New Roman"/>
          <w:bCs/>
          <w:color w:val="auto"/>
          <w:sz w:val="24"/>
          <w:lang w:bidi="ar"/>
        </w:rPr>
      </w:pPr>
      <w:r>
        <w:rPr>
          <w:rFonts w:hint="default" w:ascii="Times New Roman" w:hAnsi="Times New Roman" w:cs="Times New Roman"/>
          <w:bCs/>
          <w:color w:val="auto"/>
          <w:sz w:val="24"/>
          <w:lang w:bidi="ar"/>
        </w:rPr>
        <w:t>式中：pH——pH的标准指数，量纲为1；</w:t>
      </w:r>
    </w:p>
    <w:p>
      <w:pPr>
        <w:spacing w:line="360" w:lineRule="auto"/>
        <w:ind w:firstLine="480" w:firstLineChars="200"/>
        <w:rPr>
          <w:rFonts w:hint="default" w:ascii="Times New Roman" w:hAnsi="Times New Roman" w:cs="Times New Roman"/>
          <w:bCs/>
          <w:color w:val="auto"/>
          <w:sz w:val="24"/>
          <w:lang w:bidi="ar"/>
        </w:rPr>
      </w:pPr>
      <w:r>
        <w:rPr>
          <w:rFonts w:hint="default" w:ascii="Times New Roman" w:hAnsi="Times New Roman" w:cs="Times New Roman"/>
          <w:bCs/>
          <w:color w:val="auto"/>
          <w:sz w:val="24"/>
          <w:lang w:bidi="ar"/>
        </w:rPr>
        <w:t>pH——pH监测值；</w:t>
      </w:r>
    </w:p>
    <w:p>
      <w:pPr>
        <w:spacing w:line="360" w:lineRule="auto"/>
        <w:ind w:firstLine="480" w:firstLineChars="200"/>
        <w:rPr>
          <w:rFonts w:hint="default" w:ascii="Times New Roman" w:hAnsi="Times New Roman" w:cs="Times New Roman"/>
          <w:bCs/>
          <w:color w:val="auto"/>
          <w:sz w:val="24"/>
          <w:lang w:bidi="ar"/>
        </w:rPr>
      </w:pPr>
      <w:r>
        <w:rPr>
          <w:rFonts w:hint="default" w:ascii="Times New Roman" w:hAnsi="Times New Roman" w:cs="Times New Roman"/>
          <w:bCs/>
          <w:color w:val="auto"/>
          <w:sz w:val="24"/>
          <w:lang w:bidi="ar"/>
        </w:rPr>
        <w:t>pH</w:t>
      </w:r>
      <w:r>
        <w:rPr>
          <w:rFonts w:hint="default" w:ascii="Times New Roman" w:hAnsi="Times New Roman" w:cs="Times New Roman"/>
          <w:bCs/>
          <w:color w:val="auto"/>
          <w:sz w:val="24"/>
          <w:vertAlign w:val="subscript"/>
          <w:lang w:bidi="ar"/>
        </w:rPr>
        <w:t>sd</w:t>
      </w:r>
      <w:r>
        <w:rPr>
          <w:rFonts w:hint="default" w:ascii="Times New Roman" w:hAnsi="Times New Roman" w:cs="Times New Roman"/>
          <w:bCs/>
          <w:color w:val="auto"/>
          <w:sz w:val="24"/>
          <w:lang w:bidi="ar"/>
        </w:rPr>
        <w:t>——地下水质标准中规定的pH值下限；</w:t>
      </w:r>
    </w:p>
    <w:p>
      <w:pPr>
        <w:spacing w:line="360" w:lineRule="auto"/>
        <w:ind w:firstLine="480" w:firstLineChars="200"/>
        <w:rPr>
          <w:rFonts w:hint="default" w:ascii="Times New Roman" w:hAnsi="Times New Roman" w:cs="Times New Roman"/>
          <w:bCs/>
          <w:color w:val="auto"/>
          <w:sz w:val="24"/>
          <w:lang w:bidi="ar"/>
        </w:rPr>
      </w:pPr>
      <w:r>
        <w:rPr>
          <w:rFonts w:hint="default" w:ascii="Times New Roman" w:hAnsi="Times New Roman" w:cs="Times New Roman"/>
          <w:bCs/>
          <w:color w:val="auto"/>
          <w:sz w:val="24"/>
          <w:lang w:bidi="ar"/>
        </w:rPr>
        <w:t>pH</w:t>
      </w:r>
      <w:r>
        <w:rPr>
          <w:rFonts w:hint="default" w:ascii="Times New Roman" w:hAnsi="Times New Roman" w:cs="Times New Roman"/>
          <w:bCs/>
          <w:color w:val="auto"/>
          <w:sz w:val="24"/>
          <w:vertAlign w:val="subscript"/>
          <w:lang w:bidi="ar"/>
        </w:rPr>
        <w:t>su</w:t>
      </w:r>
      <w:r>
        <w:rPr>
          <w:rFonts w:hint="default" w:ascii="Times New Roman" w:hAnsi="Times New Roman" w:cs="Times New Roman"/>
          <w:bCs/>
          <w:color w:val="auto"/>
          <w:sz w:val="24"/>
          <w:lang w:bidi="ar"/>
        </w:rPr>
        <w:t>——地下水质标准中规定的pH值上限。</w:t>
      </w:r>
    </w:p>
    <w:p>
      <w:pPr>
        <w:spacing w:line="360" w:lineRule="auto"/>
        <w:ind w:firstLine="480" w:firstLineChars="200"/>
        <w:rPr>
          <w:rFonts w:hint="default" w:ascii="Times New Roman" w:hAnsi="Times New Roman" w:cs="Times New Roman"/>
          <w:bCs/>
          <w:color w:val="auto"/>
          <w:sz w:val="24"/>
          <w:lang w:bidi="ar"/>
        </w:rPr>
      </w:pPr>
      <w:r>
        <w:rPr>
          <w:rFonts w:hint="default" w:ascii="Times New Roman" w:hAnsi="Times New Roman" w:cs="Times New Roman"/>
          <w:bCs/>
          <w:color w:val="auto"/>
          <w:sz w:val="24"/>
          <w:lang w:bidi="ar"/>
        </w:rPr>
        <w:t>（4）水质监测结果及评价结果</w:t>
      </w:r>
    </w:p>
    <w:p>
      <w:pPr>
        <w:spacing w:line="360" w:lineRule="auto"/>
        <w:ind w:firstLine="480" w:firstLineChars="200"/>
        <w:rPr>
          <w:rFonts w:hint="default" w:ascii="Times New Roman" w:hAnsi="Times New Roman" w:cs="Times New Roman"/>
          <w:bCs/>
          <w:color w:val="auto"/>
          <w:sz w:val="24"/>
          <w:lang w:bidi="ar"/>
        </w:rPr>
      </w:pPr>
      <w:r>
        <w:rPr>
          <w:rFonts w:hint="default" w:ascii="Times New Roman" w:hAnsi="Times New Roman" w:cs="Times New Roman"/>
          <w:bCs/>
          <w:color w:val="auto"/>
          <w:sz w:val="24"/>
          <w:lang w:bidi="ar"/>
        </w:rPr>
        <w:t>①水质监测结果</w:t>
      </w:r>
    </w:p>
    <w:p>
      <w:pPr>
        <w:spacing w:line="360" w:lineRule="auto"/>
        <w:ind w:firstLine="480" w:firstLineChars="200"/>
        <w:rPr>
          <w:rFonts w:hint="default" w:ascii="Times New Roman" w:hAnsi="Times New Roman" w:cs="Times New Roman"/>
          <w:bCs/>
          <w:color w:val="auto"/>
          <w:sz w:val="24"/>
          <w:lang w:bidi="ar"/>
        </w:rPr>
      </w:pPr>
      <w:r>
        <w:rPr>
          <w:rFonts w:hint="default" w:ascii="Times New Roman" w:hAnsi="Times New Roman" w:cs="Times New Roman"/>
          <w:bCs/>
          <w:color w:val="auto"/>
          <w:sz w:val="24"/>
          <w:lang w:bidi="ar"/>
        </w:rPr>
        <w:t>评价水域Ⅰ、Ⅱ水质3天监测结果见表4.3-</w:t>
      </w:r>
      <w:r>
        <w:rPr>
          <w:rFonts w:hint="eastAsia" w:ascii="Times New Roman" w:hAnsi="Times New Roman" w:cs="Times New Roman"/>
          <w:bCs/>
          <w:color w:val="auto"/>
          <w:sz w:val="24"/>
          <w:lang w:val="en-US" w:eastAsia="zh-CN" w:bidi="ar"/>
        </w:rPr>
        <w:t>7</w:t>
      </w:r>
      <w:r>
        <w:rPr>
          <w:rFonts w:hint="default" w:ascii="Times New Roman" w:hAnsi="Times New Roman" w:cs="Times New Roman"/>
          <w:bCs/>
          <w:color w:val="auto"/>
          <w:sz w:val="24"/>
          <w:lang w:bidi="ar"/>
        </w:rPr>
        <w:t>。</w:t>
      </w:r>
    </w:p>
    <w:p>
      <w:pPr>
        <w:spacing w:line="360" w:lineRule="auto"/>
        <w:ind w:firstLine="413" w:firstLineChars="196"/>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表4</w:t>
      </w:r>
      <w:r>
        <w:rPr>
          <w:rFonts w:hint="default" w:ascii="Times New Roman" w:hAnsi="Times New Roman" w:eastAsia="宋体" w:cs="Times New Roman"/>
          <w:b/>
          <w:color w:val="auto"/>
          <w:sz w:val="21"/>
          <w:szCs w:val="21"/>
          <w:highlight w:val="none"/>
          <w:lang w:eastAsia="zh-CN"/>
        </w:rPr>
        <w:t>.3-</w:t>
      </w:r>
      <w:r>
        <w:rPr>
          <w:rFonts w:hint="eastAsia" w:ascii="Times New Roman" w:hAnsi="Times New Roman" w:eastAsia="宋体" w:cs="Times New Roman"/>
          <w:b/>
          <w:color w:val="auto"/>
          <w:sz w:val="21"/>
          <w:szCs w:val="21"/>
          <w:highlight w:val="none"/>
          <w:lang w:val="en-US" w:eastAsia="zh-CN"/>
        </w:rPr>
        <w:t>7</w:t>
      </w:r>
      <w:r>
        <w:rPr>
          <w:rFonts w:hint="default" w:ascii="Times New Roman" w:hAnsi="Times New Roman" w:eastAsia="宋体" w:cs="Times New Roman"/>
          <w:b/>
          <w:color w:val="auto"/>
          <w:sz w:val="21"/>
          <w:szCs w:val="21"/>
          <w:highlight w:val="none"/>
          <w:lang w:eastAsia="zh-CN"/>
        </w:rPr>
        <w:t xml:space="preserve">   </w:t>
      </w:r>
      <w:r>
        <w:rPr>
          <w:rFonts w:hint="default" w:ascii="Times New Roman" w:hAnsi="Times New Roman" w:eastAsia="宋体" w:cs="Times New Roman"/>
          <w:b/>
          <w:color w:val="auto"/>
          <w:sz w:val="21"/>
          <w:szCs w:val="21"/>
          <w:highlight w:val="none"/>
        </w:rPr>
        <w:t>地表水现状监测结果</w:t>
      </w:r>
      <w:r>
        <w:rPr>
          <w:rFonts w:hint="default" w:ascii="Times New Roman" w:hAnsi="Times New Roman" w:eastAsia="宋体" w:cs="Times New Roman"/>
          <w:b/>
          <w:color w:val="auto"/>
          <w:sz w:val="21"/>
          <w:szCs w:val="21"/>
          <w:highlight w:val="none"/>
          <w:lang w:eastAsia="zh-CN"/>
        </w:rPr>
        <w:t xml:space="preserve">    单位：mg/L（pH无量纲）</w:t>
      </w:r>
    </w:p>
    <w:tbl>
      <w:tblPr>
        <w:tblStyle w:val="34"/>
        <w:tblW w:w="4997"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871"/>
        <w:gridCol w:w="962"/>
        <w:gridCol w:w="904"/>
        <w:gridCol w:w="869"/>
        <w:gridCol w:w="979"/>
        <w:gridCol w:w="889"/>
        <w:gridCol w:w="992"/>
        <w:gridCol w:w="747"/>
        <w:gridCol w:w="747"/>
        <w:gridCol w:w="1254"/>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blHeader/>
          <w:jc w:val="center"/>
        </w:trPr>
        <w:tc>
          <w:tcPr>
            <w:tcW w:w="995" w:type="pct"/>
            <w:gridSpan w:val="2"/>
            <w:noWrap w:val="0"/>
            <w:vAlign w:val="center"/>
          </w:tcPr>
          <w:p>
            <w:pPr>
              <w:adjustRightInd w:val="0"/>
              <w:snapToGrid w:val="0"/>
              <w:spacing w:line="360" w:lineRule="exact"/>
              <w:jc w:val="right"/>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mc:AlternateContent>
                <mc:Choice Requires="wps">
                  <w:drawing>
                    <wp:anchor distT="0" distB="0" distL="114300" distR="114300" simplePos="0" relativeHeight="251668480" behindDoc="0" locked="0" layoutInCell="1" allowOverlap="1">
                      <wp:simplePos x="0" y="0"/>
                      <wp:positionH relativeFrom="column">
                        <wp:posOffset>-64770</wp:posOffset>
                      </wp:positionH>
                      <wp:positionV relativeFrom="paragraph">
                        <wp:posOffset>1270</wp:posOffset>
                      </wp:positionV>
                      <wp:extent cx="1166495" cy="689610"/>
                      <wp:effectExtent l="2540" t="3810" r="12065" b="11430"/>
                      <wp:wrapNone/>
                      <wp:docPr id="38" name="直接连接符 38"/>
                      <wp:cNvGraphicFramePr/>
                      <a:graphic xmlns:a="http://schemas.openxmlformats.org/drawingml/2006/main">
                        <a:graphicData uri="http://schemas.microsoft.com/office/word/2010/wordprocessingShape">
                          <wps:wsp>
                            <wps:cNvCnPr/>
                            <wps:spPr>
                              <a:xfrm>
                                <a:off x="0" y="0"/>
                                <a:ext cx="1166495" cy="68961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5.1pt;margin-top:0.1pt;height:54.3pt;width:91.85pt;z-index:251668480;mso-width-relative:page;mso-height-relative:page;" filled="f" stroked="t" coordsize="21600,21600" o:gfxdata="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VJ5F7tcAAAAIAQAADwAAAAAAAAABACAAAAAiAAAAZHJzL2Rvd25yZXYu&#10;eG1sUEsBAhQAFAAAAAgAh07iQESVRV38AQAA6wMAAA4AAAAAAAAAAQAgAAAAJgEAAGRycy9lMm9E&#10;b2MueG1sUEsFBgAAAAAGAAYAWQEAAJQFAAAAAA==&#10;">
                      <v:fill on="f" focussize="0,0"/>
                      <v:stroke color="#000000" joinstyle="round"/>
                      <v:imagedata o:title=""/>
                      <o:lock v:ext="edit" aspectratio="f"/>
                    </v:line>
                  </w:pict>
                </mc:Fallback>
              </mc:AlternateContent>
            </w:r>
            <w:r>
              <w:rPr>
                <w:rFonts w:hint="default" w:ascii="Times New Roman" w:hAnsi="Times New Roman" w:eastAsia="宋体" w:cs="Times New Roman"/>
                <w:b/>
                <w:color w:val="auto"/>
                <w:sz w:val="21"/>
                <w:szCs w:val="21"/>
                <w:highlight w:val="none"/>
              </w:rPr>
              <w:t>监测项目</w:t>
            </w:r>
          </w:p>
          <w:p>
            <w:pPr>
              <w:adjustRightInd w:val="0"/>
              <w:snapToGrid w:val="0"/>
              <w:spacing w:line="360" w:lineRule="exact"/>
              <w:rPr>
                <w:rFonts w:hint="default" w:ascii="Times New Roman" w:hAnsi="Times New Roman" w:eastAsia="宋体" w:cs="Times New Roman"/>
                <w:b/>
                <w:color w:val="auto"/>
                <w:sz w:val="21"/>
                <w:szCs w:val="21"/>
                <w:highlight w:val="none"/>
                <w:lang w:eastAsia="zh-CN"/>
              </w:rPr>
            </w:pPr>
          </w:p>
          <w:p>
            <w:pPr>
              <w:adjustRightInd w:val="0"/>
              <w:snapToGrid w:val="0"/>
              <w:spacing w:line="360" w:lineRule="exact"/>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监测结果</w:t>
            </w:r>
          </w:p>
        </w:tc>
        <w:tc>
          <w:tcPr>
            <w:tcW w:w="490" w:type="pct"/>
            <w:noWrap w:val="0"/>
            <w:vAlign w:val="center"/>
          </w:tcPr>
          <w:p>
            <w:pPr>
              <w:adjustRightInd w:val="0"/>
              <w:snapToGrid w:val="0"/>
              <w:spacing w:line="360" w:lineRule="exact"/>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pH</w:t>
            </w:r>
          </w:p>
        </w:tc>
        <w:tc>
          <w:tcPr>
            <w:tcW w:w="471" w:type="pct"/>
            <w:noWrap w:val="0"/>
            <w:vAlign w:val="center"/>
          </w:tcPr>
          <w:p>
            <w:pPr>
              <w:adjustRightInd w:val="0"/>
              <w:snapToGrid w:val="0"/>
              <w:spacing w:line="360" w:lineRule="exact"/>
              <w:jc w:val="center"/>
              <w:rPr>
                <w:rFonts w:hint="default" w:ascii="Times New Roman" w:hAnsi="Times New Roman" w:eastAsia="宋体" w:cs="Times New Roman"/>
                <w:b/>
                <w:color w:val="auto"/>
                <w:sz w:val="21"/>
                <w:szCs w:val="21"/>
                <w:highlight w:val="none"/>
                <w:lang w:val="en-US"/>
              </w:rPr>
            </w:pPr>
            <w:r>
              <w:rPr>
                <w:rFonts w:hint="eastAsia" w:ascii="Times New Roman" w:hAnsi="Times New Roman" w:eastAsia="宋体" w:cs="Times New Roman"/>
                <w:b/>
                <w:color w:val="auto"/>
                <w:sz w:val="21"/>
                <w:szCs w:val="21"/>
                <w:highlight w:val="none"/>
                <w:lang w:val="en-US" w:eastAsia="zh-CN"/>
              </w:rPr>
              <w:t>SS</w:t>
            </w:r>
          </w:p>
        </w:tc>
        <w:tc>
          <w:tcPr>
            <w:tcW w:w="531" w:type="pct"/>
            <w:noWrap w:val="0"/>
            <w:vAlign w:val="center"/>
          </w:tcPr>
          <w:p>
            <w:pPr>
              <w:adjustRightInd w:val="0"/>
              <w:snapToGrid w:val="0"/>
              <w:spacing w:line="360" w:lineRule="exact"/>
              <w:jc w:val="center"/>
              <w:rPr>
                <w:rFonts w:hint="default" w:ascii="Times New Roman" w:hAnsi="Times New Roman" w:eastAsia="宋体" w:cs="Times New Roman"/>
                <w:b/>
                <w:color w:val="auto"/>
                <w:sz w:val="21"/>
                <w:szCs w:val="21"/>
                <w:highlight w:val="none"/>
                <w:lang w:eastAsia="zh-CN"/>
              </w:rPr>
            </w:pPr>
            <w:r>
              <w:rPr>
                <w:rFonts w:hint="default" w:ascii="Times New Roman" w:hAnsi="Times New Roman" w:eastAsia="宋体" w:cs="Times New Roman"/>
                <w:b/>
                <w:color w:val="auto"/>
                <w:sz w:val="21"/>
                <w:szCs w:val="21"/>
                <w:highlight w:val="none"/>
                <w:lang w:eastAsia="zh-CN"/>
              </w:rPr>
              <w:t>BOD</w:t>
            </w:r>
            <w:r>
              <w:rPr>
                <w:rFonts w:hint="default" w:ascii="Times New Roman" w:hAnsi="Times New Roman" w:eastAsia="宋体" w:cs="Times New Roman"/>
                <w:b/>
                <w:color w:val="auto"/>
                <w:sz w:val="21"/>
                <w:szCs w:val="21"/>
                <w:highlight w:val="none"/>
                <w:vertAlign w:val="subscript"/>
                <w:lang w:eastAsia="zh-CN"/>
              </w:rPr>
              <w:t>5</w:t>
            </w:r>
          </w:p>
        </w:tc>
        <w:tc>
          <w:tcPr>
            <w:tcW w:w="482" w:type="pct"/>
            <w:noWrap w:val="0"/>
            <w:vAlign w:val="center"/>
          </w:tcPr>
          <w:p>
            <w:pPr>
              <w:adjustRightInd w:val="0"/>
              <w:snapToGrid w:val="0"/>
              <w:spacing w:line="360" w:lineRule="exact"/>
              <w:jc w:val="center"/>
              <w:rPr>
                <w:rFonts w:hint="default" w:ascii="Times New Roman" w:hAnsi="Times New Roman" w:eastAsia="宋体" w:cs="Times New Roman"/>
                <w:color w:val="auto"/>
                <w:highlight w:val="none"/>
              </w:rPr>
            </w:pPr>
            <w:r>
              <w:rPr>
                <w:rFonts w:hint="default" w:ascii="Times New Roman" w:hAnsi="Times New Roman" w:eastAsia="宋体" w:cs="Times New Roman"/>
                <w:b/>
                <w:color w:val="auto"/>
                <w:sz w:val="21"/>
                <w:szCs w:val="21"/>
                <w:highlight w:val="none"/>
              </w:rPr>
              <w:t>COD</w:t>
            </w:r>
          </w:p>
        </w:tc>
        <w:tc>
          <w:tcPr>
            <w:tcW w:w="538" w:type="pct"/>
            <w:noWrap w:val="0"/>
            <w:vAlign w:val="center"/>
          </w:tcPr>
          <w:p>
            <w:pPr>
              <w:adjustRightInd w:val="0"/>
              <w:snapToGrid w:val="0"/>
              <w:spacing w:line="360" w:lineRule="exact"/>
              <w:jc w:val="center"/>
              <w:rPr>
                <w:rFonts w:hint="default" w:ascii="Times New Roman" w:hAnsi="Times New Roman" w:eastAsia="宋体" w:cs="Times New Roman"/>
                <w:b/>
                <w:color w:val="auto"/>
                <w:sz w:val="21"/>
                <w:szCs w:val="21"/>
                <w:highlight w:val="none"/>
                <w:lang w:eastAsia="zh-CN"/>
              </w:rPr>
            </w:pPr>
            <w:r>
              <w:rPr>
                <w:rFonts w:hint="default" w:ascii="Times New Roman" w:hAnsi="Times New Roman" w:eastAsia="宋体" w:cs="Times New Roman"/>
                <w:b/>
                <w:color w:val="auto"/>
                <w:sz w:val="21"/>
                <w:szCs w:val="21"/>
                <w:highlight w:val="none"/>
              </w:rPr>
              <w:t>NH</w:t>
            </w:r>
            <w:r>
              <w:rPr>
                <w:rFonts w:hint="default" w:ascii="Times New Roman" w:hAnsi="Times New Roman" w:eastAsia="宋体" w:cs="Times New Roman"/>
                <w:b/>
                <w:color w:val="auto"/>
                <w:sz w:val="21"/>
                <w:szCs w:val="21"/>
                <w:highlight w:val="none"/>
                <w:vertAlign w:val="subscript"/>
              </w:rPr>
              <w:t>3</w:t>
            </w:r>
            <w:r>
              <w:rPr>
                <w:rFonts w:hint="default" w:ascii="Times New Roman" w:hAnsi="Times New Roman" w:eastAsia="宋体" w:cs="Times New Roman"/>
                <w:b/>
                <w:color w:val="auto"/>
                <w:sz w:val="21"/>
                <w:szCs w:val="21"/>
                <w:highlight w:val="none"/>
              </w:rPr>
              <w:t>-N</w:t>
            </w:r>
          </w:p>
        </w:tc>
        <w:tc>
          <w:tcPr>
            <w:tcW w:w="405" w:type="pct"/>
            <w:noWrap w:val="0"/>
            <w:vAlign w:val="center"/>
          </w:tcPr>
          <w:p>
            <w:pPr>
              <w:adjustRightInd w:val="0"/>
              <w:snapToGrid w:val="0"/>
              <w:spacing w:line="360" w:lineRule="exact"/>
              <w:jc w:val="center"/>
              <w:rPr>
                <w:rFonts w:hint="default" w:ascii="Times New Roman" w:hAnsi="Times New Roman" w:eastAsia="宋体" w:cs="Times New Roman"/>
                <w:b/>
                <w:color w:val="auto"/>
                <w:sz w:val="21"/>
                <w:szCs w:val="21"/>
                <w:highlight w:val="none"/>
                <w:lang w:val="en-US" w:eastAsia="zh-CN"/>
              </w:rPr>
            </w:pPr>
            <w:r>
              <w:rPr>
                <w:rFonts w:hint="eastAsia" w:ascii="Times New Roman" w:hAnsi="Times New Roman" w:eastAsia="宋体" w:cs="Times New Roman"/>
                <w:b/>
                <w:color w:val="auto"/>
                <w:sz w:val="21"/>
                <w:szCs w:val="21"/>
                <w:highlight w:val="none"/>
                <w:lang w:val="en-US" w:eastAsia="zh-CN"/>
              </w:rPr>
              <w:t>TN</w:t>
            </w:r>
          </w:p>
        </w:tc>
        <w:tc>
          <w:tcPr>
            <w:tcW w:w="405" w:type="pct"/>
            <w:noWrap w:val="0"/>
            <w:vAlign w:val="center"/>
          </w:tcPr>
          <w:p>
            <w:pPr>
              <w:adjustRightInd w:val="0"/>
              <w:snapToGrid w:val="0"/>
              <w:spacing w:line="360" w:lineRule="exact"/>
              <w:jc w:val="center"/>
              <w:rPr>
                <w:rFonts w:hint="default" w:ascii="Times New Roman" w:hAnsi="Times New Roman" w:eastAsia="宋体" w:cs="Times New Roman"/>
                <w:b/>
                <w:color w:val="auto"/>
                <w:sz w:val="21"/>
                <w:szCs w:val="21"/>
                <w:highlight w:val="none"/>
                <w:lang w:eastAsia="zh-CN"/>
              </w:rPr>
            </w:pPr>
            <w:r>
              <w:rPr>
                <w:rFonts w:hint="default" w:ascii="Times New Roman" w:hAnsi="Times New Roman" w:eastAsia="宋体" w:cs="Times New Roman"/>
                <w:b/>
                <w:color w:val="auto"/>
                <w:sz w:val="21"/>
                <w:szCs w:val="21"/>
                <w:highlight w:val="none"/>
                <w:lang w:eastAsia="zh-CN"/>
              </w:rPr>
              <w:t>TP</w:t>
            </w:r>
          </w:p>
        </w:tc>
        <w:tc>
          <w:tcPr>
            <w:tcW w:w="680" w:type="pct"/>
            <w:noWrap w:val="0"/>
            <w:vAlign w:val="center"/>
          </w:tcPr>
          <w:p>
            <w:pPr>
              <w:adjustRightInd w:val="0"/>
              <w:snapToGrid w:val="0"/>
              <w:spacing w:line="360" w:lineRule="exact"/>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粪大肠</w:t>
            </w:r>
          </w:p>
          <w:p>
            <w:pPr>
              <w:adjustRightInd w:val="0"/>
              <w:snapToGrid w:val="0"/>
              <w:spacing w:line="360" w:lineRule="exact"/>
              <w:jc w:val="center"/>
              <w:rPr>
                <w:rFonts w:hint="default" w:ascii="Times New Roman" w:hAnsi="Times New Roman" w:eastAsia="宋体" w:cs="Times New Roman"/>
                <w:b/>
                <w:color w:val="auto"/>
                <w:sz w:val="21"/>
                <w:szCs w:val="21"/>
                <w:highlight w:val="none"/>
                <w:lang w:eastAsia="zh-CN"/>
              </w:rPr>
            </w:pPr>
            <w:r>
              <w:rPr>
                <w:rFonts w:hint="default" w:ascii="Times New Roman" w:hAnsi="Times New Roman" w:eastAsia="宋体" w:cs="Times New Roman"/>
                <w:b/>
                <w:color w:val="auto"/>
                <w:sz w:val="21"/>
                <w:szCs w:val="21"/>
                <w:highlight w:val="none"/>
              </w:rPr>
              <w:t>菌群</w:t>
            </w:r>
            <w:r>
              <w:rPr>
                <w:rFonts w:hint="default" w:ascii="Times New Roman" w:hAnsi="Times New Roman" w:eastAsia="宋体" w:cs="Times New Roman"/>
                <w:b/>
                <w:color w:val="auto"/>
                <w:sz w:val="21"/>
                <w:szCs w:val="21"/>
                <w:highlight w:val="none"/>
                <w:lang w:eastAsia="zh-CN"/>
              </w:rPr>
              <w:t>(MPN/L)</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73" w:type="pct"/>
            <w:vMerge w:val="restart"/>
            <w:noWrap w:val="0"/>
            <w:vAlign w:val="center"/>
          </w:tcPr>
          <w:p>
            <w:pPr>
              <w:adjustRightInd w:val="0"/>
              <w:snapToGrid w:val="0"/>
              <w:spacing w:line="360" w:lineRule="exact"/>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Ⅰ</w:t>
            </w:r>
          </w:p>
        </w:tc>
        <w:tc>
          <w:tcPr>
            <w:tcW w:w="521" w:type="pct"/>
            <w:noWrap w:val="0"/>
            <w:vAlign w:val="center"/>
          </w:tcPr>
          <w:p>
            <w:pPr>
              <w:adjustRightInd w:val="0"/>
              <w:snapToGrid w:val="0"/>
              <w:spacing w:line="360" w:lineRule="exact"/>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eastAsia="zh-CN"/>
              </w:rPr>
              <w:t>1</w:t>
            </w:r>
            <w:r>
              <w:rPr>
                <w:rFonts w:hint="eastAsia" w:ascii="Times New Roman" w:hAnsi="Times New Roman" w:eastAsia="宋体" w:cs="Times New Roman"/>
                <w:bCs/>
                <w:color w:val="auto"/>
                <w:sz w:val="21"/>
                <w:szCs w:val="21"/>
                <w:highlight w:val="none"/>
                <w:lang w:val="en-US" w:eastAsia="zh-CN"/>
              </w:rPr>
              <w:t>0.12</w:t>
            </w:r>
          </w:p>
        </w:tc>
        <w:tc>
          <w:tcPr>
            <w:tcW w:w="490" w:type="pct"/>
            <w:noWrap w:val="0"/>
            <w:vAlign w:val="center"/>
          </w:tcPr>
          <w:p>
            <w:pPr>
              <w:spacing w:line="240" w:lineRule="exact"/>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7.54</w:t>
            </w:r>
          </w:p>
        </w:tc>
        <w:tc>
          <w:tcPr>
            <w:tcW w:w="471" w:type="pct"/>
            <w:noWrap w:val="0"/>
            <w:vAlign w:val="center"/>
          </w:tcPr>
          <w:p>
            <w:pPr>
              <w:spacing w:line="240" w:lineRule="exact"/>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6</w:t>
            </w:r>
          </w:p>
        </w:tc>
        <w:tc>
          <w:tcPr>
            <w:tcW w:w="531" w:type="pct"/>
            <w:noWrap w:val="0"/>
            <w:vAlign w:val="center"/>
          </w:tcPr>
          <w:p>
            <w:pPr>
              <w:spacing w:line="240" w:lineRule="exact"/>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3.2</w:t>
            </w:r>
          </w:p>
        </w:tc>
        <w:tc>
          <w:tcPr>
            <w:tcW w:w="482" w:type="pct"/>
            <w:noWrap w:val="0"/>
            <w:vAlign w:val="center"/>
          </w:tcPr>
          <w:p>
            <w:pPr>
              <w:spacing w:line="240" w:lineRule="exact"/>
              <w:jc w:val="center"/>
              <w:rPr>
                <w:rFonts w:hint="default" w:ascii="Times New Roman" w:hAnsi="Times New Roman" w:eastAsia="宋体" w:cs="Times New Roman"/>
                <w:color w:val="auto"/>
                <w:sz w:val="21"/>
                <w:szCs w:val="16"/>
                <w:highlight w:val="none"/>
                <w:lang w:val="en-US" w:eastAsia="zh-CN"/>
              </w:rPr>
            </w:pPr>
            <w:r>
              <w:rPr>
                <w:rFonts w:hint="eastAsia" w:ascii="Times New Roman" w:hAnsi="Times New Roman" w:eastAsia="宋体" w:cs="Times New Roman"/>
                <w:color w:val="auto"/>
                <w:sz w:val="21"/>
                <w:szCs w:val="16"/>
                <w:highlight w:val="none"/>
                <w:lang w:val="en-US" w:eastAsia="zh-CN"/>
              </w:rPr>
              <w:t>13</w:t>
            </w:r>
          </w:p>
        </w:tc>
        <w:tc>
          <w:tcPr>
            <w:tcW w:w="538" w:type="pct"/>
            <w:noWrap w:val="0"/>
            <w:vAlign w:val="center"/>
          </w:tcPr>
          <w:p>
            <w:pPr>
              <w:spacing w:line="240" w:lineRule="exact"/>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0.030</w:t>
            </w:r>
          </w:p>
        </w:tc>
        <w:tc>
          <w:tcPr>
            <w:tcW w:w="405" w:type="pct"/>
            <w:noWrap w:val="0"/>
            <w:vAlign w:val="center"/>
          </w:tcPr>
          <w:p>
            <w:pPr>
              <w:spacing w:line="240" w:lineRule="exact"/>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4.38</w:t>
            </w:r>
          </w:p>
        </w:tc>
        <w:tc>
          <w:tcPr>
            <w:tcW w:w="405" w:type="pct"/>
            <w:noWrap w:val="0"/>
            <w:vAlign w:val="center"/>
          </w:tcPr>
          <w:p>
            <w:pPr>
              <w:spacing w:line="240" w:lineRule="exact"/>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0.11</w:t>
            </w:r>
          </w:p>
        </w:tc>
        <w:tc>
          <w:tcPr>
            <w:tcW w:w="680" w:type="pct"/>
            <w:noWrap w:val="0"/>
            <w:vAlign w:val="center"/>
          </w:tcPr>
          <w:p>
            <w:pPr>
              <w:spacing w:line="240" w:lineRule="exact"/>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490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73" w:type="pct"/>
            <w:vMerge w:val="continue"/>
            <w:noWrap w:val="0"/>
            <w:vAlign w:val="center"/>
          </w:tcPr>
          <w:p>
            <w:pPr>
              <w:adjustRightInd w:val="0"/>
              <w:snapToGrid w:val="0"/>
              <w:spacing w:line="360" w:lineRule="exact"/>
              <w:jc w:val="center"/>
              <w:rPr>
                <w:rFonts w:hint="default" w:ascii="Times New Roman" w:hAnsi="Times New Roman" w:eastAsia="宋体" w:cs="Times New Roman"/>
                <w:bCs/>
                <w:color w:val="auto"/>
                <w:sz w:val="21"/>
                <w:szCs w:val="21"/>
                <w:highlight w:val="none"/>
              </w:rPr>
            </w:pPr>
          </w:p>
        </w:tc>
        <w:tc>
          <w:tcPr>
            <w:tcW w:w="521" w:type="pct"/>
            <w:noWrap w:val="0"/>
            <w:vAlign w:val="center"/>
          </w:tcPr>
          <w:p>
            <w:pPr>
              <w:adjustRightInd w:val="0"/>
              <w:snapToGrid w:val="0"/>
              <w:spacing w:line="360" w:lineRule="exact"/>
              <w:jc w:val="center"/>
              <w:rPr>
                <w:rFonts w:hint="default" w:ascii="Times New Roman" w:hAnsi="Times New Roman" w:eastAsia="宋体" w:cs="Times New Roman"/>
                <w:bCs/>
                <w:color w:val="auto"/>
                <w:sz w:val="21"/>
                <w:szCs w:val="21"/>
                <w:highlight w:val="none"/>
                <w:lang w:eastAsia="zh-CN"/>
              </w:rPr>
            </w:pPr>
            <w:r>
              <w:rPr>
                <w:rFonts w:hint="default" w:ascii="Times New Roman" w:hAnsi="Times New Roman" w:eastAsia="宋体" w:cs="Times New Roman"/>
                <w:bCs/>
                <w:color w:val="auto"/>
                <w:sz w:val="21"/>
                <w:szCs w:val="21"/>
                <w:highlight w:val="none"/>
                <w:lang w:eastAsia="zh-CN"/>
              </w:rPr>
              <w:t>1</w:t>
            </w:r>
            <w:r>
              <w:rPr>
                <w:rFonts w:hint="eastAsia" w:ascii="Times New Roman" w:hAnsi="Times New Roman" w:eastAsia="宋体" w:cs="Times New Roman"/>
                <w:bCs/>
                <w:color w:val="auto"/>
                <w:sz w:val="21"/>
                <w:szCs w:val="21"/>
                <w:highlight w:val="none"/>
                <w:lang w:val="en-US" w:eastAsia="zh-CN"/>
              </w:rPr>
              <w:t>0.13</w:t>
            </w:r>
          </w:p>
        </w:tc>
        <w:tc>
          <w:tcPr>
            <w:tcW w:w="490" w:type="pct"/>
            <w:noWrap w:val="0"/>
            <w:vAlign w:val="center"/>
          </w:tcPr>
          <w:p>
            <w:pPr>
              <w:spacing w:line="240" w:lineRule="exact"/>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7.55</w:t>
            </w:r>
          </w:p>
        </w:tc>
        <w:tc>
          <w:tcPr>
            <w:tcW w:w="471" w:type="pct"/>
            <w:noWrap w:val="0"/>
            <w:vAlign w:val="center"/>
          </w:tcPr>
          <w:p>
            <w:pPr>
              <w:spacing w:line="240" w:lineRule="exact"/>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w:t>
            </w:r>
          </w:p>
        </w:tc>
        <w:tc>
          <w:tcPr>
            <w:tcW w:w="531" w:type="pct"/>
            <w:noWrap w:val="0"/>
            <w:vAlign w:val="center"/>
          </w:tcPr>
          <w:p>
            <w:pPr>
              <w:spacing w:line="240" w:lineRule="exact"/>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2.9</w:t>
            </w:r>
          </w:p>
        </w:tc>
        <w:tc>
          <w:tcPr>
            <w:tcW w:w="482" w:type="pct"/>
            <w:noWrap w:val="0"/>
            <w:vAlign w:val="center"/>
          </w:tcPr>
          <w:p>
            <w:pPr>
              <w:spacing w:line="240" w:lineRule="exact"/>
              <w:jc w:val="center"/>
              <w:rPr>
                <w:rFonts w:hint="default" w:ascii="Times New Roman" w:hAnsi="Times New Roman" w:eastAsia="宋体" w:cs="Times New Roman"/>
                <w:color w:val="auto"/>
                <w:sz w:val="21"/>
                <w:szCs w:val="16"/>
                <w:highlight w:val="none"/>
                <w:lang w:val="en-US" w:eastAsia="zh-CN"/>
              </w:rPr>
            </w:pPr>
            <w:r>
              <w:rPr>
                <w:rFonts w:hint="eastAsia" w:ascii="Times New Roman" w:hAnsi="Times New Roman" w:eastAsia="宋体" w:cs="Times New Roman"/>
                <w:color w:val="auto"/>
                <w:sz w:val="21"/>
                <w:szCs w:val="16"/>
                <w:highlight w:val="none"/>
                <w:lang w:val="en-US" w:eastAsia="zh-CN"/>
              </w:rPr>
              <w:t>12</w:t>
            </w:r>
          </w:p>
        </w:tc>
        <w:tc>
          <w:tcPr>
            <w:tcW w:w="538" w:type="pct"/>
            <w:noWrap w:val="0"/>
            <w:vAlign w:val="center"/>
          </w:tcPr>
          <w:p>
            <w:pPr>
              <w:spacing w:line="240" w:lineRule="exact"/>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0.039</w:t>
            </w:r>
          </w:p>
        </w:tc>
        <w:tc>
          <w:tcPr>
            <w:tcW w:w="405" w:type="pct"/>
            <w:noWrap w:val="0"/>
            <w:vAlign w:val="center"/>
          </w:tcPr>
          <w:p>
            <w:pPr>
              <w:spacing w:line="240" w:lineRule="exact"/>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4.90</w:t>
            </w:r>
          </w:p>
        </w:tc>
        <w:tc>
          <w:tcPr>
            <w:tcW w:w="405" w:type="pct"/>
            <w:noWrap w:val="0"/>
            <w:vAlign w:val="center"/>
          </w:tcPr>
          <w:p>
            <w:pPr>
              <w:spacing w:line="240" w:lineRule="exact"/>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0.12</w:t>
            </w:r>
          </w:p>
        </w:tc>
        <w:tc>
          <w:tcPr>
            <w:tcW w:w="680" w:type="pct"/>
            <w:noWrap w:val="0"/>
            <w:vAlign w:val="center"/>
          </w:tcPr>
          <w:p>
            <w:pPr>
              <w:spacing w:line="240" w:lineRule="exact"/>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470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73" w:type="pct"/>
            <w:vMerge w:val="continue"/>
            <w:noWrap w:val="0"/>
            <w:vAlign w:val="center"/>
          </w:tcPr>
          <w:p>
            <w:pPr>
              <w:adjustRightInd w:val="0"/>
              <w:snapToGrid w:val="0"/>
              <w:spacing w:line="360" w:lineRule="exact"/>
              <w:jc w:val="center"/>
              <w:rPr>
                <w:rFonts w:hint="default" w:ascii="Times New Roman" w:hAnsi="Times New Roman" w:eastAsia="宋体" w:cs="Times New Roman"/>
                <w:bCs/>
                <w:color w:val="auto"/>
                <w:sz w:val="21"/>
                <w:szCs w:val="21"/>
                <w:highlight w:val="none"/>
              </w:rPr>
            </w:pPr>
          </w:p>
        </w:tc>
        <w:tc>
          <w:tcPr>
            <w:tcW w:w="521" w:type="pct"/>
            <w:noWrap w:val="0"/>
            <w:vAlign w:val="center"/>
          </w:tcPr>
          <w:p>
            <w:pPr>
              <w:adjustRightInd w:val="0"/>
              <w:snapToGrid w:val="0"/>
              <w:spacing w:line="360" w:lineRule="exact"/>
              <w:jc w:val="center"/>
              <w:rPr>
                <w:rFonts w:hint="default" w:ascii="Times New Roman" w:hAnsi="Times New Roman" w:eastAsia="宋体" w:cs="Times New Roman"/>
                <w:bCs/>
                <w:color w:val="auto"/>
                <w:sz w:val="21"/>
                <w:szCs w:val="21"/>
                <w:highlight w:val="none"/>
                <w:lang w:eastAsia="zh-CN"/>
              </w:rPr>
            </w:pPr>
            <w:r>
              <w:rPr>
                <w:rFonts w:hint="default" w:ascii="Times New Roman" w:hAnsi="Times New Roman" w:eastAsia="宋体" w:cs="Times New Roman"/>
                <w:bCs/>
                <w:color w:val="auto"/>
                <w:sz w:val="21"/>
                <w:szCs w:val="21"/>
                <w:highlight w:val="none"/>
                <w:lang w:eastAsia="zh-CN"/>
              </w:rPr>
              <w:t>1</w:t>
            </w:r>
            <w:r>
              <w:rPr>
                <w:rFonts w:hint="eastAsia" w:ascii="Times New Roman" w:hAnsi="Times New Roman" w:eastAsia="宋体" w:cs="Times New Roman"/>
                <w:bCs/>
                <w:color w:val="auto"/>
                <w:sz w:val="21"/>
                <w:szCs w:val="21"/>
                <w:highlight w:val="none"/>
                <w:lang w:val="en-US" w:eastAsia="zh-CN"/>
              </w:rPr>
              <w:t>0.14</w:t>
            </w:r>
          </w:p>
        </w:tc>
        <w:tc>
          <w:tcPr>
            <w:tcW w:w="490" w:type="pct"/>
            <w:noWrap w:val="0"/>
            <w:vAlign w:val="center"/>
          </w:tcPr>
          <w:p>
            <w:pPr>
              <w:spacing w:line="240" w:lineRule="exact"/>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7.55</w:t>
            </w:r>
          </w:p>
        </w:tc>
        <w:tc>
          <w:tcPr>
            <w:tcW w:w="471" w:type="pct"/>
            <w:noWrap w:val="0"/>
            <w:vAlign w:val="center"/>
          </w:tcPr>
          <w:p>
            <w:pPr>
              <w:spacing w:line="240" w:lineRule="exact"/>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4</w:t>
            </w:r>
          </w:p>
        </w:tc>
        <w:tc>
          <w:tcPr>
            <w:tcW w:w="531" w:type="pct"/>
            <w:noWrap w:val="0"/>
            <w:vAlign w:val="center"/>
          </w:tcPr>
          <w:p>
            <w:pPr>
              <w:spacing w:line="240" w:lineRule="exact"/>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3.1</w:t>
            </w:r>
          </w:p>
        </w:tc>
        <w:tc>
          <w:tcPr>
            <w:tcW w:w="482" w:type="pct"/>
            <w:noWrap w:val="0"/>
            <w:vAlign w:val="center"/>
          </w:tcPr>
          <w:p>
            <w:pPr>
              <w:spacing w:line="240" w:lineRule="exact"/>
              <w:jc w:val="center"/>
              <w:rPr>
                <w:rFonts w:hint="default" w:ascii="Times New Roman" w:hAnsi="Times New Roman" w:eastAsia="宋体" w:cs="Times New Roman"/>
                <w:color w:val="auto"/>
                <w:sz w:val="21"/>
                <w:szCs w:val="16"/>
                <w:highlight w:val="none"/>
                <w:lang w:val="en-US" w:eastAsia="zh-CN"/>
              </w:rPr>
            </w:pPr>
            <w:r>
              <w:rPr>
                <w:rFonts w:hint="eastAsia" w:ascii="Times New Roman" w:hAnsi="Times New Roman" w:eastAsia="宋体" w:cs="Times New Roman"/>
                <w:color w:val="auto"/>
                <w:sz w:val="21"/>
                <w:szCs w:val="16"/>
                <w:highlight w:val="none"/>
                <w:lang w:val="en-US" w:eastAsia="zh-CN"/>
              </w:rPr>
              <w:t>11</w:t>
            </w:r>
          </w:p>
        </w:tc>
        <w:tc>
          <w:tcPr>
            <w:tcW w:w="538" w:type="pct"/>
            <w:noWrap w:val="0"/>
            <w:vAlign w:val="center"/>
          </w:tcPr>
          <w:p>
            <w:pPr>
              <w:spacing w:line="240" w:lineRule="exact"/>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0.033</w:t>
            </w:r>
          </w:p>
        </w:tc>
        <w:tc>
          <w:tcPr>
            <w:tcW w:w="405" w:type="pct"/>
            <w:noWrap w:val="0"/>
            <w:vAlign w:val="center"/>
          </w:tcPr>
          <w:p>
            <w:pPr>
              <w:spacing w:line="240" w:lineRule="exact"/>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4.48</w:t>
            </w:r>
          </w:p>
        </w:tc>
        <w:tc>
          <w:tcPr>
            <w:tcW w:w="405" w:type="pct"/>
            <w:noWrap w:val="0"/>
            <w:vAlign w:val="center"/>
          </w:tcPr>
          <w:p>
            <w:pPr>
              <w:spacing w:line="240" w:lineRule="exact"/>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0.11</w:t>
            </w:r>
          </w:p>
        </w:tc>
        <w:tc>
          <w:tcPr>
            <w:tcW w:w="680" w:type="pct"/>
            <w:noWrap w:val="0"/>
            <w:vAlign w:val="center"/>
          </w:tcPr>
          <w:p>
            <w:pPr>
              <w:spacing w:line="240" w:lineRule="exact"/>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630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73" w:type="pct"/>
            <w:vMerge w:val="restart"/>
            <w:noWrap w:val="0"/>
            <w:vAlign w:val="center"/>
          </w:tcPr>
          <w:p>
            <w:pPr>
              <w:adjustRightInd w:val="0"/>
              <w:snapToGrid w:val="0"/>
              <w:spacing w:line="360" w:lineRule="exact"/>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Ⅱ</w:t>
            </w:r>
          </w:p>
        </w:tc>
        <w:tc>
          <w:tcPr>
            <w:tcW w:w="521" w:type="pct"/>
            <w:noWrap w:val="0"/>
            <w:vAlign w:val="center"/>
          </w:tcPr>
          <w:p>
            <w:pPr>
              <w:adjustRightInd w:val="0"/>
              <w:snapToGrid w:val="0"/>
              <w:spacing w:line="360" w:lineRule="exact"/>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lang w:eastAsia="zh-CN"/>
              </w:rPr>
              <w:t>1</w:t>
            </w:r>
            <w:r>
              <w:rPr>
                <w:rFonts w:hint="eastAsia" w:ascii="Times New Roman" w:hAnsi="Times New Roman" w:eastAsia="宋体" w:cs="Times New Roman"/>
                <w:bCs/>
                <w:color w:val="auto"/>
                <w:sz w:val="21"/>
                <w:szCs w:val="21"/>
                <w:highlight w:val="none"/>
                <w:lang w:val="en-US" w:eastAsia="zh-CN"/>
              </w:rPr>
              <w:t>0.12</w:t>
            </w:r>
          </w:p>
        </w:tc>
        <w:tc>
          <w:tcPr>
            <w:tcW w:w="490" w:type="pct"/>
            <w:noWrap w:val="0"/>
            <w:vAlign w:val="center"/>
          </w:tcPr>
          <w:p>
            <w:pPr>
              <w:spacing w:line="240" w:lineRule="exact"/>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7.36</w:t>
            </w:r>
          </w:p>
        </w:tc>
        <w:tc>
          <w:tcPr>
            <w:tcW w:w="471" w:type="pct"/>
            <w:noWrap w:val="0"/>
            <w:vAlign w:val="center"/>
          </w:tcPr>
          <w:p>
            <w:pPr>
              <w:spacing w:line="240" w:lineRule="exact"/>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7</w:t>
            </w:r>
          </w:p>
        </w:tc>
        <w:tc>
          <w:tcPr>
            <w:tcW w:w="531" w:type="pct"/>
            <w:noWrap w:val="0"/>
            <w:vAlign w:val="center"/>
          </w:tcPr>
          <w:p>
            <w:pPr>
              <w:spacing w:line="240" w:lineRule="exact"/>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3.8</w:t>
            </w:r>
          </w:p>
        </w:tc>
        <w:tc>
          <w:tcPr>
            <w:tcW w:w="482" w:type="pct"/>
            <w:noWrap w:val="0"/>
            <w:vAlign w:val="center"/>
          </w:tcPr>
          <w:p>
            <w:pPr>
              <w:spacing w:line="240" w:lineRule="exact"/>
              <w:jc w:val="center"/>
              <w:rPr>
                <w:rFonts w:hint="default" w:ascii="Times New Roman" w:hAnsi="Times New Roman" w:eastAsia="宋体" w:cs="Times New Roman"/>
                <w:color w:val="auto"/>
                <w:sz w:val="21"/>
                <w:szCs w:val="16"/>
                <w:highlight w:val="none"/>
                <w:lang w:val="en-US" w:eastAsia="zh-CN"/>
              </w:rPr>
            </w:pPr>
            <w:r>
              <w:rPr>
                <w:rFonts w:hint="eastAsia" w:ascii="Times New Roman" w:hAnsi="Times New Roman" w:eastAsia="宋体" w:cs="Times New Roman"/>
                <w:color w:val="auto"/>
                <w:sz w:val="21"/>
                <w:szCs w:val="16"/>
                <w:highlight w:val="none"/>
                <w:lang w:val="en-US" w:eastAsia="zh-CN"/>
              </w:rPr>
              <w:t>14</w:t>
            </w:r>
          </w:p>
        </w:tc>
        <w:tc>
          <w:tcPr>
            <w:tcW w:w="538" w:type="pct"/>
            <w:noWrap w:val="0"/>
            <w:vAlign w:val="center"/>
          </w:tcPr>
          <w:p>
            <w:pPr>
              <w:spacing w:line="240" w:lineRule="exact"/>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＜0.025</w:t>
            </w:r>
          </w:p>
        </w:tc>
        <w:tc>
          <w:tcPr>
            <w:tcW w:w="405" w:type="pct"/>
            <w:noWrap w:val="0"/>
            <w:vAlign w:val="center"/>
          </w:tcPr>
          <w:p>
            <w:pPr>
              <w:spacing w:line="240" w:lineRule="exact"/>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4.25</w:t>
            </w:r>
          </w:p>
        </w:tc>
        <w:tc>
          <w:tcPr>
            <w:tcW w:w="405" w:type="pct"/>
            <w:noWrap w:val="0"/>
            <w:vAlign w:val="center"/>
          </w:tcPr>
          <w:p>
            <w:pPr>
              <w:spacing w:line="240" w:lineRule="exact"/>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0.12</w:t>
            </w:r>
          </w:p>
        </w:tc>
        <w:tc>
          <w:tcPr>
            <w:tcW w:w="680" w:type="pct"/>
            <w:noWrap w:val="0"/>
            <w:vAlign w:val="center"/>
          </w:tcPr>
          <w:p>
            <w:pPr>
              <w:spacing w:line="240" w:lineRule="exact"/>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390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73" w:type="pct"/>
            <w:vMerge w:val="continue"/>
            <w:noWrap w:val="0"/>
            <w:vAlign w:val="center"/>
          </w:tcPr>
          <w:p>
            <w:pPr>
              <w:adjustRightInd w:val="0"/>
              <w:snapToGrid w:val="0"/>
              <w:spacing w:line="360" w:lineRule="exact"/>
              <w:jc w:val="center"/>
              <w:rPr>
                <w:rFonts w:hint="default" w:ascii="Times New Roman" w:hAnsi="Times New Roman" w:eastAsia="宋体" w:cs="Times New Roman"/>
                <w:bCs/>
                <w:color w:val="auto"/>
                <w:sz w:val="21"/>
                <w:szCs w:val="21"/>
                <w:highlight w:val="none"/>
              </w:rPr>
            </w:pPr>
          </w:p>
        </w:tc>
        <w:tc>
          <w:tcPr>
            <w:tcW w:w="521" w:type="pct"/>
            <w:noWrap w:val="0"/>
            <w:vAlign w:val="center"/>
          </w:tcPr>
          <w:p>
            <w:pPr>
              <w:adjustRightInd w:val="0"/>
              <w:snapToGrid w:val="0"/>
              <w:spacing w:line="360" w:lineRule="exact"/>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lang w:eastAsia="zh-CN"/>
              </w:rPr>
              <w:t>1</w:t>
            </w:r>
            <w:r>
              <w:rPr>
                <w:rFonts w:hint="eastAsia" w:ascii="Times New Roman" w:hAnsi="Times New Roman" w:eastAsia="宋体" w:cs="Times New Roman"/>
                <w:bCs/>
                <w:color w:val="auto"/>
                <w:sz w:val="21"/>
                <w:szCs w:val="21"/>
                <w:highlight w:val="none"/>
                <w:lang w:val="en-US" w:eastAsia="zh-CN"/>
              </w:rPr>
              <w:t>0.13</w:t>
            </w:r>
          </w:p>
        </w:tc>
        <w:tc>
          <w:tcPr>
            <w:tcW w:w="490" w:type="pct"/>
            <w:noWrap w:val="0"/>
            <w:vAlign w:val="center"/>
          </w:tcPr>
          <w:p>
            <w:pPr>
              <w:spacing w:line="240" w:lineRule="exact"/>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7.33</w:t>
            </w:r>
          </w:p>
        </w:tc>
        <w:tc>
          <w:tcPr>
            <w:tcW w:w="471" w:type="pct"/>
            <w:noWrap w:val="0"/>
            <w:vAlign w:val="center"/>
          </w:tcPr>
          <w:p>
            <w:pPr>
              <w:spacing w:line="240" w:lineRule="exact"/>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w:t>
            </w:r>
          </w:p>
        </w:tc>
        <w:tc>
          <w:tcPr>
            <w:tcW w:w="531" w:type="pct"/>
            <w:noWrap w:val="0"/>
            <w:vAlign w:val="center"/>
          </w:tcPr>
          <w:p>
            <w:pPr>
              <w:spacing w:line="240" w:lineRule="exact"/>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3.5</w:t>
            </w:r>
          </w:p>
        </w:tc>
        <w:tc>
          <w:tcPr>
            <w:tcW w:w="482" w:type="pct"/>
            <w:noWrap w:val="0"/>
            <w:vAlign w:val="center"/>
          </w:tcPr>
          <w:p>
            <w:pPr>
              <w:spacing w:line="240" w:lineRule="exact"/>
              <w:jc w:val="center"/>
              <w:rPr>
                <w:rFonts w:hint="default" w:ascii="Times New Roman" w:hAnsi="Times New Roman" w:eastAsia="宋体" w:cs="Times New Roman"/>
                <w:color w:val="auto"/>
                <w:sz w:val="21"/>
                <w:szCs w:val="16"/>
                <w:highlight w:val="none"/>
                <w:lang w:val="en-US" w:eastAsia="zh-CN"/>
              </w:rPr>
            </w:pPr>
            <w:r>
              <w:rPr>
                <w:rFonts w:hint="eastAsia" w:ascii="Times New Roman" w:hAnsi="Times New Roman" w:eastAsia="宋体" w:cs="Times New Roman"/>
                <w:color w:val="auto"/>
                <w:sz w:val="21"/>
                <w:szCs w:val="16"/>
                <w:highlight w:val="none"/>
                <w:lang w:val="en-US" w:eastAsia="zh-CN"/>
              </w:rPr>
              <w:t>14</w:t>
            </w:r>
          </w:p>
        </w:tc>
        <w:tc>
          <w:tcPr>
            <w:tcW w:w="538" w:type="pct"/>
            <w:noWrap w:val="0"/>
            <w:vAlign w:val="center"/>
          </w:tcPr>
          <w:p>
            <w:pPr>
              <w:spacing w:line="240" w:lineRule="exact"/>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0.027</w:t>
            </w:r>
          </w:p>
        </w:tc>
        <w:tc>
          <w:tcPr>
            <w:tcW w:w="405" w:type="pct"/>
            <w:noWrap w:val="0"/>
            <w:vAlign w:val="center"/>
          </w:tcPr>
          <w:p>
            <w:pPr>
              <w:spacing w:line="240" w:lineRule="exact"/>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5.08</w:t>
            </w:r>
          </w:p>
        </w:tc>
        <w:tc>
          <w:tcPr>
            <w:tcW w:w="405" w:type="pct"/>
            <w:noWrap w:val="0"/>
            <w:vAlign w:val="center"/>
          </w:tcPr>
          <w:p>
            <w:pPr>
              <w:spacing w:line="240" w:lineRule="exact"/>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0.11</w:t>
            </w:r>
          </w:p>
        </w:tc>
        <w:tc>
          <w:tcPr>
            <w:tcW w:w="680" w:type="pct"/>
            <w:noWrap w:val="0"/>
            <w:vAlign w:val="center"/>
          </w:tcPr>
          <w:p>
            <w:pPr>
              <w:spacing w:line="240" w:lineRule="exact"/>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700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73" w:type="pct"/>
            <w:vMerge w:val="continue"/>
            <w:noWrap w:val="0"/>
            <w:vAlign w:val="center"/>
          </w:tcPr>
          <w:p>
            <w:pPr>
              <w:adjustRightInd w:val="0"/>
              <w:snapToGrid w:val="0"/>
              <w:spacing w:line="360" w:lineRule="exact"/>
              <w:jc w:val="center"/>
              <w:rPr>
                <w:rFonts w:hint="default" w:ascii="Times New Roman" w:hAnsi="Times New Roman" w:eastAsia="宋体" w:cs="Times New Roman"/>
                <w:bCs/>
                <w:color w:val="auto"/>
                <w:sz w:val="21"/>
                <w:szCs w:val="21"/>
                <w:highlight w:val="none"/>
              </w:rPr>
            </w:pPr>
          </w:p>
        </w:tc>
        <w:tc>
          <w:tcPr>
            <w:tcW w:w="521" w:type="pct"/>
            <w:noWrap w:val="0"/>
            <w:vAlign w:val="center"/>
          </w:tcPr>
          <w:p>
            <w:pPr>
              <w:adjustRightInd w:val="0"/>
              <w:snapToGrid w:val="0"/>
              <w:spacing w:line="360" w:lineRule="exact"/>
              <w:jc w:val="center"/>
              <w:rPr>
                <w:rFonts w:hint="default" w:ascii="Times New Roman" w:hAnsi="Times New Roman" w:eastAsia="宋体" w:cs="Times New Roman"/>
                <w:bCs/>
                <w:color w:val="auto"/>
                <w:sz w:val="21"/>
                <w:szCs w:val="21"/>
                <w:highlight w:val="none"/>
                <w:lang w:eastAsia="zh-CN"/>
              </w:rPr>
            </w:pPr>
            <w:r>
              <w:rPr>
                <w:rFonts w:hint="default" w:ascii="Times New Roman" w:hAnsi="Times New Roman" w:eastAsia="宋体" w:cs="Times New Roman"/>
                <w:bCs/>
                <w:color w:val="auto"/>
                <w:sz w:val="21"/>
                <w:szCs w:val="21"/>
                <w:highlight w:val="none"/>
                <w:lang w:eastAsia="zh-CN"/>
              </w:rPr>
              <w:t>1</w:t>
            </w:r>
            <w:r>
              <w:rPr>
                <w:rFonts w:hint="eastAsia" w:ascii="Times New Roman" w:hAnsi="Times New Roman" w:eastAsia="宋体" w:cs="Times New Roman"/>
                <w:bCs/>
                <w:color w:val="auto"/>
                <w:sz w:val="21"/>
                <w:szCs w:val="21"/>
                <w:highlight w:val="none"/>
                <w:lang w:val="en-US" w:eastAsia="zh-CN"/>
              </w:rPr>
              <w:t>0.14</w:t>
            </w:r>
          </w:p>
        </w:tc>
        <w:tc>
          <w:tcPr>
            <w:tcW w:w="490" w:type="pct"/>
            <w:noWrap w:val="0"/>
            <w:vAlign w:val="center"/>
          </w:tcPr>
          <w:p>
            <w:pPr>
              <w:spacing w:line="240" w:lineRule="exact"/>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7.53</w:t>
            </w:r>
          </w:p>
        </w:tc>
        <w:tc>
          <w:tcPr>
            <w:tcW w:w="471" w:type="pct"/>
            <w:noWrap w:val="0"/>
            <w:vAlign w:val="center"/>
          </w:tcPr>
          <w:p>
            <w:pPr>
              <w:spacing w:line="240" w:lineRule="exact"/>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4</w:t>
            </w:r>
          </w:p>
        </w:tc>
        <w:tc>
          <w:tcPr>
            <w:tcW w:w="531" w:type="pct"/>
            <w:noWrap w:val="0"/>
            <w:vAlign w:val="center"/>
          </w:tcPr>
          <w:p>
            <w:pPr>
              <w:spacing w:line="240" w:lineRule="exact"/>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3.7</w:t>
            </w:r>
          </w:p>
        </w:tc>
        <w:tc>
          <w:tcPr>
            <w:tcW w:w="482" w:type="pct"/>
            <w:noWrap w:val="0"/>
            <w:vAlign w:val="center"/>
          </w:tcPr>
          <w:p>
            <w:pPr>
              <w:spacing w:line="240" w:lineRule="exact"/>
              <w:jc w:val="center"/>
              <w:rPr>
                <w:rFonts w:hint="default" w:ascii="Times New Roman" w:hAnsi="Times New Roman" w:eastAsia="宋体" w:cs="Times New Roman"/>
                <w:color w:val="auto"/>
                <w:sz w:val="21"/>
                <w:szCs w:val="16"/>
                <w:highlight w:val="none"/>
                <w:lang w:val="en-US" w:eastAsia="zh-CN"/>
              </w:rPr>
            </w:pPr>
            <w:r>
              <w:rPr>
                <w:rFonts w:hint="eastAsia" w:ascii="Times New Roman" w:hAnsi="Times New Roman" w:eastAsia="宋体" w:cs="Times New Roman"/>
                <w:color w:val="auto"/>
                <w:sz w:val="21"/>
                <w:szCs w:val="16"/>
                <w:highlight w:val="none"/>
                <w:lang w:val="en-US" w:eastAsia="zh-CN"/>
              </w:rPr>
              <w:t>14</w:t>
            </w:r>
          </w:p>
        </w:tc>
        <w:tc>
          <w:tcPr>
            <w:tcW w:w="538" w:type="pct"/>
            <w:noWrap w:val="0"/>
            <w:vAlign w:val="center"/>
          </w:tcPr>
          <w:p>
            <w:pPr>
              <w:spacing w:line="240" w:lineRule="exact"/>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0.035</w:t>
            </w:r>
          </w:p>
        </w:tc>
        <w:tc>
          <w:tcPr>
            <w:tcW w:w="405" w:type="pct"/>
            <w:noWrap w:val="0"/>
            <w:vAlign w:val="center"/>
          </w:tcPr>
          <w:p>
            <w:pPr>
              <w:spacing w:line="240" w:lineRule="exact"/>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4.25</w:t>
            </w:r>
          </w:p>
        </w:tc>
        <w:tc>
          <w:tcPr>
            <w:tcW w:w="405" w:type="pct"/>
            <w:noWrap w:val="0"/>
            <w:vAlign w:val="center"/>
          </w:tcPr>
          <w:p>
            <w:pPr>
              <w:spacing w:line="240" w:lineRule="exact"/>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0.11</w:t>
            </w:r>
          </w:p>
        </w:tc>
        <w:tc>
          <w:tcPr>
            <w:tcW w:w="680" w:type="pct"/>
            <w:noWrap w:val="0"/>
            <w:vAlign w:val="center"/>
          </w:tcPr>
          <w:p>
            <w:pPr>
              <w:spacing w:line="240" w:lineRule="exact"/>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450</w:t>
            </w:r>
          </w:p>
        </w:tc>
      </w:tr>
    </w:tbl>
    <w:p>
      <w:pPr>
        <w:spacing w:line="360" w:lineRule="auto"/>
        <w:ind w:firstLine="480" w:firstLineChars="200"/>
        <w:rPr>
          <w:rFonts w:hint="default" w:ascii="Times New Roman" w:hAnsi="Times New Roman" w:cs="Times New Roman"/>
          <w:bCs/>
          <w:color w:val="auto"/>
          <w:sz w:val="24"/>
          <w:lang w:bidi="ar"/>
        </w:rPr>
      </w:pPr>
      <w:r>
        <w:rPr>
          <w:rFonts w:hint="default" w:ascii="Times New Roman" w:hAnsi="Times New Roman" w:cs="Times New Roman"/>
          <w:bCs/>
          <w:color w:val="auto"/>
          <w:sz w:val="24"/>
          <w:lang w:bidi="ar"/>
        </w:rPr>
        <w:t>②评价结果</w:t>
      </w:r>
    </w:p>
    <w:p>
      <w:pPr>
        <w:spacing w:line="360" w:lineRule="auto"/>
        <w:ind w:firstLine="480" w:firstLineChars="200"/>
        <w:rPr>
          <w:rFonts w:hint="default" w:ascii="Times New Roman" w:hAnsi="Times New Roman" w:cs="Times New Roman"/>
          <w:bCs/>
          <w:color w:val="auto"/>
          <w:sz w:val="24"/>
          <w:lang w:bidi="ar"/>
        </w:rPr>
      </w:pPr>
      <w:r>
        <w:rPr>
          <w:rFonts w:hint="default" w:ascii="Times New Roman" w:hAnsi="Times New Roman" w:cs="Times New Roman"/>
          <w:bCs/>
          <w:color w:val="auto"/>
          <w:sz w:val="24"/>
          <w:lang w:bidi="ar"/>
        </w:rPr>
        <w:t>评价水域Ⅰ、Ⅱ监测断面单项水质的评价结果列于表4</w:t>
      </w:r>
      <w:r>
        <w:rPr>
          <w:rFonts w:hint="default" w:ascii="Times New Roman" w:hAnsi="Times New Roman" w:cs="Times New Roman"/>
          <w:bCs/>
          <w:color w:val="auto"/>
          <w:sz w:val="24"/>
          <w:lang w:eastAsia="zh-CN" w:bidi="ar"/>
        </w:rPr>
        <w:t>.3-</w:t>
      </w:r>
      <w:r>
        <w:rPr>
          <w:rFonts w:hint="eastAsia" w:ascii="Times New Roman" w:hAnsi="Times New Roman" w:cs="Times New Roman"/>
          <w:bCs/>
          <w:color w:val="auto"/>
          <w:sz w:val="24"/>
          <w:lang w:val="en-US" w:eastAsia="zh-CN" w:bidi="ar"/>
        </w:rPr>
        <w:t>8</w:t>
      </w:r>
      <w:r>
        <w:rPr>
          <w:rFonts w:hint="default" w:ascii="Times New Roman" w:hAnsi="Times New Roman" w:cs="Times New Roman"/>
          <w:bCs/>
          <w:color w:val="auto"/>
          <w:sz w:val="24"/>
          <w:lang w:bidi="ar"/>
        </w:rPr>
        <w:t>。</w:t>
      </w:r>
    </w:p>
    <w:p>
      <w:pPr>
        <w:spacing w:line="360" w:lineRule="auto"/>
        <w:ind w:firstLine="413" w:firstLineChars="196"/>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表4</w:t>
      </w:r>
      <w:r>
        <w:rPr>
          <w:rFonts w:hint="default" w:ascii="Times New Roman" w:hAnsi="Times New Roman" w:eastAsia="宋体" w:cs="Times New Roman"/>
          <w:b/>
          <w:color w:val="auto"/>
          <w:sz w:val="21"/>
          <w:szCs w:val="21"/>
          <w:highlight w:val="none"/>
          <w:lang w:eastAsia="zh-CN"/>
        </w:rPr>
        <w:t>.3-</w:t>
      </w:r>
      <w:r>
        <w:rPr>
          <w:rFonts w:hint="eastAsia" w:ascii="Times New Roman" w:hAnsi="Times New Roman" w:eastAsia="宋体" w:cs="Times New Roman"/>
          <w:b/>
          <w:color w:val="auto"/>
          <w:sz w:val="21"/>
          <w:szCs w:val="21"/>
          <w:highlight w:val="none"/>
          <w:lang w:val="en-US" w:eastAsia="zh-CN"/>
        </w:rPr>
        <w:t>8</w:t>
      </w:r>
      <w:r>
        <w:rPr>
          <w:rFonts w:hint="default" w:ascii="Times New Roman" w:hAnsi="Times New Roman" w:eastAsia="宋体" w:cs="Times New Roman"/>
          <w:b/>
          <w:color w:val="auto"/>
          <w:sz w:val="21"/>
          <w:szCs w:val="21"/>
          <w:highlight w:val="none"/>
          <w:lang w:eastAsia="zh-CN"/>
        </w:rPr>
        <w:t xml:space="preserve">   </w:t>
      </w:r>
      <w:r>
        <w:rPr>
          <w:rFonts w:hint="default" w:ascii="Times New Roman" w:hAnsi="Times New Roman" w:eastAsia="宋体" w:cs="Times New Roman"/>
          <w:b/>
          <w:color w:val="auto"/>
          <w:sz w:val="21"/>
          <w:szCs w:val="21"/>
          <w:highlight w:val="none"/>
        </w:rPr>
        <w:t>水环境现状单因子指数评价表</w:t>
      </w:r>
      <w:r>
        <w:rPr>
          <w:rFonts w:hint="default" w:ascii="Times New Roman" w:hAnsi="Times New Roman" w:eastAsia="宋体" w:cs="Times New Roman"/>
          <w:b/>
          <w:color w:val="auto"/>
          <w:sz w:val="21"/>
          <w:szCs w:val="21"/>
          <w:highlight w:val="none"/>
          <w:lang w:eastAsia="zh-CN"/>
        </w:rPr>
        <w:t xml:space="preserve"> 单位：mg/L（水温℃，pH无量纲）</w:t>
      </w:r>
    </w:p>
    <w:tbl>
      <w:tblPr>
        <w:tblStyle w:val="34"/>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40"/>
        <w:gridCol w:w="1549"/>
        <w:gridCol w:w="773"/>
        <w:gridCol w:w="1009"/>
        <w:gridCol w:w="903"/>
        <w:gridCol w:w="1138"/>
        <w:gridCol w:w="848"/>
        <w:gridCol w:w="848"/>
        <w:gridCol w:w="140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2" w:type="pct"/>
            <w:gridSpan w:val="2"/>
            <w:noWrap w:val="0"/>
            <w:vAlign w:val="center"/>
          </w:tcPr>
          <w:p>
            <w:pPr>
              <w:ind w:left="632" w:hanging="632" w:hangingChars="30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bCs/>
                <w:color w:val="auto"/>
                <w:sz w:val="21"/>
                <w:szCs w:val="21"/>
                <w:highlight w:val="none"/>
              </w:rPr>
              <w:t>断面</w:t>
            </w:r>
          </w:p>
        </w:tc>
        <w:tc>
          <w:tcPr>
            <w:tcW w:w="419" w:type="pct"/>
            <w:noWrap w:val="0"/>
            <w:vAlign w:val="center"/>
          </w:tcPr>
          <w:p>
            <w:pPr>
              <w:adjustRightInd w:val="0"/>
              <w:snapToGrid w:val="0"/>
              <w:jc w:val="center"/>
              <w:rPr>
                <w:rFonts w:hint="default" w:ascii="Times New Roman" w:hAnsi="Times New Roman" w:eastAsia="宋体" w:cs="Times New Roman"/>
                <w:b/>
                <w:color w:val="auto"/>
                <w:sz w:val="21"/>
                <w:szCs w:val="21"/>
                <w:highlight w:val="none"/>
                <w:lang w:eastAsia="zh-CN"/>
              </w:rPr>
            </w:pPr>
            <w:r>
              <w:rPr>
                <w:rFonts w:hint="default" w:ascii="Times New Roman" w:hAnsi="Times New Roman" w:eastAsia="宋体" w:cs="Times New Roman"/>
                <w:b/>
                <w:color w:val="auto"/>
                <w:sz w:val="21"/>
                <w:szCs w:val="21"/>
                <w:highlight w:val="none"/>
              </w:rPr>
              <w:t>pH</w:t>
            </w:r>
          </w:p>
        </w:tc>
        <w:tc>
          <w:tcPr>
            <w:tcW w:w="547" w:type="pct"/>
            <w:noWrap w:val="0"/>
            <w:vAlign w:val="center"/>
          </w:tcPr>
          <w:p>
            <w:pPr>
              <w:adjustRightInd w:val="0"/>
              <w:snapToGrid w:val="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color w:val="auto"/>
                <w:sz w:val="21"/>
                <w:szCs w:val="21"/>
                <w:highlight w:val="none"/>
                <w:lang w:eastAsia="zh-CN"/>
              </w:rPr>
              <w:t>BOD</w:t>
            </w:r>
            <w:r>
              <w:rPr>
                <w:rFonts w:hint="default" w:ascii="Times New Roman" w:hAnsi="Times New Roman" w:eastAsia="宋体" w:cs="Times New Roman"/>
                <w:b/>
                <w:color w:val="auto"/>
                <w:sz w:val="21"/>
                <w:szCs w:val="21"/>
                <w:highlight w:val="none"/>
                <w:vertAlign w:val="subscript"/>
                <w:lang w:eastAsia="zh-CN"/>
              </w:rPr>
              <w:t>5</w:t>
            </w:r>
          </w:p>
        </w:tc>
        <w:tc>
          <w:tcPr>
            <w:tcW w:w="490" w:type="pct"/>
            <w:noWrap w:val="0"/>
            <w:vAlign w:val="center"/>
          </w:tcPr>
          <w:p>
            <w:pPr>
              <w:adjustRightInd w:val="0"/>
              <w:snapToGrid w:val="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color w:val="auto"/>
                <w:sz w:val="21"/>
                <w:szCs w:val="21"/>
                <w:highlight w:val="none"/>
              </w:rPr>
              <w:t>COD</w:t>
            </w:r>
          </w:p>
        </w:tc>
        <w:tc>
          <w:tcPr>
            <w:tcW w:w="617" w:type="pct"/>
            <w:noWrap w:val="0"/>
            <w:vAlign w:val="center"/>
          </w:tcPr>
          <w:p>
            <w:pPr>
              <w:adjustRightInd w:val="0"/>
              <w:snapToGrid w:val="0"/>
              <w:jc w:val="center"/>
              <w:rPr>
                <w:rFonts w:hint="default" w:ascii="Times New Roman" w:hAnsi="Times New Roman" w:eastAsia="宋体" w:cs="Times New Roman"/>
                <w:b/>
                <w:color w:val="auto"/>
                <w:sz w:val="21"/>
                <w:szCs w:val="21"/>
                <w:highlight w:val="none"/>
                <w:lang w:eastAsia="zh-CN"/>
              </w:rPr>
            </w:pPr>
            <w:r>
              <w:rPr>
                <w:rFonts w:hint="default" w:ascii="Times New Roman" w:hAnsi="Times New Roman" w:eastAsia="宋体" w:cs="Times New Roman"/>
                <w:b/>
                <w:color w:val="auto"/>
                <w:sz w:val="21"/>
                <w:szCs w:val="21"/>
                <w:highlight w:val="none"/>
              </w:rPr>
              <w:t>NH</w:t>
            </w:r>
            <w:r>
              <w:rPr>
                <w:rFonts w:hint="default" w:ascii="Times New Roman" w:hAnsi="Times New Roman" w:eastAsia="宋体" w:cs="Times New Roman"/>
                <w:b/>
                <w:color w:val="auto"/>
                <w:sz w:val="21"/>
                <w:szCs w:val="21"/>
                <w:highlight w:val="none"/>
                <w:vertAlign w:val="subscript"/>
              </w:rPr>
              <w:t>3</w:t>
            </w:r>
            <w:r>
              <w:rPr>
                <w:rFonts w:hint="default" w:ascii="Times New Roman" w:hAnsi="Times New Roman" w:eastAsia="宋体" w:cs="Times New Roman"/>
                <w:b/>
                <w:color w:val="auto"/>
                <w:sz w:val="21"/>
                <w:szCs w:val="21"/>
                <w:highlight w:val="none"/>
              </w:rPr>
              <w:t>-N</w:t>
            </w:r>
          </w:p>
        </w:tc>
        <w:tc>
          <w:tcPr>
            <w:tcW w:w="460" w:type="pct"/>
            <w:noWrap w:val="0"/>
            <w:vAlign w:val="center"/>
          </w:tcPr>
          <w:p>
            <w:pPr>
              <w:adjustRightInd w:val="0"/>
              <w:snapToGrid w:val="0"/>
              <w:jc w:val="center"/>
              <w:rPr>
                <w:rFonts w:hint="default" w:ascii="Times New Roman" w:hAnsi="Times New Roman" w:eastAsia="宋体" w:cs="Times New Roman"/>
                <w:b/>
                <w:color w:val="auto"/>
                <w:sz w:val="21"/>
                <w:szCs w:val="21"/>
                <w:highlight w:val="none"/>
                <w:lang w:val="en-US" w:eastAsia="zh-CN"/>
              </w:rPr>
            </w:pPr>
            <w:r>
              <w:rPr>
                <w:rFonts w:hint="eastAsia" w:ascii="Times New Roman" w:hAnsi="Times New Roman" w:eastAsia="宋体" w:cs="Times New Roman"/>
                <w:b/>
                <w:color w:val="auto"/>
                <w:sz w:val="21"/>
                <w:szCs w:val="21"/>
                <w:highlight w:val="none"/>
                <w:lang w:val="en-US" w:eastAsia="zh-CN"/>
              </w:rPr>
              <w:t>TN</w:t>
            </w:r>
          </w:p>
        </w:tc>
        <w:tc>
          <w:tcPr>
            <w:tcW w:w="460" w:type="pct"/>
            <w:noWrap w:val="0"/>
            <w:vAlign w:val="center"/>
          </w:tcPr>
          <w:p>
            <w:pPr>
              <w:adjustRightInd w:val="0"/>
              <w:snapToGrid w:val="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color w:val="auto"/>
                <w:sz w:val="21"/>
                <w:szCs w:val="21"/>
                <w:highlight w:val="none"/>
                <w:lang w:eastAsia="zh-CN"/>
              </w:rPr>
              <w:t>TP</w:t>
            </w:r>
          </w:p>
        </w:tc>
        <w:tc>
          <w:tcPr>
            <w:tcW w:w="762" w:type="pct"/>
            <w:noWrap w:val="0"/>
            <w:vAlign w:val="center"/>
          </w:tcPr>
          <w:p>
            <w:pPr>
              <w:adjustRightInd w:val="0"/>
              <w:snapToGrid w:val="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粪大肠</w:t>
            </w:r>
          </w:p>
          <w:p>
            <w:pPr>
              <w:adjustRightInd w:val="0"/>
              <w:snapToGrid w:val="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color w:val="auto"/>
                <w:sz w:val="21"/>
                <w:szCs w:val="21"/>
                <w:highlight w:val="none"/>
              </w:rPr>
              <w:t>菌群</w:t>
            </w:r>
            <w:r>
              <w:rPr>
                <w:rFonts w:hint="default" w:ascii="Times New Roman" w:hAnsi="Times New Roman" w:eastAsia="宋体" w:cs="Times New Roman"/>
                <w:b/>
                <w:color w:val="auto"/>
                <w:sz w:val="21"/>
                <w:szCs w:val="21"/>
                <w:highlight w:val="none"/>
                <w:lang w:eastAsia="zh-CN"/>
              </w:rPr>
              <w:t>(MPN/L)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2" w:type="pct"/>
            <w:vMerge w:val="restart"/>
            <w:noWrap w:val="0"/>
            <w:vAlign w:val="center"/>
          </w:tcPr>
          <w:p>
            <w:pPr>
              <w:ind w:left="630" w:hanging="630" w:hangingChars="30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Ⅰ</w:t>
            </w:r>
          </w:p>
        </w:tc>
        <w:tc>
          <w:tcPr>
            <w:tcW w:w="839" w:type="pct"/>
            <w:noWrap w:val="0"/>
            <w:vAlign w:val="center"/>
          </w:tcPr>
          <w:p>
            <w:pPr>
              <w:adjustRightInd w:val="0"/>
              <w:snapToGrid w:val="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最大浓度值（mg/L）</w:t>
            </w:r>
          </w:p>
        </w:tc>
        <w:tc>
          <w:tcPr>
            <w:tcW w:w="419"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7.55</w:t>
            </w:r>
          </w:p>
        </w:tc>
        <w:tc>
          <w:tcPr>
            <w:tcW w:w="547"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3.2</w:t>
            </w:r>
          </w:p>
        </w:tc>
        <w:tc>
          <w:tcPr>
            <w:tcW w:w="490"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13</w:t>
            </w:r>
          </w:p>
        </w:tc>
        <w:tc>
          <w:tcPr>
            <w:tcW w:w="617"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0.039</w:t>
            </w:r>
          </w:p>
        </w:tc>
        <w:tc>
          <w:tcPr>
            <w:tcW w:w="460"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4.90</w:t>
            </w:r>
          </w:p>
        </w:tc>
        <w:tc>
          <w:tcPr>
            <w:tcW w:w="460"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0.12</w:t>
            </w:r>
          </w:p>
        </w:tc>
        <w:tc>
          <w:tcPr>
            <w:tcW w:w="762"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2" w:type="pct"/>
            <w:vMerge w:val="continue"/>
            <w:noWrap w:val="0"/>
            <w:vAlign w:val="center"/>
          </w:tcPr>
          <w:p>
            <w:pPr>
              <w:ind w:left="630" w:hanging="630" w:hangingChars="300"/>
              <w:jc w:val="center"/>
              <w:rPr>
                <w:rFonts w:hint="default" w:ascii="Times New Roman" w:hAnsi="Times New Roman" w:eastAsia="宋体" w:cs="Times New Roman"/>
                <w:color w:val="auto"/>
                <w:sz w:val="21"/>
                <w:szCs w:val="21"/>
                <w:highlight w:val="none"/>
              </w:rPr>
            </w:pPr>
          </w:p>
        </w:tc>
        <w:tc>
          <w:tcPr>
            <w:tcW w:w="839" w:type="pct"/>
            <w:noWrap w:val="0"/>
            <w:vAlign w:val="center"/>
          </w:tcPr>
          <w:p>
            <w:pPr>
              <w:adjustRightInd w:val="0"/>
              <w:snapToGrid w:val="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标准值（mg/L）</w:t>
            </w:r>
          </w:p>
        </w:tc>
        <w:tc>
          <w:tcPr>
            <w:tcW w:w="419"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6～9</w:t>
            </w:r>
          </w:p>
        </w:tc>
        <w:tc>
          <w:tcPr>
            <w:tcW w:w="547"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4</w:t>
            </w:r>
          </w:p>
        </w:tc>
        <w:tc>
          <w:tcPr>
            <w:tcW w:w="490"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20</w:t>
            </w:r>
          </w:p>
        </w:tc>
        <w:tc>
          <w:tcPr>
            <w:tcW w:w="617"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1.0</w:t>
            </w:r>
          </w:p>
        </w:tc>
        <w:tc>
          <w:tcPr>
            <w:tcW w:w="460"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10</w:t>
            </w:r>
          </w:p>
        </w:tc>
        <w:tc>
          <w:tcPr>
            <w:tcW w:w="460"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0.2</w:t>
            </w:r>
          </w:p>
        </w:tc>
        <w:tc>
          <w:tcPr>
            <w:tcW w:w="762"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10000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2" w:type="pct"/>
            <w:vMerge w:val="continue"/>
            <w:noWrap w:val="0"/>
            <w:vAlign w:val="center"/>
          </w:tcPr>
          <w:p>
            <w:pPr>
              <w:ind w:left="630" w:hanging="630" w:hangingChars="300"/>
              <w:jc w:val="center"/>
              <w:rPr>
                <w:rFonts w:hint="default" w:ascii="Times New Roman" w:hAnsi="Times New Roman" w:eastAsia="宋体" w:cs="Times New Roman"/>
                <w:color w:val="auto"/>
                <w:sz w:val="21"/>
                <w:szCs w:val="21"/>
                <w:highlight w:val="none"/>
              </w:rPr>
            </w:pPr>
          </w:p>
        </w:tc>
        <w:tc>
          <w:tcPr>
            <w:tcW w:w="839" w:type="pct"/>
            <w:noWrap w:val="0"/>
            <w:vAlign w:val="center"/>
          </w:tcPr>
          <w:p>
            <w:pPr>
              <w:adjustRightInd w:val="0"/>
              <w:snapToGrid w:val="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最大标准指数</w:t>
            </w:r>
          </w:p>
        </w:tc>
        <w:tc>
          <w:tcPr>
            <w:tcW w:w="419"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547" w:type="pct"/>
            <w:noWrap w:val="0"/>
            <w:vAlign w:val="center"/>
          </w:tcPr>
          <w:p>
            <w:pPr>
              <w:widowControl/>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0.8</w:t>
            </w:r>
          </w:p>
        </w:tc>
        <w:tc>
          <w:tcPr>
            <w:tcW w:w="490" w:type="pct"/>
            <w:noWrap w:val="0"/>
            <w:vAlign w:val="center"/>
          </w:tcPr>
          <w:p>
            <w:pPr>
              <w:widowControl/>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0.65</w:t>
            </w:r>
          </w:p>
        </w:tc>
        <w:tc>
          <w:tcPr>
            <w:tcW w:w="617" w:type="pct"/>
            <w:noWrap w:val="0"/>
            <w:vAlign w:val="center"/>
          </w:tcPr>
          <w:p>
            <w:pPr>
              <w:widowControl/>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0.04</w:t>
            </w:r>
          </w:p>
        </w:tc>
        <w:tc>
          <w:tcPr>
            <w:tcW w:w="460" w:type="pct"/>
            <w:noWrap w:val="0"/>
            <w:vAlign w:val="center"/>
          </w:tcPr>
          <w:p>
            <w:pPr>
              <w:widowControl/>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0.49</w:t>
            </w:r>
          </w:p>
        </w:tc>
        <w:tc>
          <w:tcPr>
            <w:tcW w:w="460" w:type="pct"/>
            <w:noWrap w:val="0"/>
            <w:vAlign w:val="center"/>
          </w:tcPr>
          <w:p>
            <w:pPr>
              <w:widowControl/>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0.6</w:t>
            </w:r>
          </w:p>
        </w:tc>
        <w:tc>
          <w:tcPr>
            <w:tcW w:w="762" w:type="pct"/>
            <w:noWrap w:val="0"/>
            <w:vAlign w:val="center"/>
          </w:tcPr>
          <w:p>
            <w:pPr>
              <w:widowControl/>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2" w:type="pct"/>
            <w:vMerge w:val="continue"/>
            <w:noWrap w:val="0"/>
            <w:vAlign w:val="center"/>
          </w:tcPr>
          <w:p>
            <w:pPr>
              <w:ind w:left="630" w:hanging="630" w:hangingChars="300"/>
              <w:jc w:val="center"/>
              <w:rPr>
                <w:rFonts w:hint="default" w:ascii="Times New Roman" w:hAnsi="Times New Roman" w:eastAsia="宋体" w:cs="Times New Roman"/>
                <w:color w:val="auto"/>
                <w:sz w:val="21"/>
                <w:szCs w:val="21"/>
                <w:highlight w:val="none"/>
              </w:rPr>
            </w:pPr>
          </w:p>
        </w:tc>
        <w:tc>
          <w:tcPr>
            <w:tcW w:w="839" w:type="pct"/>
            <w:noWrap w:val="0"/>
            <w:vAlign w:val="center"/>
          </w:tcPr>
          <w:p>
            <w:pPr>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最大超标倍数</w:t>
            </w:r>
          </w:p>
        </w:tc>
        <w:tc>
          <w:tcPr>
            <w:tcW w:w="419"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0</w:t>
            </w:r>
          </w:p>
        </w:tc>
        <w:tc>
          <w:tcPr>
            <w:tcW w:w="547"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0</w:t>
            </w:r>
          </w:p>
        </w:tc>
        <w:tc>
          <w:tcPr>
            <w:tcW w:w="490"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0</w:t>
            </w:r>
          </w:p>
        </w:tc>
        <w:tc>
          <w:tcPr>
            <w:tcW w:w="617"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0</w:t>
            </w:r>
          </w:p>
        </w:tc>
        <w:tc>
          <w:tcPr>
            <w:tcW w:w="460"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w:t>
            </w:r>
          </w:p>
        </w:tc>
        <w:tc>
          <w:tcPr>
            <w:tcW w:w="460"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0</w:t>
            </w:r>
          </w:p>
        </w:tc>
        <w:tc>
          <w:tcPr>
            <w:tcW w:w="762"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2" w:type="pct"/>
            <w:vMerge w:val="continue"/>
            <w:noWrap w:val="0"/>
            <w:vAlign w:val="center"/>
          </w:tcPr>
          <w:p>
            <w:pPr>
              <w:ind w:left="630" w:hanging="630" w:hangingChars="300"/>
              <w:jc w:val="center"/>
              <w:rPr>
                <w:rFonts w:hint="default" w:ascii="Times New Roman" w:hAnsi="Times New Roman" w:eastAsia="宋体" w:cs="Times New Roman"/>
                <w:color w:val="auto"/>
                <w:sz w:val="21"/>
                <w:szCs w:val="21"/>
                <w:highlight w:val="none"/>
              </w:rPr>
            </w:pPr>
          </w:p>
        </w:tc>
        <w:tc>
          <w:tcPr>
            <w:tcW w:w="839"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超标率%</w:t>
            </w:r>
          </w:p>
        </w:tc>
        <w:tc>
          <w:tcPr>
            <w:tcW w:w="419"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0</w:t>
            </w:r>
          </w:p>
        </w:tc>
        <w:tc>
          <w:tcPr>
            <w:tcW w:w="547"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0</w:t>
            </w:r>
          </w:p>
        </w:tc>
        <w:tc>
          <w:tcPr>
            <w:tcW w:w="490"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0</w:t>
            </w:r>
          </w:p>
        </w:tc>
        <w:tc>
          <w:tcPr>
            <w:tcW w:w="617"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0</w:t>
            </w:r>
          </w:p>
        </w:tc>
        <w:tc>
          <w:tcPr>
            <w:tcW w:w="460"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w:t>
            </w:r>
          </w:p>
        </w:tc>
        <w:tc>
          <w:tcPr>
            <w:tcW w:w="460"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0</w:t>
            </w:r>
          </w:p>
        </w:tc>
        <w:tc>
          <w:tcPr>
            <w:tcW w:w="762"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2" w:type="pct"/>
            <w:vMerge w:val="restart"/>
            <w:noWrap w:val="0"/>
            <w:vAlign w:val="center"/>
          </w:tcPr>
          <w:p>
            <w:pPr>
              <w:ind w:left="630" w:hanging="630" w:hangingChars="30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Ⅱ</w:t>
            </w:r>
          </w:p>
        </w:tc>
        <w:tc>
          <w:tcPr>
            <w:tcW w:w="839" w:type="pct"/>
            <w:noWrap w:val="0"/>
            <w:vAlign w:val="center"/>
          </w:tcPr>
          <w:p>
            <w:pPr>
              <w:adjustRightInd w:val="0"/>
              <w:snapToGrid w:val="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最大浓度值（mg/L）</w:t>
            </w:r>
          </w:p>
        </w:tc>
        <w:tc>
          <w:tcPr>
            <w:tcW w:w="419"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7.</w:t>
            </w:r>
            <w:r>
              <w:rPr>
                <w:rFonts w:hint="eastAsia" w:ascii="Times New Roman" w:hAnsi="Times New Roman" w:eastAsia="宋体" w:cs="Times New Roman"/>
                <w:color w:val="auto"/>
                <w:sz w:val="21"/>
                <w:szCs w:val="21"/>
                <w:highlight w:val="none"/>
                <w:lang w:val="en-US" w:eastAsia="zh-CN"/>
              </w:rPr>
              <w:t>53</w:t>
            </w:r>
          </w:p>
        </w:tc>
        <w:tc>
          <w:tcPr>
            <w:tcW w:w="547"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3.8</w:t>
            </w:r>
          </w:p>
        </w:tc>
        <w:tc>
          <w:tcPr>
            <w:tcW w:w="490"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14</w:t>
            </w:r>
          </w:p>
        </w:tc>
        <w:tc>
          <w:tcPr>
            <w:tcW w:w="617"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0.035</w:t>
            </w:r>
          </w:p>
        </w:tc>
        <w:tc>
          <w:tcPr>
            <w:tcW w:w="460"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5.08</w:t>
            </w:r>
          </w:p>
        </w:tc>
        <w:tc>
          <w:tcPr>
            <w:tcW w:w="460"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0.12</w:t>
            </w:r>
          </w:p>
        </w:tc>
        <w:tc>
          <w:tcPr>
            <w:tcW w:w="762"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2" w:type="pct"/>
            <w:vMerge w:val="continue"/>
            <w:noWrap w:val="0"/>
            <w:vAlign w:val="center"/>
          </w:tcPr>
          <w:p>
            <w:pPr>
              <w:ind w:left="630" w:hanging="630" w:hangingChars="300"/>
              <w:jc w:val="center"/>
              <w:rPr>
                <w:rFonts w:hint="default" w:ascii="Times New Roman" w:hAnsi="Times New Roman" w:eastAsia="宋体" w:cs="Times New Roman"/>
                <w:color w:val="auto"/>
                <w:sz w:val="21"/>
                <w:szCs w:val="21"/>
                <w:highlight w:val="none"/>
              </w:rPr>
            </w:pPr>
          </w:p>
        </w:tc>
        <w:tc>
          <w:tcPr>
            <w:tcW w:w="839" w:type="pct"/>
            <w:noWrap w:val="0"/>
            <w:vAlign w:val="center"/>
          </w:tcPr>
          <w:p>
            <w:pPr>
              <w:adjustRightInd w:val="0"/>
              <w:snapToGrid w:val="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标准值（mg/L）</w:t>
            </w:r>
          </w:p>
        </w:tc>
        <w:tc>
          <w:tcPr>
            <w:tcW w:w="419"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6～9</w:t>
            </w:r>
          </w:p>
        </w:tc>
        <w:tc>
          <w:tcPr>
            <w:tcW w:w="547"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4</w:t>
            </w:r>
          </w:p>
        </w:tc>
        <w:tc>
          <w:tcPr>
            <w:tcW w:w="490"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20</w:t>
            </w:r>
          </w:p>
        </w:tc>
        <w:tc>
          <w:tcPr>
            <w:tcW w:w="617"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1.0</w:t>
            </w:r>
          </w:p>
        </w:tc>
        <w:tc>
          <w:tcPr>
            <w:tcW w:w="460"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10</w:t>
            </w:r>
          </w:p>
        </w:tc>
        <w:tc>
          <w:tcPr>
            <w:tcW w:w="460"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0.2</w:t>
            </w:r>
          </w:p>
        </w:tc>
        <w:tc>
          <w:tcPr>
            <w:tcW w:w="762"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10000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2" w:type="pct"/>
            <w:vMerge w:val="continue"/>
            <w:noWrap w:val="0"/>
            <w:vAlign w:val="center"/>
          </w:tcPr>
          <w:p>
            <w:pPr>
              <w:ind w:left="630" w:hanging="630" w:hangingChars="300"/>
              <w:jc w:val="center"/>
              <w:rPr>
                <w:rFonts w:hint="default" w:ascii="Times New Roman" w:hAnsi="Times New Roman" w:eastAsia="宋体" w:cs="Times New Roman"/>
                <w:color w:val="auto"/>
                <w:sz w:val="21"/>
                <w:szCs w:val="21"/>
                <w:highlight w:val="none"/>
              </w:rPr>
            </w:pPr>
          </w:p>
        </w:tc>
        <w:tc>
          <w:tcPr>
            <w:tcW w:w="839" w:type="pct"/>
            <w:noWrap w:val="0"/>
            <w:vAlign w:val="center"/>
          </w:tcPr>
          <w:p>
            <w:pPr>
              <w:adjustRightInd w:val="0"/>
              <w:snapToGrid w:val="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最大标准指数</w:t>
            </w:r>
          </w:p>
        </w:tc>
        <w:tc>
          <w:tcPr>
            <w:tcW w:w="419"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547" w:type="pct"/>
            <w:noWrap w:val="0"/>
            <w:vAlign w:val="center"/>
          </w:tcPr>
          <w:p>
            <w:pPr>
              <w:widowControl/>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9.2</w:t>
            </w:r>
          </w:p>
        </w:tc>
        <w:tc>
          <w:tcPr>
            <w:tcW w:w="490" w:type="pct"/>
            <w:noWrap w:val="0"/>
            <w:vAlign w:val="center"/>
          </w:tcPr>
          <w:p>
            <w:pPr>
              <w:widowControl/>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0.7</w:t>
            </w:r>
          </w:p>
        </w:tc>
        <w:tc>
          <w:tcPr>
            <w:tcW w:w="617" w:type="pct"/>
            <w:noWrap w:val="0"/>
            <w:vAlign w:val="center"/>
          </w:tcPr>
          <w:p>
            <w:pPr>
              <w:widowControl/>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0.04</w:t>
            </w:r>
          </w:p>
        </w:tc>
        <w:tc>
          <w:tcPr>
            <w:tcW w:w="460" w:type="pct"/>
            <w:noWrap w:val="0"/>
            <w:vAlign w:val="center"/>
          </w:tcPr>
          <w:p>
            <w:pPr>
              <w:widowControl/>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0.51</w:t>
            </w:r>
          </w:p>
        </w:tc>
        <w:tc>
          <w:tcPr>
            <w:tcW w:w="460" w:type="pct"/>
            <w:noWrap w:val="0"/>
            <w:vAlign w:val="center"/>
          </w:tcPr>
          <w:p>
            <w:pPr>
              <w:widowControl/>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0.6</w:t>
            </w:r>
          </w:p>
        </w:tc>
        <w:tc>
          <w:tcPr>
            <w:tcW w:w="762"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2" w:type="pct"/>
            <w:vMerge w:val="continue"/>
            <w:noWrap w:val="0"/>
            <w:vAlign w:val="center"/>
          </w:tcPr>
          <w:p>
            <w:pPr>
              <w:ind w:left="630" w:hanging="630" w:hangingChars="300"/>
              <w:jc w:val="center"/>
              <w:rPr>
                <w:rFonts w:hint="default" w:ascii="Times New Roman" w:hAnsi="Times New Roman" w:eastAsia="宋体" w:cs="Times New Roman"/>
                <w:color w:val="auto"/>
                <w:sz w:val="21"/>
                <w:szCs w:val="21"/>
                <w:highlight w:val="none"/>
              </w:rPr>
            </w:pPr>
          </w:p>
        </w:tc>
        <w:tc>
          <w:tcPr>
            <w:tcW w:w="839" w:type="pct"/>
            <w:noWrap w:val="0"/>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最大超标倍数</w:t>
            </w:r>
          </w:p>
        </w:tc>
        <w:tc>
          <w:tcPr>
            <w:tcW w:w="419"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0</w:t>
            </w:r>
          </w:p>
        </w:tc>
        <w:tc>
          <w:tcPr>
            <w:tcW w:w="547"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0</w:t>
            </w:r>
          </w:p>
        </w:tc>
        <w:tc>
          <w:tcPr>
            <w:tcW w:w="490"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0</w:t>
            </w:r>
          </w:p>
        </w:tc>
        <w:tc>
          <w:tcPr>
            <w:tcW w:w="617"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0</w:t>
            </w:r>
          </w:p>
        </w:tc>
        <w:tc>
          <w:tcPr>
            <w:tcW w:w="460"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w:t>
            </w:r>
          </w:p>
        </w:tc>
        <w:tc>
          <w:tcPr>
            <w:tcW w:w="460"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0</w:t>
            </w:r>
          </w:p>
        </w:tc>
        <w:tc>
          <w:tcPr>
            <w:tcW w:w="762"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2" w:type="pct"/>
            <w:vMerge w:val="continue"/>
            <w:noWrap w:val="0"/>
            <w:vAlign w:val="center"/>
          </w:tcPr>
          <w:p>
            <w:pPr>
              <w:ind w:left="630" w:hanging="630" w:hangingChars="300"/>
              <w:jc w:val="center"/>
              <w:rPr>
                <w:rFonts w:hint="default" w:ascii="Times New Roman" w:hAnsi="Times New Roman" w:eastAsia="宋体" w:cs="Times New Roman"/>
                <w:color w:val="auto"/>
                <w:sz w:val="21"/>
                <w:szCs w:val="21"/>
                <w:highlight w:val="none"/>
              </w:rPr>
            </w:pPr>
          </w:p>
        </w:tc>
        <w:tc>
          <w:tcPr>
            <w:tcW w:w="839"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超标率%</w:t>
            </w:r>
          </w:p>
        </w:tc>
        <w:tc>
          <w:tcPr>
            <w:tcW w:w="419"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0</w:t>
            </w:r>
          </w:p>
        </w:tc>
        <w:tc>
          <w:tcPr>
            <w:tcW w:w="547"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0</w:t>
            </w:r>
          </w:p>
        </w:tc>
        <w:tc>
          <w:tcPr>
            <w:tcW w:w="490"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0</w:t>
            </w:r>
          </w:p>
        </w:tc>
        <w:tc>
          <w:tcPr>
            <w:tcW w:w="617"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0</w:t>
            </w:r>
          </w:p>
        </w:tc>
        <w:tc>
          <w:tcPr>
            <w:tcW w:w="460"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w:t>
            </w:r>
          </w:p>
        </w:tc>
        <w:tc>
          <w:tcPr>
            <w:tcW w:w="460"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0</w:t>
            </w:r>
          </w:p>
        </w:tc>
        <w:tc>
          <w:tcPr>
            <w:tcW w:w="762" w:type="pct"/>
            <w:noWrap w:val="0"/>
            <w:vAlign w:val="center"/>
          </w:tcPr>
          <w:p>
            <w:pPr>
              <w:ind w:left="630" w:hanging="630" w:hangingChars="30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0</w:t>
            </w:r>
          </w:p>
        </w:tc>
      </w:tr>
    </w:tbl>
    <w:p>
      <w:pPr>
        <w:spacing w:line="360" w:lineRule="auto"/>
        <w:ind w:firstLine="480" w:firstLineChars="200"/>
        <w:rPr>
          <w:rFonts w:hint="default" w:ascii="Times New Roman" w:hAnsi="Times New Roman" w:cs="Times New Roman"/>
          <w:bCs/>
          <w:color w:val="auto"/>
          <w:sz w:val="24"/>
          <w:lang w:eastAsia="zh-CN" w:bidi="ar"/>
        </w:rPr>
      </w:pPr>
      <w:r>
        <w:rPr>
          <w:rFonts w:hint="default" w:ascii="Times New Roman" w:hAnsi="Times New Roman" w:cs="Times New Roman"/>
          <w:bCs/>
          <w:color w:val="auto"/>
          <w:sz w:val="24"/>
          <w:lang w:eastAsia="zh-CN" w:bidi="ar"/>
        </w:rPr>
        <w:t>（5）评价结论</w:t>
      </w:r>
    </w:p>
    <w:p>
      <w:pPr>
        <w:spacing w:line="360" w:lineRule="auto"/>
        <w:ind w:firstLine="480" w:firstLineChars="200"/>
        <w:rPr>
          <w:rFonts w:hint="default" w:ascii="Times New Roman" w:hAnsi="Times New Roman" w:cs="Times New Roman"/>
          <w:bCs/>
          <w:color w:val="0000FF"/>
          <w:sz w:val="24"/>
          <w:lang w:bidi="ar"/>
        </w:rPr>
      </w:pPr>
      <w:r>
        <w:rPr>
          <w:rFonts w:hint="default" w:ascii="Times New Roman" w:hAnsi="Times New Roman" w:cs="Times New Roman"/>
          <w:bCs/>
          <w:color w:val="auto"/>
          <w:sz w:val="24"/>
          <w:lang w:bidi="ar"/>
        </w:rPr>
        <w:t>由表</w:t>
      </w:r>
      <w:r>
        <w:rPr>
          <w:rFonts w:hint="default" w:ascii="Times New Roman" w:hAnsi="Times New Roman" w:cs="Times New Roman"/>
          <w:bCs/>
          <w:color w:val="auto"/>
          <w:sz w:val="24"/>
          <w:lang w:eastAsia="zh-CN" w:bidi="ar"/>
        </w:rPr>
        <w:t>4.3-9</w:t>
      </w:r>
      <w:r>
        <w:rPr>
          <w:rFonts w:hint="default" w:ascii="Times New Roman" w:hAnsi="Times New Roman" w:cs="Times New Roman"/>
          <w:bCs/>
          <w:color w:val="auto"/>
          <w:sz w:val="24"/>
          <w:lang w:bidi="ar"/>
        </w:rPr>
        <w:t>中的分析结果分析</w:t>
      </w:r>
      <w:r>
        <w:rPr>
          <w:rFonts w:hint="default" w:ascii="Times New Roman" w:hAnsi="Times New Roman" w:cs="Times New Roman"/>
          <w:bCs/>
          <w:color w:val="auto"/>
          <w:sz w:val="24"/>
          <w:lang w:eastAsia="zh-CN" w:bidi="ar"/>
        </w:rPr>
        <w:t>，</w:t>
      </w:r>
      <w:r>
        <w:rPr>
          <w:rFonts w:hint="default" w:ascii="Times New Roman" w:hAnsi="Times New Roman" w:cs="Times New Roman"/>
          <w:bCs/>
          <w:color w:val="auto"/>
          <w:sz w:val="24"/>
          <w:lang w:bidi="ar"/>
        </w:rPr>
        <w:t>本项目的附近</w:t>
      </w:r>
      <w:r>
        <w:rPr>
          <w:rFonts w:hint="default" w:ascii="Times New Roman" w:hAnsi="Times New Roman" w:cs="Times New Roman"/>
          <w:bCs/>
          <w:color w:val="auto"/>
          <w:sz w:val="24"/>
          <w:lang w:eastAsia="zh-CN" w:bidi="ar"/>
        </w:rPr>
        <w:t>安溪河上下游对照断面的水质满足</w:t>
      </w:r>
      <w:r>
        <w:rPr>
          <w:rFonts w:hint="default" w:ascii="Times New Roman" w:hAnsi="Times New Roman" w:cs="Times New Roman"/>
          <w:bCs/>
          <w:color w:val="auto"/>
          <w:sz w:val="24"/>
          <w:lang w:bidi="ar"/>
        </w:rPr>
        <w:t>《地表水环境质量标准》（GB3838-2002）Ⅲ类标准要求</w:t>
      </w:r>
      <w:r>
        <w:rPr>
          <w:rFonts w:hint="default" w:ascii="Times New Roman" w:hAnsi="Times New Roman" w:cs="Times New Roman"/>
          <w:bCs/>
          <w:color w:val="auto"/>
          <w:sz w:val="24"/>
          <w:lang w:eastAsia="zh-CN" w:bidi="ar"/>
        </w:rPr>
        <w:t>，水质较好。</w:t>
      </w:r>
    </w:p>
    <w:bookmarkEnd w:id="195"/>
    <w:bookmarkEnd w:id="196"/>
    <w:p>
      <w:pPr>
        <w:adjustRightInd w:val="0"/>
        <w:snapToGrid w:val="0"/>
        <w:spacing w:line="360" w:lineRule="auto"/>
        <w:outlineLvl w:val="2"/>
        <w:rPr>
          <w:rFonts w:ascii="Times New Roman" w:hAnsi="Times New Roman" w:eastAsia="宋体"/>
          <w:b/>
          <w:bCs/>
          <w:color w:val="auto"/>
          <w:sz w:val="28"/>
          <w:szCs w:val="28"/>
        </w:rPr>
      </w:pPr>
      <w:bookmarkStart w:id="200" w:name="_Toc516"/>
      <w:r>
        <w:rPr>
          <w:rFonts w:hint="eastAsia" w:ascii="Times New Roman" w:hAnsi="Times New Roman" w:eastAsia="宋体"/>
          <w:b/>
          <w:bCs/>
          <w:color w:val="auto"/>
          <w:sz w:val="28"/>
          <w:szCs w:val="28"/>
        </w:rPr>
        <w:t>4.3.3地下水环境质量现状评价</w:t>
      </w:r>
    </w:p>
    <w:bookmarkEnd w:id="200"/>
    <w:p>
      <w:pPr>
        <w:spacing w:line="360" w:lineRule="auto"/>
        <w:ind w:firstLine="480" w:firstLineChars="200"/>
        <w:rPr>
          <w:rFonts w:hint="eastAsia" w:ascii="Times New Roman" w:hAnsi="Times New Roman" w:cs="Times New Roman"/>
          <w:bCs/>
          <w:color w:val="auto"/>
          <w:sz w:val="24"/>
          <w:lang w:eastAsia="zh-CN" w:bidi="ar"/>
        </w:rPr>
      </w:pPr>
      <w:bookmarkStart w:id="201" w:name="_Toc26403"/>
      <w:bookmarkStart w:id="202" w:name="_Toc323023511"/>
      <w:bookmarkStart w:id="203" w:name="_Toc459118461"/>
      <w:r>
        <w:rPr>
          <w:rFonts w:hint="eastAsia" w:ascii="Times New Roman" w:hAnsi="Times New Roman" w:cs="Times New Roman"/>
          <w:bCs/>
          <w:color w:val="auto"/>
          <w:sz w:val="24"/>
          <w:lang w:eastAsia="zh-CN" w:bidi="ar"/>
        </w:rPr>
        <w:t>本项目地下水环境质量现状引用四川地风升检测服务有限公司于20</w:t>
      </w:r>
      <w:r>
        <w:rPr>
          <w:rFonts w:hint="eastAsia" w:ascii="Times New Roman" w:hAnsi="Times New Roman" w:cs="Times New Roman"/>
          <w:bCs/>
          <w:color w:val="auto"/>
          <w:sz w:val="24"/>
          <w:lang w:val="en-US" w:eastAsia="zh-CN" w:bidi="ar"/>
        </w:rPr>
        <w:t>20</w:t>
      </w:r>
      <w:r>
        <w:rPr>
          <w:rFonts w:hint="eastAsia" w:ascii="Times New Roman" w:hAnsi="Times New Roman" w:cs="Times New Roman"/>
          <w:bCs/>
          <w:color w:val="auto"/>
          <w:sz w:val="24"/>
          <w:lang w:eastAsia="zh-CN" w:bidi="ar"/>
        </w:rPr>
        <w:t>年</w:t>
      </w:r>
      <w:r>
        <w:rPr>
          <w:rFonts w:hint="eastAsia" w:ascii="Times New Roman" w:hAnsi="Times New Roman" w:cs="Times New Roman"/>
          <w:bCs/>
          <w:color w:val="auto"/>
          <w:sz w:val="24"/>
          <w:lang w:val="en-US" w:eastAsia="zh-CN" w:bidi="ar"/>
        </w:rPr>
        <w:t>10</w:t>
      </w:r>
      <w:r>
        <w:rPr>
          <w:rFonts w:hint="eastAsia" w:ascii="Times New Roman" w:hAnsi="Times New Roman" w:cs="Times New Roman"/>
          <w:bCs/>
          <w:color w:val="auto"/>
          <w:sz w:val="24"/>
          <w:lang w:eastAsia="zh-CN" w:bidi="ar"/>
        </w:rPr>
        <w:t>月</w:t>
      </w:r>
      <w:r>
        <w:rPr>
          <w:rFonts w:hint="eastAsia" w:ascii="Times New Roman" w:hAnsi="Times New Roman" w:cs="Times New Roman"/>
          <w:bCs/>
          <w:color w:val="auto"/>
          <w:sz w:val="24"/>
          <w:lang w:val="en-US" w:eastAsia="zh-CN" w:bidi="ar"/>
        </w:rPr>
        <w:t>12</w:t>
      </w:r>
      <w:r>
        <w:rPr>
          <w:rFonts w:hint="eastAsia" w:ascii="Times New Roman" w:hAnsi="Times New Roman" w:cs="Times New Roman"/>
          <w:bCs/>
          <w:color w:val="auto"/>
          <w:sz w:val="24"/>
          <w:lang w:eastAsia="zh-CN" w:bidi="ar"/>
        </w:rPr>
        <w:t>日对项目地附近的地下水的现状监测结果</w:t>
      </w:r>
      <w:r>
        <w:rPr>
          <w:rFonts w:hint="eastAsia" w:ascii="Times New Roman" w:hAnsi="Times New Roman" w:cs="Times New Roman"/>
          <w:bCs/>
          <w:color w:val="auto"/>
          <w:sz w:val="24"/>
          <w:lang w:val="en-US" w:eastAsia="zh-CN" w:bidi="ar"/>
        </w:rPr>
        <w:t>。</w:t>
      </w:r>
    </w:p>
    <w:p>
      <w:pPr>
        <w:pStyle w:val="16"/>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200" w:right="0" w:rightChars="0"/>
        <w:jc w:val="both"/>
        <w:textAlignment w:val="auto"/>
        <w:rPr>
          <w:rFonts w:ascii="Times New Roman" w:hAnsi="Times New Roman"/>
          <w:b w:val="0"/>
          <w:bCs/>
          <w:color w:val="auto"/>
          <w:sz w:val="24"/>
          <w:szCs w:val="24"/>
        </w:rPr>
      </w:pPr>
      <w:r>
        <w:rPr>
          <w:rFonts w:hint="eastAsia" w:ascii="Times New Roman" w:hAnsi="Times New Roman"/>
          <w:b w:val="0"/>
          <w:bCs/>
          <w:color w:val="auto"/>
          <w:sz w:val="24"/>
          <w:szCs w:val="24"/>
          <w:lang w:eastAsia="zh-CN"/>
        </w:rPr>
        <w:t>（</w:t>
      </w:r>
      <w:r>
        <w:rPr>
          <w:rFonts w:hint="eastAsia" w:ascii="Times New Roman" w:hAnsi="Times New Roman"/>
          <w:b w:val="0"/>
          <w:bCs/>
          <w:color w:val="auto"/>
          <w:sz w:val="24"/>
          <w:szCs w:val="24"/>
          <w:lang w:val="en-US" w:eastAsia="zh-CN"/>
        </w:rPr>
        <w:t>1</w:t>
      </w:r>
      <w:r>
        <w:rPr>
          <w:rFonts w:hint="eastAsia" w:ascii="Times New Roman" w:hAnsi="Times New Roman"/>
          <w:b w:val="0"/>
          <w:bCs/>
          <w:color w:val="auto"/>
          <w:sz w:val="24"/>
          <w:szCs w:val="24"/>
          <w:lang w:eastAsia="zh-CN"/>
        </w:rPr>
        <w:t>）</w:t>
      </w:r>
      <w:r>
        <w:rPr>
          <w:rFonts w:hint="eastAsia" w:ascii="Times New Roman" w:hAnsi="Times New Roman"/>
          <w:b w:val="0"/>
          <w:bCs/>
          <w:color w:val="auto"/>
          <w:sz w:val="24"/>
          <w:szCs w:val="24"/>
        </w:rPr>
        <w:t>监测布点</w:t>
      </w:r>
    </w:p>
    <w:p>
      <w:pPr>
        <w:spacing w:line="360" w:lineRule="auto"/>
        <w:ind w:firstLine="480" w:firstLineChars="200"/>
        <w:rPr>
          <w:rFonts w:hint="eastAsia" w:ascii="Times New Roman" w:hAnsi="Times New Roman" w:cs="Times New Roman"/>
          <w:bCs/>
          <w:color w:val="auto"/>
          <w:sz w:val="24"/>
          <w:lang w:val="en-US" w:eastAsia="zh-CN" w:bidi="ar"/>
        </w:rPr>
      </w:pPr>
      <w:r>
        <w:rPr>
          <w:rFonts w:hint="eastAsia" w:ascii="Times New Roman" w:hAnsi="Times New Roman" w:cs="Times New Roman"/>
          <w:bCs/>
          <w:color w:val="auto"/>
          <w:sz w:val="24"/>
          <w:lang w:val="en-US" w:eastAsia="zh-CN" w:bidi="ar"/>
        </w:rPr>
        <w:t>厂址周围环境状况及水文地质条件，共布设3个地下水水质监测点。布设情况见表4.3-9。</w:t>
      </w:r>
    </w:p>
    <w:p>
      <w:pPr>
        <w:pStyle w:val="16"/>
        <w:rPr>
          <w:rFonts w:hint="default" w:ascii="Times New Roman" w:hAnsi="Times New Roman"/>
          <w:color w:val="auto"/>
          <w:sz w:val="21"/>
          <w:szCs w:val="21"/>
        </w:rPr>
      </w:pPr>
      <w:r>
        <w:rPr>
          <w:rFonts w:hint="default" w:ascii="Times New Roman" w:hAnsi="Times New Roman"/>
          <w:color w:val="auto"/>
          <w:sz w:val="21"/>
          <w:szCs w:val="21"/>
        </w:rPr>
        <w:t>表</w:t>
      </w:r>
      <w:r>
        <w:rPr>
          <w:rFonts w:hint="eastAsia" w:ascii="Times New Roman" w:hAnsi="Times New Roman"/>
          <w:color w:val="auto"/>
          <w:sz w:val="21"/>
          <w:szCs w:val="21"/>
          <w:lang w:val="en-US" w:eastAsia="zh-CN"/>
        </w:rPr>
        <w:t>4</w:t>
      </w:r>
      <w:r>
        <w:rPr>
          <w:rFonts w:hint="default" w:ascii="Times New Roman" w:hAnsi="Times New Roman"/>
          <w:color w:val="auto"/>
          <w:sz w:val="21"/>
          <w:szCs w:val="21"/>
        </w:rPr>
        <w:t>.</w:t>
      </w:r>
      <w:r>
        <w:rPr>
          <w:rFonts w:hint="eastAsia" w:ascii="Times New Roman" w:hAnsi="Times New Roman"/>
          <w:color w:val="auto"/>
          <w:sz w:val="21"/>
          <w:szCs w:val="21"/>
          <w:lang w:val="en-US" w:eastAsia="zh-CN"/>
        </w:rPr>
        <w:t>3</w:t>
      </w:r>
      <w:r>
        <w:rPr>
          <w:rFonts w:hint="default" w:ascii="Times New Roman" w:hAnsi="Times New Roman"/>
          <w:color w:val="auto"/>
          <w:sz w:val="21"/>
          <w:szCs w:val="21"/>
        </w:rPr>
        <w:t>-</w:t>
      </w:r>
      <w:r>
        <w:rPr>
          <w:rFonts w:hint="eastAsia" w:ascii="Times New Roman" w:hAnsi="Times New Roman"/>
          <w:color w:val="auto"/>
          <w:sz w:val="21"/>
          <w:szCs w:val="21"/>
          <w:lang w:val="en-US" w:eastAsia="zh-CN"/>
        </w:rPr>
        <w:t>9</w:t>
      </w:r>
      <w:r>
        <w:rPr>
          <w:rFonts w:hint="default" w:ascii="Times New Roman" w:hAnsi="Times New Roman"/>
          <w:color w:val="auto"/>
          <w:sz w:val="21"/>
          <w:szCs w:val="21"/>
        </w:rPr>
        <w:t xml:space="preserve">  地下水监测</w:t>
      </w:r>
      <w:r>
        <w:rPr>
          <w:rFonts w:hint="eastAsia" w:ascii="Times New Roman" w:hAnsi="Times New Roman"/>
          <w:color w:val="auto"/>
          <w:sz w:val="21"/>
          <w:szCs w:val="21"/>
          <w:lang w:eastAsia="zh-CN"/>
        </w:rPr>
        <w:t>点位</w:t>
      </w:r>
      <w:r>
        <w:rPr>
          <w:rFonts w:hint="default" w:ascii="Times New Roman" w:hAnsi="Times New Roman"/>
          <w:color w:val="auto"/>
          <w:sz w:val="21"/>
          <w:szCs w:val="21"/>
        </w:rPr>
        <w:t xml:space="preserve">   单位：mg/L</w:t>
      </w:r>
    </w:p>
    <w:tbl>
      <w:tblPr>
        <w:tblStyle w:val="35"/>
        <w:tblW w:w="0" w:type="auto"/>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4017"/>
        <w:gridCol w:w="284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0"/>
                <w:szCs w:val="21"/>
                <w:lang w:val="en-US" w:eastAsia="zh-CN"/>
              </w:rPr>
            </w:pPr>
            <w:r>
              <w:rPr>
                <w:rFonts w:hint="default" w:ascii="Times New Roman" w:hAnsi="Times New Roman" w:eastAsia="宋体" w:cs="Times New Roman"/>
                <w:b/>
                <w:bCs/>
                <w:color w:val="auto"/>
                <w:kern w:val="0"/>
                <w:szCs w:val="21"/>
                <w:lang w:val="en-US" w:eastAsia="zh-CN"/>
              </w:rPr>
              <w:t>点位编号</w:t>
            </w:r>
          </w:p>
        </w:tc>
        <w:tc>
          <w:tcPr>
            <w:tcW w:w="40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0"/>
                <w:szCs w:val="21"/>
                <w:lang w:val="en-US" w:eastAsia="zh-CN"/>
              </w:rPr>
            </w:pPr>
            <w:r>
              <w:rPr>
                <w:rFonts w:hint="default" w:ascii="Times New Roman" w:hAnsi="Times New Roman" w:eastAsia="宋体" w:cs="Times New Roman"/>
                <w:b/>
                <w:bCs/>
                <w:color w:val="auto"/>
                <w:kern w:val="0"/>
                <w:szCs w:val="21"/>
                <w:lang w:val="en-US" w:eastAsia="zh-CN"/>
              </w:rPr>
              <w:t>监测点位</w:t>
            </w:r>
          </w:p>
        </w:tc>
        <w:tc>
          <w:tcPr>
            <w:tcW w:w="284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0"/>
                <w:szCs w:val="21"/>
                <w:lang w:val="en-US" w:eastAsia="zh-CN"/>
              </w:rPr>
            </w:pPr>
            <w:r>
              <w:rPr>
                <w:rFonts w:hint="default" w:ascii="Times New Roman" w:hAnsi="Times New Roman" w:eastAsia="宋体" w:cs="Times New Roman"/>
                <w:b/>
                <w:bCs/>
                <w:color w:val="auto"/>
                <w:kern w:val="0"/>
                <w:szCs w:val="21"/>
                <w:lang w:val="en-US" w:eastAsia="zh-CN"/>
              </w:rPr>
              <w:t>备注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52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水质监测点</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1#</w:t>
            </w:r>
          </w:p>
        </w:tc>
        <w:tc>
          <w:tcPr>
            <w:tcW w:w="40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厂区上游（农户水井）</w:t>
            </w:r>
          </w:p>
        </w:tc>
        <w:tc>
          <w:tcPr>
            <w:tcW w:w="2843"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水质监测，监测层位为潜水含水层</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2#</w:t>
            </w:r>
          </w:p>
        </w:tc>
        <w:tc>
          <w:tcPr>
            <w:tcW w:w="40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项目地下游400m处农户水井</w:t>
            </w:r>
          </w:p>
        </w:tc>
        <w:tc>
          <w:tcPr>
            <w:tcW w:w="2843"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3#</w:t>
            </w:r>
          </w:p>
        </w:tc>
        <w:tc>
          <w:tcPr>
            <w:tcW w:w="40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厂区下游（农户水井）</w:t>
            </w:r>
          </w:p>
        </w:tc>
        <w:tc>
          <w:tcPr>
            <w:tcW w:w="2843"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p>
        </w:tc>
      </w:tr>
    </w:tbl>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b w:val="0"/>
          <w:bCs/>
          <w:color w:val="auto"/>
          <w:sz w:val="24"/>
          <w:szCs w:val="24"/>
          <w:lang w:val="en-US" w:eastAsia="zh-CN"/>
        </w:rPr>
      </w:pPr>
      <w:r>
        <w:rPr>
          <w:rFonts w:hint="eastAsia" w:ascii="Times New Roman" w:hAnsi="Times New Roman"/>
          <w:b w:val="0"/>
          <w:bCs/>
          <w:color w:val="auto"/>
          <w:sz w:val="24"/>
          <w:szCs w:val="24"/>
          <w:lang w:val="en-US" w:eastAsia="zh-CN"/>
        </w:rPr>
        <w:t>（2）监测项目</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b w:val="0"/>
          <w:bCs/>
          <w:color w:val="auto"/>
          <w:sz w:val="24"/>
          <w:szCs w:val="24"/>
          <w:lang w:val="en-US" w:eastAsia="zh-CN"/>
        </w:rPr>
      </w:pPr>
      <w:r>
        <w:rPr>
          <w:rFonts w:hint="eastAsia" w:ascii="Times New Roman" w:hAnsi="Times New Roman"/>
          <w:b w:val="0"/>
          <w:bCs/>
          <w:color w:val="auto"/>
          <w:sz w:val="24"/>
          <w:szCs w:val="24"/>
          <w:lang w:val="en-US" w:eastAsia="zh-CN"/>
        </w:rPr>
        <w:t>监测项目：pH（无量纲）、耗氧量（COD</w:t>
      </w:r>
      <w:r>
        <w:rPr>
          <w:rFonts w:hint="eastAsia" w:ascii="Times New Roman" w:hAnsi="Times New Roman"/>
          <w:b w:val="0"/>
          <w:bCs/>
          <w:color w:val="auto"/>
          <w:sz w:val="24"/>
          <w:szCs w:val="24"/>
          <w:vertAlign w:val="subscript"/>
          <w:lang w:val="en-US" w:eastAsia="zh-CN"/>
        </w:rPr>
        <w:t>Mn</w:t>
      </w:r>
      <w:r>
        <w:rPr>
          <w:rFonts w:hint="eastAsia" w:ascii="Times New Roman" w:hAnsi="Times New Roman"/>
          <w:b w:val="0"/>
          <w:bCs/>
          <w:color w:val="auto"/>
          <w:sz w:val="24"/>
          <w:szCs w:val="24"/>
          <w:lang w:val="en-US" w:eastAsia="zh-CN"/>
        </w:rPr>
        <w:t>法，以O</w:t>
      </w:r>
      <w:r>
        <w:rPr>
          <w:rFonts w:hint="eastAsia" w:ascii="Times New Roman" w:hAnsi="Times New Roman"/>
          <w:b w:val="0"/>
          <w:bCs/>
          <w:color w:val="auto"/>
          <w:sz w:val="24"/>
          <w:szCs w:val="24"/>
          <w:vertAlign w:val="subscript"/>
          <w:lang w:val="en-US" w:eastAsia="zh-CN"/>
        </w:rPr>
        <w:t>2</w:t>
      </w:r>
      <w:r>
        <w:rPr>
          <w:rFonts w:hint="eastAsia" w:ascii="Times New Roman" w:hAnsi="Times New Roman"/>
          <w:b w:val="0"/>
          <w:bCs/>
          <w:color w:val="auto"/>
          <w:sz w:val="24"/>
          <w:szCs w:val="24"/>
          <w:lang w:val="en-US" w:eastAsia="zh-CN"/>
        </w:rPr>
        <w:t>计）、阴离子表面活性剂、氨氮（以N计）、挥发性酚类、总大肠菌群（MPN/100mL）、溶解性总固体、钾、钠、钙、镁、总硬度（以CaCO</w:t>
      </w:r>
      <w:r>
        <w:rPr>
          <w:rFonts w:hint="eastAsia" w:ascii="Times New Roman" w:hAnsi="Times New Roman"/>
          <w:b w:val="0"/>
          <w:bCs/>
          <w:color w:val="auto"/>
          <w:sz w:val="24"/>
          <w:szCs w:val="24"/>
          <w:vertAlign w:val="subscript"/>
          <w:lang w:val="en-US" w:eastAsia="zh-CN"/>
        </w:rPr>
        <w:t>3</w:t>
      </w:r>
      <w:r>
        <w:rPr>
          <w:rFonts w:hint="eastAsia" w:ascii="Times New Roman" w:hAnsi="Times New Roman"/>
          <w:b w:val="0"/>
          <w:bCs/>
          <w:color w:val="auto"/>
          <w:sz w:val="24"/>
          <w:szCs w:val="24"/>
          <w:lang w:val="en-US" w:eastAsia="zh-CN"/>
        </w:rPr>
        <w:t>计）、氯化物（以Cl</w:t>
      </w:r>
      <w:r>
        <w:rPr>
          <w:rFonts w:hint="eastAsia" w:ascii="Times New Roman" w:hAnsi="Times New Roman"/>
          <w:b w:val="0"/>
          <w:bCs/>
          <w:color w:val="auto"/>
          <w:sz w:val="24"/>
          <w:szCs w:val="24"/>
          <w:vertAlign w:val="superscript"/>
          <w:lang w:val="en-US" w:eastAsia="zh-CN"/>
        </w:rPr>
        <w:t>-</w:t>
      </w:r>
      <w:r>
        <w:rPr>
          <w:rFonts w:hint="eastAsia" w:ascii="Times New Roman" w:hAnsi="Times New Roman"/>
          <w:b w:val="0"/>
          <w:bCs/>
          <w:color w:val="auto"/>
          <w:sz w:val="24"/>
          <w:szCs w:val="24"/>
          <w:lang w:val="en-US" w:eastAsia="zh-CN"/>
        </w:rPr>
        <w:t>计）、硫酸盐（以SO</w:t>
      </w:r>
      <w:r>
        <w:rPr>
          <w:rFonts w:hint="eastAsia" w:ascii="Times New Roman" w:hAnsi="Times New Roman"/>
          <w:b w:val="0"/>
          <w:bCs/>
          <w:color w:val="auto"/>
          <w:sz w:val="24"/>
          <w:szCs w:val="24"/>
          <w:vertAlign w:val="subscript"/>
          <w:lang w:val="en-US" w:eastAsia="zh-CN"/>
        </w:rPr>
        <w:t>4</w:t>
      </w:r>
      <w:r>
        <w:rPr>
          <w:rFonts w:hint="eastAsia" w:ascii="Times New Roman" w:hAnsi="Times New Roman"/>
          <w:b w:val="0"/>
          <w:bCs/>
          <w:color w:val="auto"/>
          <w:sz w:val="24"/>
          <w:szCs w:val="24"/>
          <w:vertAlign w:val="superscript"/>
          <w:lang w:val="en-US" w:eastAsia="zh-CN"/>
        </w:rPr>
        <w:t>2-</w:t>
      </w:r>
      <w:r>
        <w:rPr>
          <w:rFonts w:hint="eastAsia" w:ascii="Times New Roman" w:hAnsi="Times New Roman"/>
          <w:b w:val="0"/>
          <w:bCs/>
          <w:color w:val="auto"/>
          <w:sz w:val="24"/>
          <w:szCs w:val="24"/>
          <w:lang w:val="en-US" w:eastAsia="zh-CN"/>
        </w:rPr>
        <w:t>计）、重碳酸根、碳酸根、硝酸盐（以N计）、亚硝酸盐、硫化物。</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b w:val="0"/>
          <w:bCs/>
          <w:color w:val="auto"/>
          <w:sz w:val="24"/>
          <w:szCs w:val="24"/>
          <w:lang w:val="en-US" w:eastAsia="zh-CN"/>
        </w:rPr>
      </w:pPr>
      <w:r>
        <w:rPr>
          <w:rFonts w:hint="eastAsia" w:ascii="Times New Roman" w:hAnsi="Times New Roman"/>
          <w:b w:val="0"/>
          <w:bCs/>
          <w:color w:val="auto"/>
          <w:sz w:val="24"/>
          <w:szCs w:val="24"/>
          <w:lang w:val="en-US" w:eastAsia="zh-CN"/>
        </w:rPr>
        <w:t>（3）监测时间及频率</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b w:val="0"/>
          <w:bCs/>
          <w:color w:val="auto"/>
          <w:sz w:val="24"/>
          <w:szCs w:val="24"/>
          <w:lang w:val="en-US" w:eastAsia="zh-CN"/>
        </w:rPr>
      </w:pPr>
      <w:r>
        <w:rPr>
          <w:rFonts w:hint="eastAsia" w:ascii="Times New Roman" w:hAnsi="Times New Roman"/>
          <w:b w:val="0"/>
          <w:bCs/>
          <w:color w:val="auto"/>
          <w:sz w:val="24"/>
          <w:szCs w:val="24"/>
          <w:lang w:val="en-US" w:eastAsia="zh-CN"/>
        </w:rPr>
        <w:t>监测时间为2020年10月12日，每天采样一次。</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b w:val="0"/>
          <w:bCs/>
          <w:color w:val="auto"/>
          <w:sz w:val="24"/>
          <w:szCs w:val="24"/>
          <w:lang w:val="en-US" w:eastAsia="zh-CN"/>
        </w:rPr>
      </w:pPr>
      <w:r>
        <w:rPr>
          <w:rFonts w:hint="eastAsia" w:ascii="Times New Roman" w:hAnsi="Times New Roman"/>
          <w:b w:val="0"/>
          <w:bCs/>
          <w:color w:val="auto"/>
          <w:sz w:val="24"/>
          <w:szCs w:val="24"/>
          <w:lang w:val="en-US" w:eastAsia="zh-CN"/>
        </w:rPr>
        <w:t>（4）监测结果</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b w:val="0"/>
          <w:bCs/>
          <w:color w:val="auto"/>
          <w:sz w:val="24"/>
          <w:szCs w:val="24"/>
          <w:lang w:val="en-US" w:eastAsia="zh-CN"/>
        </w:rPr>
      </w:pPr>
      <w:r>
        <w:rPr>
          <w:rFonts w:hint="eastAsia" w:ascii="Times New Roman" w:hAnsi="Times New Roman"/>
          <w:b w:val="0"/>
          <w:bCs/>
          <w:color w:val="auto"/>
          <w:sz w:val="24"/>
          <w:szCs w:val="24"/>
          <w:lang w:val="en-US" w:eastAsia="zh-CN"/>
        </w:rPr>
        <w:t>本项目地下水监测结果见表4.3-10。（监测方案详见附件监测报告）</w:t>
      </w:r>
    </w:p>
    <w:p>
      <w:pPr>
        <w:pStyle w:val="16"/>
        <w:rPr>
          <w:rFonts w:hint="eastAsia" w:ascii="Times New Roman" w:hAnsi="Times New Roman"/>
          <w:color w:val="auto"/>
          <w:sz w:val="21"/>
          <w:szCs w:val="21"/>
          <w:lang w:eastAsia="zh-CN"/>
        </w:rPr>
      </w:pPr>
      <w:r>
        <w:rPr>
          <w:rFonts w:hint="eastAsia" w:ascii="Times New Roman" w:hAnsi="Times New Roman"/>
          <w:color w:val="auto"/>
          <w:sz w:val="21"/>
          <w:szCs w:val="21"/>
        </w:rPr>
        <w:t xml:space="preserve">表 </w:t>
      </w:r>
      <w:r>
        <w:rPr>
          <w:rFonts w:hint="eastAsia" w:ascii="Times New Roman" w:hAnsi="Times New Roman"/>
          <w:color w:val="auto"/>
          <w:sz w:val="21"/>
          <w:szCs w:val="21"/>
          <w:lang w:val="en-US" w:eastAsia="zh-CN"/>
        </w:rPr>
        <w:t>4.3</w:t>
      </w:r>
      <w:r>
        <w:rPr>
          <w:rFonts w:hint="eastAsia" w:ascii="Times New Roman" w:hAnsi="Times New Roman"/>
          <w:color w:val="auto"/>
          <w:sz w:val="21"/>
          <w:szCs w:val="21"/>
        </w:rPr>
        <w:t>-</w:t>
      </w:r>
      <w:r>
        <w:rPr>
          <w:rFonts w:hint="eastAsia" w:ascii="Times New Roman" w:hAnsi="Times New Roman"/>
          <w:color w:val="auto"/>
          <w:sz w:val="21"/>
          <w:szCs w:val="21"/>
          <w:lang w:val="en-US" w:eastAsia="zh-CN"/>
        </w:rPr>
        <w:t>10</w:t>
      </w:r>
      <w:r>
        <w:rPr>
          <w:rFonts w:hint="eastAsia" w:ascii="Times New Roman" w:hAnsi="Times New Roman"/>
          <w:color w:val="auto"/>
          <w:sz w:val="21"/>
          <w:szCs w:val="21"/>
        </w:rPr>
        <w:t xml:space="preserve"> 地下水监测</w:t>
      </w:r>
      <w:r>
        <w:rPr>
          <w:rFonts w:hint="eastAsia" w:ascii="Times New Roman" w:hAnsi="Times New Roman"/>
          <w:color w:val="auto"/>
          <w:sz w:val="21"/>
          <w:szCs w:val="21"/>
          <w:lang w:eastAsia="zh-CN"/>
        </w:rPr>
        <w:t>结果表</w:t>
      </w:r>
    </w:p>
    <w:tbl>
      <w:tblPr>
        <w:tblStyle w:val="35"/>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56"/>
        <w:gridCol w:w="1930"/>
        <w:gridCol w:w="1387"/>
        <w:gridCol w:w="1164"/>
        <w:gridCol w:w="1203"/>
        <w:gridCol w:w="1428"/>
        <w:gridCol w:w="104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采样时间</w:t>
            </w:r>
          </w:p>
        </w:tc>
        <w:tc>
          <w:tcPr>
            <w:tcW w:w="104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检测项目</w:t>
            </w:r>
          </w:p>
        </w:tc>
        <w:tc>
          <w:tcPr>
            <w:tcW w:w="75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单位</w:t>
            </w:r>
          </w:p>
        </w:tc>
        <w:tc>
          <w:tcPr>
            <w:tcW w:w="2057"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检测结果</w:t>
            </w:r>
          </w:p>
        </w:tc>
        <w:tc>
          <w:tcPr>
            <w:tcW w:w="56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达标情况</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p>
        </w:tc>
        <w:tc>
          <w:tcPr>
            <w:tcW w:w="104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p>
        </w:tc>
        <w:tc>
          <w:tcPr>
            <w:tcW w:w="75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p>
        </w:tc>
        <w:tc>
          <w:tcPr>
            <w:tcW w:w="63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1#</w:t>
            </w:r>
          </w:p>
        </w:tc>
        <w:tc>
          <w:tcPr>
            <w:tcW w:w="6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2#</w:t>
            </w:r>
          </w:p>
        </w:tc>
        <w:tc>
          <w:tcPr>
            <w:tcW w:w="77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3#</w:t>
            </w:r>
          </w:p>
        </w:tc>
        <w:tc>
          <w:tcPr>
            <w:tcW w:w="56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10</w:t>
            </w:r>
            <w:r>
              <w:rPr>
                <w:rFonts w:hint="default" w:ascii="Times New Roman" w:hAnsi="Times New Roman" w:eastAsia="宋体" w:cs="Times New Roman"/>
                <w:color w:val="auto"/>
                <w:kern w:val="0"/>
                <w:szCs w:val="21"/>
                <w:lang w:val="en-US" w:eastAsia="zh-CN"/>
              </w:rPr>
              <w:t>月</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1</w:t>
            </w:r>
            <w:r>
              <w:rPr>
                <w:rFonts w:hint="eastAsia" w:ascii="Times New Roman" w:hAnsi="Times New Roman" w:eastAsia="宋体" w:cs="Times New Roman"/>
                <w:color w:val="auto"/>
                <w:kern w:val="0"/>
                <w:szCs w:val="21"/>
                <w:lang w:val="en-US" w:eastAsia="zh-CN"/>
              </w:rPr>
              <w:t>2</w:t>
            </w:r>
            <w:r>
              <w:rPr>
                <w:rFonts w:hint="default" w:ascii="Times New Roman" w:hAnsi="Times New Roman" w:eastAsia="宋体" w:cs="Times New Roman"/>
                <w:color w:val="auto"/>
                <w:kern w:val="0"/>
                <w:szCs w:val="21"/>
                <w:lang w:val="en-US" w:eastAsia="zh-CN"/>
              </w:rPr>
              <w:t>日</w:t>
            </w:r>
          </w:p>
        </w:tc>
        <w:tc>
          <w:tcPr>
            <w:tcW w:w="1047" w:type="pct"/>
            <w:noWrap w:val="0"/>
            <w:vAlign w:val="center"/>
          </w:tcPr>
          <w:p>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K</w:t>
            </w:r>
            <w:r>
              <w:rPr>
                <w:rFonts w:hint="default" w:ascii="Times New Roman" w:hAnsi="Times New Roman" w:eastAsia="宋体" w:cs="Times New Roman"/>
                <w:color w:val="auto"/>
                <w:sz w:val="21"/>
                <w:szCs w:val="21"/>
                <w:highlight w:val="none"/>
                <w:vertAlign w:val="superscript"/>
              </w:rPr>
              <w:t>+</w:t>
            </w:r>
          </w:p>
        </w:tc>
        <w:tc>
          <w:tcPr>
            <w:tcW w:w="752" w:type="pct"/>
            <w:noWrap w:val="0"/>
            <w:vAlign w:val="center"/>
          </w:tcPr>
          <w:p>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mg/L</w:t>
            </w:r>
          </w:p>
        </w:tc>
        <w:tc>
          <w:tcPr>
            <w:tcW w:w="631" w:type="pct"/>
            <w:noWrap w:val="0"/>
            <w:vAlign w:val="center"/>
          </w:tcPr>
          <w:p>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3.36</w:t>
            </w:r>
          </w:p>
        </w:tc>
        <w:tc>
          <w:tcPr>
            <w:tcW w:w="652" w:type="pct"/>
            <w:noWrap w:val="0"/>
            <w:vAlign w:val="center"/>
          </w:tcPr>
          <w:p>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1.44</w:t>
            </w:r>
          </w:p>
        </w:tc>
        <w:tc>
          <w:tcPr>
            <w:tcW w:w="773" w:type="pct"/>
            <w:noWrap w:val="0"/>
            <w:vAlign w:val="center"/>
          </w:tcPr>
          <w:p>
            <w:pPr>
              <w:adjustRightInd w:val="0"/>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sz w:val="21"/>
                <w:szCs w:val="21"/>
                <w:highlight w:val="none"/>
                <w:lang w:val="en-US" w:eastAsia="zh-CN"/>
              </w:rPr>
              <w:t>1.67</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p>
        </w:tc>
        <w:tc>
          <w:tcPr>
            <w:tcW w:w="1047" w:type="pct"/>
            <w:noWrap w:val="0"/>
            <w:vAlign w:val="center"/>
          </w:tcPr>
          <w:p>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Na</w:t>
            </w:r>
            <w:r>
              <w:rPr>
                <w:rFonts w:hint="default" w:ascii="Times New Roman" w:hAnsi="Times New Roman" w:eastAsia="宋体" w:cs="Times New Roman"/>
                <w:color w:val="auto"/>
                <w:sz w:val="21"/>
                <w:szCs w:val="21"/>
                <w:highlight w:val="none"/>
                <w:vertAlign w:val="superscript"/>
              </w:rPr>
              <w:t>+</w:t>
            </w:r>
          </w:p>
        </w:tc>
        <w:tc>
          <w:tcPr>
            <w:tcW w:w="752" w:type="pct"/>
            <w:noWrap w:val="0"/>
            <w:vAlign w:val="center"/>
          </w:tcPr>
          <w:p>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mg/L</w:t>
            </w:r>
          </w:p>
        </w:tc>
        <w:tc>
          <w:tcPr>
            <w:tcW w:w="631" w:type="pct"/>
            <w:noWrap w:val="0"/>
            <w:vAlign w:val="center"/>
          </w:tcPr>
          <w:p>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6.63</w:t>
            </w:r>
          </w:p>
        </w:tc>
        <w:tc>
          <w:tcPr>
            <w:tcW w:w="652" w:type="pct"/>
            <w:noWrap w:val="0"/>
            <w:vAlign w:val="center"/>
          </w:tcPr>
          <w:p>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6.45</w:t>
            </w:r>
          </w:p>
        </w:tc>
        <w:tc>
          <w:tcPr>
            <w:tcW w:w="773" w:type="pct"/>
            <w:noWrap w:val="0"/>
            <w:vAlign w:val="center"/>
          </w:tcPr>
          <w:p>
            <w:pPr>
              <w:adjustRightInd w:val="0"/>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sz w:val="21"/>
                <w:szCs w:val="21"/>
                <w:highlight w:val="none"/>
                <w:lang w:val="en-US" w:eastAsia="zh-CN"/>
              </w:rPr>
              <w:t>6.21</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p>
        </w:tc>
        <w:tc>
          <w:tcPr>
            <w:tcW w:w="1047" w:type="pct"/>
            <w:noWrap w:val="0"/>
            <w:vAlign w:val="center"/>
          </w:tcPr>
          <w:p>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Ca</w:t>
            </w:r>
            <w:r>
              <w:rPr>
                <w:rFonts w:hint="default" w:ascii="Times New Roman" w:hAnsi="Times New Roman" w:eastAsia="宋体" w:cs="Times New Roman"/>
                <w:color w:val="auto"/>
                <w:sz w:val="21"/>
                <w:szCs w:val="21"/>
                <w:highlight w:val="none"/>
                <w:vertAlign w:val="superscript"/>
              </w:rPr>
              <w:t>2+</w:t>
            </w:r>
          </w:p>
        </w:tc>
        <w:tc>
          <w:tcPr>
            <w:tcW w:w="752" w:type="pct"/>
            <w:noWrap w:val="0"/>
            <w:vAlign w:val="center"/>
          </w:tcPr>
          <w:p>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mg/L</w:t>
            </w:r>
          </w:p>
        </w:tc>
        <w:tc>
          <w:tcPr>
            <w:tcW w:w="631" w:type="pct"/>
            <w:noWrap w:val="0"/>
            <w:vAlign w:val="center"/>
          </w:tcPr>
          <w:p>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94.1</w:t>
            </w:r>
          </w:p>
        </w:tc>
        <w:tc>
          <w:tcPr>
            <w:tcW w:w="652" w:type="pct"/>
            <w:noWrap w:val="0"/>
            <w:vAlign w:val="center"/>
          </w:tcPr>
          <w:p>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109</w:t>
            </w:r>
          </w:p>
        </w:tc>
        <w:tc>
          <w:tcPr>
            <w:tcW w:w="773" w:type="pct"/>
            <w:noWrap w:val="0"/>
            <w:vAlign w:val="center"/>
          </w:tcPr>
          <w:p>
            <w:pPr>
              <w:adjustRightInd w:val="0"/>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sz w:val="21"/>
                <w:szCs w:val="21"/>
                <w:highlight w:val="none"/>
                <w:lang w:val="en-US" w:eastAsia="zh-CN"/>
              </w:rPr>
              <w:t>152</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p>
        </w:tc>
        <w:tc>
          <w:tcPr>
            <w:tcW w:w="1047" w:type="pct"/>
            <w:noWrap w:val="0"/>
            <w:vAlign w:val="center"/>
          </w:tcPr>
          <w:p>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Mg</w:t>
            </w:r>
            <w:r>
              <w:rPr>
                <w:rFonts w:hint="default" w:ascii="Times New Roman" w:hAnsi="Times New Roman" w:eastAsia="宋体" w:cs="Times New Roman"/>
                <w:color w:val="auto"/>
                <w:sz w:val="21"/>
                <w:szCs w:val="21"/>
                <w:highlight w:val="none"/>
                <w:vertAlign w:val="superscript"/>
              </w:rPr>
              <w:t>2+</w:t>
            </w:r>
          </w:p>
        </w:tc>
        <w:tc>
          <w:tcPr>
            <w:tcW w:w="752" w:type="pct"/>
            <w:noWrap w:val="0"/>
            <w:vAlign w:val="center"/>
          </w:tcPr>
          <w:p>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mg/L</w:t>
            </w:r>
          </w:p>
        </w:tc>
        <w:tc>
          <w:tcPr>
            <w:tcW w:w="631" w:type="pct"/>
            <w:noWrap w:val="0"/>
            <w:vAlign w:val="center"/>
          </w:tcPr>
          <w:p>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1.75</w:t>
            </w:r>
          </w:p>
        </w:tc>
        <w:tc>
          <w:tcPr>
            <w:tcW w:w="652" w:type="pct"/>
            <w:noWrap w:val="0"/>
            <w:vAlign w:val="center"/>
          </w:tcPr>
          <w:p>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1.82</w:t>
            </w:r>
          </w:p>
        </w:tc>
        <w:tc>
          <w:tcPr>
            <w:tcW w:w="773" w:type="pct"/>
            <w:noWrap w:val="0"/>
            <w:vAlign w:val="center"/>
          </w:tcPr>
          <w:p>
            <w:pPr>
              <w:adjustRightInd w:val="0"/>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sz w:val="21"/>
                <w:szCs w:val="21"/>
                <w:highlight w:val="none"/>
                <w:lang w:val="en-US" w:eastAsia="zh-CN"/>
              </w:rPr>
              <w:t>1.70</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p>
        </w:tc>
        <w:tc>
          <w:tcPr>
            <w:tcW w:w="1047" w:type="pct"/>
            <w:noWrap w:val="0"/>
            <w:vAlign w:val="center"/>
          </w:tcPr>
          <w:p>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CO</w:t>
            </w:r>
            <w:r>
              <w:rPr>
                <w:rFonts w:hint="default" w:ascii="Times New Roman" w:hAnsi="Times New Roman" w:eastAsia="宋体" w:cs="Times New Roman"/>
                <w:color w:val="auto"/>
                <w:sz w:val="21"/>
                <w:szCs w:val="21"/>
                <w:highlight w:val="none"/>
                <w:vertAlign w:val="subscript"/>
              </w:rPr>
              <w:t>3</w:t>
            </w:r>
            <w:r>
              <w:rPr>
                <w:rFonts w:hint="default" w:ascii="Times New Roman" w:hAnsi="Times New Roman" w:eastAsia="宋体" w:cs="Times New Roman"/>
                <w:color w:val="auto"/>
                <w:sz w:val="21"/>
                <w:szCs w:val="21"/>
                <w:highlight w:val="none"/>
                <w:vertAlign w:val="superscript"/>
              </w:rPr>
              <w:t>2-</w:t>
            </w:r>
          </w:p>
        </w:tc>
        <w:tc>
          <w:tcPr>
            <w:tcW w:w="752" w:type="pct"/>
            <w:noWrap w:val="0"/>
            <w:vAlign w:val="center"/>
          </w:tcPr>
          <w:p>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mg/L</w:t>
            </w:r>
          </w:p>
        </w:tc>
        <w:tc>
          <w:tcPr>
            <w:tcW w:w="631" w:type="pct"/>
            <w:noWrap w:val="0"/>
            <w:vAlign w:val="center"/>
          </w:tcPr>
          <w:p>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＜5</w:t>
            </w:r>
          </w:p>
        </w:tc>
        <w:tc>
          <w:tcPr>
            <w:tcW w:w="652" w:type="pct"/>
            <w:noWrap w:val="0"/>
            <w:vAlign w:val="center"/>
          </w:tcPr>
          <w:p>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＜5</w:t>
            </w:r>
          </w:p>
        </w:tc>
        <w:tc>
          <w:tcPr>
            <w:tcW w:w="773" w:type="pct"/>
            <w:noWrap w:val="0"/>
            <w:vAlign w:val="center"/>
          </w:tcPr>
          <w:p>
            <w:pPr>
              <w:adjustRightInd w:val="0"/>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＜5</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p>
        </w:tc>
        <w:tc>
          <w:tcPr>
            <w:tcW w:w="1047" w:type="pct"/>
            <w:noWrap w:val="0"/>
            <w:vAlign w:val="center"/>
          </w:tcPr>
          <w:p>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HCO</w:t>
            </w:r>
            <w:r>
              <w:rPr>
                <w:rFonts w:hint="default" w:ascii="Times New Roman" w:hAnsi="Times New Roman" w:eastAsia="宋体" w:cs="Times New Roman"/>
                <w:color w:val="auto"/>
                <w:sz w:val="21"/>
                <w:szCs w:val="21"/>
                <w:highlight w:val="none"/>
                <w:vertAlign w:val="subscript"/>
              </w:rPr>
              <w:t>3</w:t>
            </w:r>
            <w:r>
              <w:rPr>
                <w:rFonts w:hint="default" w:ascii="Times New Roman" w:hAnsi="Times New Roman" w:eastAsia="宋体" w:cs="Times New Roman"/>
                <w:color w:val="auto"/>
                <w:sz w:val="21"/>
                <w:szCs w:val="21"/>
                <w:highlight w:val="none"/>
                <w:vertAlign w:val="superscript"/>
              </w:rPr>
              <w:t>-</w:t>
            </w:r>
          </w:p>
        </w:tc>
        <w:tc>
          <w:tcPr>
            <w:tcW w:w="752" w:type="pct"/>
            <w:noWrap w:val="0"/>
            <w:vAlign w:val="center"/>
          </w:tcPr>
          <w:p>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mg/L</w:t>
            </w:r>
          </w:p>
        </w:tc>
        <w:tc>
          <w:tcPr>
            <w:tcW w:w="631" w:type="pct"/>
            <w:noWrap w:val="0"/>
            <w:vAlign w:val="center"/>
          </w:tcPr>
          <w:p>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176</w:t>
            </w:r>
          </w:p>
        </w:tc>
        <w:tc>
          <w:tcPr>
            <w:tcW w:w="652" w:type="pct"/>
            <w:noWrap w:val="0"/>
            <w:vAlign w:val="center"/>
          </w:tcPr>
          <w:p>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275</w:t>
            </w:r>
          </w:p>
        </w:tc>
        <w:tc>
          <w:tcPr>
            <w:tcW w:w="773" w:type="pct"/>
            <w:noWrap w:val="0"/>
            <w:vAlign w:val="center"/>
          </w:tcPr>
          <w:p>
            <w:pPr>
              <w:adjustRightInd w:val="0"/>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sz w:val="21"/>
                <w:szCs w:val="21"/>
                <w:highlight w:val="none"/>
                <w:lang w:val="en-US" w:eastAsia="zh-CN"/>
              </w:rPr>
              <w:t>317</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p>
        </w:tc>
        <w:tc>
          <w:tcPr>
            <w:tcW w:w="1047"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pH</w:t>
            </w:r>
          </w:p>
        </w:tc>
        <w:tc>
          <w:tcPr>
            <w:tcW w:w="752"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无量纲</w:t>
            </w:r>
          </w:p>
        </w:tc>
        <w:tc>
          <w:tcPr>
            <w:tcW w:w="631"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7.33</w:t>
            </w:r>
          </w:p>
        </w:tc>
        <w:tc>
          <w:tcPr>
            <w:tcW w:w="652"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7.37</w:t>
            </w:r>
          </w:p>
        </w:tc>
        <w:tc>
          <w:tcPr>
            <w:tcW w:w="773" w:type="pct"/>
            <w:noWrap w:val="0"/>
            <w:vAlign w:val="center"/>
          </w:tcPr>
          <w:p>
            <w:pPr>
              <w:ind w:left="-63" w:leftChars="-30" w:right="-63" w:rightChars="-3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7.46</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p>
        </w:tc>
        <w:tc>
          <w:tcPr>
            <w:tcW w:w="1047"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氨氮</w:t>
            </w:r>
          </w:p>
        </w:tc>
        <w:tc>
          <w:tcPr>
            <w:tcW w:w="752"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mg/L</w:t>
            </w:r>
          </w:p>
        </w:tc>
        <w:tc>
          <w:tcPr>
            <w:tcW w:w="631"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0.081</w:t>
            </w:r>
          </w:p>
        </w:tc>
        <w:tc>
          <w:tcPr>
            <w:tcW w:w="652"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0.066</w:t>
            </w:r>
          </w:p>
        </w:tc>
        <w:tc>
          <w:tcPr>
            <w:tcW w:w="773" w:type="pct"/>
            <w:noWrap w:val="0"/>
            <w:vAlign w:val="center"/>
          </w:tcPr>
          <w:p>
            <w:pPr>
              <w:ind w:left="-63" w:leftChars="-30" w:right="-63" w:rightChars="-3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＜0.025</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p>
        </w:tc>
        <w:tc>
          <w:tcPr>
            <w:tcW w:w="1047"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硝酸盐</w:t>
            </w:r>
          </w:p>
        </w:tc>
        <w:tc>
          <w:tcPr>
            <w:tcW w:w="752"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mg/L</w:t>
            </w:r>
          </w:p>
        </w:tc>
        <w:tc>
          <w:tcPr>
            <w:tcW w:w="631"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19.3</w:t>
            </w:r>
          </w:p>
        </w:tc>
        <w:tc>
          <w:tcPr>
            <w:tcW w:w="652"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17.2</w:t>
            </w:r>
          </w:p>
        </w:tc>
        <w:tc>
          <w:tcPr>
            <w:tcW w:w="773" w:type="pct"/>
            <w:noWrap w:val="0"/>
            <w:vAlign w:val="center"/>
          </w:tcPr>
          <w:p>
            <w:pPr>
              <w:ind w:left="-63" w:leftChars="-30" w:right="-63" w:rightChars="-3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17.4</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p>
        </w:tc>
        <w:tc>
          <w:tcPr>
            <w:tcW w:w="1047"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亚硝酸盐</w:t>
            </w:r>
          </w:p>
        </w:tc>
        <w:tc>
          <w:tcPr>
            <w:tcW w:w="752"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mg/L</w:t>
            </w:r>
          </w:p>
        </w:tc>
        <w:tc>
          <w:tcPr>
            <w:tcW w:w="631"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0.003</w:t>
            </w:r>
          </w:p>
        </w:tc>
        <w:tc>
          <w:tcPr>
            <w:tcW w:w="652"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0.003</w:t>
            </w:r>
          </w:p>
        </w:tc>
        <w:tc>
          <w:tcPr>
            <w:tcW w:w="773" w:type="pct"/>
            <w:noWrap w:val="0"/>
            <w:vAlign w:val="center"/>
          </w:tcPr>
          <w:p>
            <w:pPr>
              <w:ind w:left="-63" w:leftChars="-30" w:right="-63" w:rightChars="-3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0.004</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p>
        </w:tc>
        <w:tc>
          <w:tcPr>
            <w:tcW w:w="1047"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阴离子表明活性剂</w:t>
            </w:r>
          </w:p>
        </w:tc>
        <w:tc>
          <w:tcPr>
            <w:tcW w:w="752"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mg/L</w:t>
            </w:r>
          </w:p>
        </w:tc>
        <w:tc>
          <w:tcPr>
            <w:tcW w:w="631"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0.119</w:t>
            </w:r>
          </w:p>
        </w:tc>
        <w:tc>
          <w:tcPr>
            <w:tcW w:w="652"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0.069</w:t>
            </w:r>
          </w:p>
        </w:tc>
        <w:tc>
          <w:tcPr>
            <w:tcW w:w="773" w:type="pct"/>
            <w:noWrap w:val="0"/>
            <w:vAlign w:val="center"/>
          </w:tcPr>
          <w:p>
            <w:pPr>
              <w:ind w:left="-63" w:leftChars="-30" w:right="-63" w:rightChars="-3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0.084</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p>
        </w:tc>
        <w:tc>
          <w:tcPr>
            <w:tcW w:w="1047"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挥发性酚类</w:t>
            </w:r>
          </w:p>
        </w:tc>
        <w:tc>
          <w:tcPr>
            <w:tcW w:w="752"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mg/L</w:t>
            </w:r>
          </w:p>
        </w:tc>
        <w:tc>
          <w:tcPr>
            <w:tcW w:w="631"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＜0.0003</w:t>
            </w:r>
          </w:p>
        </w:tc>
        <w:tc>
          <w:tcPr>
            <w:tcW w:w="652"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＜0.0003</w:t>
            </w:r>
          </w:p>
        </w:tc>
        <w:tc>
          <w:tcPr>
            <w:tcW w:w="773" w:type="pct"/>
            <w:noWrap w:val="0"/>
            <w:vAlign w:val="center"/>
          </w:tcPr>
          <w:p>
            <w:pPr>
              <w:ind w:left="-63" w:leftChars="-30" w:right="-63" w:rightChars="-3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＜0.0003</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p>
        </w:tc>
        <w:tc>
          <w:tcPr>
            <w:tcW w:w="1047"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总硬度</w:t>
            </w:r>
          </w:p>
        </w:tc>
        <w:tc>
          <w:tcPr>
            <w:tcW w:w="752"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mg/L</w:t>
            </w:r>
          </w:p>
        </w:tc>
        <w:tc>
          <w:tcPr>
            <w:tcW w:w="631"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264</w:t>
            </w:r>
          </w:p>
        </w:tc>
        <w:tc>
          <w:tcPr>
            <w:tcW w:w="652"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298</w:t>
            </w:r>
          </w:p>
        </w:tc>
        <w:tc>
          <w:tcPr>
            <w:tcW w:w="773" w:type="pct"/>
            <w:noWrap w:val="0"/>
            <w:vAlign w:val="center"/>
          </w:tcPr>
          <w:p>
            <w:pPr>
              <w:ind w:left="-63" w:leftChars="-30" w:right="-63" w:rightChars="-3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375</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p>
        </w:tc>
        <w:tc>
          <w:tcPr>
            <w:tcW w:w="1047"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氯化物</w:t>
            </w:r>
          </w:p>
        </w:tc>
        <w:tc>
          <w:tcPr>
            <w:tcW w:w="752"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mg/L</w:t>
            </w:r>
          </w:p>
        </w:tc>
        <w:tc>
          <w:tcPr>
            <w:tcW w:w="631"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16.4</w:t>
            </w:r>
          </w:p>
        </w:tc>
        <w:tc>
          <w:tcPr>
            <w:tcW w:w="652"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16.4</w:t>
            </w:r>
          </w:p>
        </w:tc>
        <w:tc>
          <w:tcPr>
            <w:tcW w:w="773" w:type="pct"/>
            <w:noWrap w:val="0"/>
            <w:vAlign w:val="center"/>
          </w:tcPr>
          <w:p>
            <w:pPr>
              <w:ind w:left="-63" w:leftChars="-30" w:right="-63" w:rightChars="-3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17.8</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p>
        </w:tc>
        <w:tc>
          <w:tcPr>
            <w:tcW w:w="1047"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硫化物</w:t>
            </w:r>
          </w:p>
        </w:tc>
        <w:tc>
          <w:tcPr>
            <w:tcW w:w="752"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mg/L</w:t>
            </w:r>
          </w:p>
        </w:tc>
        <w:tc>
          <w:tcPr>
            <w:tcW w:w="631"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＜0.005</w:t>
            </w:r>
          </w:p>
        </w:tc>
        <w:tc>
          <w:tcPr>
            <w:tcW w:w="652"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＜0.005</w:t>
            </w:r>
          </w:p>
        </w:tc>
        <w:tc>
          <w:tcPr>
            <w:tcW w:w="773" w:type="pct"/>
            <w:noWrap w:val="0"/>
            <w:vAlign w:val="center"/>
          </w:tcPr>
          <w:p>
            <w:pPr>
              <w:ind w:left="-63" w:leftChars="-30" w:right="-63" w:rightChars="-3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＜0.005</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p>
        </w:tc>
        <w:tc>
          <w:tcPr>
            <w:tcW w:w="1047"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溶解性固体</w:t>
            </w:r>
          </w:p>
        </w:tc>
        <w:tc>
          <w:tcPr>
            <w:tcW w:w="752"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mg/L</w:t>
            </w:r>
          </w:p>
        </w:tc>
        <w:tc>
          <w:tcPr>
            <w:tcW w:w="631"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284</w:t>
            </w:r>
          </w:p>
        </w:tc>
        <w:tc>
          <w:tcPr>
            <w:tcW w:w="652"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329</w:t>
            </w:r>
          </w:p>
        </w:tc>
        <w:tc>
          <w:tcPr>
            <w:tcW w:w="773" w:type="pct"/>
            <w:noWrap w:val="0"/>
            <w:vAlign w:val="center"/>
          </w:tcPr>
          <w:p>
            <w:pPr>
              <w:ind w:left="-63" w:leftChars="-30" w:right="-63" w:rightChars="-3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439</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p>
        </w:tc>
        <w:tc>
          <w:tcPr>
            <w:tcW w:w="1047"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耗氧量</w:t>
            </w:r>
          </w:p>
        </w:tc>
        <w:tc>
          <w:tcPr>
            <w:tcW w:w="752"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mg/L</w:t>
            </w:r>
          </w:p>
        </w:tc>
        <w:tc>
          <w:tcPr>
            <w:tcW w:w="631"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1.0</w:t>
            </w:r>
          </w:p>
        </w:tc>
        <w:tc>
          <w:tcPr>
            <w:tcW w:w="652"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0.9</w:t>
            </w:r>
          </w:p>
        </w:tc>
        <w:tc>
          <w:tcPr>
            <w:tcW w:w="773" w:type="pct"/>
            <w:noWrap w:val="0"/>
            <w:vAlign w:val="center"/>
          </w:tcPr>
          <w:p>
            <w:pPr>
              <w:ind w:left="-63" w:leftChars="-30" w:right="-63" w:rightChars="-3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0.9</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p>
        </w:tc>
        <w:tc>
          <w:tcPr>
            <w:tcW w:w="1047"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硫酸</w:t>
            </w:r>
            <w:r>
              <w:rPr>
                <w:rFonts w:hint="eastAsia" w:ascii="Times New Roman" w:hAnsi="Times New Roman" w:eastAsia="宋体" w:cs="Times New Roman"/>
                <w:color w:val="auto"/>
                <w:sz w:val="21"/>
                <w:szCs w:val="21"/>
                <w:highlight w:val="none"/>
                <w:lang w:val="en-US" w:eastAsia="zh-CN"/>
              </w:rPr>
              <w:t>盐</w:t>
            </w:r>
          </w:p>
        </w:tc>
        <w:tc>
          <w:tcPr>
            <w:tcW w:w="752"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mg/L</w:t>
            </w:r>
          </w:p>
        </w:tc>
        <w:tc>
          <w:tcPr>
            <w:tcW w:w="631"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30.6</w:t>
            </w:r>
          </w:p>
        </w:tc>
        <w:tc>
          <w:tcPr>
            <w:tcW w:w="652"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22.0</w:t>
            </w:r>
          </w:p>
        </w:tc>
        <w:tc>
          <w:tcPr>
            <w:tcW w:w="773" w:type="pct"/>
            <w:noWrap w:val="0"/>
            <w:vAlign w:val="center"/>
          </w:tcPr>
          <w:p>
            <w:pPr>
              <w:ind w:left="-63" w:leftChars="-30" w:right="-63" w:rightChars="-3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58.5</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p>
        </w:tc>
        <w:tc>
          <w:tcPr>
            <w:tcW w:w="1047"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总大肠菌群</w:t>
            </w:r>
          </w:p>
        </w:tc>
        <w:tc>
          <w:tcPr>
            <w:tcW w:w="752" w:type="pc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MPN/</w:t>
            </w:r>
            <w:r>
              <w:rPr>
                <w:rFonts w:hint="default" w:ascii="Times New Roman" w:hAnsi="Times New Roman" w:eastAsia="宋体" w:cs="Times New Roman"/>
                <w:color w:val="auto"/>
                <w:sz w:val="21"/>
                <w:szCs w:val="21"/>
                <w:highlight w:val="none"/>
                <w:lang w:eastAsia="zh-CN"/>
              </w:rPr>
              <w:t>100m</w:t>
            </w:r>
            <w:r>
              <w:rPr>
                <w:rFonts w:hint="default" w:ascii="Times New Roman" w:hAnsi="Times New Roman" w:eastAsia="宋体" w:cs="Times New Roman"/>
                <w:color w:val="auto"/>
                <w:sz w:val="21"/>
                <w:szCs w:val="21"/>
                <w:highlight w:val="none"/>
              </w:rPr>
              <w:t>L</w:t>
            </w:r>
          </w:p>
        </w:tc>
        <w:tc>
          <w:tcPr>
            <w:tcW w:w="631" w:type="pct"/>
            <w:noWrap w:val="0"/>
            <w:vAlign w:val="center"/>
          </w:tcPr>
          <w:p>
            <w:pPr>
              <w:jc w:val="center"/>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＜2</w:t>
            </w:r>
          </w:p>
        </w:tc>
        <w:tc>
          <w:tcPr>
            <w:tcW w:w="652" w:type="pct"/>
            <w:noWrap w:val="0"/>
            <w:vAlign w:val="center"/>
          </w:tcPr>
          <w:p>
            <w:pPr>
              <w:jc w:val="center"/>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＜2</w:t>
            </w:r>
          </w:p>
        </w:tc>
        <w:tc>
          <w:tcPr>
            <w:tcW w:w="773" w:type="pct"/>
            <w:noWrap w:val="0"/>
            <w:vAlign w:val="center"/>
          </w:tcPr>
          <w:p>
            <w:pPr>
              <w:jc w:val="center"/>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＜2</w:t>
            </w:r>
          </w:p>
        </w:tc>
        <w:tc>
          <w:tcPr>
            <w:tcW w:w="5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达标</w:t>
            </w:r>
          </w:p>
        </w:tc>
      </w:tr>
    </w:tbl>
    <w:p>
      <w:pPr>
        <w:pStyle w:val="16"/>
        <w:rPr>
          <w:rFonts w:hint="eastAsia" w:ascii="Times New Roman" w:hAnsi="Times New Roman"/>
          <w:color w:val="auto"/>
          <w:sz w:val="21"/>
          <w:szCs w:val="21"/>
        </w:rPr>
      </w:pPr>
    </w:p>
    <w:p>
      <w:pPr>
        <w:adjustRightInd w:val="0"/>
        <w:snapToGrid w:val="0"/>
        <w:spacing w:line="360" w:lineRule="auto"/>
        <w:ind w:firstLine="480" w:firstLineChars="2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（5）地下水质量现状评价</w:t>
      </w:r>
    </w:p>
    <w:p>
      <w:pPr>
        <w:adjustRightInd w:val="0"/>
        <w:snapToGrid w:val="0"/>
        <w:spacing w:line="360" w:lineRule="auto"/>
        <w:ind w:firstLine="480" w:firstLineChars="200"/>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①评价标准</w:t>
      </w:r>
    </w:p>
    <w:p>
      <w:pPr>
        <w:adjustRightInd w:val="0"/>
        <w:snapToGrid w:val="0"/>
        <w:spacing w:line="360" w:lineRule="auto"/>
        <w:ind w:firstLine="480" w:firstLineChars="200"/>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按《地下水质量标准》（GB/T14848-2017）Ⅲ类水质标准进行评价。</w:t>
      </w:r>
    </w:p>
    <w:p>
      <w:pPr>
        <w:adjustRightInd w:val="0"/>
        <w:snapToGrid w:val="0"/>
        <w:spacing w:line="360" w:lineRule="auto"/>
        <w:ind w:firstLine="480" w:firstLineChars="200"/>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②评价方法</w:t>
      </w:r>
    </w:p>
    <w:p>
      <w:pPr>
        <w:adjustRightInd w:val="0"/>
        <w:snapToGrid w:val="0"/>
        <w:spacing w:line="360" w:lineRule="auto"/>
        <w:ind w:firstLine="480" w:firstLineChars="2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eastAsia="zh-CN"/>
        </w:rPr>
        <w:t>采用标准指数法进行地下水环境现状评价，计算公式如下：</w:t>
      </w:r>
    </w:p>
    <w:p>
      <w:pPr>
        <w:tabs>
          <w:tab w:val="left" w:pos="2840"/>
        </w:tabs>
        <w:ind w:firstLine="480"/>
        <w:jc w:val="center"/>
        <w:rPr>
          <w:color w:val="auto"/>
        </w:rPr>
      </w:pPr>
      <w:r>
        <w:rPr>
          <w:color w:val="auto"/>
          <w:position w:val="-34"/>
        </w:rPr>
        <w:object>
          <v:shape id="_x0000_i1031" o:spt="75" type="#_x0000_t75" style="height:35pt;width:44pt;" o:ole="t" filled="f" o:preferrelative="t" stroked="f" coordsize="21600,21600">
            <v:path/>
            <v:fill on="f" focussize="0,0"/>
            <v:stroke on="f"/>
            <v:imagedata r:id="rId43" o:title=""/>
            <o:lock v:ext="edit" grouping="f" rotation="f" text="f" aspectratio="f"/>
            <w10:wrap type="none"/>
            <w10:anchorlock/>
          </v:shape>
          <o:OLEObject Type="Embed" ProgID="Equation.3" ShapeID="_x0000_i1031" DrawAspect="Content" ObjectID="_1468075731" r:id="rId48">
            <o:LockedField>false</o:LockedField>
          </o:OLEObject>
        </w:object>
      </w:r>
    </w:p>
    <w:p>
      <w:pPr>
        <w:adjustRightInd w:val="0"/>
        <w:snapToGrid w:val="0"/>
        <w:spacing w:line="360" w:lineRule="auto"/>
        <w:ind w:firstLine="480" w:firstLineChars="200"/>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式中：Pi——第i水质因子的标准指数，量纲为1；</w:t>
      </w:r>
    </w:p>
    <w:p>
      <w:pPr>
        <w:adjustRightInd w:val="0"/>
        <w:snapToGrid w:val="0"/>
        <w:spacing w:line="360" w:lineRule="auto"/>
        <w:ind w:firstLine="1200" w:firstLineChars="500"/>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Ci——第i水质因子的监测浓度值，mg/L；</w:t>
      </w:r>
    </w:p>
    <w:p>
      <w:pPr>
        <w:adjustRightInd w:val="0"/>
        <w:snapToGrid w:val="0"/>
        <w:spacing w:line="360" w:lineRule="auto"/>
        <w:ind w:firstLine="1200" w:firstLineChars="500"/>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Csi——第i水质因子标准浓度值，mg/L。</w:t>
      </w:r>
    </w:p>
    <w:p>
      <w:pPr>
        <w:adjustRightInd w:val="0"/>
        <w:snapToGrid w:val="0"/>
        <w:spacing w:line="360" w:lineRule="auto"/>
        <w:ind w:firstLine="480" w:firstLineChars="200"/>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pH的标准指数为：</w:t>
      </w:r>
    </w:p>
    <w:p>
      <w:pPr>
        <w:ind w:firstLine="480"/>
        <w:jc w:val="center"/>
        <w:rPr>
          <w:color w:val="auto"/>
          <w:position w:val="-30"/>
        </w:rPr>
      </w:pPr>
      <w:r>
        <w:rPr>
          <w:color w:val="auto"/>
          <w:position w:val="-34"/>
        </w:rPr>
        <w:object>
          <v:shape id="_x0000_i1032" o:spt="75" type="#_x0000_t75" style="height:34pt;width:145pt;" o:ole="t" filled="f" o:preferrelative="t" stroked="f" coordsize="21600,21600">
            <v:path/>
            <v:fill on="f" focussize="0,0"/>
            <v:stroke on="f"/>
            <v:imagedata r:id="rId45" o:title=""/>
            <o:lock v:ext="edit" grouping="f" rotation="f" text="f" aspectratio="f"/>
            <w10:wrap type="none"/>
            <w10:anchorlock/>
          </v:shape>
          <o:OLEObject Type="Embed" ProgID="Equation.3" ShapeID="_x0000_i1032" DrawAspect="Content" ObjectID="_1468075732" r:id="rId49">
            <o:LockedField>false</o:LockedField>
          </o:OLEObject>
        </w:object>
      </w:r>
    </w:p>
    <w:p>
      <w:pPr>
        <w:ind w:firstLine="480"/>
        <w:jc w:val="center"/>
        <w:rPr>
          <w:color w:val="auto"/>
        </w:rPr>
      </w:pPr>
      <w:r>
        <w:rPr>
          <w:color w:val="auto"/>
          <w:position w:val="-34"/>
        </w:rPr>
        <w:object>
          <v:shape id="_x0000_i1033" o:spt="75" type="#_x0000_t75" style="height:34pt;width:142pt;" o:ole="t" filled="f" o:preferrelative="t" stroked="f" coordsize="21600,21600">
            <v:path/>
            <v:fill on="f" focussize="0,0"/>
            <v:stroke on="f"/>
            <v:imagedata r:id="rId47" o:title=""/>
            <o:lock v:ext="edit" grouping="f" rotation="f" text="f" aspectratio="f"/>
            <w10:wrap type="none"/>
            <w10:anchorlock/>
          </v:shape>
          <o:OLEObject Type="Embed" ProgID="Equation.3" ShapeID="_x0000_i1033" DrawAspect="Content" ObjectID="_1468075733" r:id="rId50">
            <o:LockedField>false</o:LockedField>
          </o:OLEObject>
        </w:object>
      </w:r>
    </w:p>
    <w:p>
      <w:pPr>
        <w:adjustRightInd w:val="0"/>
        <w:snapToGrid w:val="0"/>
        <w:spacing w:line="360" w:lineRule="auto"/>
        <w:ind w:firstLine="480" w:firstLineChars="200"/>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式中：PpH——pH的标准指数，量纲为1；</w:t>
      </w:r>
    </w:p>
    <w:p>
      <w:pPr>
        <w:adjustRightInd w:val="0"/>
        <w:snapToGrid w:val="0"/>
        <w:spacing w:line="360" w:lineRule="auto"/>
        <w:ind w:firstLine="1200" w:firstLineChars="500"/>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pH——pH监测值；</w:t>
      </w:r>
    </w:p>
    <w:p>
      <w:pPr>
        <w:adjustRightInd w:val="0"/>
        <w:snapToGrid w:val="0"/>
        <w:spacing w:line="360" w:lineRule="auto"/>
        <w:ind w:firstLine="1200" w:firstLineChars="500"/>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pHsd——地下水质标准中规定的pH值下限；</w:t>
      </w:r>
    </w:p>
    <w:p>
      <w:pPr>
        <w:adjustRightInd w:val="0"/>
        <w:snapToGrid w:val="0"/>
        <w:spacing w:line="360" w:lineRule="auto"/>
        <w:ind w:firstLine="1200" w:firstLineChars="500"/>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pHsu——地下水质标准中规定的pH值上限。</w:t>
      </w:r>
    </w:p>
    <w:p>
      <w:pPr>
        <w:adjustRightInd w:val="0"/>
        <w:snapToGrid w:val="0"/>
        <w:spacing w:line="360" w:lineRule="auto"/>
        <w:ind w:firstLine="480" w:firstLineChars="200"/>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③评价结果</w:t>
      </w:r>
    </w:p>
    <w:p>
      <w:pPr>
        <w:adjustRightInd w:val="0"/>
        <w:snapToGrid w:val="0"/>
        <w:spacing w:line="360" w:lineRule="auto"/>
        <w:ind w:firstLine="480" w:firstLineChars="200"/>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由结果可以看出，项目所在区域各监测点地下水监测因子均能满足《地下水质量标准》（GB/T14848-2017）中III类标准要求，项目区地下水水质现状较好。</w:t>
      </w:r>
    </w:p>
    <w:p>
      <w:pPr>
        <w:pStyle w:val="6"/>
        <w:adjustRightInd w:val="0"/>
        <w:snapToGrid w:val="0"/>
        <w:spacing w:before="0" w:after="0" w:line="360" w:lineRule="auto"/>
        <w:rPr>
          <w:rFonts w:ascii="Times New Roman" w:hAnsi="Times New Roman" w:eastAsia="宋体"/>
          <w:color w:val="auto"/>
          <w:sz w:val="28"/>
          <w:szCs w:val="28"/>
          <w:highlight w:val="none"/>
        </w:rPr>
      </w:pPr>
      <w:r>
        <w:rPr>
          <w:rFonts w:hint="eastAsia" w:ascii="Times New Roman" w:hAnsi="Times New Roman" w:eastAsia="宋体"/>
          <w:color w:val="auto"/>
          <w:sz w:val="28"/>
          <w:szCs w:val="28"/>
          <w:highlight w:val="none"/>
        </w:rPr>
        <w:t>4.3.4声环境质量现状评价</w:t>
      </w:r>
    </w:p>
    <w:p>
      <w:pPr>
        <w:adjustRightInd w:val="0"/>
        <w:snapToGrid w:val="0"/>
        <w:spacing w:line="360" w:lineRule="auto"/>
        <w:ind w:firstLine="480" w:firstLineChars="200"/>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建设单位</w:t>
      </w:r>
      <w:r>
        <w:rPr>
          <w:rFonts w:hint="eastAsia" w:ascii="Times New Roman" w:hAnsi="Times New Roman" w:eastAsia="宋体" w:cs="Times New Roman"/>
          <w:color w:val="auto"/>
          <w:sz w:val="24"/>
          <w:highlight w:val="none"/>
          <w:lang w:eastAsia="zh-CN"/>
        </w:rPr>
        <w:t>委托四川地风升检测服务有限公司</w:t>
      </w:r>
      <w:r>
        <w:rPr>
          <w:rFonts w:hint="eastAsia" w:ascii="Times New Roman" w:hAnsi="Times New Roman" w:eastAsia="宋体" w:cs="Times New Roman"/>
          <w:color w:val="auto"/>
          <w:sz w:val="24"/>
          <w:highlight w:val="none"/>
        </w:rPr>
        <w:t>于</w:t>
      </w:r>
      <w:r>
        <w:rPr>
          <w:rFonts w:hint="eastAsia" w:ascii="Times New Roman" w:hAnsi="Times New Roman" w:eastAsia="宋体" w:cs="Times New Roman"/>
          <w:color w:val="auto"/>
          <w:sz w:val="24"/>
          <w:highlight w:val="none"/>
          <w:lang w:val="en-US" w:eastAsia="zh-CN"/>
        </w:rPr>
        <w:t>2020</w:t>
      </w:r>
      <w:r>
        <w:rPr>
          <w:rFonts w:hint="eastAsia" w:ascii="Times New Roman" w:hAnsi="Times New Roman" w:eastAsia="宋体" w:cs="Times New Roman"/>
          <w:color w:val="auto"/>
          <w:sz w:val="24"/>
          <w:highlight w:val="none"/>
          <w:lang w:eastAsia="zh-CN"/>
        </w:rPr>
        <w:t>年</w:t>
      </w:r>
      <w:r>
        <w:rPr>
          <w:rFonts w:hint="eastAsia" w:ascii="Times New Roman" w:hAnsi="Times New Roman" w:eastAsia="宋体" w:cs="Times New Roman"/>
          <w:color w:val="auto"/>
          <w:sz w:val="24"/>
          <w:highlight w:val="none"/>
          <w:lang w:val="en-US" w:eastAsia="zh-CN"/>
        </w:rPr>
        <w:t>10</w:t>
      </w:r>
      <w:r>
        <w:rPr>
          <w:rFonts w:hint="eastAsia" w:ascii="Times New Roman" w:hAnsi="Times New Roman" w:eastAsia="宋体" w:cs="Times New Roman"/>
          <w:color w:val="auto"/>
          <w:sz w:val="24"/>
          <w:highlight w:val="none"/>
          <w:lang w:eastAsia="zh-CN"/>
        </w:rPr>
        <w:t>月</w:t>
      </w:r>
      <w:r>
        <w:rPr>
          <w:rFonts w:hint="eastAsia" w:ascii="Times New Roman" w:hAnsi="Times New Roman" w:eastAsia="宋体" w:cs="Times New Roman"/>
          <w:color w:val="auto"/>
          <w:sz w:val="24"/>
          <w:highlight w:val="none"/>
          <w:lang w:val="en-US" w:eastAsia="zh-CN"/>
        </w:rPr>
        <w:t>10</w:t>
      </w:r>
      <w:r>
        <w:rPr>
          <w:rFonts w:hint="eastAsia" w:ascii="Times New Roman" w:hAnsi="Times New Roman" w:eastAsia="宋体" w:cs="Times New Roman"/>
          <w:color w:val="auto"/>
          <w:sz w:val="24"/>
          <w:highlight w:val="none"/>
        </w:rPr>
        <w:t>日</w:t>
      </w:r>
      <w:r>
        <w:rPr>
          <w:rFonts w:hint="eastAsia" w:ascii="Times New Roman" w:hAnsi="Times New Roman" w:eastAsia="宋体" w:cs="Times New Roman"/>
          <w:color w:val="auto"/>
          <w:sz w:val="24"/>
          <w:highlight w:val="none"/>
          <w:lang w:eastAsia="zh-CN"/>
        </w:rPr>
        <w:t>至</w:t>
      </w:r>
      <w:r>
        <w:rPr>
          <w:rFonts w:hint="eastAsia" w:ascii="Times New Roman" w:hAnsi="Times New Roman" w:eastAsia="宋体" w:cs="Times New Roman"/>
          <w:color w:val="auto"/>
          <w:sz w:val="24"/>
          <w:highlight w:val="none"/>
          <w:lang w:val="en-US" w:eastAsia="zh-CN"/>
        </w:rPr>
        <w:t>11</w:t>
      </w:r>
      <w:r>
        <w:rPr>
          <w:rFonts w:hint="eastAsia" w:ascii="Times New Roman" w:hAnsi="Times New Roman" w:eastAsia="宋体" w:cs="Times New Roman"/>
          <w:color w:val="auto"/>
          <w:sz w:val="24"/>
          <w:highlight w:val="none"/>
          <w:lang w:eastAsia="zh-CN"/>
        </w:rPr>
        <w:t>日</w:t>
      </w:r>
      <w:r>
        <w:rPr>
          <w:rFonts w:hint="eastAsia" w:ascii="Times New Roman" w:hAnsi="Times New Roman" w:eastAsia="宋体" w:cs="Times New Roman"/>
          <w:color w:val="auto"/>
          <w:sz w:val="24"/>
          <w:highlight w:val="none"/>
        </w:rPr>
        <w:t>对项目地声环境质量现状进行了实测；在项目地边界四周共设</w:t>
      </w:r>
      <w:r>
        <w:rPr>
          <w:rFonts w:hint="eastAsia" w:ascii="Times New Roman" w:hAnsi="Times New Roman" w:eastAsia="宋体" w:cs="Times New Roman"/>
          <w:color w:val="auto"/>
          <w:sz w:val="24"/>
          <w:highlight w:val="none"/>
          <w:lang w:eastAsia="zh-CN"/>
        </w:rPr>
        <w:t>5</w:t>
      </w:r>
      <w:r>
        <w:rPr>
          <w:rFonts w:hint="eastAsia" w:ascii="Times New Roman" w:hAnsi="Times New Roman" w:eastAsia="宋体" w:cs="Times New Roman"/>
          <w:color w:val="auto"/>
          <w:sz w:val="24"/>
          <w:highlight w:val="none"/>
        </w:rPr>
        <w:t>个代表性的噪声监测点位</w:t>
      </w:r>
      <w:r>
        <w:rPr>
          <w:rFonts w:ascii="Times New Roman" w:hAnsi="Times New Roman" w:eastAsia="宋体" w:cs="Times New Roman"/>
          <w:color w:val="auto"/>
          <w:sz w:val="24"/>
          <w:highlight w:val="none"/>
        </w:rPr>
        <w:t>。</w:t>
      </w:r>
    </w:p>
    <w:p>
      <w:pPr>
        <w:numPr>
          <w:ilvl w:val="0"/>
          <w:numId w:val="20"/>
        </w:numPr>
        <w:adjustRightInd w:val="0"/>
        <w:snapToGrid w:val="0"/>
        <w:spacing w:line="360" w:lineRule="auto"/>
        <w:ind w:firstLine="480" w:firstLineChars="200"/>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监测布点</w:t>
      </w:r>
    </w:p>
    <w:p>
      <w:pPr>
        <w:adjustRightInd w:val="0"/>
        <w:snapToGrid w:val="0"/>
        <w:spacing w:line="360" w:lineRule="auto"/>
        <w:ind w:firstLine="480" w:firstLineChars="200"/>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选择具有代表性的点进行声环境现状监测，监测点位见</w:t>
      </w:r>
      <w:r>
        <w:rPr>
          <w:rFonts w:hint="eastAsia" w:ascii="Times New Roman" w:hAnsi="Times New Roman" w:eastAsia="宋体"/>
          <w:color w:val="auto"/>
          <w:sz w:val="24"/>
          <w:szCs w:val="24"/>
          <w:highlight w:val="none"/>
        </w:rPr>
        <w:t>下表：</w:t>
      </w:r>
    </w:p>
    <w:p>
      <w:pPr>
        <w:ind w:left="420" w:leftChars="200"/>
        <w:jc w:val="center"/>
        <w:rPr>
          <w:rFonts w:ascii="Times New Roman" w:hAnsi="Times New Roman" w:eastAsia="宋体"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表4.3-</w:t>
      </w:r>
      <w:r>
        <w:rPr>
          <w:rFonts w:hint="eastAsia" w:ascii="Times New Roman" w:hAnsi="Times New Roman" w:eastAsia="宋体" w:cs="Times New Roman"/>
          <w:b/>
          <w:bCs/>
          <w:color w:val="auto"/>
          <w:sz w:val="21"/>
          <w:szCs w:val="21"/>
          <w:highlight w:val="none"/>
          <w:lang w:val="en-US" w:eastAsia="zh-CN"/>
        </w:rPr>
        <w:t>11</w:t>
      </w:r>
      <w:r>
        <w:rPr>
          <w:rFonts w:hint="eastAsia" w:ascii="Times New Roman" w:hAnsi="Times New Roman" w:eastAsia="宋体" w:cs="Times New Roman"/>
          <w:b/>
          <w:bCs/>
          <w:color w:val="auto"/>
          <w:sz w:val="21"/>
          <w:szCs w:val="21"/>
          <w:highlight w:val="none"/>
        </w:rPr>
        <w:t xml:space="preserve">  声环境监测布点</w:t>
      </w:r>
    </w:p>
    <w:tbl>
      <w:tblPr>
        <w:tblStyle w:val="35"/>
        <w:tblW w:w="922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95"/>
        <w:gridCol w:w="4500"/>
        <w:gridCol w:w="292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795" w:type="dxa"/>
            <w:tcBorders>
              <w:tl2br w:val="nil"/>
              <w:tr2bl w:val="nil"/>
            </w:tcBorders>
            <w:vAlign w:val="center"/>
          </w:tcPr>
          <w:p>
            <w:pPr>
              <w:jc w:val="center"/>
              <w:rPr>
                <w:rFonts w:ascii="Times New Roman" w:hAnsi="Times New Roman" w:eastAsia="宋体" w:cs="Times New Roman"/>
                <w:b/>
                <w:bCs/>
                <w:color w:val="auto"/>
                <w:szCs w:val="21"/>
                <w:highlight w:val="none"/>
              </w:rPr>
            </w:pPr>
            <w:r>
              <w:rPr>
                <w:rFonts w:hint="eastAsia" w:ascii="Times New Roman" w:hAnsi="Times New Roman" w:eastAsia="宋体" w:cs="Times New Roman"/>
                <w:b/>
                <w:bCs/>
                <w:color w:val="auto"/>
                <w:szCs w:val="21"/>
                <w:highlight w:val="none"/>
              </w:rPr>
              <w:t>序号</w:t>
            </w:r>
          </w:p>
        </w:tc>
        <w:tc>
          <w:tcPr>
            <w:tcW w:w="4500" w:type="dxa"/>
            <w:tcBorders>
              <w:tl2br w:val="nil"/>
              <w:tr2bl w:val="nil"/>
            </w:tcBorders>
            <w:vAlign w:val="center"/>
          </w:tcPr>
          <w:p>
            <w:pPr>
              <w:jc w:val="center"/>
              <w:rPr>
                <w:rFonts w:ascii="Times New Roman" w:hAnsi="Times New Roman" w:eastAsia="宋体" w:cs="Times New Roman"/>
                <w:b/>
                <w:bCs/>
                <w:color w:val="auto"/>
                <w:szCs w:val="21"/>
                <w:highlight w:val="none"/>
              </w:rPr>
            </w:pPr>
            <w:r>
              <w:rPr>
                <w:rFonts w:hint="eastAsia" w:ascii="Times New Roman" w:hAnsi="Times New Roman" w:eastAsia="宋体" w:cs="Times New Roman"/>
                <w:b/>
                <w:bCs/>
                <w:color w:val="auto"/>
                <w:szCs w:val="21"/>
                <w:highlight w:val="none"/>
              </w:rPr>
              <w:t>监测点位</w:t>
            </w:r>
          </w:p>
        </w:tc>
        <w:tc>
          <w:tcPr>
            <w:tcW w:w="2925" w:type="dxa"/>
            <w:tcBorders>
              <w:tl2br w:val="nil"/>
              <w:tr2bl w:val="nil"/>
            </w:tcBorders>
            <w:vAlign w:val="center"/>
          </w:tcPr>
          <w:p>
            <w:pPr>
              <w:jc w:val="center"/>
              <w:rPr>
                <w:rFonts w:hint="eastAsia" w:ascii="Times New Roman" w:hAnsi="Times New Roman" w:eastAsia="宋体" w:cs="Times New Roman"/>
                <w:b/>
                <w:bCs/>
                <w:color w:val="auto"/>
                <w:szCs w:val="21"/>
                <w:highlight w:val="none"/>
                <w:lang w:eastAsia="zh-CN"/>
              </w:rPr>
            </w:pPr>
            <w:r>
              <w:rPr>
                <w:rFonts w:hint="eastAsia" w:ascii="Times New Roman" w:hAnsi="Times New Roman" w:eastAsia="宋体" w:cs="Times New Roman"/>
                <w:b/>
                <w:bCs/>
                <w:color w:val="auto"/>
                <w:szCs w:val="21"/>
                <w:highlight w:val="none"/>
                <w:lang w:eastAsia="zh-CN"/>
              </w:rPr>
              <w:t>监测频次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795" w:type="dxa"/>
            <w:tcBorders>
              <w:tl2br w:val="nil"/>
              <w:tr2bl w:val="nil"/>
            </w:tcBorders>
            <w:vAlign w:val="center"/>
          </w:tcPr>
          <w:p>
            <w:pPr>
              <w:pStyle w:val="140"/>
              <w:spacing w:line="240" w:lineRule="auto"/>
              <w:ind w:right="15" w:rightChars="7"/>
              <w:rPr>
                <w:rFonts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w:t>
            </w:r>
          </w:p>
        </w:tc>
        <w:tc>
          <w:tcPr>
            <w:tcW w:w="4500" w:type="dxa"/>
            <w:tcBorders>
              <w:tl2br w:val="nil"/>
              <w:tr2bl w:val="nil"/>
            </w:tcBorders>
            <w:vAlign w:val="center"/>
          </w:tcPr>
          <w:p>
            <w:pPr>
              <w:spacing w:line="360" w:lineRule="exact"/>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kern w:val="2"/>
                <w:sz w:val="21"/>
                <w:szCs w:val="21"/>
                <w:highlight w:val="none"/>
                <w:lang w:eastAsia="zh-CN" w:bidi="ar"/>
              </w:rPr>
              <w:t>厂界外</w:t>
            </w:r>
            <w:r>
              <w:rPr>
                <w:rFonts w:hint="eastAsia" w:ascii="Times New Roman" w:hAnsi="Times New Roman" w:eastAsia="宋体" w:cs="Times New Roman"/>
                <w:color w:val="auto"/>
                <w:kern w:val="2"/>
                <w:sz w:val="21"/>
                <w:szCs w:val="24"/>
                <w:highlight w:val="none"/>
                <w:lang w:val="en-US" w:eastAsia="zh-CN" w:bidi="ar"/>
              </w:rPr>
              <w:t>北</w:t>
            </w:r>
            <w:r>
              <w:rPr>
                <w:rFonts w:hint="default" w:ascii="Times New Roman" w:hAnsi="Times New Roman" w:eastAsia="宋体" w:cs="Times New Roman"/>
                <w:color w:val="auto"/>
                <w:kern w:val="2"/>
                <w:sz w:val="21"/>
                <w:szCs w:val="21"/>
                <w:highlight w:val="none"/>
                <w:lang w:eastAsia="zh-CN" w:bidi="ar"/>
              </w:rPr>
              <w:t>侧约1m（1#）</w:t>
            </w:r>
          </w:p>
        </w:tc>
        <w:tc>
          <w:tcPr>
            <w:tcW w:w="2925" w:type="dxa"/>
            <w:vMerge w:val="restart"/>
            <w:tcBorders>
              <w:tl2br w:val="nil"/>
              <w:tr2bl w:val="nil"/>
            </w:tcBorders>
            <w:vAlign w:val="center"/>
          </w:tcPr>
          <w:p>
            <w:pPr>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监测两天，每天昼夜各一次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795" w:type="dxa"/>
            <w:tcBorders>
              <w:tl2br w:val="nil"/>
              <w:tr2bl w:val="nil"/>
            </w:tcBorders>
            <w:vAlign w:val="center"/>
          </w:tcPr>
          <w:p>
            <w:pPr>
              <w:pStyle w:val="140"/>
              <w:spacing w:line="240" w:lineRule="auto"/>
              <w:ind w:right="15" w:rightChars="7"/>
              <w:rPr>
                <w:rFonts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w:t>
            </w:r>
          </w:p>
        </w:tc>
        <w:tc>
          <w:tcPr>
            <w:tcW w:w="4500" w:type="dxa"/>
            <w:tcBorders>
              <w:tl2br w:val="nil"/>
              <w:tr2bl w:val="nil"/>
            </w:tcBorders>
            <w:vAlign w:val="center"/>
          </w:tcPr>
          <w:p>
            <w:pPr>
              <w:spacing w:line="360" w:lineRule="exact"/>
              <w:jc w:val="center"/>
              <w:rPr>
                <w:rFonts w:hint="eastAsia"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kern w:val="2"/>
                <w:sz w:val="21"/>
                <w:szCs w:val="21"/>
                <w:highlight w:val="none"/>
                <w:lang w:eastAsia="zh-CN" w:bidi="ar"/>
              </w:rPr>
              <w:t>厂界外</w:t>
            </w:r>
            <w:r>
              <w:rPr>
                <w:rFonts w:hint="eastAsia" w:ascii="Times New Roman" w:hAnsi="Times New Roman" w:eastAsia="宋体" w:cs="Times New Roman"/>
                <w:color w:val="auto"/>
                <w:kern w:val="2"/>
                <w:sz w:val="21"/>
                <w:szCs w:val="21"/>
                <w:highlight w:val="none"/>
                <w:lang w:val="en-US" w:eastAsia="zh-CN" w:bidi="ar"/>
              </w:rPr>
              <w:t>东</w:t>
            </w:r>
            <w:r>
              <w:rPr>
                <w:rFonts w:hint="default" w:ascii="Times New Roman" w:hAnsi="Times New Roman" w:eastAsia="宋体" w:cs="Times New Roman"/>
                <w:color w:val="auto"/>
                <w:kern w:val="2"/>
                <w:sz w:val="21"/>
                <w:szCs w:val="21"/>
                <w:highlight w:val="none"/>
                <w:lang w:eastAsia="zh-CN" w:bidi="ar"/>
              </w:rPr>
              <w:t>侧约1m（2#）</w:t>
            </w:r>
          </w:p>
        </w:tc>
        <w:tc>
          <w:tcPr>
            <w:tcW w:w="2925" w:type="dxa"/>
            <w:vMerge w:val="continue"/>
            <w:tcBorders>
              <w:tl2br w:val="nil"/>
              <w:tr2bl w:val="nil"/>
            </w:tcBorders>
            <w:vAlign w:val="center"/>
          </w:tcPr>
          <w:p>
            <w:pPr>
              <w:jc w:val="center"/>
              <w:rPr>
                <w:rFonts w:ascii="Times New Roman" w:hAnsi="Times New Roman" w:eastAsia="宋体" w:cs="Times New Roman"/>
                <w:color w:val="auto"/>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795" w:type="dxa"/>
            <w:tcBorders>
              <w:tl2br w:val="nil"/>
              <w:tr2bl w:val="nil"/>
            </w:tcBorders>
            <w:vAlign w:val="center"/>
          </w:tcPr>
          <w:p>
            <w:pPr>
              <w:pStyle w:val="140"/>
              <w:spacing w:line="240" w:lineRule="auto"/>
              <w:ind w:right="15" w:rightChars="7"/>
              <w:rPr>
                <w:rFonts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w:t>
            </w:r>
          </w:p>
        </w:tc>
        <w:tc>
          <w:tcPr>
            <w:tcW w:w="4500" w:type="dxa"/>
            <w:tcBorders>
              <w:tl2br w:val="nil"/>
              <w:tr2bl w:val="nil"/>
            </w:tcBorders>
            <w:vAlign w:val="center"/>
          </w:tcPr>
          <w:p>
            <w:pPr>
              <w:spacing w:line="360" w:lineRule="exact"/>
              <w:jc w:val="center"/>
              <w:rPr>
                <w:rFonts w:hint="eastAsia"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kern w:val="2"/>
                <w:sz w:val="21"/>
                <w:szCs w:val="21"/>
                <w:highlight w:val="none"/>
                <w:lang w:eastAsia="zh-CN" w:bidi="ar"/>
              </w:rPr>
              <w:t>厂界外</w:t>
            </w:r>
            <w:r>
              <w:rPr>
                <w:rFonts w:hint="eastAsia" w:ascii="Times New Roman" w:hAnsi="Times New Roman" w:eastAsia="宋体" w:cs="Times New Roman"/>
                <w:color w:val="auto"/>
                <w:kern w:val="2"/>
                <w:sz w:val="21"/>
                <w:szCs w:val="24"/>
                <w:highlight w:val="none"/>
                <w:lang w:val="en-US" w:eastAsia="zh-CN" w:bidi="ar"/>
              </w:rPr>
              <w:t>南</w:t>
            </w:r>
            <w:r>
              <w:rPr>
                <w:rFonts w:hint="default" w:ascii="Times New Roman" w:hAnsi="Times New Roman" w:eastAsia="宋体" w:cs="Times New Roman"/>
                <w:color w:val="auto"/>
                <w:kern w:val="2"/>
                <w:sz w:val="21"/>
                <w:szCs w:val="21"/>
                <w:highlight w:val="none"/>
                <w:lang w:eastAsia="zh-CN" w:bidi="ar"/>
              </w:rPr>
              <w:t>侧约1m（3#）</w:t>
            </w:r>
          </w:p>
        </w:tc>
        <w:tc>
          <w:tcPr>
            <w:tcW w:w="2925" w:type="dxa"/>
            <w:vMerge w:val="continue"/>
            <w:tcBorders>
              <w:tl2br w:val="nil"/>
              <w:tr2bl w:val="nil"/>
            </w:tcBorders>
            <w:vAlign w:val="center"/>
          </w:tcPr>
          <w:p>
            <w:pPr>
              <w:jc w:val="center"/>
              <w:rPr>
                <w:rFonts w:ascii="Times New Roman" w:hAnsi="Times New Roman" w:eastAsia="宋体" w:cs="Times New Roman"/>
                <w:color w:val="auto"/>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795" w:type="dxa"/>
            <w:tcBorders>
              <w:tl2br w:val="nil"/>
              <w:tr2bl w:val="nil"/>
            </w:tcBorders>
            <w:vAlign w:val="center"/>
          </w:tcPr>
          <w:p>
            <w:pPr>
              <w:pStyle w:val="140"/>
              <w:spacing w:line="240" w:lineRule="auto"/>
              <w:ind w:right="15" w:rightChars="7"/>
              <w:rPr>
                <w:rFonts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w:t>
            </w:r>
          </w:p>
        </w:tc>
        <w:tc>
          <w:tcPr>
            <w:tcW w:w="4500" w:type="dxa"/>
            <w:tcBorders>
              <w:tl2br w:val="nil"/>
              <w:tr2bl w:val="nil"/>
            </w:tcBorders>
            <w:vAlign w:val="center"/>
          </w:tcPr>
          <w:p>
            <w:pPr>
              <w:spacing w:line="360" w:lineRule="exact"/>
              <w:jc w:val="center"/>
              <w:rPr>
                <w:rFonts w:hint="eastAsia"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kern w:val="2"/>
                <w:sz w:val="21"/>
                <w:szCs w:val="21"/>
                <w:highlight w:val="none"/>
                <w:lang w:eastAsia="zh-CN" w:bidi="ar"/>
              </w:rPr>
              <w:t>厂界外</w:t>
            </w:r>
            <w:r>
              <w:rPr>
                <w:rFonts w:hint="eastAsia" w:ascii="Times New Roman" w:hAnsi="Times New Roman" w:eastAsia="宋体" w:cs="Times New Roman"/>
                <w:color w:val="auto"/>
                <w:kern w:val="2"/>
                <w:sz w:val="21"/>
                <w:szCs w:val="24"/>
                <w:highlight w:val="none"/>
                <w:lang w:val="en-US" w:eastAsia="zh-CN" w:bidi="ar"/>
              </w:rPr>
              <w:t>西</w:t>
            </w:r>
            <w:r>
              <w:rPr>
                <w:rFonts w:hint="default" w:ascii="Times New Roman" w:hAnsi="Times New Roman" w:eastAsia="宋体" w:cs="Times New Roman"/>
                <w:color w:val="auto"/>
                <w:kern w:val="2"/>
                <w:sz w:val="21"/>
                <w:szCs w:val="21"/>
                <w:highlight w:val="none"/>
                <w:lang w:eastAsia="zh-CN" w:bidi="ar"/>
              </w:rPr>
              <w:t>侧约1m（4#）</w:t>
            </w:r>
          </w:p>
        </w:tc>
        <w:tc>
          <w:tcPr>
            <w:tcW w:w="2925" w:type="dxa"/>
            <w:vMerge w:val="continue"/>
            <w:tcBorders>
              <w:tl2br w:val="nil"/>
              <w:tr2bl w:val="nil"/>
            </w:tcBorders>
            <w:vAlign w:val="center"/>
          </w:tcPr>
          <w:p>
            <w:pPr>
              <w:jc w:val="center"/>
              <w:rPr>
                <w:rFonts w:ascii="Times New Roman" w:hAnsi="Times New Roman" w:eastAsia="宋体" w:cs="Times New Roman"/>
                <w:color w:val="auto"/>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795" w:type="dxa"/>
            <w:tcBorders>
              <w:tl2br w:val="nil"/>
              <w:tr2bl w:val="nil"/>
            </w:tcBorders>
            <w:vAlign w:val="center"/>
          </w:tcPr>
          <w:p>
            <w:pPr>
              <w:pStyle w:val="140"/>
              <w:spacing w:line="240" w:lineRule="auto"/>
              <w:ind w:right="15" w:rightChars="7"/>
              <w:rPr>
                <w:rFonts w:hint="eastAsia"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5#</w:t>
            </w:r>
          </w:p>
        </w:tc>
        <w:tc>
          <w:tcPr>
            <w:tcW w:w="4500" w:type="dxa"/>
            <w:tcBorders>
              <w:tl2br w:val="nil"/>
              <w:tr2bl w:val="nil"/>
            </w:tcBorders>
            <w:vAlign w:val="center"/>
          </w:tcPr>
          <w:p>
            <w:pPr>
              <w:spacing w:line="360" w:lineRule="exact"/>
              <w:jc w:val="center"/>
              <w:rPr>
                <w:rFonts w:hint="eastAsia"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kern w:val="2"/>
                <w:sz w:val="21"/>
                <w:szCs w:val="21"/>
                <w:highlight w:val="none"/>
                <w:lang w:eastAsia="zh-CN" w:bidi="ar"/>
              </w:rPr>
              <w:t>项目</w:t>
            </w:r>
            <w:r>
              <w:rPr>
                <w:rFonts w:hint="eastAsia" w:ascii="Times New Roman" w:hAnsi="Times New Roman" w:eastAsia="宋体" w:cs="Times New Roman"/>
                <w:color w:val="auto"/>
                <w:kern w:val="2"/>
                <w:sz w:val="21"/>
                <w:szCs w:val="21"/>
                <w:highlight w:val="none"/>
                <w:lang w:val="en-US" w:eastAsia="zh-CN" w:bidi="ar"/>
              </w:rPr>
              <w:t>北</w:t>
            </w:r>
            <w:r>
              <w:rPr>
                <w:rFonts w:hint="default" w:ascii="Times New Roman" w:hAnsi="Times New Roman" w:eastAsia="宋体" w:cs="Times New Roman"/>
                <w:color w:val="auto"/>
                <w:kern w:val="2"/>
                <w:sz w:val="21"/>
                <w:szCs w:val="21"/>
                <w:highlight w:val="none"/>
                <w:lang w:eastAsia="zh-CN" w:bidi="ar"/>
              </w:rPr>
              <w:t>侧</w:t>
            </w:r>
            <w:r>
              <w:rPr>
                <w:rFonts w:hint="eastAsia" w:ascii="Times New Roman" w:hAnsi="Times New Roman" w:eastAsia="宋体" w:cs="Times New Roman"/>
                <w:color w:val="auto"/>
                <w:kern w:val="2"/>
                <w:sz w:val="21"/>
                <w:szCs w:val="21"/>
                <w:highlight w:val="none"/>
                <w:lang w:val="en-US" w:eastAsia="zh-CN" w:bidi="ar"/>
              </w:rPr>
              <w:t>农户</w:t>
            </w:r>
            <w:r>
              <w:rPr>
                <w:rFonts w:hint="default" w:ascii="Times New Roman" w:hAnsi="Times New Roman" w:eastAsia="宋体" w:cs="Times New Roman"/>
                <w:color w:val="auto"/>
                <w:kern w:val="2"/>
                <w:sz w:val="21"/>
                <w:szCs w:val="21"/>
                <w:highlight w:val="none"/>
                <w:lang w:eastAsia="zh-CN" w:bidi="ar"/>
              </w:rPr>
              <w:t>（5#）</w:t>
            </w:r>
          </w:p>
        </w:tc>
        <w:tc>
          <w:tcPr>
            <w:tcW w:w="2925" w:type="dxa"/>
            <w:vMerge w:val="continue"/>
            <w:tcBorders>
              <w:tl2br w:val="nil"/>
              <w:tr2bl w:val="nil"/>
            </w:tcBorders>
            <w:vAlign w:val="center"/>
          </w:tcPr>
          <w:p>
            <w:pPr>
              <w:jc w:val="center"/>
              <w:rPr>
                <w:rFonts w:ascii="Times New Roman" w:hAnsi="Times New Roman" w:eastAsia="宋体" w:cs="Times New Roman"/>
                <w:color w:val="auto"/>
                <w:szCs w:val="21"/>
                <w:highlight w:val="none"/>
              </w:rPr>
            </w:pPr>
          </w:p>
        </w:tc>
      </w:tr>
    </w:tbl>
    <w:p>
      <w:pPr>
        <w:spacing w:line="360" w:lineRule="auto"/>
        <w:ind w:left="420" w:leftChars="200"/>
        <w:rPr>
          <w:rFonts w:hint="eastAsia" w:ascii="Times New Roman" w:hAnsi="Times New Roman" w:eastAsia="宋体" w:cs="Times New Roman"/>
          <w:color w:val="auto"/>
          <w:sz w:val="24"/>
          <w:highlight w:val="none"/>
        </w:rPr>
      </w:pPr>
    </w:p>
    <w:p>
      <w:pPr>
        <w:spacing w:line="360" w:lineRule="auto"/>
        <w:ind w:left="420" w:leftChars="200"/>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（2）监测项目</w:t>
      </w:r>
    </w:p>
    <w:p>
      <w:pPr>
        <w:spacing w:line="360" w:lineRule="auto"/>
        <w:ind w:left="420" w:leftChars="200"/>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等效声级值dB（A）</w:t>
      </w:r>
    </w:p>
    <w:p>
      <w:pPr>
        <w:spacing w:line="360" w:lineRule="auto"/>
        <w:ind w:left="420" w:leftChars="200"/>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（3）监测频率</w:t>
      </w:r>
    </w:p>
    <w:p>
      <w:pPr>
        <w:spacing w:line="360" w:lineRule="auto"/>
        <w:ind w:firstLine="480" w:firstLineChars="200"/>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无雨雪、无雷电，风速5m以下的天气，连续监测两天，每天采样两次，昼间和夜间各一次。</w:t>
      </w:r>
    </w:p>
    <w:p>
      <w:pPr>
        <w:spacing w:line="360" w:lineRule="auto"/>
        <w:ind w:left="420" w:leftChars="200"/>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（4）评价标准</w:t>
      </w:r>
    </w:p>
    <w:p>
      <w:pPr>
        <w:spacing w:line="360" w:lineRule="auto"/>
        <w:ind w:left="420" w:leftChars="20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《声环境质量标准》（GB3096-2008）</w:t>
      </w:r>
      <w:r>
        <w:rPr>
          <w:rFonts w:hint="eastAsia" w:ascii="Times New Roman" w:hAnsi="Times New Roman" w:eastAsia="宋体" w:cs="Times New Roman"/>
          <w:color w:val="auto"/>
          <w:sz w:val="24"/>
          <w:highlight w:val="none"/>
          <w:lang w:val="en-US" w:eastAsia="zh-CN"/>
        </w:rPr>
        <w:t>2</w:t>
      </w:r>
      <w:r>
        <w:rPr>
          <w:rFonts w:ascii="Times New Roman" w:hAnsi="Times New Roman" w:eastAsia="宋体" w:cs="Times New Roman"/>
          <w:color w:val="auto"/>
          <w:sz w:val="24"/>
          <w:highlight w:val="none"/>
        </w:rPr>
        <w:t>类</w:t>
      </w:r>
      <w:r>
        <w:rPr>
          <w:rFonts w:hint="eastAsia" w:ascii="Times New Roman" w:hAnsi="Times New Roman" w:eastAsia="宋体" w:cs="Times New Roman"/>
          <w:color w:val="auto"/>
          <w:sz w:val="24"/>
          <w:highlight w:val="none"/>
        </w:rPr>
        <w:t>标准。</w:t>
      </w:r>
    </w:p>
    <w:p>
      <w:pPr>
        <w:spacing w:line="360" w:lineRule="auto"/>
        <w:ind w:firstLine="480" w:firstLineChars="200"/>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（5）监测结果与评价结果</w:t>
      </w:r>
    </w:p>
    <w:p>
      <w:pPr>
        <w:spacing w:line="360" w:lineRule="auto"/>
        <w:ind w:firstLine="480" w:firstLineChars="200"/>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声环境质量监测结果见</w:t>
      </w:r>
      <w:r>
        <w:rPr>
          <w:rFonts w:hint="eastAsia" w:ascii="Times New Roman" w:hAnsi="Times New Roman" w:eastAsia="宋体"/>
          <w:color w:val="auto"/>
          <w:sz w:val="24"/>
          <w:szCs w:val="24"/>
          <w:highlight w:val="none"/>
        </w:rPr>
        <w:t>下表：</w:t>
      </w:r>
    </w:p>
    <w:p>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表</w:t>
      </w:r>
      <w:r>
        <w:rPr>
          <w:rFonts w:hint="eastAsia" w:ascii="Times New Roman" w:hAnsi="Times New Roman" w:eastAsia="宋体" w:cs="Times New Roman"/>
          <w:b/>
          <w:color w:val="auto"/>
          <w:szCs w:val="21"/>
          <w:highlight w:val="none"/>
        </w:rPr>
        <w:t>4.3</w:t>
      </w:r>
      <w:r>
        <w:rPr>
          <w:rFonts w:ascii="Times New Roman" w:hAnsi="Times New Roman" w:eastAsia="宋体" w:cs="Times New Roman"/>
          <w:b/>
          <w:color w:val="auto"/>
          <w:szCs w:val="21"/>
          <w:highlight w:val="none"/>
        </w:rPr>
        <w:t>-</w:t>
      </w:r>
      <w:r>
        <w:rPr>
          <w:rFonts w:hint="eastAsia" w:ascii="Times New Roman" w:hAnsi="Times New Roman" w:eastAsia="宋体" w:cs="Times New Roman"/>
          <w:b/>
          <w:color w:val="auto"/>
          <w:szCs w:val="21"/>
          <w:highlight w:val="none"/>
          <w:lang w:val="en-US" w:eastAsia="zh-CN"/>
        </w:rPr>
        <w:t>12</w:t>
      </w:r>
      <w:r>
        <w:rPr>
          <w:rFonts w:ascii="Times New Roman" w:hAnsi="Times New Roman" w:eastAsia="宋体" w:cs="Times New Roman"/>
          <w:b/>
          <w:color w:val="auto"/>
          <w:szCs w:val="21"/>
          <w:highlight w:val="none"/>
        </w:rPr>
        <w:t xml:space="preserve"> </w:t>
      </w:r>
      <w:r>
        <w:rPr>
          <w:rFonts w:hint="eastAsia" w:ascii="Times New Roman" w:hAnsi="Times New Roman" w:eastAsia="宋体" w:cs="Times New Roman"/>
          <w:b/>
          <w:color w:val="auto"/>
          <w:szCs w:val="21"/>
          <w:highlight w:val="none"/>
          <w:lang w:eastAsia="zh-CN"/>
        </w:rPr>
        <w:t>噪声检测</w:t>
      </w:r>
      <w:r>
        <w:rPr>
          <w:rFonts w:ascii="Times New Roman" w:hAnsi="Times New Roman" w:eastAsia="宋体" w:cs="Times New Roman"/>
          <w:b/>
          <w:color w:val="auto"/>
          <w:szCs w:val="21"/>
          <w:highlight w:val="none"/>
        </w:rPr>
        <w:t>结果表</w:t>
      </w:r>
    </w:p>
    <w:tbl>
      <w:tblPr>
        <w:tblStyle w:val="34"/>
        <w:tblW w:w="0" w:type="auto"/>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350"/>
        <w:gridCol w:w="1244"/>
        <w:gridCol w:w="1414"/>
        <w:gridCol w:w="1106"/>
        <w:gridCol w:w="1278"/>
        <w:gridCol w:w="1277"/>
        <w:gridCol w:w="1279"/>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35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0"/>
                <w:szCs w:val="21"/>
                <w:highlight w:val="none"/>
                <w:lang w:val="en-US" w:eastAsia="zh-CN"/>
              </w:rPr>
            </w:pPr>
            <w:r>
              <w:rPr>
                <w:rFonts w:hint="default" w:ascii="Times New Roman" w:hAnsi="Times New Roman" w:eastAsia="宋体" w:cs="Times New Roman"/>
                <w:b/>
                <w:bCs/>
                <w:color w:val="auto"/>
                <w:kern w:val="0"/>
                <w:szCs w:val="21"/>
                <w:highlight w:val="none"/>
                <w:lang w:val="en-US" w:eastAsia="zh-CN"/>
              </w:rPr>
              <w:t>监测时间</w:t>
            </w:r>
          </w:p>
        </w:tc>
        <w:tc>
          <w:tcPr>
            <w:tcW w:w="1244"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0"/>
                <w:szCs w:val="21"/>
                <w:highlight w:val="none"/>
                <w:lang w:val="en-US" w:eastAsia="zh-CN"/>
              </w:rPr>
            </w:pPr>
            <w:r>
              <w:rPr>
                <w:rFonts w:hint="default" w:ascii="Times New Roman" w:hAnsi="Times New Roman" w:eastAsia="宋体" w:cs="Times New Roman"/>
                <w:b/>
                <w:bCs/>
                <w:color w:val="auto"/>
                <w:kern w:val="0"/>
                <w:szCs w:val="21"/>
                <w:highlight w:val="none"/>
                <w:lang w:val="en-US" w:eastAsia="zh-CN"/>
              </w:rPr>
              <w:t>监测点位</w:t>
            </w:r>
          </w:p>
        </w:tc>
        <w:tc>
          <w:tcPr>
            <w:tcW w:w="1414"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0"/>
                <w:szCs w:val="21"/>
                <w:highlight w:val="none"/>
                <w:lang w:val="en-US" w:eastAsia="zh-CN"/>
              </w:rPr>
            </w:pPr>
            <w:r>
              <w:rPr>
                <w:rFonts w:hint="default" w:ascii="Times New Roman" w:hAnsi="Times New Roman" w:eastAsia="宋体" w:cs="Times New Roman"/>
                <w:b/>
                <w:bCs/>
                <w:color w:val="auto"/>
                <w:kern w:val="0"/>
                <w:szCs w:val="21"/>
                <w:highlight w:val="none"/>
                <w:lang w:val="en-US" w:eastAsia="zh-CN"/>
              </w:rPr>
              <w:t>环境功能</w:t>
            </w:r>
          </w:p>
        </w:tc>
        <w:tc>
          <w:tcPr>
            <w:tcW w:w="110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0"/>
                <w:szCs w:val="21"/>
                <w:highlight w:val="none"/>
                <w:lang w:val="en-US" w:eastAsia="zh-CN"/>
              </w:rPr>
            </w:pPr>
            <w:r>
              <w:rPr>
                <w:rFonts w:hint="default" w:ascii="Times New Roman" w:hAnsi="Times New Roman" w:eastAsia="宋体" w:cs="Times New Roman"/>
                <w:b/>
                <w:bCs/>
                <w:color w:val="auto"/>
                <w:kern w:val="0"/>
                <w:szCs w:val="21"/>
                <w:highlight w:val="none"/>
                <w:lang w:val="en-US" w:eastAsia="zh-CN"/>
              </w:rPr>
              <w:t>昼间</w:t>
            </w:r>
          </w:p>
        </w:tc>
        <w:tc>
          <w:tcPr>
            <w:tcW w:w="1278"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0"/>
                <w:szCs w:val="21"/>
                <w:highlight w:val="none"/>
                <w:lang w:val="en-US" w:eastAsia="zh-CN"/>
              </w:rPr>
            </w:pPr>
            <w:r>
              <w:rPr>
                <w:rFonts w:hint="default" w:ascii="Times New Roman" w:hAnsi="Times New Roman" w:eastAsia="宋体" w:cs="Times New Roman"/>
                <w:b/>
                <w:bCs/>
                <w:color w:val="auto"/>
                <w:kern w:val="0"/>
                <w:szCs w:val="21"/>
                <w:highlight w:val="none"/>
                <w:lang w:val="en-US" w:eastAsia="zh-CN"/>
              </w:rPr>
              <w:t>达标状况</w:t>
            </w:r>
          </w:p>
        </w:tc>
        <w:tc>
          <w:tcPr>
            <w:tcW w:w="1277"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0"/>
                <w:szCs w:val="21"/>
                <w:highlight w:val="none"/>
                <w:lang w:val="en-US" w:eastAsia="zh-CN"/>
              </w:rPr>
            </w:pPr>
            <w:r>
              <w:rPr>
                <w:rFonts w:hint="default" w:ascii="Times New Roman" w:hAnsi="Times New Roman" w:eastAsia="宋体" w:cs="Times New Roman"/>
                <w:b/>
                <w:bCs/>
                <w:color w:val="auto"/>
                <w:kern w:val="0"/>
                <w:szCs w:val="21"/>
                <w:highlight w:val="none"/>
                <w:lang w:val="en-US" w:eastAsia="zh-CN"/>
              </w:rPr>
              <w:t>夜间</w:t>
            </w:r>
          </w:p>
        </w:tc>
        <w:tc>
          <w:tcPr>
            <w:tcW w:w="127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0"/>
                <w:szCs w:val="21"/>
                <w:highlight w:val="none"/>
                <w:lang w:val="en-US" w:eastAsia="zh-CN"/>
              </w:rPr>
            </w:pPr>
            <w:r>
              <w:rPr>
                <w:rFonts w:hint="default" w:ascii="Times New Roman" w:hAnsi="Times New Roman" w:eastAsia="宋体" w:cs="Times New Roman"/>
                <w:b/>
                <w:bCs/>
                <w:color w:val="auto"/>
                <w:kern w:val="0"/>
                <w:szCs w:val="21"/>
                <w:highlight w:val="none"/>
                <w:lang w:val="en-US" w:eastAsia="zh-CN"/>
              </w:rPr>
              <w:t>达标状况</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350"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20</w:t>
            </w:r>
            <w:r>
              <w:rPr>
                <w:rFonts w:hint="eastAsia" w:ascii="Times New Roman" w:hAnsi="Times New Roman" w:eastAsia="宋体" w:cs="Times New Roman"/>
                <w:color w:val="auto"/>
                <w:kern w:val="0"/>
                <w:szCs w:val="21"/>
                <w:highlight w:val="none"/>
                <w:lang w:val="en-US" w:eastAsia="zh-CN"/>
              </w:rPr>
              <w:t>20</w:t>
            </w:r>
            <w:r>
              <w:rPr>
                <w:rFonts w:hint="default" w:ascii="Times New Roman" w:hAnsi="Times New Roman" w:eastAsia="宋体" w:cs="Times New Roman"/>
                <w:color w:val="auto"/>
                <w:kern w:val="0"/>
                <w:szCs w:val="21"/>
                <w:highlight w:val="none"/>
                <w:lang w:val="en-US" w:eastAsia="zh-CN"/>
              </w:rPr>
              <w:t>.1</w:t>
            </w:r>
            <w:r>
              <w:rPr>
                <w:rFonts w:hint="eastAsia" w:ascii="Times New Roman" w:hAnsi="Times New Roman" w:eastAsia="宋体" w:cs="Times New Roman"/>
                <w:color w:val="auto"/>
                <w:kern w:val="0"/>
                <w:szCs w:val="21"/>
                <w:highlight w:val="none"/>
                <w:lang w:val="en-US" w:eastAsia="zh-CN"/>
              </w:rPr>
              <w:t>0</w:t>
            </w:r>
            <w:r>
              <w:rPr>
                <w:rFonts w:hint="default" w:ascii="Times New Roman" w:hAnsi="Times New Roman" w:eastAsia="宋体" w:cs="Times New Roman"/>
                <w:color w:val="auto"/>
                <w:kern w:val="0"/>
                <w:szCs w:val="21"/>
                <w:highlight w:val="none"/>
                <w:lang w:val="en-US" w:eastAsia="zh-CN"/>
              </w:rPr>
              <w:t>.</w:t>
            </w:r>
            <w:r>
              <w:rPr>
                <w:rFonts w:hint="eastAsia" w:ascii="Times New Roman" w:hAnsi="Times New Roman" w:eastAsia="宋体" w:cs="Times New Roman"/>
                <w:color w:val="auto"/>
                <w:kern w:val="0"/>
                <w:szCs w:val="21"/>
                <w:highlight w:val="none"/>
                <w:lang w:val="en-US" w:eastAsia="zh-CN"/>
              </w:rPr>
              <w:t>10</w:t>
            </w:r>
          </w:p>
        </w:tc>
        <w:tc>
          <w:tcPr>
            <w:tcW w:w="1244"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1#</w:t>
            </w:r>
          </w:p>
        </w:tc>
        <w:tc>
          <w:tcPr>
            <w:tcW w:w="1414"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2类；</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昼：60；</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夜：50</w:t>
            </w:r>
          </w:p>
        </w:tc>
        <w:tc>
          <w:tcPr>
            <w:tcW w:w="110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45</w:t>
            </w:r>
          </w:p>
        </w:tc>
        <w:tc>
          <w:tcPr>
            <w:tcW w:w="1278"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达标</w:t>
            </w:r>
          </w:p>
        </w:tc>
        <w:tc>
          <w:tcPr>
            <w:tcW w:w="1277"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43</w:t>
            </w:r>
          </w:p>
        </w:tc>
        <w:tc>
          <w:tcPr>
            <w:tcW w:w="127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3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p>
        </w:tc>
        <w:tc>
          <w:tcPr>
            <w:tcW w:w="1244"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2#</w:t>
            </w:r>
          </w:p>
        </w:tc>
        <w:tc>
          <w:tcPr>
            <w:tcW w:w="1414"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p>
        </w:tc>
        <w:tc>
          <w:tcPr>
            <w:tcW w:w="110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46</w:t>
            </w:r>
          </w:p>
        </w:tc>
        <w:tc>
          <w:tcPr>
            <w:tcW w:w="1278"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达标</w:t>
            </w:r>
          </w:p>
        </w:tc>
        <w:tc>
          <w:tcPr>
            <w:tcW w:w="1277"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45</w:t>
            </w:r>
          </w:p>
        </w:tc>
        <w:tc>
          <w:tcPr>
            <w:tcW w:w="127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3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p>
        </w:tc>
        <w:tc>
          <w:tcPr>
            <w:tcW w:w="1244"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3#</w:t>
            </w:r>
          </w:p>
        </w:tc>
        <w:tc>
          <w:tcPr>
            <w:tcW w:w="1414"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p>
        </w:tc>
        <w:tc>
          <w:tcPr>
            <w:tcW w:w="110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43</w:t>
            </w:r>
          </w:p>
        </w:tc>
        <w:tc>
          <w:tcPr>
            <w:tcW w:w="1278"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达标</w:t>
            </w:r>
          </w:p>
        </w:tc>
        <w:tc>
          <w:tcPr>
            <w:tcW w:w="1277"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42</w:t>
            </w:r>
          </w:p>
        </w:tc>
        <w:tc>
          <w:tcPr>
            <w:tcW w:w="127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3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p>
        </w:tc>
        <w:tc>
          <w:tcPr>
            <w:tcW w:w="1244"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4#</w:t>
            </w:r>
          </w:p>
        </w:tc>
        <w:tc>
          <w:tcPr>
            <w:tcW w:w="1414"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p>
        </w:tc>
        <w:tc>
          <w:tcPr>
            <w:tcW w:w="110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46</w:t>
            </w:r>
          </w:p>
        </w:tc>
        <w:tc>
          <w:tcPr>
            <w:tcW w:w="1278"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达标</w:t>
            </w:r>
          </w:p>
        </w:tc>
        <w:tc>
          <w:tcPr>
            <w:tcW w:w="1277"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43</w:t>
            </w:r>
          </w:p>
        </w:tc>
        <w:tc>
          <w:tcPr>
            <w:tcW w:w="127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35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p>
        </w:tc>
        <w:tc>
          <w:tcPr>
            <w:tcW w:w="1244"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5#</w:t>
            </w:r>
          </w:p>
        </w:tc>
        <w:tc>
          <w:tcPr>
            <w:tcW w:w="1414"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p>
        </w:tc>
        <w:tc>
          <w:tcPr>
            <w:tcW w:w="1106"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46</w:t>
            </w:r>
          </w:p>
        </w:tc>
        <w:tc>
          <w:tcPr>
            <w:tcW w:w="1278"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达标</w:t>
            </w:r>
          </w:p>
        </w:tc>
        <w:tc>
          <w:tcPr>
            <w:tcW w:w="1277"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42</w:t>
            </w:r>
          </w:p>
        </w:tc>
        <w:tc>
          <w:tcPr>
            <w:tcW w:w="1279"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350" w:type="dxa"/>
            <w:vMerge w:val="restart"/>
            <w:tcBorders>
              <w:top w:val="single" w:color="auto" w:sz="6" w:space="0"/>
              <w:right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20</w:t>
            </w:r>
            <w:r>
              <w:rPr>
                <w:rFonts w:hint="eastAsia" w:ascii="Times New Roman" w:hAnsi="Times New Roman" w:eastAsia="宋体" w:cs="Times New Roman"/>
                <w:color w:val="auto"/>
                <w:kern w:val="0"/>
                <w:szCs w:val="21"/>
                <w:highlight w:val="none"/>
                <w:lang w:val="en-US" w:eastAsia="zh-CN"/>
              </w:rPr>
              <w:t>20</w:t>
            </w:r>
            <w:r>
              <w:rPr>
                <w:rFonts w:hint="default" w:ascii="Times New Roman" w:hAnsi="Times New Roman" w:eastAsia="宋体" w:cs="Times New Roman"/>
                <w:color w:val="auto"/>
                <w:kern w:val="0"/>
                <w:szCs w:val="21"/>
                <w:highlight w:val="none"/>
                <w:lang w:val="en-US" w:eastAsia="zh-CN"/>
              </w:rPr>
              <w:t>.1</w:t>
            </w:r>
            <w:r>
              <w:rPr>
                <w:rFonts w:hint="eastAsia" w:ascii="Times New Roman" w:hAnsi="Times New Roman" w:eastAsia="宋体" w:cs="Times New Roman"/>
                <w:color w:val="auto"/>
                <w:kern w:val="0"/>
                <w:szCs w:val="21"/>
                <w:highlight w:val="none"/>
                <w:lang w:val="en-US" w:eastAsia="zh-CN"/>
              </w:rPr>
              <w:t>0</w:t>
            </w:r>
            <w:r>
              <w:rPr>
                <w:rFonts w:hint="default" w:ascii="Times New Roman" w:hAnsi="Times New Roman" w:eastAsia="宋体" w:cs="Times New Roman"/>
                <w:color w:val="auto"/>
                <w:kern w:val="0"/>
                <w:szCs w:val="21"/>
                <w:highlight w:val="none"/>
                <w:lang w:val="en-US" w:eastAsia="zh-CN"/>
              </w:rPr>
              <w:t>.</w:t>
            </w:r>
            <w:r>
              <w:rPr>
                <w:rFonts w:hint="eastAsia" w:ascii="Times New Roman" w:hAnsi="Times New Roman" w:eastAsia="宋体" w:cs="Times New Roman"/>
                <w:color w:val="auto"/>
                <w:kern w:val="0"/>
                <w:szCs w:val="21"/>
                <w:highlight w:val="none"/>
                <w:lang w:val="en-US" w:eastAsia="zh-CN"/>
              </w:rPr>
              <w:t>11</w:t>
            </w:r>
          </w:p>
        </w:tc>
        <w:tc>
          <w:tcPr>
            <w:tcW w:w="1244" w:type="dxa"/>
            <w:tcBorders>
              <w:top w:val="single" w:color="auto" w:sz="6" w:space="0"/>
              <w:left w:val="single" w:color="auto" w:sz="6"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1#</w:t>
            </w:r>
          </w:p>
        </w:tc>
        <w:tc>
          <w:tcPr>
            <w:tcW w:w="1414"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p>
        </w:tc>
        <w:tc>
          <w:tcPr>
            <w:tcW w:w="1106" w:type="dxa"/>
            <w:tcBorders>
              <w:top w:val="single" w:color="auto" w:sz="6" w:space="0"/>
              <w:bottom w:val="single" w:color="auto" w:sz="6" w:space="0"/>
              <w:right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44</w:t>
            </w:r>
          </w:p>
        </w:tc>
        <w:tc>
          <w:tcPr>
            <w:tcW w:w="127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达标</w:t>
            </w:r>
          </w:p>
        </w:tc>
        <w:tc>
          <w:tcPr>
            <w:tcW w:w="1277"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40</w:t>
            </w:r>
          </w:p>
        </w:tc>
        <w:tc>
          <w:tcPr>
            <w:tcW w:w="1279" w:type="dxa"/>
            <w:tcBorders>
              <w:top w:val="single" w:color="auto" w:sz="6" w:space="0"/>
              <w:left w:val="single" w:color="auto" w:sz="6"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350" w:type="dxa"/>
            <w:vMerge w:val="continue"/>
            <w:tcBorders>
              <w:right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p>
        </w:tc>
        <w:tc>
          <w:tcPr>
            <w:tcW w:w="1244" w:type="dxa"/>
            <w:tcBorders>
              <w:top w:val="single" w:color="auto" w:sz="6" w:space="0"/>
              <w:left w:val="single" w:color="auto" w:sz="6"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2#</w:t>
            </w:r>
          </w:p>
        </w:tc>
        <w:tc>
          <w:tcPr>
            <w:tcW w:w="1414"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p>
        </w:tc>
        <w:tc>
          <w:tcPr>
            <w:tcW w:w="1106" w:type="dxa"/>
            <w:tcBorders>
              <w:top w:val="single" w:color="auto" w:sz="6" w:space="0"/>
              <w:bottom w:val="single" w:color="auto" w:sz="6" w:space="0"/>
              <w:right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44</w:t>
            </w:r>
          </w:p>
        </w:tc>
        <w:tc>
          <w:tcPr>
            <w:tcW w:w="127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达标</w:t>
            </w:r>
          </w:p>
        </w:tc>
        <w:tc>
          <w:tcPr>
            <w:tcW w:w="1277"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44</w:t>
            </w:r>
          </w:p>
        </w:tc>
        <w:tc>
          <w:tcPr>
            <w:tcW w:w="1279" w:type="dxa"/>
            <w:tcBorders>
              <w:top w:val="single" w:color="auto" w:sz="6" w:space="0"/>
              <w:left w:val="single" w:color="auto" w:sz="6"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350" w:type="dxa"/>
            <w:vMerge w:val="continue"/>
            <w:tcBorders>
              <w:right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p>
        </w:tc>
        <w:tc>
          <w:tcPr>
            <w:tcW w:w="1244" w:type="dxa"/>
            <w:tcBorders>
              <w:top w:val="single" w:color="auto" w:sz="6" w:space="0"/>
              <w:left w:val="single" w:color="auto" w:sz="6"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3#</w:t>
            </w:r>
          </w:p>
        </w:tc>
        <w:tc>
          <w:tcPr>
            <w:tcW w:w="1414"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p>
        </w:tc>
        <w:tc>
          <w:tcPr>
            <w:tcW w:w="1106" w:type="dxa"/>
            <w:tcBorders>
              <w:top w:val="single" w:color="auto" w:sz="6" w:space="0"/>
              <w:bottom w:val="single" w:color="auto" w:sz="6" w:space="0"/>
              <w:right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45</w:t>
            </w:r>
          </w:p>
        </w:tc>
        <w:tc>
          <w:tcPr>
            <w:tcW w:w="127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达标</w:t>
            </w:r>
          </w:p>
        </w:tc>
        <w:tc>
          <w:tcPr>
            <w:tcW w:w="1277"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43</w:t>
            </w:r>
          </w:p>
        </w:tc>
        <w:tc>
          <w:tcPr>
            <w:tcW w:w="1279" w:type="dxa"/>
            <w:tcBorders>
              <w:top w:val="single" w:color="auto" w:sz="6" w:space="0"/>
              <w:left w:val="single" w:color="auto" w:sz="6"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350" w:type="dxa"/>
            <w:vMerge w:val="continue"/>
            <w:tcBorders>
              <w:right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p>
        </w:tc>
        <w:tc>
          <w:tcPr>
            <w:tcW w:w="1244" w:type="dxa"/>
            <w:tcBorders>
              <w:top w:val="single" w:color="auto" w:sz="6" w:space="0"/>
              <w:left w:val="single" w:color="auto" w:sz="6"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4#</w:t>
            </w:r>
          </w:p>
        </w:tc>
        <w:tc>
          <w:tcPr>
            <w:tcW w:w="1414"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p>
        </w:tc>
        <w:tc>
          <w:tcPr>
            <w:tcW w:w="1106" w:type="dxa"/>
            <w:tcBorders>
              <w:top w:val="single" w:color="auto" w:sz="6" w:space="0"/>
              <w:bottom w:val="single" w:color="auto" w:sz="6" w:space="0"/>
              <w:right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44</w:t>
            </w:r>
          </w:p>
        </w:tc>
        <w:tc>
          <w:tcPr>
            <w:tcW w:w="127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达标</w:t>
            </w:r>
          </w:p>
        </w:tc>
        <w:tc>
          <w:tcPr>
            <w:tcW w:w="1277"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43</w:t>
            </w:r>
          </w:p>
        </w:tc>
        <w:tc>
          <w:tcPr>
            <w:tcW w:w="1279" w:type="dxa"/>
            <w:tcBorders>
              <w:top w:val="single" w:color="auto" w:sz="6" w:space="0"/>
              <w:left w:val="single" w:color="auto" w:sz="6" w:space="0"/>
              <w:bottom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350" w:type="dxa"/>
            <w:vMerge w:val="continue"/>
            <w:tcBorders>
              <w:bottom w:val="single" w:color="auto" w:sz="12" w:space="0"/>
              <w:right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p>
        </w:tc>
        <w:tc>
          <w:tcPr>
            <w:tcW w:w="1244" w:type="dxa"/>
            <w:tcBorders>
              <w:top w:val="single" w:color="auto" w:sz="6" w:space="0"/>
              <w:left w:val="single" w:color="auto" w:sz="6" w:space="0"/>
              <w:bottom w:val="single" w:color="auto" w:sz="12"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5#</w:t>
            </w:r>
          </w:p>
        </w:tc>
        <w:tc>
          <w:tcPr>
            <w:tcW w:w="1414" w:type="dxa"/>
            <w:vMerge w:val="continue"/>
            <w:tcBorders>
              <w:bottom w:val="single" w:color="auto" w:sz="12"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p>
        </w:tc>
        <w:tc>
          <w:tcPr>
            <w:tcW w:w="1106" w:type="dxa"/>
            <w:tcBorders>
              <w:top w:val="single" w:color="auto" w:sz="6" w:space="0"/>
              <w:bottom w:val="single" w:color="auto" w:sz="12" w:space="0"/>
              <w:right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45</w:t>
            </w:r>
          </w:p>
        </w:tc>
        <w:tc>
          <w:tcPr>
            <w:tcW w:w="1278" w:type="dxa"/>
            <w:tcBorders>
              <w:top w:val="single" w:color="auto" w:sz="6" w:space="0"/>
              <w:left w:val="single" w:color="auto" w:sz="6" w:space="0"/>
              <w:bottom w:val="single" w:color="auto" w:sz="12" w:space="0"/>
              <w:right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达标</w:t>
            </w:r>
          </w:p>
        </w:tc>
        <w:tc>
          <w:tcPr>
            <w:tcW w:w="1277" w:type="dxa"/>
            <w:tcBorders>
              <w:top w:val="single" w:color="auto" w:sz="6" w:space="0"/>
              <w:left w:val="single" w:color="auto" w:sz="6" w:space="0"/>
              <w:bottom w:val="single" w:color="auto" w:sz="12" w:space="0"/>
              <w:right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43</w:t>
            </w:r>
          </w:p>
        </w:tc>
        <w:tc>
          <w:tcPr>
            <w:tcW w:w="1279" w:type="dxa"/>
            <w:tcBorders>
              <w:top w:val="single" w:color="auto" w:sz="6" w:space="0"/>
              <w:left w:val="single" w:color="auto" w:sz="6" w:space="0"/>
              <w:bottom w:val="single" w:color="auto" w:sz="12"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达标</w:t>
            </w:r>
          </w:p>
        </w:tc>
      </w:tr>
    </w:tbl>
    <w:p>
      <w:pPr>
        <w:spacing w:line="360" w:lineRule="auto"/>
        <w:ind w:firstLine="480" w:firstLineChars="20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由</w:t>
      </w:r>
      <w:r>
        <w:rPr>
          <w:rFonts w:hint="eastAsia" w:ascii="Times New Roman" w:hAnsi="Times New Roman" w:eastAsia="宋体" w:cs="Times New Roman"/>
          <w:color w:val="auto"/>
          <w:sz w:val="24"/>
          <w:highlight w:val="none"/>
        </w:rPr>
        <w:t>上表数据分析</w:t>
      </w:r>
      <w:r>
        <w:rPr>
          <w:rFonts w:ascii="Times New Roman" w:hAnsi="Times New Roman" w:eastAsia="宋体" w:cs="Times New Roman"/>
          <w:color w:val="auto"/>
          <w:sz w:val="24"/>
          <w:highlight w:val="none"/>
        </w:rPr>
        <w:t>，各厂界处昼、夜环境噪声均满足《声环境质量标准》（GB3096-2008）</w:t>
      </w:r>
      <w:r>
        <w:rPr>
          <w:rFonts w:hint="eastAsia" w:ascii="Times New Roman" w:hAnsi="Times New Roman" w:eastAsia="宋体" w:cs="Times New Roman"/>
          <w:color w:val="auto"/>
          <w:sz w:val="24"/>
          <w:highlight w:val="none"/>
          <w:lang w:val="en-US" w:eastAsia="zh-CN"/>
        </w:rPr>
        <w:t>2</w:t>
      </w:r>
      <w:r>
        <w:rPr>
          <w:rFonts w:ascii="Times New Roman" w:hAnsi="Times New Roman" w:eastAsia="宋体" w:cs="Times New Roman"/>
          <w:color w:val="auto"/>
          <w:sz w:val="24"/>
          <w:highlight w:val="none"/>
        </w:rPr>
        <w:t>类功能区标准要求。</w:t>
      </w:r>
    </w:p>
    <w:bookmarkEnd w:id="197"/>
    <w:bookmarkEnd w:id="198"/>
    <w:bookmarkEnd w:id="199"/>
    <w:bookmarkEnd w:id="201"/>
    <w:bookmarkEnd w:id="202"/>
    <w:bookmarkEnd w:id="203"/>
    <w:p>
      <w:pPr>
        <w:pStyle w:val="6"/>
        <w:adjustRightInd w:val="0"/>
        <w:snapToGrid w:val="0"/>
        <w:spacing w:before="0" w:after="0" w:line="360" w:lineRule="auto"/>
        <w:rPr>
          <w:rFonts w:ascii="Times New Roman" w:hAnsi="Times New Roman" w:eastAsia="宋体"/>
          <w:color w:val="auto"/>
          <w:sz w:val="28"/>
          <w:szCs w:val="28"/>
          <w:highlight w:val="none"/>
        </w:rPr>
      </w:pPr>
      <w:bookmarkStart w:id="204" w:name="_Toc459118464"/>
      <w:bookmarkStart w:id="205" w:name="_Toc28303"/>
      <w:r>
        <w:rPr>
          <w:rFonts w:hint="eastAsia" w:ascii="Times New Roman" w:hAnsi="Times New Roman" w:eastAsia="宋体"/>
          <w:color w:val="auto"/>
          <w:sz w:val="28"/>
          <w:szCs w:val="28"/>
          <w:highlight w:val="none"/>
        </w:rPr>
        <w:t>4.3.5土壤环境质量现状评价</w:t>
      </w:r>
    </w:p>
    <w:p>
      <w:pPr>
        <w:keepNext w:val="0"/>
        <w:keepLines w:val="0"/>
        <w:pageBreakBefore w:val="0"/>
        <w:widowControl w:val="0"/>
        <w:tabs>
          <w:tab w:val="left" w:pos="720"/>
        </w:tabs>
        <w:kinsoku/>
        <w:wordWrap/>
        <w:overflowPunct/>
        <w:topLinePunct w:val="0"/>
        <w:autoSpaceDE/>
        <w:autoSpaceDN/>
        <w:bidi w:val="0"/>
        <w:adjustRightInd/>
        <w:snapToGrid/>
        <w:spacing w:beforeLines="0" w:afterLines="0" w:line="360" w:lineRule="auto"/>
        <w:ind w:firstLine="480" w:firstLineChars="200"/>
        <w:jc w:val="both"/>
        <w:textAlignment w:val="auto"/>
        <w:rPr>
          <w:rFonts w:hint="eastAsia" w:ascii="Times New Roman" w:hAnsi="Times New Roman" w:cs="Times New Roman"/>
          <w:color w:val="auto"/>
          <w:sz w:val="24"/>
          <w:szCs w:val="24"/>
          <w:highlight w:val="none"/>
          <w:lang w:val="en-US" w:eastAsia="zh-CN"/>
        </w:rPr>
      </w:pPr>
      <w:r>
        <w:rPr>
          <w:rFonts w:hint="eastAsia" w:ascii="Times New Roman" w:hAnsi="Times New Roman" w:eastAsia="宋体" w:cs="Times New Roman"/>
          <w:color w:val="auto"/>
          <w:sz w:val="24"/>
          <w:highlight w:val="none"/>
        </w:rPr>
        <w:t>建设单位</w:t>
      </w:r>
      <w:r>
        <w:rPr>
          <w:rFonts w:hint="eastAsia" w:ascii="Times New Roman" w:hAnsi="Times New Roman" w:eastAsia="宋体" w:cs="Times New Roman"/>
          <w:color w:val="auto"/>
          <w:sz w:val="24"/>
          <w:highlight w:val="none"/>
          <w:lang w:eastAsia="zh-CN"/>
        </w:rPr>
        <w:t>委托</w:t>
      </w:r>
      <w:r>
        <w:rPr>
          <w:rFonts w:hint="eastAsia" w:ascii="Times New Roman" w:hAnsi="Times New Roman" w:cs="Times New Roman"/>
          <w:color w:val="auto"/>
          <w:sz w:val="24"/>
          <w:szCs w:val="24"/>
          <w:highlight w:val="none"/>
          <w:lang w:val="en-US" w:eastAsia="zh-CN"/>
        </w:rPr>
        <w:t>四川地风升检测服务有限公司于2020年10月9日对项目所在区的土壤环境质量进行了监测。</w:t>
      </w:r>
    </w:p>
    <w:p>
      <w:pPr>
        <w:numPr>
          <w:ilvl w:val="0"/>
          <w:numId w:val="21"/>
        </w:numPr>
        <w:spacing w:line="360" w:lineRule="auto"/>
        <w:ind w:left="420" w:leftChars="20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监测点位</w:t>
      </w:r>
    </w:p>
    <w:p>
      <w:pPr>
        <w:keepNext w:val="0"/>
        <w:keepLines w:val="0"/>
        <w:pageBreakBefore w:val="0"/>
        <w:widowControl w:val="0"/>
        <w:tabs>
          <w:tab w:val="left" w:pos="720"/>
        </w:tabs>
        <w:kinsoku/>
        <w:wordWrap/>
        <w:overflowPunct/>
        <w:topLinePunct w:val="0"/>
        <w:autoSpaceDE/>
        <w:autoSpaceDN/>
        <w:bidi w:val="0"/>
        <w:adjustRightInd/>
        <w:snapToGrid/>
        <w:spacing w:beforeLines="0" w:afterLines="0" w:line="360" w:lineRule="auto"/>
        <w:ind w:firstLine="480" w:firstLineChars="200"/>
        <w:jc w:val="both"/>
        <w:textAlignment w:val="auto"/>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本项目土壤评价等级为三级，根据《环境影响评价技术导则 土壤环境》（HJ964-2018）要求，本项目厂区内设置3个表层监测点位，在周边消纳地设置1个表层监测点位，项目土壤监测布点情况详见下表所示：</w:t>
      </w:r>
    </w:p>
    <w:p>
      <w:pPr>
        <w:jc w:val="center"/>
        <w:rPr>
          <w:b/>
          <w:bCs/>
          <w:color w:val="auto"/>
          <w:sz w:val="21"/>
          <w:highlight w:val="none"/>
        </w:rPr>
      </w:pPr>
      <w:r>
        <w:rPr>
          <w:rFonts w:hint="default" w:ascii="Times New Roman" w:hAnsi="Times New Roman" w:cs="Times New Roman"/>
          <w:b/>
          <w:bCs/>
          <w:color w:val="auto"/>
          <w:sz w:val="21"/>
          <w:highlight w:val="none"/>
        </w:rPr>
        <w:t>表</w:t>
      </w:r>
      <w:r>
        <w:rPr>
          <w:rFonts w:hint="default" w:ascii="Times New Roman" w:hAnsi="Times New Roman" w:cs="Times New Roman"/>
          <w:b/>
          <w:bCs/>
          <w:color w:val="auto"/>
          <w:sz w:val="21"/>
          <w:highlight w:val="none"/>
          <w:lang w:val="en-US" w:eastAsia="zh-CN"/>
        </w:rPr>
        <w:t>4.3-</w:t>
      </w:r>
      <w:r>
        <w:rPr>
          <w:rFonts w:hint="eastAsia" w:ascii="Times New Roman" w:hAnsi="Times New Roman" w:cs="Times New Roman"/>
          <w:b/>
          <w:bCs/>
          <w:color w:val="auto"/>
          <w:sz w:val="21"/>
          <w:highlight w:val="none"/>
          <w:lang w:val="en-US" w:eastAsia="zh-CN"/>
        </w:rPr>
        <w:t>13</w:t>
      </w:r>
      <w:r>
        <w:rPr>
          <w:rFonts w:hint="default" w:ascii="Times New Roman" w:hAnsi="Times New Roman" w:cs="Times New Roman"/>
          <w:b/>
          <w:bCs/>
          <w:color w:val="auto"/>
          <w:sz w:val="21"/>
          <w:highlight w:val="none"/>
        </w:rPr>
        <w:t xml:space="preserve">  </w:t>
      </w:r>
      <w:r>
        <w:rPr>
          <w:rFonts w:hint="eastAsia"/>
          <w:b/>
          <w:bCs/>
          <w:color w:val="auto"/>
          <w:sz w:val="21"/>
          <w:highlight w:val="none"/>
        </w:rPr>
        <w:t>项目土壤监测布点及监测因子一览表</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757"/>
        <w:gridCol w:w="1750"/>
        <w:gridCol w:w="1163"/>
        <w:gridCol w:w="3562"/>
        <w:gridCol w:w="10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9" w:hRule="atLeast"/>
          <w:jc w:val="center"/>
        </w:trPr>
        <w:tc>
          <w:tcPr>
            <w:tcW w:w="829" w:type="dxa"/>
            <w:tcBorders>
              <w:tl2br w:val="nil"/>
              <w:tr2bl w:val="nil"/>
            </w:tcBorders>
            <w:noWrap w:val="0"/>
            <w:vAlign w:val="center"/>
          </w:tcPr>
          <w:p>
            <w:pPr>
              <w:widowControl/>
              <w:jc w:val="center"/>
              <w:rPr>
                <w:rFonts w:hint="eastAsia" w:ascii="Times New Roman" w:hAnsi="Times New Roman" w:eastAsia="宋体"/>
                <w:b/>
                <w:bCs/>
                <w:color w:val="auto"/>
                <w:szCs w:val="21"/>
                <w:highlight w:val="none"/>
                <w:lang w:val="en-US" w:eastAsia="zh-CN"/>
              </w:rPr>
            </w:pPr>
            <w:bookmarkStart w:id="206" w:name="_Hlk477176334"/>
            <w:r>
              <w:rPr>
                <w:rFonts w:hint="eastAsia" w:ascii="Times New Roman" w:hAnsi="Times New Roman" w:eastAsia="宋体"/>
                <w:b/>
                <w:bCs/>
                <w:color w:val="auto"/>
                <w:szCs w:val="21"/>
                <w:highlight w:val="none"/>
                <w:lang w:val="en-US" w:eastAsia="zh-CN"/>
              </w:rPr>
              <w:t>类别</w:t>
            </w:r>
          </w:p>
        </w:tc>
        <w:tc>
          <w:tcPr>
            <w:tcW w:w="2507" w:type="dxa"/>
            <w:gridSpan w:val="2"/>
            <w:tcBorders>
              <w:tl2br w:val="nil"/>
              <w:tr2bl w:val="nil"/>
            </w:tcBorders>
            <w:noWrap w:val="0"/>
            <w:vAlign w:val="center"/>
          </w:tcPr>
          <w:p>
            <w:pPr>
              <w:widowControl/>
              <w:jc w:val="center"/>
              <w:rPr>
                <w:rFonts w:hint="eastAsia" w:ascii="Times New Roman" w:hAnsi="Times New Roman" w:eastAsia="宋体"/>
                <w:b/>
                <w:bCs/>
                <w:color w:val="auto"/>
                <w:szCs w:val="21"/>
                <w:highlight w:val="none"/>
                <w:lang w:val="en-US" w:eastAsia="zh-CN"/>
              </w:rPr>
            </w:pPr>
            <w:r>
              <w:rPr>
                <w:rFonts w:hint="eastAsia" w:ascii="Times New Roman" w:hAnsi="Times New Roman" w:eastAsia="宋体"/>
                <w:b/>
                <w:bCs/>
                <w:color w:val="auto"/>
                <w:szCs w:val="21"/>
                <w:highlight w:val="none"/>
                <w:lang w:val="en-US" w:eastAsia="zh-CN"/>
              </w:rPr>
              <w:t>检测点位</w:t>
            </w:r>
          </w:p>
        </w:tc>
        <w:tc>
          <w:tcPr>
            <w:tcW w:w="1163" w:type="dxa"/>
            <w:tcBorders>
              <w:tl2br w:val="nil"/>
              <w:tr2bl w:val="nil"/>
            </w:tcBorders>
            <w:noWrap w:val="0"/>
            <w:vAlign w:val="center"/>
          </w:tcPr>
          <w:p>
            <w:pPr>
              <w:widowControl/>
              <w:jc w:val="center"/>
              <w:rPr>
                <w:rFonts w:hint="eastAsia" w:ascii="Times New Roman" w:hAnsi="Times New Roman" w:eastAsia="宋体"/>
                <w:b/>
                <w:bCs/>
                <w:color w:val="auto"/>
                <w:szCs w:val="21"/>
                <w:highlight w:val="none"/>
                <w:lang w:val="en-US" w:eastAsia="zh-CN"/>
              </w:rPr>
            </w:pPr>
            <w:r>
              <w:rPr>
                <w:rFonts w:hint="eastAsia" w:ascii="Times New Roman" w:hAnsi="Times New Roman" w:eastAsia="宋体"/>
                <w:b/>
                <w:bCs/>
                <w:color w:val="auto"/>
                <w:szCs w:val="21"/>
                <w:highlight w:val="none"/>
                <w:lang w:val="en-US" w:eastAsia="zh-CN"/>
              </w:rPr>
              <w:t>采样深度</w:t>
            </w:r>
          </w:p>
        </w:tc>
        <w:tc>
          <w:tcPr>
            <w:tcW w:w="3562" w:type="dxa"/>
            <w:tcBorders>
              <w:tl2br w:val="nil"/>
              <w:tr2bl w:val="nil"/>
            </w:tcBorders>
            <w:noWrap w:val="0"/>
            <w:vAlign w:val="center"/>
          </w:tcPr>
          <w:p>
            <w:pPr>
              <w:widowControl/>
              <w:jc w:val="center"/>
              <w:rPr>
                <w:rFonts w:hint="eastAsia" w:ascii="Times New Roman" w:hAnsi="Times New Roman" w:eastAsia="宋体"/>
                <w:b/>
                <w:bCs/>
                <w:color w:val="auto"/>
                <w:szCs w:val="21"/>
                <w:highlight w:val="none"/>
                <w:lang w:val="en-US" w:eastAsia="zh-CN"/>
              </w:rPr>
            </w:pPr>
            <w:r>
              <w:rPr>
                <w:rFonts w:hint="eastAsia" w:ascii="Times New Roman" w:hAnsi="Times New Roman" w:eastAsia="宋体"/>
                <w:b/>
                <w:bCs/>
                <w:color w:val="auto"/>
                <w:szCs w:val="21"/>
                <w:highlight w:val="none"/>
                <w:lang w:val="en-US" w:eastAsia="zh-CN"/>
              </w:rPr>
              <w:t>检测项目</w:t>
            </w:r>
          </w:p>
        </w:tc>
        <w:tc>
          <w:tcPr>
            <w:tcW w:w="1097" w:type="dxa"/>
            <w:tcBorders>
              <w:tl2br w:val="nil"/>
              <w:tr2bl w:val="nil"/>
            </w:tcBorders>
            <w:noWrap w:val="0"/>
            <w:vAlign w:val="center"/>
          </w:tcPr>
          <w:p>
            <w:pPr>
              <w:widowControl/>
              <w:jc w:val="center"/>
              <w:rPr>
                <w:rFonts w:hint="eastAsia" w:ascii="Times New Roman" w:hAnsi="Times New Roman" w:eastAsia="宋体"/>
                <w:b/>
                <w:bCs/>
                <w:color w:val="auto"/>
                <w:szCs w:val="21"/>
                <w:highlight w:val="none"/>
                <w:lang w:val="en-US" w:eastAsia="zh-CN"/>
              </w:rPr>
            </w:pPr>
            <w:r>
              <w:rPr>
                <w:rFonts w:hint="eastAsia" w:ascii="Times New Roman" w:hAnsi="Times New Roman" w:eastAsia="宋体"/>
                <w:b/>
                <w:bCs/>
                <w:color w:val="auto"/>
                <w:szCs w:val="21"/>
                <w:highlight w:val="none"/>
                <w:lang w:val="en-US" w:eastAsia="zh-CN"/>
              </w:rPr>
              <w:t>检测频次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jc w:val="center"/>
        </w:trPr>
        <w:tc>
          <w:tcPr>
            <w:tcW w:w="829" w:type="dxa"/>
            <w:vMerge w:val="restart"/>
            <w:tcBorders>
              <w:tl2br w:val="nil"/>
              <w:tr2bl w:val="nil"/>
            </w:tcBorders>
            <w:noWrap w:val="0"/>
            <w:vAlign w:val="center"/>
          </w:tcPr>
          <w:p>
            <w:pPr>
              <w:widowControl/>
              <w:jc w:val="center"/>
              <w:rPr>
                <w:rFonts w:hint="eastAsia"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土壤</w:t>
            </w:r>
          </w:p>
        </w:tc>
        <w:tc>
          <w:tcPr>
            <w:tcW w:w="757"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项目区内</w:t>
            </w:r>
          </w:p>
        </w:tc>
        <w:tc>
          <w:tcPr>
            <w:tcW w:w="17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1#拟建堆肥间</w:t>
            </w:r>
          </w:p>
        </w:tc>
        <w:tc>
          <w:tcPr>
            <w:tcW w:w="1163" w:type="dxa"/>
            <w:vMerge w:val="restart"/>
            <w:tcBorders>
              <w:tl2br w:val="nil"/>
              <w:tr2bl w:val="nil"/>
            </w:tcBorders>
            <w:noWrap w:val="0"/>
            <w:vAlign w:val="center"/>
          </w:tcPr>
          <w:p>
            <w:pPr>
              <w:widowControl/>
              <w:jc w:val="center"/>
              <w:rPr>
                <w:rFonts w:hint="eastAsia"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0-20cm</w:t>
            </w:r>
          </w:p>
        </w:tc>
        <w:tc>
          <w:tcPr>
            <w:tcW w:w="3562" w:type="dxa"/>
            <w:vMerge w:val="restart"/>
            <w:tcBorders>
              <w:tl2br w:val="nil"/>
              <w:tr2bl w:val="nil"/>
            </w:tcBorders>
            <w:noWrap w:val="0"/>
            <w:vAlign w:val="center"/>
          </w:tcPr>
          <w:p>
            <w:pPr>
              <w:widowControl/>
              <w:jc w:val="center"/>
              <w:rPr>
                <w:rFonts w:hint="eastAsia" w:ascii="Times New Roman" w:hAnsi="Times New Roman" w:eastAsia="宋体"/>
                <w:color w:val="auto"/>
                <w:szCs w:val="21"/>
                <w:highlight w:val="none"/>
                <w:lang w:val="en-US" w:eastAsia="zh-CN"/>
              </w:rPr>
            </w:pPr>
            <w:r>
              <w:rPr>
                <w:rFonts w:hint="default" w:ascii="Times New Roman" w:hAnsi="Times New Roman" w:eastAsia="宋体" w:cs="Times New Roman"/>
                <w:color w:val="auto"/>
                <w:sz w:val="21"/>
                <w:szCs w:val="21"/>
                <w:highlight w:val="none"/>
                <w:lang w:eastAsia="zh-CN"/>
              </w:rPr>
              <w:t>pH（无量纲）、铜、锌、※铅、镉、铬、镍、砷、汞</w:t>
            </w:r>
          </w:p>
        </w:tc>
        <w:tc>
          <w:tcPr>
            <w:tcW w:w="1097" w:type="dxa"/>
            <w:vMerge w:val="restart"/>
            <w:tcBorders>
              <w:tl2br w:val="nil"/>
              <w:tr2bl w:val="nil"/>
            </w:tcBorders>
            <w:noWrap w:val="0"/>
            <w:vAlign w:val="center"/>
          </w:tcPr>
          <w:p>
            <w:pPr>
              <w:widowControl/>
              <w:jc w:val="center"/>
              <w:rPr>
                <w:rFonts w:hint="eastAsia"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检测1天</w:t>
            </w:r>
          </w:p>
          <w:p>
            <w:pPr>
              <w:widowControl/>
              <w:jc w:val="center"/>
              <w:rPr>
                <w:rFonts w:hint="eastAsia"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每天检测1次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9" w:type="dxa"/>
            <w:vMerge w:val="continue"/>
            <w:tcBorders>
              <w:tl2br w:val="nil"/>
              <w:tr2bl w:val="nil"/>
            </w:tcBorders>
            <w:noWrap w:val="0"/>
            <w:vAlign w:val="center"/>
          </w:tcPr>
          <w:p>
            <w:pPr>
              <w:widowControl/>
              <w:jc w:val="center"/>
              <w:rPr>
                <w:rFonts w:hint="eastAsia" w:ascii="Times New Roman" w:hAnsi="Times New Roman" w:eastAsia="宋体"/>
                <w:color w:val="auto"/>
                <w:szCs w:val="21"/>
                <w:highlight w:val="none"/>
                <w:lang w:val="en-US" w:eastAsia="zh-CN"/>
              </w:rPr>
            </w:pPr>
          </w:p>
        </w:tc>
        <w:tc>
          <w:tcPr>
            <w:tcW w:w="757"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highlight w:val="none"/>
                <w:lang w:val="en-US" w:eastAsia="zh-CN" w:bidi="ar-SA"/>
              </w:rPr>
            </w:pPr>
          </w:p>
        </w:tc>
        <w:tc>
          <w:tcPr>
            <w:tcW w:w="17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2#拟建污水站</w:t>
            </w:r>
          </w:p>
        </w:tc>
        <w:tc>
          <w:tcPr>
            <w:tcW w:w="1163" w:type="dxa"/>
            <w:vMerge w:val="continue"/>
            <w:tcBorders>
              <w:tl2br w:val="nil"/>
              <w:tr2bl w:val="nil"/>
            </w:tcBorders>
            <w:noWrap w:val="0"/>
            <w:vAlign w:val="center"/>
          </w:tcPr>
          <w:p>
            <w:pPr>
              <w:widowControl/>
              <w:jc w:val="center"/>
              <w:rPr>
                <w:rFonts w:hint="eastAsia" w:ascii="Times New Roman" w:hAnsi="Times New Roman" w:eastAsia="宋体"/>
                <w:color w:val="auto"/>
                <w:szCs w:val="21"/>
                <w:highlight w:val="none"/>
                <w:lang w:val="en-US" w:eastAsia="zh-CN"/>
              </w:rPr>
            </w:pPr>
          </w:p>
        </w:tc>
        <w:tc>
          <w:tcPr>
            <w:tcW w:w="3562" w:type="dxa"/>
            <w:vMerge w:val="continue"/>
            <w:tcBorders>
              <w:tl2br w:val="nil"/>
              <w:tr2bl w:val="nil"/>
            </w:tcBorders>
            <w:noWrap w:val="0"/>
            <w:vAlign w:val="center"/>
          </w:tcPr>
          <w:p>
            <w:pPr>
              <w:widowControl/>
              <w:jc w:val="center"/>
              <w:rPr>
                <w:rFonts w:hint="eastAsia" w:ascii="Times New Roman" w:hAnsi="Times New Roman" w:eastAsia="宋体"/>
                <w:color w:val="auto"/>
                <w:szCs w:val="21"/>
                <w:highlight w:val="none"/>
                <w:lang w:val="en-US" w:eastAsia="zh-CN"/>
              </w:rPr>
            </w:pPr>
          </w:p>
        </w:tc>
        <w:tc>
          <w:tcPr>
            <w:tcW w:w="1097" w:type="dxa"/>
            <w:vMerge w:val="continue"/>
            <w:tcBorders>
              <w:tl2br w:val="nil"/>
              <w:tr2bl w:val="nil"/>
            </w:tcBorders>
            <w:noWrap w:val="0"/>
            <w:vAlign w:val="center"/>
          </w:tcPr>
          <w:p>
            <w:pPr>
              <w:widowControl/>
              <w:jc w:val="center"/>
              <w:rPr>
                <w:rFonts w:hint="eastAsia" w:ascii="Times New Roman" w:hAnsi="Times New Roman" w:eastAsia="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9" w:type="dxa"/>
            <w:vMerge w:val="continue"/>
            <w:tcBorders>
              <w:tl2br w:val="nil"/>
              <w:tr2bl w:val="nil"/>
            </w:tcBorders>
            <w:noWrap w:val="0"/>
            <w:vAlign w:val="center"/>
          </w:tcPr>
          <w:p>
            <w:pPr>
              <w:widowControl/>
              <w:jc w:val="center"/>
              <w:rPr>
                <w:rFonts w:hint="eastAsia" w:ascii="Times New Roman" w:hAnsi="Times New Roman" w:eastAsia="宋体"/>
                <w:color w:val="auto"/>
                <w:szCs w:val="21"/>
                <w:highlight w:val="none"/>
                <w:lang w:val="en-US" w:eastAsia="zh-CN"/>
              </w:rPr>
            </w:pPr>
          </w:p>
        </w:tc>
        <w:tc>
          <w:tcPr>
            <w:tcW w:w="757"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highlight w:val="none"/>
                <w:lang w:val="en-US" w:eastAsia="zh-CN" w:bidi="ar-SA"/>
              </w:rPr>
            </w:pPr>
          </w:p>
        </w:tc>
        <w:tc>
          <w:tcPr>
            <w:tcW w:w="17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3#拟建育肥舍</w:t>
            </w:r>
          </w:p>
        </w:tc>
        <w:tc>
          <w:tcPr>
            <w:tcW w:w="1163" w:type="dxa"/>
            <w:vMerge w:val="continue"/>
            <w:tcBorders>
              <w:tl2br w:val="nil"/>
              <w:tr2bl w:val="nil"/>
            </w:tcBorders>
            <w:noWrap w:val="0"/>
            <w:vAlign w:val="center"/>
          </w:tcPr>
          <w:p>
            <w:pPr>
              <w:widowControl/>
              <w:jc w:val="center"/>
              <w:rPr>
                <w:rFonts w:hint="eastAsia" w:ascii="Times New Roman" w:hAnsi="Times New Roman" w:eastAsia="宋体"/>
                <w:color w:val="auto"/>
                <w:szCs w:val="21"/>
                <w:highlight w:val="none"/>
                <w:lang w:val="en-US" w:eastAsia="zh-CN"/>
              </w:rPr>
            </w:pPr>
          </w:p>
        </w:tc>
        <w:tc>
          <w:tcPr>
            <w:tcW w:w="3562" w:type="dxa"/>
            <w:vMerge w:val="continue"/>
            <w:tcBorders>
              <w:tl2br w:val="nil"/>
              <w:tr2bl w:val="nil"/>
            </w:tcBorders>
            <w:noWrap w:val="0"/>
            <w:vAlign w:val="center"/>
          </w:tcPr>
          <w:p>
            <w:pPr>
              <w:widowControl/>
              <w:jc w:val="center"/>
              <w:rPr>
                <w:rFonts w:hint="eastAsia" w:ascii="Times New Roman" w:hAnsi="Times New Roman" w:eastAsia="宋体"/>
                <w:color w:val="auto"/>
                <w:szCs w:val="21"/>
                <w:highlight w:val="none"/>
                <w:lang w:val="en-US" w:eastAsia="zh-CN"/>
              </w:rPr>
            </w:pPr>
          </w:p>
        </w:tc>
        <w:tc>
          <w:tcPr>
            <w:tcW w:w="1097" w:type="dxa"/>
            <w:vMerge w:val="continue"/>
            <w:tcBorders>
              <w:tl2br w:val="nil"/>
              <w:tr2bl w:val="nil"/>
            </w:tcBorders>
            <w:noWrap w:val="0"/>
            <w:vAlign w:val="center"/>
          </w:tcPr>
          <w:p>
            <w:pPr>
              <w:widowControl/>
              <w:jc w:val="center"/>
              <w:rPr>
                <w:rFonts w:hint="eastAsia" w:ascii="Times New Roman" w:hAnsi="Times New Roman" w:eastAsia="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29" w:type="dxa"/>
            <w:vMerge w:val="continue"/>
            <w:tcBorders>
              <w:tl2br w:val="nil"/>
              <w:tr2bl w:val="nil"/>
            </w:tcBorders>
            <w:noWrap w:val="0"/>
            <w:vAlign w:val="center"/>
          </w:tcPr>
          <w:p>
            <w:pPr>
              <w:widowControl/>
              <w:jc w:val="center"/>
              <w:rPr>
                <w:rFonts w:hint="eastAsia" w:ascii="Times New Roman" w:hAnsi="Times New Roman" w:eastAsia="宋体"/>
                <w:color w:val="auto"/>
                <w:szCs w:val="21"/>
                <w:highlight w:val="none"/>
                <w:lang w:val="en-US" w:eastAsia="zh-CN"/>
              </w:rPr>
            </w:pPr>
          </w:p>
        </w:tc>
        <w:tc>
          <w:tcPr>
            <w:tcW w:w="75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项目区外</w:t>
            </w:r>
          </w:p>
        </w:tc>
        <w:tc>
          <w:tcPr>
            <w:tcW w:w="17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4#场地外消纳地</w:t>
            </w:r>
          </w:p>
        </w:tc>
        <w:tc>
          <w:tcPr>
            <w:tcW w:w="1163" w:type="dxa"/>
            <w:vMerge w:val="continue"/>
            <w:tcBorders>
              <w:tl2br w:val="nil"/>
              <w:tr2bl w:val="nil"/>
            </w:tcBorders>
            <w:noWrap w:val="0"/>
            <w:vAlign w:val="center"/>
          </w:tcPr>
          <w:p>
            <w:pPr>
              <w:widowControl/>
              <w:jc w:val="center"/>
              <w:rPr>
                <w:rFonts w:hint="eastAsia" w:ascii="Times New Roman" w:hAnsi="Times New Roman" w:eastAsia="宋体"/>
                <w:color w:val="auto"/>
                <w:szCs w:val="21"/>
                <w:highlight w:val="none"/>
                <w:lang w:val="en-US" w:eastAsia="zh-CN"/>
              </w:rPr>
            </w:pPr>
          </w:p>
        </w:tc>
        <w:tc>
          <w:tcPr>
            <w:tcW w:w="3562" w:type="dxa"/>
            <w:tcBorders>
              <w:tl2br w:val="nil"/>
              <w:tr2bl w:val="nil"/>
            </w:tcBorders>
            <w:noWrap w:val="0"/>
            <w:vAlign w:val="center"/>
          </w:tcPr>
          <w:p>
            <w:pPr>
              <w:widowControl/>
              <w:jc w:val="center"/>
              <w:rPr>
                <w:rFonts w:hint="eastAsia"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pH、砷、铅、镉、汞、铬、铜、镍、锌、有机质、总磷、总氮</w:t>
            </w:r>
          </w:p>
        </w:tc>
        <w:tc>
          <w:tcPr>
            <w:tcW w:w="1097" w:type="dxa"/>
            <w:vMerge w:val="continue"/>
            <w:tcBorders>
              <w:tl2br w:val="nil"/>
              <w:tr2bl w:val="nil"/>
            </w:tcBorders>
            <w:noWrap w:val="0"/>
            <w:vAlign w:val="center"/>
          </w:tcPr>
          <w:p>
            <w:pPr>
              <w:widowControl/>
              <w:jc w:val="center"/>
              <w:rPr>
                <w:rFonts w:hint="eastAsia" w:ascii="Times New Roman" w:hAnsi="Times New Roman" w:eastAsia="宋体"/>
                <w:color w:val="auto"/>
                <w:szCs w:val="21"/>
                <w:highlight w:val="none"/>
                <w:lang w:val="en-US" w:eastAsia="zh-CN"/>
              </w:rPr>
            </w:pPr>
          </w:p>
        </w:tc>
      </w:tr>
      <w:bookmarkEnd w:id="206"/>
    </w:tbl>
    <w:p>
      <w:pPr>
        <w:spacing w:line="360" w:lineRule="auto"/>
        <w:ind w:left="420" w:leftChars="200"/>
        <w:rPr>
          <w:rFonts w:hint="eastAsia" w:ascii="Times New Roman" w:hAnsi="Times New Roman" w:eastAsia="宋体" w:cs="Times New Roman"/>
          <w:color w:val="auto"/>
          <w:sz w:val="24"/>
          <w:highlight w:val="none"/>
          <w:lang w:eastAsia="zh-CN"/>
        </w:rPr>
      </w:pPr>
      <w:r>
        <w:rPr>
          <w:rFonts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lang w:val="en-US" w:eastAsia="zh-CN"/>
        </w:rPr>
        <w:t>2</w:t>
      </w:r>
      <w:r>
        <w:rPr>
          <w:rFonts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lang w:eastAsia="zh-CN"/>
        </w:rPr>
        <w:t>监测项目</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auto"/>
        <w:rPr>
          <w:rFonts w:hint="eastAsia" w:ascii="Times New Roman" w:hAnsi="Times New Roman" w:eastAsia="宋体" w:cs="Times New Roman"/>
          <w:color w:val="auto"/>
          <w:kern w:val="2"/>
          <w:sz w:val="24"/>
          <w:szCs w:val="22"/>
          <w:highlight w:val="none"/>
          <w:lang w:val="en-US" w:eastAsia="zh-CN" w:bidi="ar-SA"/>
        </w:rPr>
      </w:pPr>
      <w:r>
        <w:rPr>
          <w:rFonts w:hint="eastAsia" w:ascii="Times New Roman" w:hAnsi="Times New Roman" w:eastAsia="宋体" w:cs="Times New Roman"/>
          <w:color w:val="auto"/>
          <w:kern w:val="2"/>
          <w:sz w:val="24"/>
          <w:szCs w:val="22"/>
          <w:highlight w:val="none"/>
          <w:lang w:val="en-US" w:eastAsia="zh-CN" w:bidi="ar-SA"/>
        </w:rPr>
        <w:t>据区域土壤特点和土地功能，项目占地范围内和占地范围外均为农用地，监测项目为《土壤环境质量 农用地土壤污染风险管控标准（试行）》（GB15618-2018）表1和表2所列8项基本因子和其他项目2项以及总氮、总磷2项指标。</w:t>
      </w:r>
    </w:p>
    <w:p>
      <w:pPr>
        <w:spacing w:line="360" w:lineRule="auto"/>
        <w:ind w:left="420" w:leftChars="200"/>
        <w:rPr>
          <w:rFonts w:hint="eastAsia" w:ascii="Times New Roman" w:hAnsi="Times New Roman" w:eastAsia="宋体" w:cs="Times New Roman"/>
          <w:color w:val="auto"/>
          <w:sz w:val="24"/>
          <w:highlight w:val="none"/>
          <w:lang w:eastAsia="zh-CN"/>
        </w:rPr>
      </w:pPr>
      <w:r>
        <w:rPr>
          <w:rFonts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lang w:val="en-US" w:eastAsia="zh-CN"/>
        </w:rPr>
        <w:t>3</w:t>
      </w:r>
      <w:r>
        <w:rPr>
          <w:rFonts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lang w:eastAsia="zh-CN"/>
        </w:rPr>
        <w:t>监测方法和来源</w:t>
      </w:r>
    </w:p>
    <w:p>
      <w:pPr>
        <w:jc w:val="center"/>
        <w:rPr>
          <w:rFonts w:hint="eastAsia"/>
          <w:b/>
          <w:bCs/>
          <w:color w:val="auto"/>
          <w:sz w:val="21"/>
          <w:highlight w:val="none"/>
          <w:lang w:eastAsia="zh-CN"/>
        </w:rPr>
      </w:pPr>
      <w:r>
        <w:rPr>
          <w:rFonts w:hint="default" w:ascii="Times New Roman" w:hAnsi="Times New Roman" w:cs="Times New Roman"/>
          <w:b/>
          <w:bCs/>
          <w:color w:val="auto"/>
          <w:sz w:val="21"/>
          <w:highlight w:val="none"/>
        </w:rPr>
        <w:t>表</w:t>
      </w:r>
      <w:r>
        <w:rPr>
          <w:rFonts w:hint="default" w:ascii="Times New Roman" w:hAnsi="Times New Roman" w:cs="Times New Roman"/>
          <w:b/>
          <w:bCs/>
          <w:color w:val="auto"/>
          <w:sz w:val="21"/>
          <w:highlight w:val="none"/>
          <w:lang w:val="en-US" w:eastAsia="zh-CN"/>
        </w:rPr>
        <w:t>4.3-</w:t>
      </w:r>
      <w:r>
        <w:rPr>
          <w:rFonts w:hint="eastAsia" w:ascii="Times New Roman" w:hAnsi="Times New Roman" w:cs="Times New Roman"/>
          <w:b/>
          <w:bCs/>
          <w:color w:val="auto"/>
          <w:sz w:val="21"/>
          <w:highlight w:val="none"/>
          <w:lang w:val="en-US" w:eastAsia="zh-CN"/>
        </w:rPr>
        <w:t>14</w:t>
      </w:r>
      <w:r>
        <w:rPr>
          <w:rFonts w:hint="default" w:ascii="Times New Roman" w:hAnsi="Times New Roman" w:cs="Times New Roman"/>
          <w:b/>
          <w:bCs/>
          <w:color w:val="auto"/>
          <w:sz w:val="21"/>
          <w:highlight w:val="none"/>
        </w:rPr>
        <w:t xml:space="preserve">  </w:t>
      </w:r>
      <w:r>
        <w:rPr>
          <w:rFonts w:hint="eastAsia" w:ascii="Times New Roman" w:hAnsi="Times New Roman" w:cs="Times New Roman"/>
          <w:b/>
          <w:bCs/>
          <w:color w:val="auto"/>
          <w:sz w:val="21"/>
          <w:highlight w:val="none"/>
          <w:lang w:eastAsia="zh-CN"/>
        </w:rPr>
        <w:t>检测</w:t>
      </w:r>
      <w:r>
        <w:rPr>
          <w:rFonts w:hint="eastAsia"/>
          <w:b/>
          <w:bCs/>
          <w:color w:val="auto"/>
          <w:sz w:val="21"/>
          <w:highlight w:val="none"/>
          <w:lang w:eastAsia="zh-CN"/>
        </w:rPr>
        <w:t>方法及主要仪器信息</w:t>
      </w:r>
    </w:p>
    <w:tbl>
      <w:tblPr>
        <w:tblStyle w:val="34"/>
        <w:tblW w:w="923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3" w:type="dxa"/>
          <w:bottom w:w="0" w:type="dxa"/>
          <w:right w:w="23" w:type="dxa"/>
        </w:tblCellMar>
      </w:tblPr>
      <w:tblGrid>
        <w:gridCol w:w="602"/>
        <w:gridCol w:w="1373"/>
        <w:gridCol w:w="3527"/>
        <w:gridCol w:w="1386"/>
        <w:gridCol w:w="1260"/>
        <w:gridCol w:w="108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482" w:hRule="atLeast"/>
          <w:jc w:val="center"/>
        </w:trPr>
        <w:tc>
          <w:tcPr>
            <w:tcW w:w="602" w:type="dxa"/>
            <w:noWrap w:val="0"/>
            <w:vAlign w:val="center"/>
          </w:tcPr>
          <w:p>
            <w:pPr>
              <w:jc w:val="center"/>
              <w:rPr>
                <w:rFonts w:hint="default" w:ascii="Times New Roman" w:hAnsi="Times New Roman" w:cs="Times New Roman"/>
                <w:b/>
                <w:color w:val="auto"/>
                <w:szCs w:val="21"/>
                <w:highlight w:val="none"/>
                <w:lang w:bidi="ar"/>
              </w:rPr>
            </w:pPr>
            <w:r>
              <w:rPr>
                <w:rFonts w:hint="default" w:ascii="Times New Roman" w:hAnsi="Times New Roman" w:cs="Times New Roman"/>
                <w:b/>
                <w:color w:val="auto"/>
                <w:szCs w:val="21"/>
                <w:highlight w:val="none"/>
                <w:lang w:bidi="ar"/>
              </w:rPr>
              <w:t>类别</w:t>
            </w:r>
          </w:p>
        </w:tc>
        <w:tc>
          <w:tcPr>
            <w:tcW w:w="1373" w:type="dxa"/>
            <w:noWrap w:val="0"/>
            <w:vAlign w:val="center"/>
          </w:tcPr>
          <w:p>
            <w:pPr>
              <w:jc w:val="center"/>
              <w:rPr>
                <w:rFonts w:hint="default" w:ascii="Times New Roman" w:hAnsi="Times New Roman" w:cs="Times New Roman"/>
                <w:b/>
                <w:color w:val="auto"/>
                <w:szCs w:val="21"/>
                <w:highlight w:val="none"/>
                <w:lang w:bidi="ar"/>
              </w:rPr>
            </w:pPr>
            <w:r>
              <w:rPr>
                <w:rFonts w:hint="default" w:ascii="Times New Roman" w:hAnsi="Times New Roman" w:cs="Times New Roman"/>
                <w:b/>
                <w:color w:val="auto"/>
                <w:szCs w:val="21"/>
                <w:highlight w:val="none"/>
                <w:lang w:bidi="ar"/>
              </w:rPr>
              <w:t>检测项目</w:t>
            </w:r>
          </w:p>
        </w:tc>
        <w:tc>
          <w:tcPr>
            <w:tcW w:w="3527" w:type="dxa"/>
            <w:noWrap w:val="0"/>
            <w:vAlign w:val="center"/>
          </w:tcPr>
          <w:p>
            <w:pPr>
              <w:jc w:val="center"/>
              <w:rPr>
                <w:rFonts w:hint="default" w:ascii="Times New Roman" w:hAnsi="Times New Roman" w:cs="Times New Roman"/>
                <w:b/>
                <w:color w:val="auto"/>
                <w:szCs w:val="21"/>
                <w:highlight w:val="none"/>
                <w:lang w:bidi="ar"/>
              </w:rPr>
            </w:pPr>
            <w:r>
              <w:rPr>
                <w:rFonts w:hint="default" w:ascii="Times New Roman" w:hAnsi="Times New Roman" w:cs="Times New Roman"/>
                <w:b/>
                <w:color w:val="auto"/>
                <w:szCs w:val="21"/>
                <w:highlight w:val="none"/>
                <w:lang w:bidi="ar"/>
              </w:rPr>
              <w:t>检测方法及依据</w:t>
            </w:r>
          </w:p>
        </w:tc>
        <w:tc>
          <w:tcPr>
            <w:tcW w:w="1386" w:type="dxa"/>
            <w:noWrap w:val="0"/>
            <w:vAlign w:val="center"/>
          </w:tcPr>
          <w:p>
            <w:pPr>
              <w:adjustRightInd w:val="0"/>
              <w:snapToGrid w:val="0"/>
              <w:jc w:val="center"/>
              <w:rPr>
                <w:rFonts w:hint="default" w:ascii="Times New Roman" w:hAnsi="Times New Roman" w:cs="Times New Roman"/>
                <w:b/>
                <w:color w:val="auto"/>
                <w:szCs w:val="21"/>
                <w:highlight w:val="none"/>
                <w:lang w:bidi="ar"/>
              </w:rPr>
            </w:pPr>
            <w:r>
              <w:rPr>
                <w:rFonts w:hint="default" w:ascii="Times New Roman" w:hAnsi="Times New Roman" w:cs="Times New Roman"/>
                <w:b/>
                <w:color w:val="auto"/>
                <w:szCs w:val="21"/>
                <w:highlight w:val="none"/>
                <w:lang w:bidi="ar"/>
              </w:rPr>
              <w:t>所用仪器</w:t>
            </w:r>
          </w:p>
        </w:tc>
        <w:tc>
          <w:tcPr>
            <w:tcW w:w="1260" w:type="dxa"/>
            <w:noWrap w:val="0"/>
            <w:vAlign w:val="center"/>
          </w:tcPr>
          <w:p>
            <w:pPr>
              <w:adjustRightInd w:val="0"/>
              <w:snapToGrid w:val="0"/>
              <w:jc w:val="center"/>
              <w:rPr>
                <w:rFonts w:hint="default" w:ascii="Times New Roman" w:hAnsi="Times New Roman" w:cs="Times New Roman"/>
                <w:b/>
                <w:color w:val="auto"/>
                <w:szCs w:val="21"/>
                <w:highlight w:val="none"/>
                <w:lang w:bidi="ar"/>
              </w:rPr>
            </w:pPr>
            <w:r>
              <w:rPr>
                <w:rFonts w:hint="default" w:ascii="Times New Roman" w:hAnsi="Times New Roman" w:cs="Times New Roman"/>
                <w:b/>
                <w:color w:val="auto"/>
                <w:szCs w:val="21"/>
                <w:highlight w:val="none"/>
                <w:lang w:bidi="ar"/>
              </w:rPr>
              <w:t>仪器编号</w:t>
            </w:r>
          </w:p>
        </w:tc>
        <w:tc>
          <w:tcPr>
            <w:tcW w:w="1088" w:type="dxa"/>
            <w:noWrap w:val="0"/>
            <w:vAlign w:val="center"/>
          </w:tcPr>
          <w:p>
            <w:pPr>
              <w:adjustRightInd w:val="0"/>
              <w:snapToGrid w:val="0"/>
              <w:jc w:val="center"/>
              <w:rPr>
                <w:rFonts w:hint="default" w:ascii="Times New Roman" w:hAnsi="Times New Roman" w:cs="Times New Roman"/>
                <w:b/>
                <w:color w:val="auto"/>
                <w:szCs w:val="21"/>
                <w:highlight w:val="none"/>
                <w:lang w:bidi="ar"/>
              </w:rPr>
            </w:pPr>
            <w:r>
              <w:rPr>
                <w:rFonts w:hint="default" w:ascii="Times New Roman" w:hAnsi="Times New Roman" w:cs="Times New Roman"/>
                <w:b/>
                <w:color w:val="auto"/>
                <w:szCs w:val="21"/>
                <w:highlight w:val="none"/>
                <w:lang w:bidi="ar"/>
              </w:rPr>
              <w:t>检出限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450" w:hRule="atLeast"/>
          <w:jc w:val="center"/>
        </w:trPr>
        <w:tc>
          <w:tcPr>
            <w:tcW w:w="602" w:type="dxa"/>
            <w:vMerge w:val="restart"/>
            <w:noWrap w:val="0"/>
            <w:vAlign w:val="center"/>
          </w:tcPr>
          <w:p>
            <w:pPr>
              <w:jc w:val="center"/>
              <w:rPr>
                <w:rFonts w:hint="default" w:ascii="Times New Roman" w:hAnsi="Times New Roman" w:cs="Times New Roman"/>
                <w:bCs/>
                <w:color w:val="auto"/>
                <w:sz w:val="21"/>
                <w:szCs w:val="21"/>
                <w:highlight w:val="none"/>
                <w:lang w:bidi="ar"/>
              </w:rPr>
            </w:pPr>
            <w:r>
              <w:rPr>
                <w:rFonts w:hint="default" w:ascii="Times New Roman" w:hAnsi="Times New Roman" w:cs="Times New Roman"/>
                <w:bCs/>
                <w:color w:val="auto"/>
                <w:sz w:val="21"/>
                <w:szCs w:val="21"/>
                <w:highlight w:val="none"/>
                <w:lang w:bidi="ar"/>
              </w:rPr>
              <w:br w:type="page"/>
            </w:r>
            <w:r>
              <w:rPr>
                <w:rFonts w:hint="default" w:ascii="Times New Roman" w:hAnsi="Times New Roman" w:cs="Times New Roman"/>
                <w:bCs/>
                <w:color w:val="auto"/>
                <w:sz w:val="21"/>
                <w:szCs w:val="21"/>
                <w:highlight w:val="none"/>
                <w:lang w:bidi="ar"/>
              </w:rPr>
              <w:t>土壤</w:t>
            </w:r>
          </w:p>
        </w:tc>
        <w:tc>
          <w:tcPr>
            <w:tcW w:w="1373" w:type="dxa"/>
            <w:noWrap w:val="0"/>
            <w:vAlign w:val="center"/>
          </w:tcPr>
          <w:p>
            <w:pPr>
              <w:widowControl/>
              <w:jc w:val="center"/>
              <w:textAlignment w:val="center"/>
              <w:rPr>
                <w:rFonts w:hint="default" w:ascii="Times New Roman" w:hAnsi="Times New Roman" w:cs="Times New Roman"/>
                <w:bCs/>
                <w:color w:val="auto"/>
                <w:sz w:val="21"/>
                <w:szCs w:val="21"/>
                <w:highlight w:val="none"/>
              </w:rPr>
            </w:pPr>
            <w:r>
              <w:rPr>
                <w:rStyle w:val="129"/>
                <w:rFonts w:hint="default" w:ascii="Times New Roman" w:hAnsi="Times New Roman" w:cs="Times New Roman"/>
                <w:color w:val="auto"/>
                <w:sz w:val="21"/>
                <w:szCs w:val="21"/>
                <w:highlight w:val="none"/>
                <w:lang w:bidi="ar"/>
              </w:rPr>
              <w:t>pH</w:t>
            </w:r>
          </w:p>
        </w:tc>
        <w:tc>
          <w:tcPr>
            <w:tcW w:w="3527" w:type="dxa"/>
            <w:noWrap w:val="0"/>
            <w:vAlign w:val="center"/>
          </w:tcPr>
          <w:p>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土壤pH的测定 NY/T 1377-2007</w:t>
            </w:r>
          </w:p>
        </w:tc>
        <w:tc>
          <w:tcPr>
            <w:tcW w:w="1386" w:type="dxa"/>
            <w:noWrap w:val="0"/>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PHSJ-4A型pH计</w:t>
            </w:r>
          </w:p>
        </w:tc>
        <w:tc>
          <w:tcPr>
            <w:tcW w:w="1260" w:type="dxa"/>
            <w:noWrap w:val="0"/>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XSJS-012-01</w:t>
            </w:r>
          </w:p>
        </w:tc>
        <w:tc>
          <w:tcPr>
            <w:tcW w:w="1088" w:type="dxa"/>
            <w:noWrap w:val="0"/>
            <w:vAlign w:val="center"/>
          </w:tcPr>
          <w:p>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450" w:hRule="atLeast"/>
          <w:jc w:val="center"/>
        </w:trPr>
        <w:tc>
          <w:tcPr>
            <w:tcW w:w="602" w:type="dxa"/>
            <w:vMerge w:val="continue"/>
            <w:noWrap w:val="0"/>
            <w:vAlign w:val="center"/>
          </w:tcPr>
          <w:p>
            <w:pPr>
              <w:jc w:val="center"/>
              <w:rPr>
                <w:rFonts w:hint="default" w:ascii="Times New Roman" w:hAnsi="Times New Roman" w:cs="Times New Roman"/>
                <w:bCs/>
                <w:color w:val="auto"/>
                <w:sz w:val="21"/>
                <w:szCs w:val="21"/>
                <w:highlight w:val="none"/>
                <w:lang w:bidi="ar"/>
              </w:rPr>
            </w:pPr>
          </w:p>
        </w:tc>
        <w:tc>
          <w:tcPr>
            <w:tcW w:w="13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sz w:val="21"/>
                <w:szCs w:val="21"/>
                <w:highlight w:val="none"/>
                <w:lang w:bidi="ar"/>
              </w:rPr>
            </w:pPr>
            <w:r>
              <w:rPr>
                <w:rStyle w:val="129"/>
                <w:rFonts w:hint="default" w:ascii="Times New Roman" w:hAnsi="Times New Roman" w:cs="Times New Roman"/>
                <w:color w:val="auto"/>
                <w:sz w:val="21"/>
                <w:szCs w:val="21"/>
                <w:highlight w:val="none"/>
                <w:lang w:val="en-US" w:eastAsia="zh-CN" w:bidi="ar"/>
              </w:rPr>
              <w:t>砷*</w:t>
            </w:r>
          </w:p>
        </w:tc>
        <w:tc>
          <w:tcPr>
            <w:tcW w:w="3527" w:type="dxa"/>
            <w:vMerge w:val="restart"/>
            <w:noWrap w:val="0"/>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 xml:space="preserve"> 土壤和沉积物 汞、砷、硒、铋、锑</w:t>
            </w:r>
          </w:p>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的测定 微波消解/原子荧光法</w:t>
            </w:r>
          </w:p>
          <w:p>
            <w:pPr>
              <w:jc w:val="center"/>
              <w:rPr>
                <w:rFonts w:hint="default" w:ascii="Times New Roman" w:hAnsi="Times New Roman" w:eastAsia="宋体" w:cs="Times New Roman"/>
                <w:bCs/>
                <w:color w:val="auto"/>
                <w:sz w:val="21"/>
                <w:szCs w:val="21"/>
                <w:highlight w:val="none"/>
                <w:lang w:bidi="ar"/>
              </w:rPr>
            </w:pPr>
            <w:r>
              <w:rPr>
                <w:rFonts w:hint="default" w:ascii="Times New Roman" w:hAnsi="Times New Roman" w:cs="Times New Roman"/>
                <w:color w:val="auto"/>
                <w:sz w:val="21"/>
                <w:szCs w:val="21"/>
                <w:highlight w:val="none"/>
                <w:lang w:val="en-US" w:eastAsia="zh-CN"/>
              </w:rPr>
              <w:t>HJ680-2013</w:t>
            </w:r>
          </w:p>
        </w:tc>
        <w:tc>
          <w:tcPr>
            <w:tcW w:w="1386" w:type="dxa"/>
            <w:vMerge w:val="restart"/>
            <w:noWrap w:val="0"/>
            <w:vAlign w:val="center"/>
          </w:tcPr>
          <w:p>
            <w:pPr>
              <w:keepNext w:val="0"/>
              <w:keepLines w:val="0"/>
              <w:pageBreakBefore w:val="0"/>
              <w:widowControl w:val="0"/>
              <w:kinsoku/>
              <w:wordWrap/>
              <w:overflowPunct/>
              <w:topLinePunct w:val="0"/>
              <w:autoSpaceDE/>
              <w:autoSpaceDN/>
              <w:bidi w:val="0"/>
              <w:ind w:firstLine="0" w:firstLineChars="0"/>
              <w:jc w:val="center"/>
              <w:textAlignment w:val="auto"/>
              <w:rPr>
                <w:rFonts w:hint="default" w:ascii="Times New Roman" w:hAnsi="Times New Roman" w:eastAsia="宋体" w:cs="Times New Roman"/>
                <w:bCs/>
                <w:color w:val="auto"/>
                <w:sz w:val="21"/>
                <w:szCs w:val="21"/>
                <w:highlight w:val="none"/>
                <w:lang w:bidi="ar"/>
              </w:rPr>
            </w:pPr>
            <w:r>
              <w:rPr>
                <w:rFonts w:hint="default" w:ascii="Times New Roman" w:hAnsi="Times New Roman" w:cs="Times New Roman"/>
                <w:color w:val="auto"/>
                <w:sz w:val="21"/>
                <w:szCs w:val="21"/>
                <w:highlight w:val="none"/>
              </w:rPr>
              <w:t>原子荧光分光光度计 AFS-230E</w:t>
            </w:r>
          </w:p>
        </w:tc>
        <w:tc>
          <w:tcPr>
            <w:tcW w:w="1260" w:type="dxa"/>
            <w:vMerge w:val="restart"/>
            <w:noWrap w:val="0"/>
            <w:vAlign w:val="center"/>
          </w:tcPr>
          <w:p>
            <w:pPr>
              <w:keepNext w:val="0"/>
              <w:keepLines w:val="0"/>
              <w:pageBreakBefore w:val="0"/>
              <w:widowControl w:val="0"/>
              <w:kinsoku/>
              <w:wordWrap/>
              <w:overflowPunct/>
              <w:topLinePunct w:val="0"/>
              <w:autoSpaceDE/>
              <w:autoSpaceDN/>
              <w:bidi w:val="0"/>
              <w:ind w:firstLine="0" w:firstLineChars="0"/>
              <w:jc w:val="center"/>
              <w:textAlignment w:val="auto"/>
              <w:rPr>
                <w:rFonts w:hint="default" w:ascii="Times New Roman" w:hAnsi="Times New Roman" w:eastAsia="宋体" w:cs="Times New Roman"/>
                <w:bCs/>
                <w:color w:val="auto"/>
                <w:sz w:val="21"/>
                <w:szCs w:val="21"/>
                <w:highlight w:val="none"/>
                <w:lang w:bidi="ar"/>
              </w:rPr>
            </w:pPr>
            <w:r>
              <w:rPr>
                <w:rFonts w:hint="default" w:ascii="Times New Roman" w:hAnsi="Times New Roman" w:cs="Times New Roman"/>
                <w:bCs/>
                <w:color w:val="auto"/>
                <w:sz w:val="21"/>
                <w:szCs w:val="21"/>
                <w:highlight w:val="none"/>
                <w:lang w:eastAsia="zh-CN" w:bidi="ar"/>
              </w:rPr>
              <w:t>XSJS/YQ-01</w:t>
            </w:r>
          </w:p>
        </w:tc>
        <w:tc>
          <w:tcPr>
            <w:tcW w:w="1088" w:type="dxa"/>
            <w:noWrap w:val="0"/>
            <w:vAlign w:val="center"/>
          </w:tcPr>
          <w:p>
            <w:pPr>
              <w:adjustRightInd w:val="0"/>
              <w:snapToGrid w:val="0"/>
              <w:jc w:val="center"/>
              <w:rPr>
                <w:rFonts w:hint="default" w:ascii="Times New Roman" w:hAnsi="Times New Roman" w:eastAsia="宋体" w:cs="Times New Roman"/>
                <w:bCs/>
                <w:color w:val="auto"/>
                <w:sz w:val="21"/>
                <w:szCs w:val="21"/>
                <w:highlight w:val="none"/>
              </w:rPr>
            </w:pPr>
            <w:r>
              <w:rPr>
                <w:rFonts w:hint="eastAsia" w:ascii="Times New Roman" w:hAnsi="Times New Roman" w:cs="Times New Roman"/>
                <w:color w:val="auto"/>
                <w:sz w:val="21"/>
                <w:szCs w:val="21"/>
                <w:highlight w:val="none"/>
                <w:lang w:val="en-US" w:eastAsia="zh-CN"/>
              </w:rPr>
              <w:t>0.01</w:t>
            </w:r>
            <w:r>
              <w:rPr>
                <w:rFonts w:hint="default" w:ascii="Times New Roman" w:hAnsi="Times New Roman" w:cs="Times New Roman"/>
                <w:color w:val="auto"/>
                <w:sz w:val="21"/>
                <w:szCs w:val="21"/>
                <w:highlight w:val="none"/>
                <w:lang w:val="en-US" w:eastAsia="zh-CN"/>
              </w:rPr>
              <w:t>mg/kg</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450" w:hRule="atLeast"/>
          <w:jc w:val="center"/>
        </w:trPr>
        <w:tc>
          <w:tcPr>
            <w:tcW w:w="602" w:type="dxa"/>
            <w:vMerge w:val="continue"/>
            <w:noWrap w:val="0"/>
            <w:vAlign w:val="center"/>
          </w:tcPr>
          <w:p>
            <w:pPr>
              <w:jc w:val="center"/>
              <w:rPr>
                <w:rFonts w:hint="default" w:ascii="Times New Roman" w:hAnsi="Times New Roman" w:cs="Times New Roman"/>
                <w:bCs/>
                <w:color w:val="auto"/>
                <w:sz w:val="21"/>
                <w:szCs w:val="21"/>
                <w:highlight w:val="none"/>
                <w:lang w:bidi="ar"/>
              </w:rPr>
            </w:pPr>
          </w:p>
        </w:tc>
        <w:tc>
          <w:tcPr>
            <w:tcW w:w="1373" w:type="dxa"/>
            <w:noWrap w:val="0"/>
            <w:vAlign w:val="center"/>
          </w:tcPr>
          <w:p>
            <w:pPr>
              <w:jc w:val="center"/>
              <w:rPr>
                <w:rFonts w:hint="default" w:ascii="Times New Roman" w:hAnsi="Times New Roman" w:eastAsia="宋体" w:cs="Times New Roman"/>
                <w:bCs/>
                <w:color w:val="auto"/>
                <w:sz w:val="21"/>
                <w:szCs w:val="21"/>
                <w:highlight w:val="none"/>
                <w:lang w:bidi="ar"/>
              </w:rPr>
            </w:pPr>
            <w:r>
              <w:rPr>
                <w:rFonts w:hint="default" w:ascii="Times New Roman" w:hAnsi="Times New Roman" w:eastAsia="宋体" w:cs="Times New Roman"/>
                <w:bCs/>
                <w:color w:val="auto"/>
                <w:sz w:val="21"/>
                <w:szCs w:val="21"/>
                <w:highlight w:val="none"/>
                <w:lang w:bidi="ar"/>
              </w:rPr>
              <w:t>汞*</w:t>
            </w:r>
          </w:p>
        </w:tc>
        <w:tc>
          <w:tcPr>
            <w:tcW w:w="3527" w:type="dxa"/>
            <w:vMerge w:val="continue"/>
            <w:noWrap w:val="0"/>
            <w:vAlign w:val="center"/>
          </w:tcPr>
          <w:p>
            <w:pPr>
              <w:jc w:val="center"/>
              <w:rPr>
                <w:rFonts w:hint="default" w:ascii="Times New Roman" w:hAnsi="Times New Roman" w:eastAsia="宋体" w:cs="Times New Roman"/>
                <w:bCs/>
                <w:color w:val="auto"/>
                <w:sz w:val="21"/>
                <w:szCs w:val="21"/>
                <w:highlight w:val="none"/>
                <w:lang w:bidi="ar"/>
              </w:rPr>
            </w:pPr>
          </w:p>
        </w:tc>
        <w:tc>
          <w:tcPr>
            <w:tcW w:w="1386" w:type="dxa"/>
            <w:vMerge w:val="continue"/>
            <w:noWrap w:val="0"/>
            <w:vAlign w:val="center"/>
          </w:tcPr>
          <w:p>
            <w:pPr>
              <w:keepNext w:val="0"/>
              <w:keepLines w:val="0"/>
              <w:pageBreakBefore w:val="0"/>
              <w:widowControl w:val="0"/>
              <w:kinsoku/>
              <w:wordWrap/>
              <w:overflowPunct/>
              <w:topLinePunct w:val="0"/>
              <w:autoSpaceDE/>
              <w:autoSpaceDN/>
              <w:bidi w:val="0"/>
              <w:ind w:firstLine="0" w:firstLineChars="0"/>
              <w:jc w:val="center"/>
              <w:textAlignment w:val="auto"/>
              <w:rPr>
                <w:rFonts w:hint="default" w:ascii="Times New Roman" w:hAnsi="Times New Roman" w:eastAsia="宋体" w:cs="Times New Roman"/>
                <w:bCs/>
                <w:color w:val="auto"/>
                <w:sz w:val="21"/>
                <w:szCs w:val="21"/>
                <w:highlight w:val="none"/>
                <w:lang w:bidi="ar"/>
              </w:rPr>
            </w:pPr>
          </w:p>
        </w:tc>
        <w:tc>
          <w:tcPr>
            <w:tcW w:w="1260" w:type="dxa"/>
            <w:vMerge w:val="continue"/>
            <w:noWrap w:val="0"/>
            <w:vAlign w:val="center"/>
          </w:tcPr>
          <w:p>
            <w:pPr>
              <w:keepNext w:val="0"/>
              <w:keepLines w:val="0"/>
              <w:pageBreakBefore w:val="0"/>
              <w:widowControl w:val="0"/>
              <w:kinsoku/>
              <w:wordWrap/>
              <w:overflowPunct/>
              <w:topLinePunct w:val="0"/>
              <w:autoSpaceDE/>
              <w:autoSpaceDN/>
              <w:bidi w:val="0"/>
              <w:ind w:firstLine="0" w:firstLineChars="0"/>
              <w:jc w:val="center"/>
              <w:textAlignment w:val="auto"/>
              <w:rPr>
                <w:rFonts w:hint="default" w:ascii="Times New Roman" w:hAnsi="Times New Roman" w:eastAsia="宋体" w:cs="Times New Roman"/>
                <w:bCs/>
                <w:color w:val="auto"/>
                <w:sz w:val="21"/>
                <w:szCs w:val="21"/>
                <w:highlight w:val="none"/>
                <w:lang w:bidi="ar"/>
              </w:rPr>
            </w:pPr>
          </w:p>
        </w:tc>
        <w:tc>
          <w:tcPr>
            <w:tcW w:w="1088" w:type="dxa"/>
            <w:noWrap w:val="0"/>
            <w:vAlign w:val="center"/>
          </w:tcPr>
          <w:p>
            <w:pPr>
              <w:jc w:val="center"/>
              <w:rPr>
                <w:rFonts w:hint="default" w:ascii="Times New Roman" w:hAnsi="Times New Roman" w:eastAsia="宋体" w:cs="Times New Roman"/>
                <w:bCs/>
                <w:color w:val="auto"/>
                <w:sz w:val="21"/>
                <w:szCs w:val="21"/>
                <w:highlight w:val="none"/>
              </w:rPr>
            </w:pPr>
            <w:r>
              <w:rPr>
                <w:rFonts w:hint="eastAsia" w:ascii="Times New Roman" w:hAnsi="Times New Roman" w:cs="Times New Roman"/>
                <w:b w:val="0"/>
                <w:bCs/>
                <w:color w:val="auto"/>
                <w:sz w:val="21"/>
                <w:szCs w:val="21"/>
                <w:highlight w:val="none"/>
                <w:lang w:val="en-US" w:eastAsia="zh-CN"/>
              </w:rPr>
              <w:t>0.002</w:t>
            </w:r>
            <w:r>
              <w:rPr>
                <w:rFonts w:hint="default" w:ascii="Times New Roman" w:hAnsi="Times New Roman" w:eastAsia="宋体" w:cs="Times New Roman"/>
                <w:b w:val="0"/>
                <w:bCs/>
                <w:color w:val="auto"/>
                <w:sz w:val="21"/>
                <w:szCs w:val="21"/>
                <w:highlight w:val="none"/>
              </w:rPr>
              <w:t>mg/kg</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90" w:hRule="atLeast"/>
          <w:jc w:val="center"/>
        </w:trPr>
        <w:tc>
          <w:tcPr>
            <w:tcW w:w="602" w:type="dxa"/>
            <w:vMerge w:val="continue"/>
            <w:noWrap w:val="0"/>
            <w:vAlign w:val="center"/>
          </w:tcPr>
          <w:p>
            <w:pPr>
              <w:jc w:val="center"/>
              <w:rPr>
                <w:rFonts w:hint="default" w:ascii="Times New Roman" w:hAnsi="Times New Roman" w:cs="Times New Roman"/>
                <w:bCs/>
                <w:color w:val="auto"/>
                <w:sz w:val="21"/>
                <w:szCs w:val="21"/>
                <w:highlight w:val="none"/>
                <w:lang w:bidi="ar"/>
              </w:rPr>
            </w:pPr>
          </w:p>
        </w:tc>
        <w:tc>
          <w:tcPr>
            <w:tcW w:w="13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sz w:val="21"/>
                <w:szCs w:val="21"/>
                <w:highlight w:val="none"/>
                <w:lang w:bidi="ar"/>
              </w:rPr>
            </w:pPr>
            <w:r>
              <w:rPr>
                <w:rFonts w:hint="default" w:ascii="Times New Roman" w:hAnsi="Times New Roman" w:eastAsia="宋体" w:cs="Times New Roman"/>
                <w:bCs/>
                <w:color w:val="auto"/>
                <w:sz w:val="21"/>
                <w:szCs w:val="21"/>
                <w:highlight w:val="none"/>
                <w:lang w:bidi="ar"/>
              </w:rPr>
              <w:t>镉*</w:t>
            </w:r>
          </w:p>
        </w:tc>
        <w:tc>
          <w:tcPr>
            <w:tcW w:w="3527" w:type="dxa"/>
            <w:noWrap w:val="0"/>
            <w:vAlign w:val="center"/>
          </w:tcPr>
          <w:p>
            <w:pPr>
              <w:jc w:val="center"/>
              <w:rPr>
                <w:rFonts w:hint="default" w:ascii="Times New Roman" w:hAnsi="Times New Roman" w:eastAsia="宋体" w:cs="Times New Roman"/>
                <w:bCs/>
                <w:color w:val="auto"/>
                <w:sz w:val="21"/>
                <w:szCs w:val="21"/>
                <w:highlight w:val="none"/>
                <w:lang w:bidi="ar"/>
              </w:rPr>
            </w:pPr>
            <w:r>
              <w:rPr>
                <w:rFonts w:hint="default" w:ascii="Times New Roman" w:hAnsi="Times New Roman" w:eastAsia="宋体" w:cs="Times New Roman"/>
                <w:bCs/>
                <w:color w:val="auto"/>
                <w:sz w:val="21"/>
                <w:szCs w:val="21"/>
                <w:highlight w:val="none"/>
                <w:lang w:bidi="ar"/>
              </w:rPr>
              <w:t>土壤质量 铅、镉的测定 KI-MIBK 萃</w:t>
            </w:r>
          </w:p>
          <w:p>
            <w:pPr>
              <w:jc w:val="center"/>
              <w:rPr>
                <w:rFonts w:hint="default" w:ascii="Times New Roman" w:hAnsi="Times New Roman" w:eastAsia="宋体" w:cs="Times New Roman"/>
                <w:bCs/>
                <w:color w:val="auto"/>
                <w:sz w:val="21"/>
                <w:szCs w:val="21"/>
                <w:highlight w:val="none"/>
                <w:lang w:bidi="ar"/>
              </w:rPr>
            </w:pPr>
            <w:r>
              <w:rPr>
                <w:rFonts w:hint="default" w:ascii="Times New Roman" w:hAnsi="Times New Roman" w:eastAsia="宋体" w:cs="Times New Roman"/>
                <w:bCs/>
                <w:color w:val="auto"/>
                <w:sz w:val="21"/>
                <w:szCs w:val="21"/>
                <w:highlight w:val="none"/>
                <w:lang w:bidi="ar"/>
              </w:rPr>
              <w:t>取火焰原子吸收分光光度法</w:t>
            </w:r>
          </w:p>
          <w:p>
            <w:pPr>
              <w:jc w:val="center"/>
              <w:rPr>
                <w:rFonts w:hint="default" w:ascii="Times New Roman" w:hAnsi="Times New Roman" w:eastAsia="宋体" w:cs="Times New Roman"/>
                <w:bCs/>
                <w:color w:val="auto"/>
                <w:sz w:val="21"/>
                <w:szCs w:val="21"/>
                <w:highlight w:val="none"/>
                <w:lang w:bidi="ar"/>
              </w:rPr>
            </w:pPr>
            <w:r>
              <w:rPr>
                <w:rFonts w:hint="default" w:ascii="Times New Roman" w:hAnsi="Times New Roman" w:eastAsia="宋体" w:cs="Times New Roman"/>
                <w:bCs/>
                <w:color w:val="auto"/>
                <w:sz w:val="21"/>
                <w:szCs w:val="21"/>
                <w:highlight w:val="none"/>
                <w:lang w:bidi="ar"/>
              </w:rPr>
              <w:t>GB/T17140-1997</w:t>
            </w:r>
          </w:p>
        </w:tc>
        <w:tc>
          <w:tcPr>
            <w:tcW w:w="1386" w:type="dxa"/>
            <w:vMerge w:val="restart"/>
            <w:noWrap w:val="0"/>
            <w:vAlign w:val="center"/>
          </w:tcPr>
          <w:p>
            <w:pPr>
              <w:keepNext w:val="0"/>
              <w:keepLines w:val="0"/>
              <w:pageBreakBefore w:val="0"/>
              <w:widowControl w:val="0"/>
              <w:kinsoku/>
              <w:wordWrap/>
              <w:overflowPunct/>
              <w:topLinePunct w:val="0"/>
              <w:autoSpaceDE/>
              <w:autoSpaceDN/>
              <w:bidi w:val="0"/>
              <w:ind w:firstLine="0" w:firstLineChars="0"/>
              <w:jc w:val="center"/>
              <w:textAlignment w:val="auto"/>
              <w:rPr>
                <w:rFonts w:hint="default" w:ascii="Times New Roman" w:hAnsi="Times New Roman" w:cs="Times New Roman"/>
                <w:bCs/>
                <w:color w:val="auto"/>
                <w:sz w:val="21"/>
                <w:szCs w:val="21"/>
                <w:highlight w:val="none"/>
                <w:lang w:eastAsia="zh-CN" w:bidi="ar"/>
              </w:rPr>
            </w:pPr>
            <w:r>
              <w:rPr>
                <w:rFonts w:hint="default" w:ascii="Times New Roman" w:hAnsi="Times New Roman" w:cs="Times New Roman"/>
                <w:bCs/>
                <w:color w:val="auto"/>
                <w:sz w:val="21"/>
                <w:szCs w:val="21"/>
                <w:highlight w:val="none"/>
                <w:lang w:eastAsia="zh-CN" w:bidi="ar"/>
              </w:rPr>
              <w:t>石墨炉/火焰原</w:t>
            </w:r>
          </w:p>
          <w:p>
            <w:pPr>
              <w:keepNext w:val="0"/>
              <w:keepLines w:val="0"/>
              <w:pageBreakBefore w:val="0"/>
              <w:widowControl w:val="0"/>
              <w:kinsoku/>
              <w:wordWrap/>
              <w:overflowPunct/>
              <w:topLinePunct w:val="0"/>
              <w:autoSpaceDE/>
              <w:autoSpaceDN/>
              <w:bidi w:val="0"/>
              <w:ind w:firstLine="0" w:firstLineChars="0"/>
              <w:jc w:val="center"/>
              <w:textAlignment w:val="auto"/>
              <w:rPr>
                <w:rFonts w:hint="default" w:ascii="Times New Roman" w:hAnsi="Times New Roman" w:eastAsia="宋体" w:cs="Times New Roman"/>
                <w:bCs/>
                <w:color w:val="auto"/>
                <w:sz w:val="21"/>
                <w:szCs w:val="21"/>
                <w:highlight w:val="none"/>
                <w:lang w:bidi="ar"/>
              </w:rPr>
            </w:pPr>
            <w:r>
              <w:rPr>
                <w:rFonts w:hint="default" w:ascii="Times New Roman" w:hAnsi="Times New Roman" w:cs="Times New Roman"/>
                <w:bCs/>
                <w:color w:val="auto"/>
                <w:sz w:val="21"/>
                <w:szCs w:val="21"/>
                <w:highlight w:val="none"/>
                <w:lang w:eastAsia="zh-CN" w:bidi="ar"/>
              </w:rPr>
              <w:t>子吸收分光光度计 GGX-830</w:t>
            </w:r>
          </w:p>
        </w:tc>
        <w:tc>
          <w:tcPr>
            <w:tcW w:w="1260" w:type="dxa"/>
            <w:vMerge w:val="restart"/>
            <w:noWrap w:val="0"/>
            <w:vAlign w:val="center"/>
          </w:tcPr>
          <w:p>
            <w:pPr>
              <w:keepNext w:val="0"/>
              <w:keepLines w:val="0"/>
              <w:pageBreakBefore w:val="0"/>
              <w:widowControl w:val="0"/>
              <w:kinsoku/>
              <w:wordWrap/>
              <w:overflowPunct/>
              <w:topLinePunct w:val="0"/>
              <w:autoSpaceDE/>
              <w:autoSpaceDN/>
              <w:bidi w:val="0"/>
              <w:ind w:firstLine="0" w:firstLineChars="0"/>
              <w:jc w:val="center"/>
              <w:textAlignment w:val="auto"/>
              <w:rPr>
                <w:rFonts w:hint="default" w:ascii="Times New Roman" w:hAnsi="Times New Roman" w:eastAsia="宋体" w:cs="Times New Roman"/>
                <w:bCs/>
                <w:color w:val="auto"/>
                <w:sz w:val="21"/>
                <w:szCs w:val="21"/>
                <w:highlight w:val="none"/>
                <w:lang w:bidi="ar"/>
              </w:rPr>
            </w:pPr>
            <w:r>
              <w:rPr>
                <w:rFonts w:hint="default" w:ascii="Times New Roman" w:hAnsi="Times New Roman" w:eastAsia="宋体" w:cs="Times New Roman"/>
                <w:bCs/>
                <w:color w:val="auto"/>
                <w:sz w:val="21"/>
                <w:szCs w:val="21"/>
                <w:highlight w:val="none"/>
                <w:lang w:bidi="ar"/>
              </w:rPr>
              <w:t>XSJS/YQ-04</w:t>
            </w:r>
          </w:p>
        </w:tc>
        <w:tc>
          <w:tcPr>
            <w:tcW w:w="1088" w:type="dxa"/>
            <w:noWrap w:val="0"/>
            <w:vAlign w:val="center"/>
          </w:tcPr>
          <w:p>
            <w:pPr>
              <w:adjustRightInd w:val="0"/>
              <w:snapToGrid w:val="0"/>
              <w:jc w:val="center"/>
              <w:rPr>
                <w:rFonts w:hint="default" w:ascii="Times New Roman" w:hAnsi="Times New Roman" w:eastAsia="宋体" w:cs="Times New Roman"/>
                <w:bCs/>
                <w:color w:val="auto"/>
                <w:sz w:val="21"/>
                <w:szCs w:val="21"/>
                <w:highlight w:val="none"/>
              </w:rPr>
            </w:pPr>
            <w:r>
              <w:rPr>
                <w:rFonts w:hint="eastAsia" w:ascii="Times New Roman" w:hAnsi="Times New Roman" w:cs="Times New Roman"/>
                <w:color w:val="auto"/>
                <w:sz w:val="21"/>
                <w:szCs w:val="21"/>
                <w:highlight w:val="none"/>
                <w:lang w:val="en-US" w:eastAsia="zh-CN"/>
              </w:rPr>
              <w:t>0.05</w:t>
            </w:r>
            <w:r>
              <w:rPr>
                <w:rFonts w:hint="default" w:ascii="Times New Roman" w:hAnsi="Times New Roman" w:cs="Times New Roman"/>
                <w:color w:val="auto"/>
                <w:sz w:val="21"/>
                <w:szCs w:val="21"/>
                <w:highlight w:val="none"/>
                <w:lang w:val="en-US" w:eastAsia="zh-CN"/>
              </w:rPr>
              <w:t>mg/kg</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90" w:hRule="atLeast"/>
          <w:jc w:val="center"/>
        </w:trPr>
        <w:tc>
          <w:tcPr>
            <w:tcW w:w="602" w:type="dxa"/>
            <w:vMerge w:val="continue"/>
            <w:noWrap w:val="0"/>
            <w:vAlign w:val="center"/>
          </w:tcPr>
          <w:p>
            <w:pPr>
              <w:jc w:val="center"/>
              <w:rPr>
                <w:rFonts w:hint="default" w:ascii="Times New Roman" w:hAnsi="Times New Roman" w:cs="Times New Roman"/>
                <w:bCs/>
                <w:color w:val="auto"/>
                <w:sz w:val="21"/>
                <w:szCs w:val="21"/>
                <w:highlight w:val="none"/>
                <w:lang w:bidi="ar"/>
              </w:rPr>
            </w:pPr>
          </w:p>
        </w:tc>
        <w:tc>
          <w:tcPr>
            <w:tcW w:w="1373" w:type="dxa"/>
            <w:noWrap w:val="0"/>
            <w:vAlign w:val="center"/>
          </w:tcPr>
          <w:p>
            <w:pPr>
              <w:jc w:val="center"/>
              <w:rPr>
                <w:rFonts w:hint="default" w:ascii="Times New Roman" w:hAnsi="Times New Roman" w:eastAsia="宋体" w:cs="Times New Roman"/>
                <w:bCs/>
                <w:color w:val="auto"/>
                <w:sz w:val="21"/>
                <w:szCs w:val="21"/>
                <w:highlight w:val="none"/>
                <w:lang w:bidi="ar"/>
              </w:rPr>
            </w:pPr>
            <w:r>
              <w:rPr>
                <w:rFonts w:hint="default" w:ascii="Times New Roman" w:hAnsi="Times New Roman" w:eastAsia="宋体" w:cs="Times New Roman"/>
                <w:bCs/>
                <w:color w:val="auto"/>
                <w:sz w:val="21"/>
                <w:szCs w:val="21"/>
                <w:highlight w:val="none"/>
                <w:lang w:bidi="ar"/>
              </w:rPr>
              <w:t>铅*</w:t>
            </w:r>
          </w:p>
        </w:tc>
        <w:tc>
          <w:tcPr>
            <w:tcW w:w="3527" w:type="dxa"/>
            <w:vMerge w:val="restart"/>
            <w:noWrap w:val="0"/>
            <w:vAlign w:val="center"/>
          </w:tcPr>
          <w:p>
            <w:pPr>
              <w:jc w:val="center"/>
              <w:rPr>
                <w:rFonts w:hint="default" w:ascii="Times New Roman" w:hAnsi="Times New Roman" w:eastAsia="宋体" w:cs="Times New Roman"/>
                <w:bCs/>
                <w:color w:val="auto"/>
                <w:sz w:val="21"/>
                <w:szCs w:val="21"/>
                <w:highlight w:val="none"/>
                <w:lang w:bidi="ar"/>
              </w:rPr>
            </w:pPr>
            <w:r>
              <w:rPr>
                <w:rFonts w:hint="default" w:ascii="Times New Roman" w:hAnsi="Times New Roman" w:eastAsia="宋体" w:cs="Times New Roman"/>
                <w:bCs/>
                <w:color w:val="auto"/>
                <w:sz w:val="21"/>
                <w:szCs w:val="21"/>
                <w:highlight w:val="none"/>
                <w:lang w:bidi="ar"/>
              </w:rPr>
              <w:t>土壤和沉积物 铜、锌、铅、镍、铬</w:t>
            </w:r>
          </w:p>
          <w:p>
            <w:pPr>
              <w:jc w:val="center"/>
              <w:rPr>
                <w:rFonts w:hint="default" w:ascii="Times New Roman" w:hAnsi="Times New Roman" w:eastAsia="宋体" w:cs="Times New Roman"/>
                <w:bCs/>
                <w:color w:val="auto"/>
                <w:sz w:val="21"/>
                <w:szCs w:val="21"/>
                <w:highlight w:val="none"/>
                <w:lang w:bidi="ar"/>
              </w:rPr>
            </w:pPr>
            <w:r>
              <w:rPr>
                <w:rFonts w:hint="default" w:ascii="Times New Roman" w:hAnsi="Times New Roman" w:eastAsia="宋体" w:cs="Times New Roman"/>
                <w:bCs/>
                <w:color w:val="auto"/>
                <w:sz w:val="21"/>
                <w:szCs w:val="21"/>
                <w:highlight w:val="none"/>
                <w:lang w:bidi="ar"/>
              </w:rPr>
              <w:t>的测定 火焰原子吸收分光光度法</w:t>
            </w:r>
          </w:p>
          <w:p>
            <w:pPr>
              <w:jc w:val="center"/>
              <w:rPr>
                <w:rFonts w:hint="default" w:ascii="Times New Roman" w:hAnsi="Times New Roman" w:eastAsia="宋体" w:cs="Times New Roman"/>
                <w:bCs/>
                <w:color w:val="auto"/>
                <w:sz w:val="21"/>
                <w:szCs w:val="21"/>
                <w:highlight w:val="none"/>
                <w:lang w:bidi="ar"/>
              </w:rPr>
            </w:pPr>
            <w:r>
              <w:rPr>
                <w:rFonts w:hint="default" w:ascii="Times New Roman" w:hAnsi="Times New Roman" w:eastAsia="宋体" w:cs="Times New Roman"/>
                <w:bCs/>
                <w:color w:val="auto"/>
                <w:sz w:val="21"/>
                <w:szCs w:val="21"/>
                <w:highlight w:val="none"/>
                <w:lang w:bidi="ar"/>
              </w:rPr>
              <w:t>HJ491-2019</w:t>
            </w:r>
          </w:p>
        </w:tc>
        <w:tc>
          <w:tcPr>
            <w:tcW w:w="1386" w:type="dxa"/>
            <w:vMerge w:val="continue"/>
            <w:noWrap w:val="0"/>
            <w:vAlign w:val="center"/>
          </w:tcPr>
          <w:p>
            <w:pPr>
              <w:keepNext w:val="0"/>
              <w:keepLines w:val="0"/>
              <w:pageBreakBefore w:val="0"/>
              <w:widowControl w:val="0"/>
              <w:kinsoku/>
              <w:wordWrap/>
              <w:overflowPunct/>
              <w:topLinePunct w:val="0"/>
              <w:autoSpaceDE/>
              <w:autoSpaceDN/>
              <w:bidi w:val="0"/>
              <w:ind w:firstLine="0" w:firstLineChars="0"/>
              <w:jc w:val="center"/>
              <w:textAlignment w:val="auto"/>
              <w:rPr>
                <w:rFonts w:hint="default" w:ascii="Times New Roman" w:hAnsi="Times New Roman" w:eastAsia="宋体" w:cs="Times New Roman"/>
                <w:bCs/>
                <w:color w:val="auto"/>
                <w:sz w:val="21"/>
                <w:szCs w:val="21"/>
                <w:highlight w:val="none"/>
                <w:lang w:bidi="ar"/>
              </w:rPr>
            </w:pPr>
          </w:p>
        </w:tc>
        <w:tc>
          <w:tcPr>
            <w:tcW w:w="1260" w:type="dxa"/>
            <w:vMerge w:val="continue"/>
            <w:noWrap w:val="0"/>
            <w:vAlign w:val="center"/>
          </w:tcPr>
          <w:p>
            <w:pPr>
              <w:jc w:val="center"/>
              <w:rPr>
                <w:rFonts w:hint="default" w:ascii="Times New Roman" w:hAnsi="Times New Roman" w:eastAsia="宋体" w:cs="Times New Roman"/>
                <w:bCs/>
                <w:color w:val="auto"/>
                <w:sz w:val="21"/>
                <w:szCs w:val="21"/>
                <w:highlight w:val="none"/>
                <w:lang w:bidi="ar"/>
              </w:rPr>
            </w:pPr>
          </w:p>
        </w:tc>
        <w:tc>
          <w:tcPr>
            <w:tcW w:w="1088" w:type="dxa"/>
            <w:noWrap w:val="0"/>
            <w:vAlign w:val="center"/>
          </w:tcPr>
          <w:p>
            <w:pPr>
              <w:jc w:val="center"/>
              <w:rPr>
                <w:rFonts w:hint="default" w:ascii="Times New Roman" w:hAnsi="Times New Roman" w:eastAsia="宋体" w:cs="Times New Roman"/>
                <w:bCs/>
                <w:color w:val="auto"/>
                <w:sz w:val="21"/>
                <w:szCs w:val="21"/>
                <w:highlight w:val="none"/>
              </w:rPr>
            </w:pPr>
            <w:r>
              <w:rPr>
                <w:rFonts w:hint="eastAsia" w:ascii="Times New Roman" w:hAnsi="Times New Roman" w:cs="Times New Roman"/>
                <w:b w:val="0"/>
                <w:bCs/>
                <w:color w:val="auto"/>
                <w:sz w:val="21"/>
                <w:szCs w:val="21"/>
                <w:highlight w:val="none"/>
                <w:lang w:val="en-US" w:eastAsia="zh-CN"/>
              </w:rPr>
              <w:t>10</w:t>
            </w:r>
            <w:r>
              <w:rPr>
                <w:rFonts w:hint="default" w:ascii="Times New Roman" w:hAnsi="Times New Roman" w:eastAsia="宋体" w:cs="Times New Roman"/>
                <w:b w:val="0"/>
                <w:bCs/>
                <w:color w:val="auto"/>
                <w:sz w:val="21"/>
                <w:szCs w:val="21"/>
                <w:highlight w:val="none"/>
              </w:rPr>
              <w:t>mg/kg</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90" w:hRule="atLeast"/>
          <w:jc w:val="center"/>
        </w:trPr>
        <w:tc>
          <w:tcPr>
            <w:tcW w:w="602" w:type="dxa"/>
            <w:vMerge w:val="continue"/>
            <w:noWrap w:val="0"/>
            <w:vAlign w:val="center"/>
          </w:tcPr>
          <w:p>
            <w:pPr>
              <w:jc w:val="center"/>
              <w:rPr>
                <w:rFonts w:hint="default" w:ascii="Times New Roman" w:hAnsi="Times New Roman" w:cs="Times New Roman"/>
                <w:bCs/>
                <w:color w:val="auto"/>
                <w:sz w:val="21"/>
                <w:szCs w:val="21"/>
                <w:highlight w:val="none"/>
                <w:lang w:bidi="ar"/>
              </w:rPr>
            </w:pPr>
          </w:p>
        </w:tc>
        <w:tc>
          <w:tcPr>
            <w:tcW w:w="13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sz w:val="21"/>
                <w:szCs w:val="21"/>
                <w:highlight w:val="none"/>
                <w:lang w:bidi="ar"/>
              </w:rPr>
            </w:pPr>
            <w:r>
              <w:rPr>
                <w:rFonts w:hint="default" w:ascii="Times New Roman" w:hAnsi="Times New Roman" w:eastAsia="宋体" w:cs="Times New Roman"/>
                <w:bCs/>
                <w:color w:val="auto"/>
                <w:sz w:val="21"/>
                <w:szCs w:val="21"/>
                <w:highlight w:val="none"/>
                <w:lang w:bidi="ar"/>
              </w:rPr>
              <w:t>镍*</w:t>
            </w:r>
          </w:p>
        </w:tc>
        <w:tc>
          <w:tcPr>
            <w:tcW w:w="3527" w:type="dxa"/>
            <w:vMerge w:val="continue"/>
            <w:noWrap w:val="0"/>
            <w:vAlign w:val="center"/>
          </w:tcPr>
          <w:p>
            <w:pPr>
              <w:jc w:val="center"/>
              <w:rPr>
                <w:rFonts w:hint="default" w:ascii="Times New Roman" w:hAnsi="Times New Roman" w:eastAsia="宋体" w:cs="Times New Roman"/>
                <w:bCs/>
                <w:color w:val="auto"/>
                <w:sz w:val="21"/>
                <w:szCs w:val="21"/>
                <w:highlight w:val="none"/>
                <w:lang w:bidi="ar"/>
              </w:rPr>
            </w:pPr>
          </w:p>
        </w:tc>
        <w:tc>
          <w:tcPr>
            <w:tcW w:w="1386" w:type="dxa"/>
            <w:vMerge w:val="continue"/>
            <w:noWrap w:val="0"/>
            <w:vAlign w:val="center"/>
          </w:tcPr>
          <w:p>
            <w:pPr>
              <w:keepNext w:val="0"/>
              <w:keepLines w:val="0"/>
              <w:pageBreakBefore w:val="0"/>
              <w:widowControl w:val="0"/>
              <w:kinsoku/>
              <w:wordWrap/>
              <w:overflowPunct/>
              <w:topLinePunct w:val="0"/>
              <w:autoSpaceDE/>
              <w:autoSpaceDN/>
              <w:bidi w:val="0"/>
              <w:ind w:firstLine="0" w:firstLineChars="0"/>
              <w:jc w:val="center"/>
              <w:textAlignment w:val="auto"/>
              <w:rPr>
                <w:rFonts w:hint="default" w:ascii="Times New Roman" w:hAnsi="Times New Roman" w:eastAsia="宋体" w:cs="Times New Roman"/>
                <w:bCs/>
                <w:color w:val="auto"/>
                <w:sz w:val="21"/>
                <w:szCs w:val="21"/>
                <w:highlight w:val="none"/>
                <w:lang w:bidi="ar"/>
              </w:rPr>
            </w:pPr>
          </w:p>
        </w:tc>
        <w:tc>
          <w:tcPr>
            <w:tcW w:w="1260" w:type="dxa"/>
            <w:vMerge w:val="continue"/>
            <w:noWrap w:val="0"/>
            <w:vAlign w:val="center"/>
          </w:tcPr>
          <w:p>
            <w:pPr>
              <w:jc w:val="center"/>
              <w:rPr>
                <w:rFonts w:hint="default" w:ascii="Times New Roman" w:hAnsi="Times New Roman" w:eastAsia="宋体" w:cs="Times New Roman"/>
                <w:bCs/>
                <w:color w:val="auto"/>
                <w:sz w:val="21"/>
                <w:szCs w:val="21"/>
                <w:highlight w:val="none"/>
                <w:lang w:bidi="ar"/>
              </w:rPr>
            </w:pPr>
          </w:p>
        </w:tc>
        <w:tc>
          <w:tcPr>
            <w:tcW w:w="1088" w:type="dxa"/>
            <w:noWrap w:val="0"/>
            <w:vAlign w:val="center"/>
          </w:tcPr>
          <w:p>
            <w:pPr>
              <w:adjustRightInd w:val="0"/>
              <w:snapToGrid w:val="0"/>
              <w:jc w:val="center"/>
              <w:rPr>
                <w:rFonts w:hint="default" w:ascii="Times New Roman" w:hAnsi="Times New Roman" w:eastAsia="宋体" w:cs="Times New Roman"/>
                <w:bCs/>
                <w:color w:val="auto"/>
                <w:sz w:val="21"/>
                <w:szCs w:val="21"/>
                <w:highlight w:val="none"/>
              </w:rPr>
            </w:pPr>
            <w:r>
              <w:rPr>
                <w:rFonts w:hint="eastAsia" w:ascii="Times New Roman" w:hAnsi="Times New Roman" w:cs="Times New Roman"/>
                <w:color w:val="auto"/>
                <w:sz w:val="21"/>
                <w:szCs w:val="21"/>
                <w:highlight w:val="none"/>
                <w:lang w:val="en-US" w:eastAsia="zh-CN"/>
              </w:rPr>
              <w:t>3</w:t>
            </w:r>
            <w:r>
              <w:rPr>
                <w:rFonts w:hint="default" w:ascii="Times New Roman" w:hAnsi="Times New Roman" w:cs="Times New Roman"/>
                <w:color w:val="auto"/>
                <w:sz w:val="21"/>
                <w:szCs w:val="21"/>
                <w:highlight w:val="none"/>
                <w:lang w:val="en-US" w:eastAsia="zh-CN"/>
              </w:rPr>
              <w:t>mg/kg</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90" w:hRule="atLeast"/>
          <w:jc w:val="center"/>
        </w:trPr>
        <w:tc>
          <w:tcPr>
            <w:tcW w:w="602" w:type="dxa"/>
            <w:vMerge w:val="continue"/>
            <w:noWrap w:val="0"/>
            <w:vAlign w:val="center"/>
          </w:tcPr>
          <w:p>
            <w:pPr>
              <w:jc w:val="center"/>
              <w:rPr>
                <w:rFonts w:hint="default" w:ascii="Times New Roman" w:hAnsi="Times New Roman" w:cs="Times New Roman"/>
                <w:bCs/>
                <w:color w:val="auto"/>
                <w:sz w:val="21"/>
                <w:szCs w:val="21"/>
                <w:highlight w:val="none"/>
                <w:lang w:bidi="ar"/>
              </w:rPr>
            </w:pPr>
          </w:p>
        </w:tc>
        <w:tc>
          <w:tcPr>
            <w:tcW w:w="1373" w:type="dxa"/>
            <w:noWrap w:val="0"/>
            <w:vAlign w:val="center"/>
          </w:tcPr>
          <w:p>
            <w:pPr>
              <w:jc w:val="center"/>
              <w:rPr>
                <w:rFonts w:hint="default" w:ascii="Times New Roman" w:hAnsi="Times New Roman" w:eastAsia="宋体" w:cs="Times New Roman"/>
                <w:bCs/>
                <w:color w:val="auto"/>
                <w:sz w:val="21"/>
                <w:szCs w:val="21"/>
                <w:highlight w:val="none"/>
                <w:lang w:bidi="ar"/>
              </w:rPr>
            </w:pPr>
            <w:r>
              <w:rPr>
                <w:rFonts w:hint="default" w:ascii="Times New Roman" w:hAnsi="Times New Roman" w:eastAsia="宋体" w:cs="Times New Roman"/>
                <w:bCs/>
                <w:color w:val="auto"/>
                <w:sz w:val="21"/>
                <w:szCs w:val="21"/>
                <w:highlight w:val="none"/>
                <w:lang w:bidi="ar"/>
              </w:rPr>
              <w:t>铜*</w:t>
            </w:r>
          </w:p>
        </w:tc>
        <w:tc>
          <w:tcPr>
            <w:tcW w:w="3527" w:type="dxa"/>
            <w:vMerge w:val="continue"/>
            <w:noWrap w:val="0"/>
            <w:vAlign w:val="center"/>
          </w:tcPr>
          <w:p>
            <w:pPr>
              <w:jc w:val="center"/>
              <w:rPr>
                <w:rFonts w:hint="default" w:ascii="Times New Roman" w:hAnsi="Times New Roman" w:eastAsia="宋体" w:cs="Times New Roman"/>
                <w:bCs/>
                <w:color w:val="auto"/>
                <w:sz w:val="21"/>
                <w:szCs w:val="21"/>
                <w:highlight w:val="none"/>
                <w:lang w:bidi="ar"/>
              </w:rPr>
            </w:pPr>
          </w:p>
        </w:tc>
        <w:tc>
          <w:tcPr>
            <w:tcW w:w="1386" w:type="dxa"/>
            <w:vMerge w:val="continue"/>
            <w:noWrap w:val="0"/>
            <w:vAlign w:val="center"/>
          </w:tcPr>
          <w:p>
            <w:pPr>
              <w:jc w:val="center"/>
              <w:rPr>
                <w:rFonts w:hint="default" w:ascii="Times New Roman" w:hAnsi="Times New Roman" w:eastAsia="宋体" w:cs="Times New Roman"/>
                <w:bCs/>
                <w:color w:val="auto"/>
                <w:sz w:val="21"/>
                <w:szCs w:val="21"/>
                <w:highlight w:val="none"/>
                <w:lang w:bidi="ar"/>
              </w:rPr>
            </w:pPr>
          </w:p>
        </w:tc>
        <w:tc>
          <w:tcPr>
            <w:tcW w:w="1260" w:type="dxa"/>
            <w:vMerge w:val="continue"/>
            <w:noWrap w:val="0"/>
            <w:vAlign w:val="center"/>
          </w:tcPr>
          <w:p>
            <w:pPr>
              <w:jc w:val="center"/>
              <w:rPr>
                <w:rFonts w:hint="default" w:ascii="Times New Roman" w:hAnsi="Times New Roman" w:eastAsia="宋体" w:cs="Times New Roman"/>
                <w:bCs/>
                <w:color w:val="auto"/>
                <w:sz w:val="21"/>
                <w:szCs w:val="21"/>
                <w:highlight w:val="none"/>
                <w:lang w:bidi="ar"/>
              </w:rPr>
            </w:pPr>
          </w:p>
        </w:tc>
        <w:tc>
          <w:tcPr>
            <w:tcW w:w="1088" w:type="dxa"/>
            <w:noWrap w:val="0"/>
            <w:vAlign w:val="center"/>
          </w:tcPr>
          <w:p>
            <w:pPr>
              <w:adjustRightInd w:val="0"/>
              <w:snapToGrid w:val="0"/>
              <w:jc w:val="center"/>
              <w:rPr>
                <w:rFonts w:hint="default" w:ascii="Times New Roman" w:hAnsi="Times New Roman" w:eastAsia="宋体" w:cs="Times New Roman"/>
                <w:bCs/>
                <w:color w:val="auto"/>
                <w:sz w:val="21"/>
                <w:szCs w:val="21"/>
                <w:highlight w:val="none"/>
              </w:rPr>
            </w:pPr>
            <w:r>
              <w:rPr>
                <w:rFonts w:hint="eastAsia" w:ascii="Times New Roman" w:hAnsi="Times New Roman" w:cs="Times New Roman"/>
                <w:color w:val="auto"/>
                <w:sz w:val="21"/>
                <w:szCs w:val="21"/>
                <w:highlight w:val="none"/>
                <w:lang w:val="en-US" w:eastAsia="zh-CN"/>
              </w:rPr>
              <w:t>1</w:t>
            </w:r>
            <w:r>
              <w:rPr>
                <w:rFonts w:hint="default" w:ascii="Times New Roman" w:hAnsi="Times New Roman" w:cs="Times New Roman"/>
                <w:color w:val="auto"/>
                <w:sz w:val="21"/>
                <w:szCs w:val="21"/>
                <w:highlight w:val="none"/>
                <w:lang w:val="en-US" w:eastAsia="zh-CN"/>
              </w:rPr>
              <w:t>mg/kg</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90" w:hRule="atLeast"/>
          <w:jc w:val="center"/>
        </w:trPr>
        <w:tc>
          <w:tcPr>
            <w:tcW w:w="602" w:type="dxa"/>
            <w:vMerge w:val="continue"/>
            <w:noWrap w:val="0"/>
            <w:vAlign w:val="center"/>
          </w:tcPr>
          <w:p>
            <w:pPr>
              <w:jc w:val="center"/>
              <w:rPr>
                <w:rFonts w:hint="default" w:ascii="Times New Roman" w:hAnsi="Times New Roman" w:cs="Times New Roman"/>
                <w:bCs/>
                <w:color w:val="auto"/>
                <w:sz w:val="21"/>
                <w:szCs w:val="21"/>
                <w:highlight w:val="none"/>
                <w:lang w:bidi="ar"/>
              </w:rPr>
            </w:pPr>
          </w:p>
        </w:tc>
        <w:tc>
          <w:tcPr>
            <w:tcW w:w="13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sz w:val="21"/>
                <w:szCs w:val="21"/>
                <w:highlight w:val="none"/>
                <w:lang w:bidi="ar"/>
              </w:rPr>
            </w:pPr>
            <w:r>
              <w:rPr>
                <w:rFonts w:hint="default" w:ascii="Times New Roman" w:hAnsi="Times New Roman" w:eastAsia="宋体" w:cs="Times New Roman"/>
                <w:bCs/>
                <w:color w:val="auto"/>
                <w:sz w:val="21"/>
                <w:szCs w:val="21"/>
                <w:highlight w:val="none"/>
                <w:lang w:bidi="ar"/>
              </w:rPr>
              <w:t>铬*</w:t>
            </w:r>
          </w:p>
        </w:tc>
        <w:tc>
          <w:tcPr>
            <w:tcW w:w="3527" w:type="dxa"/>
            <w:vMerge w:val="continue"/>
            <w:noWrap w:val="0"/>
            <w:vAlign w:val="center"/>
          </w:tcPr>
          <w:p>
            <w:pPr>
              <w:jc w:val="center"/>
              <w:rPr>
                <w:rFonts w:hint="default" w:ascii="Times New Roman" w:hAnsi="Times New Roman" w:eastAsia="宋体" w:cs="Times New Roman"/>
                <w:bCs/>
                <w:color w:val="auto"/>
                <w:sz w:val="21"/>
                <w:szCs w:val="21"/>
                <w:highlight w:val="none"/>
                <w:lang w:bidi="ar"/>
              </w:rPr>
            </w:pPr>
          </w:p>
        </w:tc>
        <w:tc>
          <w:tcPr>
            <w:tcW w:w="1386" w:type="dxa"/>
            <w:vMerge w:val="continue"/>
            <w:noWrap w:val="0"/>
            <w:vAlign w:val="center"/>
          </w:tcPr>
          <w:p>
            <w:pPr>
              <w:keepNext w:val="0"/>
              <w:keepLines w:val="0"/>
              <w:pageBreakBefore w:val="0"/>
              <w:widowControl w:val="0"/>
              <w:kinsoku/>
              <w:wordWrap/>
              <w:overflowPunct/>
              <w:topLinePunct w:val="0"/>
              <w:autoSpaceDE/>
              <w:autoSpaceDN/>
              <w:bidi w:val="0"/>
              <w:ind w:firstLine="0" w:firstLineChars="0"/>
              <w:jc w:val="center"/>
              <w:textAlignment w:val="auto"/>
              <w:rPr>
                <w:rFonts w:hint="default" w:ascii="Times New Roman" w:hAnsi="Times New Roman" w:eastAsia="宋体" w:cs="Times New Roman"/>
                <w:bCs/>
                <w:color w:val="auto"/>
                <w:sz w:val="21"/>
                <w:szCs w:val="21"/>
                <w:highlight w:val="none"/>
                <w:lang w:bidi="ar"/>
              </w:rPr>
            </w:pPr>
          </w:p>
        </w:tc>
        <w:tc>
          <w:tcPr>
            <w:tcW w:w="1260" w:type="dxa"/>
            <w:vMerge w:val="continue"/>
            <w:noWrap w:val="0"/>
            <w:vAlign w:val="center"/>
          </w:tcPr>
          <w:p>
            <w:pPr>
              <w:keepNext w:val="0"/>
              <w:keepLines w:val="0"/>
              <w:pageBreakBefore w:val="0"/>
              <w:widowControl w:val="0"/>
              <w:kinsoku/>
              <w:wordWrap/>
              <w:overflowPunct/>
              <w:topLinePunct w:val="0"/>
              <w:autoSpaceDE/>
              <w:autoSpaceDN/>
              <w:bidi w:val="0"/>
              <w:ind w:firstLine="0" w:firstLineChars="0"/>
              <w:jc w:val="center"/>
              <w:textAlignment w:val="auto"/>
              <w:rPr>
                <w:rFonts w:hint="default" w:ascii="Times New Roman" w:hAnsi="Times New Roman" w:eastAsia="宋体" w:cs="Times New Roman"/>
                <w:bCs/>
                <w:color w:val="auto"/>
                <w:sz w:val="21"/>
                <w:szCs w:val="21"/>
                <w:highlight w:val="none"/>
                <w:lang w:bidi="ar"/>
              </w:rPr>
            </w:pPr>
          </w:p>
        </w:tc>
        <w:tc>
          <w:tcPr>
            <w:tcW w:w="1088" w:type="dxa"/>
            <w:noWrap w:val="0"/>
            <w:vAlign w:val="center"/>
          </w:tcPr>
          <w:p>
            <w:pPr>
              <w:adjustRightInd w:val="0"/>
              <w:snapToGrid w:val="0"/>
              <w:jc w:val="center"/>
              <w:rPr>
                <w:rFonts w:hint="default" w:ascii="Times New Roman" w:hAnsi="Times New Roman" w:eastAsia="宋体" w:cs="Times New Roman"/>
                <w:bCs/>
                <w:color w:val="auto"/>
                <w:sz w:val="21"/>
                <w:szCs w:val="21"/>
                <w:highlight w:val="none"/>
              </w:rPr>
            </w:pPr>
            <w:r>
              <w:rPr>
                <w:rFonts w:hint="eastAsia" w:ascii="Times New Roman" w:hAnsi="Times New Roman" w:cs="Times New Roman"/>
                <w:color w:val="auto"/>
                <w:sz w:val="21"/>
                <w:szCs w:val="21"/>
                <w:highlight w:val="none"/>
                <w:lang w:val="en-US" w:eastAsia="zh-CN"/>
              </w:rPr>
              <w:t>4</w:t>
            </w:r>
            <w:r>
              <w:rPr>
                <w:rFonts w:hint="default" w:ascii="Times New Roman" w:hAnsi="Times New Roman" w:cs="Times New Roman"/>
                <w:color w:val="auto"/>
                <w:sz w:val="21"/>
                <w:szCs w:val="21"/>
                <w:highlight w:val="none"/>
                <w:lang w:val="en-US" w:eastAsia="zh-CN"/>
              </w:rPr>
              <w:t>mg/kg</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234" w:hRule="atLeast"/>
          <w:jc w:val="center"/>
        </w:trPr>
        <w:tc>
          <w:tcPr>
            <w:tcW w:w="602" w:type="dxa"/>
            <w:vMerge w:val="continue"/>
            <w:noWrap w:val="0"/>
            <w:vAlign w:val="center"/>
          </w:tcPr>
          <w:p>
            <w:pPr>
              <w:jc w:val="center"/>
              <w:rPr>
                <w:rFonts w:hint="default" w:ascii="Times New Roman" w:hAnsi="Times New Roman" w:cs="Times New Roman"/>
                <w:bCs/>
                <w:color w:val="auto"/>
                <w:sz w:val="21"/>
                <w:szCs w:val="21"/>
                <w:highlight w:val="none"/>
                <w:lang w:bidi="ar"/>
              </w:rPr>
            </w:pPr>
          </w:p>
        </w:tc>
        <w:tc>
          <w:tcPr>
            <w:tcW w:w="13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sz w:val="21"/>
                <w:szCs w:val="21"/>
                <w:highlight w:val="none"/>
                <w:lang w:bidi="ar"/>
              </w:rPr>
            </w:pPr>
            <w:r>
              <w:rPr>
                <w:rFonts w:hint="default" w:ascii="Times New Roman" w:hAnsi="Times New Roman" w:eastAsia="宋体" w:cs="Times New Roman"/>
                <w:bCs/>
                <w:color w:val="auto"/>
                <w:sz w:val="21"/>
                <w:szCs w:val="21"/>
                <w:highlight w:val="none"/>
                <w:lang w:bidi="ar"/>
              </w:rPr>
              <w:t>锌*</w:t>
            </w:r>
          </w:p>
        </w:tc>
        <w:tc>
          <w:tcPr>
            <w:tcW w:w="3527" w:type="dxa"/>
            <w:vMerge w:val="continue"/>
            <w:noWrap w:val="0"/>
            <w:vAlign w:val="center"/>
          </w:tcPr>
          <w:p>
            <w:pPr>
              <w:jc w:val="center"/>
              <w:rPr>
                <w:rFonts w:hint="default" w:ascii="Times New Roman" w:hAnsi="Times New Roman" w:eastAsia="宋体" w:cs="Times New Roman"/>
                <w:bCs/>
                <w:color w:val="auto"/>
                <w:sz w:val="21"/>
                <w:szCs w:val="21"/>
                <w:highlight w:val="none"/>
                <w:lang w:bidi="ar"/>
              </w:rPr>
            </w:pPr>
          </w:p>
        </w:tc>
        <w:tc>
          <w:tcPr>
            <w:tcW w:w="1386" w:type="dxa"/>
            <w:vMerge w:val="continue"/>
            <w:noWrap w:val="0"/>
            <w:vAlign w:val="center"/>
          </w:tcPr>
          <w:p>
            <w:pPr>
              <w:keepNext w:val="0"/>
              <w:keepLines w:val="0"/>
              <w:pageBreakBefore w:val="0"/>
              <w:widowControl w:val="0"/>
              <w:kinsoku/>
              <w:wordWrap/>
              <w:overflowPunct/>
              <w:topLinePunct w:val="0"/>
              <w:autoSpaceDE/>
              <w:autoSpaceDN/>
              <w:bidi w:val="0"/>
              <w:ind w:firstLine="0" w:firstLineChars="0"/>
              <w:jc w:val="center"/>
              <w:textAlignment w:val="auto"/>
              <w:rPr>
                <w:rFonts w:hint="default" w:ascii="Times New Roman" w:hAnsi="Times New Roman" w:eastAsia="宋体" w:cs="Times New Roman"/>
                <w:bCs/>
                <w:color w:val="auto"/>
                <w:sz w:val="21"/>
                <w:szCs w:val="21"/>
                <w:highlight w:val="none"/>
                <w:lang w:bidi="ar"/>
              </w:rPr>
            </w:pPr>
          </w:p>
        </w:tc>
        <w:tc>
          <w:tcPr>
            <w:tcW w:w="1260" w:type="dxa"/>
            <w:vMerge w:val="continue"/>
            <w:noWrap w:val="0"/>
            <w:vAlign w:val="center"/>
          </w:tcPr>
          <w:p>
            <w:pPr>
              <w:keepNext w:val="0"/>
              <w:keepLines w:val="0"/>
              <w:pageBreakBefore w:val="0"/>
              <w:widowControl w:val="0"/>
              <w:kinsoku/>
              <w:wordWrap/>
              <w:overflowPunct/>
              <w:topLinePunct w:val="0"/>
              <w:autoSpaceDE/>
              <w:autoSpaceDN/>
              <w:bidi w:val="0"/>
              <w:ind w:firstLine="0" w:firstLineChars="0"/>
              <w:jc w:val="center"/>
              <w:textAlignment w:val="auto"/>
              <w:rPr>
                <w:rFonts w:hint="default" w:ascii="Times New Roman" w:hAnsi="Times New Roman" w:eastAsia="宋体" w:cs="Times New Roman"/>
                <w:bCs/>
                <w:color w:val="auto"/>
                <w:sz w:val="21"/>
                <w:szCs w:val="21"/>
                <w:highlight w:val="none"/>
                <w:lang w:bidi="ar"/>
              </w:rPr>
            </w:pPr>
          </w:p>
        </w:tc>
        <w:tc>
          <w:tcPr>
            <w:tcW w:w="1088" w:type="dxa"/>
            <w:noWrap w:val="0"/>
            <w:vAlign w:val="center"/>
          </w:tcPr>
          <w:p>
            <w:pPr>
              <w:adjustRightInd w:val="0"/>
              <w:snapToGrid w:val="0"/>
              <w:jc w:val="center"/>
              <w:rPr>
                <w:rFonts w:hint="default" w:ascii="Times New Roman" w:hAnsi="Times New Roman" w:eastAsia="宋体" w:cs="Times New Roman"/>
                <w:bCs/>
                <w:color w:val="auto"/>
                <w:sz w:val="21"/>
                <w:szCs w:val="21"/>
                <w:highlight w:val="none"/>
              </w:rPr>
            </w:pPr>
            <w:r>
              <w:rPr>
                <w:rFonts w:hint="eastAsia" w:ascii="Times New Roman" w:hAnsi="Times New Roman" w:cs="Times New Roman"/>
                <w:color w:val="auto"/>
                <w:sz w:val="21"/>
                <w:szCs w:val="21"/>
                <w:highlight w:val="none"/>
                <w:lang w:val="en-US" w:eastAsia="zh-CN"/>
              </w:rPr>
              <w:t>1</w:t>
            </w:r>
            <w:r>
              <w:rPr>
                <w:rFonts w:hint="default" w:ascii="Times New Roman" w:hAnsi="Times New Roman" w:cs="Times New Roman"/>
                <w:color w:val="auto"/>
                <w:sz w:val="21"/>
                <w:szCs w:val="21"/>
                <w:highlight w:val="none"/>
                <w:lang w:val="en-US" w:eastAsia="zh-CN"/>
              </w:rPr>
              <w:t>mg/kg</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544" w:hRule="atLeast"/>
          <w:jc w:val="center"/>
        </w:trPr>
        <w:tc>
          <w:tcPr>
            <w:tcW w:w="602" w:type="dxa"/>
            <w:vMerge w:val="continue"/>
            <w:noWrap w:val="0"/>
            <w:vAlign w:val="center"/>
          </w:tcPr>
          <w:p>
            <w:pPr>
              <w:jc w:val="center"/>
              <w:rPr>
                <w:rFonts w:hint="default" w:ascii="Times New Roman" w:hAnsi="Times New Roman" w:cs="Times New Roman"/>
                <w:bCs/>
                <w:color w:val="auto"/>
                <w:sz w:val="21"/>
                <w:szCs w:val="21"/>
                <w:highlight w:val="none"/>
                <w:lang w:bidi="ar"/>
              </w:rPr>
            </w:pPr>
          </w:p>
        </w:tc>
        <w:tc>
          <w:tcPr>
            <w:tcW w:w="1373"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sz w:val="21"/>
                <w:szCs w:val="21"/>
                <w:highlight w:val="none"/>
                <w:lang w:bidi="ar"/>
              </w:rPr>
            </w:pPr>
            <w:r>
              <w:rPr>
                <w:rFonts w:hint="default" w:ascii="Times New Roman" w:hAnsi="Times New Roman" w:eastAsia="宋体" w:cs="Times New Roman"/>
                <w:bCs/>
                <w:color w:val="auto"/>
                <w:sz w:val="21"/>
                <w:szCs w:val="21"/>
                <w:highlight w:val="none"/>
                <w:lang w:bidi="ar"/>
              </w:rPr>
              <w:t>有机质*</w:t>
            </w:r>
          </w:p>
        </w:tc>
        <w:tc>
          <w:tcPr>
            <w:tcW w:w="3527" w:type="dxa"/>
            <w:noWrap w:val="0"/>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森林土壤有机质的测定及碳氮比的</w:t>
            </w:r>
          </w:p>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计算 LY/T1237-1999</w:t>
            </w:r>
          </w:p>
        </w:tc>
        <w:tc>
          <w:tcPr>
            <w:tcW w:w="1386" w:type="dxa"/>
            <w:noWrap w:val="0"/>
            <w:vAlign w:val="center"/>
          </w:tcPr>
          <w:p>
            <w:pPr>
              <w:keepNext w:val="0"/>
              <w:keepLines w:val="0"/>
              <w:pageBreakBefore w:val="0"/>
              <w:widowControl w:val="0"/>
              <w:kinsoku/>
              <w:wordWrap/>
              <w:overflowPunct/>
              <w:topLinePunct w:val="0"/>
              <w:autoSpaceDE/>
              <w:autoSpaceDN/>
              <w:bidi w:val="0"/>
              <w:ind w:firstLine="0" w:firstLineChars="0"/>
              <w:jc w:val="center"/>
              <w:textAlignment w:val="auto"/>
              <w:rPr>
                <w:rFonts w:hint="default" w:ascii="Times New Roman" w:hAnsi="Times New Roman" w:eastAsia="宋体" w:cs="Times New Roman"/>
                <w:bCs/>
                <w:color w:val="auto"/>
                <w:sz w:val="21"/>
                <w:szCs w:val="21"/>
                <w:highlight w:val="none"/>
                <w:lang w:bidi="ar"/>
              </w:rPr>
            </w:pPr>
            <w:r>
              <w:rPr>
                <w:rFonts w:hint="default" w:ascii="Times New Roman" w:hAnsi="Times New Roman" w:eastAsia="宋体" w:cs="Times New Roman"/>
                <w:bCs/>
                <w:color w:val="auto"/>
                <w:sz w:val="21"/>
                <w:szCs w:val="21"/>
                <w:highlight w:val="none"/>
                <w:lang w:bidi="ar"/>
              </w:rPr>
              <w:t>恒温油浴锅</w:t>
            </w:r>
          </w:p>
        </w:tc>
        <w:tc>
          <w:tcPr>
            <w:tcW w:w="1260" w:type="dxa"/>
            <w:noWrap w:val="0"/>
            <w:vAlign w:val="center"/>
          </w:tcPr>
          <w:p>
            <w:pPr>
              <w:keepNext w:val="0"/>
              <w:keepLines w:val="0"/>
              <w:pageBreakBefore w:val="0"/>
              <w:widowControl w:val="0"/>
              <w:kinsoku/>
              <w:wordWrap/>
              <w:overflowPunct/>
              <w:topLinePunct w:val="0"/>
              <w:autoSpaceDE/>
              <w:autoSpaceDN/>
              <w:bidi w:val="0"/>
              <w:ind w:firstLine="0" w:firstLineChars="0"/>
              <w:jc w:val="center"/>
              <w:textAlignment w:val="auto"/>
              <w:rPr>
                <w:rFonts w:hint="default" w:ascii="Times New Roman" w:hAnsi="Times New Roman" w:eastAsia="宋体" w:cs="Times New Roman"/>
                <w:bCs/>
                <w:color w:val="auto"/>
                <w:sz w:val="21"/>
                <w:szCs w:val="21"/>
                <w:highlight w:val="none"/>
                <w:lang w:bidi="ar"/>
              </w:rPr>
            </w:pPr>
            <w:r>
              <w:rPr>
                <w:rFonts w:hint="default" w:ascii="Times New Roman" w:hAnsi="Times New Roman" w:eastAsia="宋体" w:cs="Times New Roman"/>
                <w:bCs/>
                <w:color w:val="auto"/>
                <w:sz w:val="21"/>
                <w:szCs w:val="21"/>
                <w:highlight w:val="none"/>
                <w:lang w:bidi="ar"/>
              </w:rPr>
              <w:t>XSJS/YQ-135</w:t>
            </w:r>
          </w:p>
        </w:tc>
        <w:tc>
          <w:tcPr>
            <w:tcW w:w="1088" w:type="dxa"/>
            <w:noWrap w:val="0"/>
            <w:vAlign w:val="center"/>
          </w:tcPr>
          <w:p>
            <w:pPr>
              <w:adjustRightInd w:val="0"/>
              <w:snapToGrid w:val="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r>
    </w:tbl>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auto"/>
        <w:rPr>
          <w:rFonts w:hint="eastAsia" w:ascii="Times New Roman" w:hAnsi="Times New Roman" w:eastAsia="宋体" w:cs="Times New Roman"/>
          <w:color w:val="auto"/>
          <w:sz w:val="24"/>
          <w:highlight w:val="none"/>
          <w:lang w:eastAsia="zh-CN"/>
        </w:rPr>
      </w:pP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4</w:t>
      </w:r>
      <w:r>
        <w:rPr>
          <w:rFonts w:hint="eastAsia" w:ascii="Times New Roman" w:hAnsi="Times New Roman" w:eastAsia="宋体" w:cs="Times New Roman"/>
          <w:color w:val="auto"/>
          <w:sz w:val="24"/>
          <w:highlight w:val="none"/>
          <w:lang w:eastAsia="zh-CN"/>
        </w:rPr>
        <w:t>）监测结果</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auto"/>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本项目土壤监测结果如下：</w:t>
      </w:r>
    </w:p>
    <w:p>
      <w:pPr>
        <w:jc w:val="center"/>
        <w:rPr>
          <w:rFonts w:hint="default" w:ascii="Times New Roman" w:hAnsi="Times New Roman" w:cs="Times New Roman"/>
          <w:b/>
          <w:bCs/>
          <w:color w:val="auto"/>
          <w:sz w:val="21"/>
          <w:highlight w:val="none"/>
        </w:rPr>
      </w:pPr>
    </w:p>
    <w:p>
      <w:pPr>
        <w:jc w:val="center"/>
        <w:rPr>
          <w:rFonts w:hint="eastAsia" w:ascii="Times New Roman" w:hAnsi="Times New Roman" w:cs="Times New Roman"/>
          <w:b/>
          <w:bCs/>
          <w:color w:val="auto"/>
          <w:sz w:val="21"/>
          <w:highlight w:val="none"/>
          <w:lang w:eastAsia="zh-CN"/>
        </w:rPr>
      </w:pPr>
      <w:r>
        <w:rPr>
          <w:rFonts w:hint="default" w:ascii="Times New Roman" w:hAnsi="Times New Roman" w:cs="Times New Roman"/>
          <w:b/>
          <w:bCs/>
          <w:color w:val="auto"/>
          <w:sz w:val="21"/>
          <w:highlight w:val="none"/>
        </w:rPr>
        <w:t>表</w:t>
      </w:r>
      <w:r>
        <w:rPr>
          <w:rFonts w:hint="default" w:ascii="Times New Roman" w:hAnsi="Times New Roman" w:cs="Times New Roman"/>
          <w:b/>
          <w:bCs/>
          <w:color w:val="auto"/>
          <w:sz w:val="21"/>
          <w:highlight w:val="none"/>
          <w:lang w:val="en-US" w:eastAsia="zh-CN"/>
        </w:rPr>
        <w:t>4.3-</w:t>
      </w:r>
      <w:r>
        <w:rPr>
          <w:rFonts w:hint="eastAsia" w:ascii="Times New Roman" w:hAnsi="Times New Roman" w:cs="Times New Roman"/>
          <w:b/>
          <w:bCs/>
          <w:color w:val="auto"/>
          <w:sz w:val="21"/>
          <w:highlight w:val="none"/>
          <w:lang w:val="en-US" w:eastAsia="zh-CN"/>
        </w:rPr>
        <w:t>15</w:t>
      </w:r>
      <w:r>
        <w:rPr>
          <w:rFonts w:hint="default" w:ascii="Times New Roman" w:hAnsi="Times New Roman" w:cs="Times New Roman"/>
          <w:b/>
          <w:bCs/>
          <w:color w:val="auto"/>
          <w:sz w:val="21"/>
          <w:highlight w:val="none"/>
        </w:rPr>
        <w:t xml:space="preserve">  </w:t>
      </w:r>
      <w:r>
        <w:rPr>
          <w:rFonts w:hint="eastAsia" w:ascii="Times New Roman" w:hAnsi="Times New Roman" w:cs="Times New Roman"/>
          <w:b/>
          <w:bCs/>
          <w:color w:val="auto"/>
          <w:sz w:val="21"/>
          <w:highlight w:val="none"/>
          <w:lang w:eastAsia="zh-CN"/>
        </w:rPr>
        <w:t>土壤检测结果表</w:t>
      </w:r>
    </w:p>
    <w:tbl>
      <w:tblPr>
        <w:tblStyle w:val="34"/>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3" w:type="dxa"/>
          <w:bottom w:w="0" w:type="dxa"/>
          <w:right w:w="23" w:type="dxa"/>
        </w:tblCellMar>
      </w:tblPr>
      <w:tblGrid>
        <w:gridCol w:w="967"/>
        <w:gridCol w:w="1298"/>
        <w:gridCol w:w="811"/>
        <w:gridCol w:w="1267"/>
        <w:gridCol w:w="1703"/>
        <w:gridCol w:w="1960"/>
        <w:gridCol w:w="103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79" w:hRule="atLeast"/>
          <w:jc w:val="center"/>
        </w:trPr>
        <w:tc>
          <w:tcPr>
            <w:tcW w:w="535" w:type="pct"/>
            <w:vMerge w:val="restar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采样日期</w:t>
            </w:r>
          </w:p>
        </w:tc>
        <w:tc>
          <w:tcPr>
            <w:tcW w:w="718" w:type="pct"/>
            <w:vMerge w:val="restar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检测项目</w:t>
            </w:r>
          </w:p>
        </w:tc>
        <w:tc>
          <w:tcPr>
            <w:tcW w:w="448" w:type="pct"/>
            <w:vMerge w:val="restar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单位</w:t>
            </w:r>
          </w:p>
        </w:tc>
        <w:tc>
          <w:tcPr>
            <w:tcW w:w="2724" w:type="pct"/>
            <w:gridSpan w:val="3"/>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检测结果</w:t>
            </w:r>
          </w:p>
        </w:tc>
        <w:tc>
          <w:tcPr>
            <w:tcW w:w="574" w:type="pct"/>
            <w:vMerge w:val="restar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标准限值（mg/kg）</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434" w:hRule="atLeast"/>
          <w:jc w:val="center"/>
        </w:trPr>
        <w:tc>
          <w:tcPr>
            <w:tcW w:w="535" w:type="pct"/>
            <w:vMerge w:val="continue"/>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718" w:type="pct"/>
            <w:vMerge w:val="continue"/>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48" w:type="pct"/>
            <w:vMerge w:val="continue"/>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b/>
                <w:bCs/>
                <w:color w:val="auto"/>
                <w:kern w:val="0"/>
                <w:sz w:val="21"/>
                <w:szCs w:val="21"/>
                <w:highlight w:val="none"/>
                <w:lang w:val="en-US" w:eastAsia="zh-CN"/>
              </w:rPr>
            </w:pPr>
          </w:p>
        </w:tc>
        <w:tc>
          <w:tcPr>
            <w:tcW w:w="700" w:type="pct"/>
            <w:noWrap w:val="0"/>
            <w:vAlign w:val="center"/>
          </w:tcPr>
          <w:p>
            <w:pPr>
              <w:adjustRightInd w:val="0"/>
              <w:snapToGrid w:val="0"/>
              <w:jc w:val="center"/>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sz w:val="21"/>
                <w:szCs w:val="21"/>
                <w:highlight w:val="none"/>
                <w:lang w:eastAsia="zh-CN"/>
              </w:rPr>
              <w:t>1#</w:t>
            </w:r>
          </w:p>
        </w:tc>
        <w:tc>
          <w:tcPr>
            <w:tcW w:w="941" w:type="pct"/>
            <w:noWrap w:val="0"/>
            <w:vAlign w:val="center"/>
          </w:tcPr>
          <w:p>
            <w:pPr>
              <w:adjustRightInd w:val="0"/>
              <w:snapToGrid w:val="0"/>
              <w:jc w:val="center"/>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sz w:val="21"/>
                <w:szCs w:val="21"/>
                <w:highlight w:val="none"/>
                <w:lang w:eastAsia="zh-CN"/>
              </w:rPr>
              <w:t>2#</w:t>
            </w:r>
          </w:p>
        </w:tc>
        <w:tc>
          <w:tcPr>
            <w:tcW w:w="1082" w:type="pct"/>
            <w:noWrap w:val="0"/>
            <w:vAlign w:val="center"/>
          </w:tcPr>
          <w:p>
            <w:pPr>
              <w:adjustRightInd w:val="0"/>
              <w:snapToGrid w:val="0"/>
              <w:jc w:val="center"/>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sz w:val="21"/>
                <w:szCs w:val="21"/>
                <w:highlight w:val="none"/>
                <w:lang w:eastAsia="zh-CN"/>
              </w:rPr>
              <w:t>3#</w:t>
            </w:r>
          </w:p>
        </w:tc>
        <w:tc>
          <w:tcPr>
            <w:tcW w:w="574" w:type="pct"/>
            <w:vMerge w:val="continue"/>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177" w:hRule="atLeast"/>
          <w:jc w:val="center"/>
        </w:trPr>
        <w:tc>
          <w:tcPr>
            <w:tcW w:w="535" w:type="pct"/>
            <w:vMerge w:val="restar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cs="Times New Roman"/>
                <w:color w:val="auto"/>
                <w:kern w:val="0"/>
                <w:sz w:val="21"/>
                <w:szCs w:val="21"/>
                <w:highlight w:val="none"/>
                <w:lang w:val="en-US" w:eastAsia="zh-CN"/>
              </w:rPr>
              <w:t>10月9</w:t>
            </w:r>
            <w:r>
              <w:rPr>
                <w:rFonts w:hint="default" w:ascii="Times New Roman" w:hAnsi="Times New Roman" w:eastAsia="宋体" w:cs="Times New Roman"/>
                <w:color w:val="auto"/>
                <w:kern w:val="0"/>
                <w:sz w:val="21"/>
                <w:szCs w:val="21"/>
                <w:highlight w:val="none"/>
                <w:lang w:val="en-US" w:eastAsia="zh-CN"/>
              </w:rPr>
              <w:t>日</w:t>
            </w:r>
          </w:p>
        </w:tc>
        <w:tc>
          <w:tcPr>
            <w:tcW w:w="718" w:type="pct"/>
            <w:noWrap w:val="0"/>
            <w:vAlign w:val="center"/>
          </w:tcPr>
          <w:p>
            <w:pPr>
              <w:adjustRightInd w:val="0"/>
              <w:snapToGrid w:val="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bCs/>
                <w:color w:val="auto"/>
                <w:sz w:val="21"/>
                <w:szCs w:val="21"/>
                <w:highlight w:val="none"/>
              </w:rPr>
              <w:t>pH（无量纲）</w:t>
            </w:r>
          </w:p>
        </w:tc>
        <w:tc>
          <w:tcPr>
            <w:tcW w:w="448" w:type="pc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无量纲</w:t>
            </w:r>
          </w:p>
        </w:tc>
        <w:tc>
          <w:tcPr>
            <w:tcW w:w="700" w:type="pct"/>
            <w:noWrap w:val="0"/>
            <w:vAlign w:val="center"/>
          </w:tcPr>
          <w:p>
            <w:pPr>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4.06</w:t>
            </w:r>
          </w:p>
        </w:tc>
        <w:tc>
          <w:tcPr>
            <w:tcW w:w="941" w:type="pct"/>
            <w:noWrap w:val="0"/>
            <w:vAlign w:val="center"/>
          </w:tcPr>
          <w:p>
            <w:pPr>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4.11</w:t>
            </w:r>
          </w:p>
        </w:tc>
        <w:tc>
          <w:tcPr>
            <w:tcW w:w="1082" w:type="pct"/>
            <w:noWrap w:val="0"/>
            <w:vAlign w:val="center"/>
          </w:tcPr>
          <w:p>
            <w:pPr>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4.15</w:t>
            </w:r>
          </w:p>
        </w:tc>
        <w:tc>
          <w:tcPr>
            <w:tcW w:w="574" w:type="pc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162" w:hRule="atLeast"/>
          <w:jc w:val="center"/>
        </w:trPr>
        <w:tc>
          <w:tcPr>
            <w:tcW w:w="535" w:type="pct"/>
            <w:vMerge w:val="continue"/>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718" w:type="pct"/>
            <w:noWrap w:val="0"/>
            <w:vAlign w:val="center"/>
          </w:tcPr>
          <w:p>
            <w:pPr>
              <w:adjustRightInd w:val="0"/>
              <w:snapToGrid w:val="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bCs/>
                <w:color w:val="auto"/>
                <w:sz w:val="21"/>
                <w:szCs w:val="21"/>
                <w:highlight w:val="none"/>
              </w:rPr>
              <w:t>铬（mg/kg）</w:t>
            </w:r>
          </w:p>
        </w:tc>
        <w:tc>
          <w:tcPr>
            <w:tcW w:w="448" w:type="pc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mg/kg</w:t>
            </w:r>
          </w:p>
        </w:tc>
        <w:tc>
          <w:tcPr>
            <w:tcW w:w="700" w:type="pct"/>
            <w:noWrap w:val="0"/>
            <w:vAlign w:val="center"/>
          </w:tcPr>
          <w:p>
            <w:pPr>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w:t>
            </w:r>
          </w:p>
        </w:tc>
        <w:tc>
          <w:tcPr>
            <w:tcW w:w="941" w:type="pct"/>
            <w:noWrap w:val="0"/>
            <w:vAlign w:val="center"/>
          </w:tcPr>
          <w:p>
            <w:pPr>
              <w:adjustRightInd w:val="0"/>
              <w:snapToGrid w:val="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w:t>
            </w:r>
          </w:p>
        </w:tc>
        <w:tc>
          <w:tcPr>
            <w:tcW w:w="1082" w:type="pct"/>
            <w:noWrap w:val="0"/>
            <w:vAlign w:val="center"/>
          </w:tcPr>
          <w:p>
            <w:pPr>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w:t>
            </w:r>
          </w:p>
        </w:tc>
        <w:tc>
          <w:tcPr>
            <w:tcW w:w="574" w:type="pc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cs="Times New Roman"/>
                <w:color w:val="auto"/>
                <w:kern w:val="0"/>
                <w:sz w:val="21"/>
                <w:szCs w:val="21"/>
                <w:highlight w:val="none"/>
                <w:lang w:val="en-US" w:eastAsia="zh-CN"/>
              </w:rPr>
              <w:t>150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222" w:hRule="atLeast"/>
          <w:jc w:val="center"/>
        </w:trPr>
        <w:tc>
          <w:tcPr>
            <w:tcW w:w="535" w:type="pct"/>
            <w:vMerge w:val="continue"/>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718" w:type="pct"/>
            <w:noWrap w:val="0"/>
            <w:vAlign w:val="center"/>
          </w:tcPr>
          <w:p>
            <w:pPr>
              <w:adjustRightInd w:val="0"/>
              <w:snapToGrid w:val="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bCs/>
                <w:color w:val="auto"/>
                <w:sz w:val="21"/>
                <w:szCs w:val="21"/>
                <w:highlight w:val="none"/>
                <w:lang w:eastAsia="zh-CN"/>
              </w:rPr>
              <w:t>总</w:t>
            </w:r>
            <w:r>
              <w:rPr>
                <w:rFonts w:hint="default" w:ascii="Times New Roman" w:hAnsi="Times New Roman" w:eastAsia="宋体" w:cs="Times New Roman"/>
                <w:bCs/>
                <w:color w:val="auto"/>
                <w:sz w:val="21"/>
                <w:szCs w:val="21"/>
                <w:highlight w:val="none"/>
              </w:rPr>
              <w:t>砷（mg/kg）</w:t>
            </w:r>
          </w:p>
        </w:tc>
        <w:tc>
          <w:tcPr>
            <w:tcW w:w="448" w:type="pc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mg/kg</w:t>
            </w:r>
          </w:p>
        </w:tc>
        <w:tc>
          <w:tcPr>
            <w:tcW w:w="700" w:type="pct"/>
            <w:noWrap w:val="0"/>
            <w:vAlign w:val="center"/>
          </w:tcPr>
          <w:p>
            <w:pPr>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5.94</w:t>
            </w:r>
          </w:p>
        </w:tc>
        <w:tc>
          <w:tcPr>
            <w:tcW w:w="941" w:type="pct"/>
            <w:noWrap w:val="0"/>
            <w:vAlign w:val="center"/>
          </w:tcPr>
          <w:p>
            <w:pPr>
              <w:adjustRightInd w:val="0"/>
              <w:snapToGrid w:val="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5.56</w:t>
            </w:r>
          </w:p>
        </w:tc>
        <w:tc>
          <w:tcPr>
            <w:tcW w:w="1082" w:type="pct"/>
            <w:noWrap w:val="0"/>
            <w:vAlign w:val="center"/>
          </w:tcPr>
          <w:p>
            <w:pPr>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5.70</w:t>
            </w:r>
          </w:p>
        </w:tc>
        <w:tc>
          <w:tcPr>
            <w:tcW w:w="574" w:type="pc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bidi="ar-SA"/>
              </w:rPr>
              <w:t>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192" w:hRule="atLeast"/>
          <w:jc w:val="center"/>
        </w:trPr>
        <w:tc>
          <w:tcPr>
            <w:tcW w:w="535" w:type="pct"/>
            <w:vMerge w:val="continue"/>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718" w:type="pct"/>
            <w:noWrap w:val="0"/>
            <w:vAlign w:val="center"/>
          </w:tcPr>
          <w:p>
            <w:pPr>
              <w:adjustRightInd w:val="0"/>
              <w:snapToGrid w:val="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bCs/>
                <w:color w:val="auto"/>
                <w:sz w:val="21"/>
                <w:szCs w:val="21"/>
                <w:highlight w:val="none"/>
                <w:lang w:eastAsia="zh-CN"/>
              </w:rPr>
              <w:t>总</w:t>
            </w:r>
            <w:r>
              <w:rPr>
                <w:rFonts w:hint="default" w:ascii="Times New Roman" w:hAnsi="Times New Roman" w:eastAsia="宋体" w:cs="Times New Roman"/>
                <w:bCs/>
                <w:color w:val="auto"/>
                <w:sz w:val="21"/>
                <w:szCs w:val="21"/>
                <w:highlight w:val="none"/>
              </w:rPr>
              <w:t>汞（mg/kg）</w:t>
            </w:r>
          </w:p>
        </w:tc>
        <w:tc>
          <w:tcPr>
            <w:tcW w:w="448" w:type="pc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mg/kg</w:t>
            </w:r>
          </w:p>
        </w:tc>
        <w:tc>
          <w:tcPr>
            <w:tcW w:w="700" w:type="pct"/>
            <w:noWrap w:val="0"/>
            <w:vAlign w:val="center"/>
          </w:tcPr>
          <w:p>
            <w:pPr>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0.428</w:t>
            </w:r>
          </w:p>
        </w:tc>
        <w:tc>
          <w:tcPr>
            <w:tcW w:w="941" w:type="pct"/>
            <w:noWrap w:val="0"/>
            <w:vAlign w:val="center"/>
          </w:tcPr>
          <w:p>
            <w:pPr>
              <w:adjustRightInd w:val="0"/>
              <w:snapToGrid w:val="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0.329</w:t>
            </w:r>
          </w:p>
        </w:tc>
        <w:tc>
          <w:tcPr>
            <w:tcW w:w="1082" w:type="pct"/>
            <w:noWrap w:val="0"/>
            <w:vAlign w:val="center"/>
          </w:tcPr>
          <w:p>
            <w:pPr>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0.637</w:t>
            </w:r>
          </w:p>
        </w:tc>
        <w:tc>
          <w:tcPr>
            <w:tcW w:w="574" w:type="pc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bidi="ar-SA"/>
              </w:rPr>
              <w:t>1.3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252" w:hRule="atLeast"/>
          <w:jc w:val="center"/>
        </w:trPr>
        <w:tc>
          <w:tcPr>
            <w:tcW w:w="535" w:type="pct"/>
            <w:vMerge w:val="continue"/>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718" w:type="pct"/>
            <w:noWrap w:val="0"/>
            <w:vAlign w:val="center"/>
          </w:tcPr>
          <w:p>
            <w:pPr>
              <w:adjustRightInd w:val="0"/>
              <w:snapToGrid w:val="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bCs/>
                <w:color w:val="auto"/>
                <w:sz w:val="21"/>
                <w:szCs w:val="21"/>
                <w:highlight w:val="none"/>
              </w:rPr>
              <w:t>镉（mg/kg）</w:t>
            </w:r>
          </w:p>
        </w:tc>
        <w:tc>
          <w:tcPr>
            <w:tcW w:w="448" w:type="pc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mg/kg</w:t>
            </w:r>
          </w:p>
        </w:tc>
        <w:tc>
          <w:tcPr>
            <w:tcW w:w="700" w:type="pct"/>
            <w:noWrap w:val="0"/>
            <w:vAlign w:val="center"/>
          </w:tcPr>
          <w:p>
            <w:pPr>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0.02</w:t>
            </w:r>
          </w:p>
        </w:tc>
        <w:tc>
          <w:tcPr>
            <w:tcW w:w="941" w:type="pct"/>
            <w:noWrap w:val="0"/>
            <w:vAlign w:val="center"/>
          </w:tcPr>
          <w:p>
            <w:pPr>
              <w:adjustRightInd w:val="0"/>
              <w:snapToGrid w:val="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0.03</w:t>
            </w:r>
          </w:p>
        </w:tc>
        <w:tc>
          <w:tcPr>
            <w:tcW w:w="1082" w:type="pct"/>
            <w:noWrap w:val="0"/>
            <w:vAlign w:val="center"/>
          </w:tcPr>
          <w:p>
            <w:pPr>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0.08</w:t>
            </w:r>
          </w:p>
        </w:tc>
        <w:tc>
          <w:tcPr>
            <w:tcW w:w="574" w:type="pc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cs="Times New Roman"/>
                <w:color w:val="auto"/>
                <w:kern w:val="0"/>
                <w:sz w:val="21"/>
                <w:szCs w:val="21"/>
                <w:highlight w:val="none"/>
                <w:lang w:val="en-US" w:eastAsia="zh-CN"/>
              </w:rPr>
              <w:t>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207" w:hRule="atLeast"/>
          <w:jc w:val="center"/>
        </w:trPr>
        <w:tc>
          <w:tcPr>
            <w:tcW w:w="535" w:type="pct"/>
            <w:vMerge w:val="continue"/>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718" w:type="pct"/>
            <w:noWrap w:val="0"/>
            <w:vAlign w:val="center"/>
          </w:tcPr>
          <w:p>
            <w:pPr>
              <w:adjustRightInd w:val="0"/>
              <w:snapToGrid w:val="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bCs/>
                <w:color w:val="auto"/>
                <w:sz w:val="21"/>
                <w:szCs w:val="21"/>
                <w:highlight w:val="none"/>
              </w:rPr>
              <w:t>铜（mg/kg）</w:t>
            </w:r>
          </w:p>
        </w:tc>
        <w:tc>
          <w:tcPr>
            <w:tcW w:w="448" w:type="pc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mg/kg</w:t>
            </w:r>
          </w:p>
        </w:tc>
        <w:tc>
          <w:tcPr>
            <w:tcW w:w="700" w:type="pct"/>
            <w:noWrap w:val="0"/>
            <w:vAlign w:val="center"/>
          </w:tcPr>
          <w:p>
            <w:pPr>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26</w:t>
            </w:r>
          </w:p>
        </w:tc>
        <w:tc>
          <w:tcPr>
            <w:tcW w:w="941" w:type="pct"/>
            <w:noWrap w:val="0"/>
            <w:vAlign w:val="center"/>
          </w:tcPr>
          <w:p>
            <w:pPr>
              <w:adjustRightInd w:val="0"/>
              <w:snapToGrid w:val="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33</w:t>
            </w:r>
          </w:p>
        </w:tc>
        <w:tc>
          <w:tcPr>
            <w:tcW w:w="1082" w:type="pct"/>
            <w:noWrap w:val="0"/>
            <w:vAlign w:val="center"/>
          </w:tcPr>
          <w:p>
            <w:pPr>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30</w:t>
            </w:r>
          </w:p>
        </w:tc>
        <w:tc>
          <w:tcPr>
            <w:tcW w:w="574" w:type="pc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cs="Times New Roman"/>
                <w:color w:val="auto"/>
                <w:kern w:val="0"/>
                <w:sz w:val="21"/>
                <w:szCs w:val="21"/>
                <w:highlight w:val="none"/>
                <w:lang w:val="en-US" w:eastAsia="zh-CN"/>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147" w:hRule="atLeast"/>
          <w:jc w:val="center"/>
        </w:trPr>
        <w:tc>
          <w:tcPr>
            <w:tcW w:w="535" w:type="pct"/>
            <w:vMerge w:val="continue"/>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718" w:type="pct"/>
            <w:noWrap w:val="0"/>
            <w:vAlign w:val="center"/>
          </w:tcPr>
          <w:p>
            <w:pPr>
              <w:adjustRightInd w:val="0"/>
              <w:snapToGrid w:val="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bCs/>
                <w:color w:val="auto"/>
                <w:sz w:val="21"/>
                <w:szCs w:val="21"/>
                <w:highlight w:val="none"/>
              </w:rPr>
              <w:t>铅（mg/kg）</w:t>
            </w:r>
          </w:p>
        </w:tc>
        <w:tc>
          <w:tcPr>
            <w:tcW w:w="448" w:type="pc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mg/kg</w:t>
            </w:r>
          </w:p>
        </w:tc>
        <w:tc>
          <w:tcPr>
            <w:tcW w:w="700" w:type="pct"/>
            <w:noWrap w:val="0"/>
            <w:vAlign w:val="center"/>
          </w:tcPr>
          <w:p>
            <w:pPr>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17.7</w:t>
            </w:r>
          </w:p>
        </w:tc>
        <w:tc>
          <w:tcPr>
            <w:tcW w:w="941" w:type="pct"/>
            <w:noWrap w:val="0"/>
            <w:vAlign w:val="center"/>
          </w:tcPr>
          <w:p>
            <w:pPr>
              <w:adjustRightInd w:val="0"/>
              <w:snapToGrid w:val="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20.6</w:t>
            </w:r>
          </w:p>
        </w:tc>
        <w:tc>
          <w:tcPr>
            <w:tcW w:w="1082" w:type="pct"/>
            <w:noWrap w:val="0"/>
            <w:vAlign w:val="center"/>
          </w:tcPr>
          <w:p>
            <w:pPr>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22.8</w:t>
            </w:r>
          </w:p>
        </w:tc>
        <w:tc>
          <w:tcPr>
            <w:tcW w:w="574" w:type="pc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cs="Times New Roman"/>
                <w:color w:val="auto"/>
                <w:kern w:val="0"/>
                <w:sz w:val="21"/>
                <w:szCs w:val="21"/>
                <w:highlight w:val="none"/>
                <w:lang w:val="en-US" w:eastAsia="zh-CN"/>
              </w:rPr>
              <w:t>70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207" w:hRule="atLeast"/>
          <w:jc w:val="center"/>
        </w:trPr>
        <w:tc>
          <w:tcPr>
            <w:tcW w:w="535" w:type="pct"/>
            <w:vMerge w:val="continue"/>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718" w:type="pct"/>
            <w:noWrap w:val="0"/>
            <w:vAlign w:val="center"/>
          </w:tcPr>
          <w:p>
            <w:pPr>
              <w:adjustRightInd w:val="0"/>
              <w:snapToGrid w:val="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bCs/>
                <w:color w:val="auto"/>
                <w:sz w:val="21"/>
                <w:szCs w:val="21"/>
                <w:highlight w:val="none"/>
              </w:rPr>
              <w:t>锌（mg/kg）</w:t>
            </w:r>
          </w:p>
        </w:tc>
        <w:tc>
          <w:tcPr>
            <w:tcW w:w="448" w:type="pc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mg/kg</w:t>
            </w:r>
          </w:p>
        </w:tc>
        <w:tc>
          <w:tcPr>
            <w:tcW w:w="700" w:type="pct"/>
            <w:noWrap w:val="0"/>
            <w:vAlign w:val="center"/>
          </w:tcPr>
          <w:p>
            <w:pPr>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58</w:t>
            </w:r>
          </w:p>
        </w:tc>
        <w:tc>
          <w:tcPr>
            <w:tcW w:w="941" w:type="pct"/>
            <w:noWrap w:val="0"/>
            <w:vAlign w:val="center"/>
          </w:tcPr>
          <w:p>
            <w:pPr>
              <w:adjustRightInd w:val="0"/>
              <w:snapToGrid w:val="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59</w:t>
            </w:r>
          </w:p>
        </w:tc>
        <w:tc>
          <w:tcPr>
            <w:tcW w:w="1082" w:type="pct"/>
            <w:noWrap w:val="0"/>
            <w:vAlign w:val="center"/>
          </w:tcPr>
          <w:p>
            <w:pPr>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60</w:t>
            </w:r>
          </w:p>
        </w:tc>
        <w:tc>
          <w:tcPr>
            <w:tcW w:w="574" w:type="pc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cs="Times New Roman"/>
                <w:color w:val="auto"/>
                <w:kern w:val="0"/>
                <w:sz w:val="21"/>
                <w:szCs w:val="21"/>
                <w:highlight w:val="none"/>
                <w:lang w:val="en-US" w:eastAsia="zh-CN"/>
              </w:rPr>
              <w:t>200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207" w:hRule="atLeast"/>
          <w:jc w:val="center"/>
        </w:trPr>
        <w:tc>
          <w:tcPr>
            <w:tcW w:w="535" w:type="pct"/>
            <w:vMerge w:val="continue"/>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718" w:type="pct"/>
            <w:noWrap w:val="0"/>
            <w:vAlign w:val="center"/>
          </w:tcPr>
          <w:p>
            <w:pPr>
              <w:adjustRightInd w:val="0"/>
              <w:snapToGrid w:val="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bCs/>
                <w:color w:val="auto"/>
                <w:sz w:val="21"/>
                <w:szCs w:val="21"/>
                <w:highlight w:val="none"/>
              </w:rPr>
              <w:t>镍（mg/kg）</w:t>
            </w:r>
          </w:p>
        </w:tc>
        <w:tc>
          <w:tcPr>
            <w:tcW w:w="448" w:type="pc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mg/kg</w:t>
            </w:r>
          </w:p>
        </w:tc>
        <w:tc>
          <w:tcPr>
            <w:tcW w:w="700" w:type="pct"/>
            <w:noWrap w:val="0"/>
            <w:vAlign w:val="center"/>
          </w:tcPr>
          <w:p>
            <w:pPr>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46</w:t>
            </w:r>
          </w:p>
        </w:tc>
        <w:tc>
          <w:tcPr>
            <w:tcW w:w="941" w:type="pct"/>
            <w:noWrap w:val="0"/>
            <w:vAlign w:val="center"/>
          </w:tcPr>
          <w:p>
            <w:pPr>
              <w:adjustRightInd w:val="0"/>
              <w:snapToGrid w:val="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48</w:t>
            </w:r>
          </w:p>
        </w:tc>
        <w:tc>
          <w:tcPr>
            <w:tcW w:w="1082" w:type="pct"/>
            <w:noWrap w:val="0"/>
            <w:vAlign w:val="center"/>
          </w:tcPr>
          <w:p>
            <w:pPr>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58</w:t>
            </w:r>
          </w:p>
        </w:tc>
        <w:tc>
          <w:tcPr>
            <w:tcW w:w="574" w:type="pc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cs="Times New Roman"/>
                <w:color w:val="auto"/>
                <w:kern w:val="0"/>
                <w:sz w:val="21"/>
                <w:szCs w:val="21"/>
                <w:highlight w:val="none"/>
                <w:lang w:val="en-US" w:eastAsia="zh-CN"/>
              </w:rPr>
              <w:t>60</w:t>
            </w:r>
          </w:p>
        </w:tc>
      </w:tr>
    </w:tbl>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auto"/>
        <w:rPr>
          <w:rFonts w:hint="eastAsia" w:ascii="Times New Roman" w:hAnsi="Times New Roman" w:eastAsia="宋体" w:cs="Times New Roman"/>
          <w:color w:val="auto"/>
          <w:sz w:val="24"/>
          <w:highlight w:val="none"/>
          <w:lang w:eastAsia="zh-CN"/>
        </w:rPr>
      </w:pP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5</w:t>
      </w:r>
      <w:r>
        <w:rPr>
          <w:rFonts w:hint="eastAsia" w:ascii="Times New Roman" w:hAnsi="Times New Roman" w:eastAsia="宋体" w:cs="Times New Roman"/>
          <w:color w:val="auto"/>
          <w:sz w:val="24"/>
          <w:highlight w:val="none"/>
          <w:lang w:eastAsia="zh-CN"/>
        </w:rPr>
        <w:t>）土壤质量现状评价</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auto"/>
        <w:rPr>
          <w:rFonts w:hint="eastAsia" w:ascii="Times New Roman" w:hAnsi="Times New Roman" w:eastAsia="宋体" w:cs="Times New Roman"/>
          <w:color w:val="auto"/>
          <w:sz w:val="24"/>
          <w:highlight w:val="none"/>
          <w:lang w:eastAsia="zh-CN"/>
        </w:rPr>
      </w:pPr>
      <w:r>
        <w:rPr>
          <w:rFonts w:hint="eastAsia" w:ascii="Times New Roman" w:hAnsi="Times New Roman" w:eastAsia="宋体" w:cs="Times New Roman"/>
          <w:color w:val="auto"/>
          <w:sz w:val="24"/>
          <w:highlight w:val="none"/>
          <w:lang w:eastAsia="zh-CN"/>
        </w:rPr>
        <w:t>①评价方法</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auto"/>
        <w:rPr>
          <w:rFonts w:hint="eastAsia" w:ascii="Times New Roman" w:hAnsi="Times New Roman" w:eastAsia="宋体" w:cs="Times New Roman"/>
          <w:color w:val="auto"/>
          <w:sz w:val="24"/>
          <w:highlight w:val="none"/>
          <w:lang w:eastAsia="zh-CN"/>
        </w:rPr>
      </w:pPr>
      <w:r>
        <w:rPr>
          <w:rFonts w:hint="eastAsia" w:ascii="Times New Roman" w:hAnsi="Times New Roman" w:eastAsia="宋体" w:cs="Times New Roman"/>
          <w:color w:val="auto"/>
          <w:sz w:val="24"/>
          <w:highlight w:val="none"/>
          <w:lang w:eastAsia="zh-CN"/>
        </w:rPr>
        <w:t>采用单项标准指数法评价，其数学模式如下：</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auto"/>
        <w:rPr>
          <w:rFonts w:hint="eastAsia" w:ascii="Times New Roman" w:hAnsi="Times New Roman" w:eastAsia="宋体" w:cs="Times New Roman"/>
          <w:color w:val="auto"/>
          <w:sz w:val="24"/>
          <w:highlight w:val="none"/>
          <w:lang w:eastAsia="zh-CN"/>
        </w:rPr>
      </w:pPr>
      <w:r>
        <w:rPr>
          <w:rFonts w:hint="eastAsia" w:ascii="Times New Roman" w:hAnsi="Times New Roman" w:eastAsia="宋体" w:cs="Times New Roman"/>
          <w:color w:val="auto"/>
          <w:sz w:val="24"/>
          <w:highlight w:val="none"/>
          <w:lang w:eastAsia="zh-CN"/>
        </w:rPr>
        <w:t>一般污染物：</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20" w:firstLineChars="200"/>
        <w:jc w:val="center"/>
        <w:textAlignment w:val="auto"/>
        <w:rPr>
          <w:rFonts w:hint="eastAsia" w:ascii="Times New Roman" w:hAnsi="Times New Roman" w:eastAsia="宋体" w:cs="Times New Roman"/>
          <w:color w:val="auto"/>
          <w:sz w:val="24"/>
          <w:highlight w:val="none"/>
          <w:lang w:eastAsia="zh-CN"/>
        </w:rPr>
      </w:pPr>
      <w:r>
        <w:rPr>
          <w:color w:val="auto"/>
          <w:highlight w:val="none"/>
        </w:rPr>
        <w:drawing>
          <wp:inline distT="0" distB="0" distL="114300" distR="114300">
            <wp:extent cx="561340" cy="478155"/>
            <wp:effectExtent l="0" t="0" r="10160" b="17145"/>
            <wp:docPr id="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4"/>
                    <pic:cNvPicPr>
                      <a:picLocks noChangeAspect="1"/>
                    </pic:cNvPicPr>
                  </pic:nvPicPr>
                  <pic:blipFill>
                    <a:blip r:embed="rId51"/>
                    <a:stretch>
                      <a:fillRect/>
                    </a:stretch>
                  </pic:blipFill>
                  <pic:spPr>
                    <a:xfrm>
                      <a:off x="0" y="0"/>
                      <a:ext cx="561340" cy="47815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auto"/>
        <w:rPr>
          <w:rFonts w:hint="eastAsia" w:ascii="Times New Roman" w:hAnsi="Times New Roman" w:eastAsia="宋体" w:cs="Times New Roman"/>
          <w:color w:val="auto"/>
          <w:sz w:val="24"/>
          <w:highlight w:val="none"/>
          <w:lang w:eastAsia="zh-CN"/>
        </w:rPr>
      </w:pPr>
      <w:r>
        <w:rPr>
          <w:rFonts w:hint="eastAsia" w:ascii="Times New Roman" w:hAnsi="Times New Roman" w:eastAsia="宋体" w:cs="Times New Roman"/>
          <w:color w:val="auto"/>
          <w:sz w:val="24"/>
          <w:highlight w:val="none"/>
          <w:lang w:eastAsia="zh-CN"/>
        </w:rPr>
        <w:t>式中：Sij——i污染物在监测点j的标准指数；</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1200" w:firstLineChars="500"/>
        <w:textAlignment w:val="auto"/>
        <w:rPr>
          <w:rFonts w:hint="eastAsia" w:ascii="Times New Roman" w:hAnsi="Times New Roman" w:eastAsia="宋体" w:cs="Times New Roman"/>
          <w:color w:val="auto"/>
          <w:sz w:val="24"/>
          <w:highlight w:val="none"/>
          <w:lang w:eastAsia="zh-CN"/>
        </w:rPr>
      </w:pPr>
      <w:r>
        <w:rPr>
          <w:rFonts w:hint="eastAsia" w:ascii="Times New Roman" w:hAnsi="Times New Roman" w:eastAsia="宋体" w:cs="Times New Roman"/>
          <w:color w:val="auto"/>
          <w:sz w:val="24"/>
          <w:highlight w:val="none"/>
          <w:lang w:eastAsia="zh-CN"/>
        </w:rPr>
        <w:t>Cij——i污染物在监测点j的浓度值（mg/kg）；</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1200" w:firstLineChars="500"/>
        <w:textAlignment w:val="auto"/>
        <w:rPr>
          <w:rFonts w:hint="eastAsia" w:ascii="Times New Roman" w:hAnsi="Times New Roman" w:eastAsia="宋体" w:cs="Times New Roman"/>
          <w:color w:val="auto"/>
          <w:sz w:val="24"/>
          <w:highlight w:val="none"/>
          <w:lang w:eastAsia="zh-CN"/>
        </w:rPr>
      </w:pPr>
      <w:r>
        <w:rPr>
          <w:rFonts w:hint="eastAsia" w:ascii="Times New Roman" w:hAnsi="Times New Roman" w:eastAsia="宋体" w:cs="Times New Roman"/>
          <w:color w:val="auto"/>
          <w:sz w:val="24"/>
          <w:highlight w:val="none"/>
          <w:lang w:eastAsia="zh-CN"/>
        </w:rPr>
        <w:t>Cis——i污染物的土壤环境质量标准值（mg/kg）。</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auto"/>
        <w:rPr>
          <w:rFonts w:hint="eastAsia" w:ascii="Times New Roman" w:hAnsi="Times New Roman" w:eastAsia="宋体" w:cs="Times New Roman"/>
          <w:color w:val="auto"/>
          <w:sz w:val="24"/>
          <w:highlight w:val="none"/>
          <w:lang w:eastAsia="zh-CN"/>
        </w:rPr>
      </w:pPr>
      <w:r>
        <w:rPr>
          <w:rFonts w:hint="eastAsia" w:ascii="Times New Roman" w:hAnsi="Times New Roman" w:eastAsia="宋体" w:cs="Times New Roman"/>
          <w:color w:val="auto"/>
          <w:sz w:val="24"/>
          <w:highlight w:val="none"/>
          <w:lang w:eastAsia="zh-CN"/>
        </w:rPr>
        <w:t>当 Ii值大于 1.0 时，表明评价区土壤已受到该项评价因子所表征的污染物的污染，Ii值愈大，受污染程度越重，否则反之。</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auto"/>
        <w:rPr>
          <w:rFonts w:hint="eastAsia" w:ascii="Times New Roman" w:hAnsi="Times New Roman" w:eastAsia="宋体" w:cs="Times New Roman"/>
          <w:color w:val="auto"/>
          <w:sz w:val="24"/>
          <w:highlight w:val="none"/>
          <w:lang w:eastAsia="zh-CN"/>
        </w:rPr>
      </w:pPr>
      <w:r>
        <w:rPr>
          <w:rFonts w:hint="eastAsia" w:ascii="Times New Roman" w:hAnsi="Times New Roman" w:eastAsia="宋体" w:cs="Times New Roman"/>
          <w:color w:val="auto"/>
          <w:sz w:val="24"/>
          <w:highlight w:val="none"/>
          <w:lang w:eastAsia="zh-CN"/>
        </w:rPr>
        <w:t>②评价结果</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auto"/>
        <w:rPr>
          <w:rFonts w:hint="eastAsia" w:ascii="Times New Roman" w:hAnsi="Times New Roman" w:eastAsia="宋体" w:cs="Times New Roman"/>
          <w:color w:val="auto"/>
          <w:sz w:val="24"/>
          <w:highlight w:val="none"/>
          <w:lang w:eastAsia="zh-CN"/>
        </w:rPr>
      </w:pPr>
      <w:r>
        <w:rPr>
          <w:rFonts w:hint="eastAsia" w:ascii="Times New Roman" w:hAnsi="Times New Roman" w:eastAsia="宋体" w:cs="Times New Roman"/>
          <w:color w:val="auto"/>
          <w:sz w:val="24"/>
          <w:highlight w:val="none"/>
          <w:lang w:eastAsia="zh-CN"/>
        </w:rPr>
        <w:t>土壤环境质量评价结果详见表</w:t>
      </w:r>
      <w:r>
        <w:rPr>
          <w:rFonts w:hint="eastAsia" w:ascii="Times New Roman" w:hAnsi="Times New Roman" w:eastAsia="宋体" w:cs="Times New Roman"/>
          <w:color w:val="auto"/>
          <w:sz w:val="24"/>
          <w:highlight w:val="none"/>
          <w:lang w:val="en-US" w:eastAsia="zh-CN"/>
        </w:rPr>
        <w:t>4.3-16</w:t>
      </w:r>
      <w:r>
        <w:rPr>
          <w:rFonts w:hint="eastAsia" w:ascii="Times New Roman" w:hAnsi="Times New Roman" w:eastAsia="宋体" w:cs="Times New Roman"/>
          <w:color w:val="auto"/>
          <w:sz w:val="24"/>
          <w:highlight w:val="none"/>
          <w:lang w:eastAsia="zh-CN"/>
        </w:rPr>
        <w:t>所示。</w:t>
      </w:r>
    </w:p>
    <w:p>
      <w:pPr>
        <w:jc w:val="center"/>
        <w:rPr>
          <w:rFonts w:hint="default" w:eastAsiaTheme="minorEastAsia"/>
          <w:b/>
          <w:bCs/>
          <w:color w:val="auto"/>
          <w:sz w:val="21"/>
          <w:highlight w:val="none"/>
          <w:lang w:val="en-US" w:eastAsia="zh-CN"/>
        </w:rPr>
      </w:pPr>
      <w:r>
        <w:rPr>
          <w:rFonts w:hint="default" w:ascii="Times New Roman" w:hAnsi="Times New Roman" w:cs="Times New Roman"/>
          <w:b/>
          <w:bCs/>
          <w:color w:val="auto"/>
          <w:sz w:val="21"/>
          <w:highlight w:val="none"/>
        </w:rPr>
        <w:t>表</w:t>
      </w:r>
      <w:r>
        <w:rPr>
          <w:rFonts w:hint="default" w:ascii="Times New Roman" w:hAnsi="Times New Roman" w:cs="Times New Roman"/>
          <w:b/>
          <w:bCs/>
          <w:color w:val="auto"/>
          <w:sz w:val="21"/>
          <w:highlight w:val="none"/>
          <w:lang w:val="en-US" w:eastAsia="zh-CN"/>
        </w:rPr>
        <w:t>4.3-</w:t>
      </w:r>
      <w:r>
        <w:rPr>
          <w:rFonts w:hint="eastAsia" w:ascii="Times New Roman" w:hAnsi="Times New Roman" w:cs="Times New Roman"/>
          <w:b/>
          <w:bCs/>
          <w:color w:val="auto"/>
          <w:sz w:val="21"/>
          <w:highlight w:val="none"/>
          <w:lang w:val="en-US" w:eastAsia="zh-CN"/>
        </w:rPr>
        <w:t>16</w:t>
      </w:r>
      <w:r>
        <w:rPr>
          <w:rFonts w:hint="eastAsia" w:ascii="Times New Roman" w:hAnsi="Times New Roman" w:cs="Times New Roman"/>
          <w:b/>
          <w:bCs/>
          <w:color w:val="auto"/>
          <w:sz w:val="21"/>
          <w:highlight w:val="none"/>
          <w:lang w:eastAsia="zh-CN"/>
        </w:rPr>
        <w:t>土壤检测数据单因子评价结果</w:t>
      </w:r>
    </w:p>
    <w:tbl>
      <w:tblPr>
        <w:tblStyle w:val="34"/>
        <w:tblW w:w="4997" w:type="pct"/>
        <w:jc w:val="center"/>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autofit"/>
        <w:tblCellMar>
          <w:top w:w="0" w:type="dxa"/>
          <w:left w:w="57" w:type="dxa"/>
          <w:bottom w:w="0" w:type="dxa"/>
          <w:right w:w="57" w:type="dxa"/>
        </w:tblCellMar>
      </w:tblPr>
      <w:tblGrid>
        <w:gridCol w:w="2048"/>
        <w:gridCol w:w="1001"/>
        <w:gridCol w:w="890"/>
        <w:gridCol w:w="890"/>
        <w:gridCol w:w="1568"/>
        <w:gridCol w:w="1870"/>
        <w:gridCol w:w="846"/>
      </w:tblGrid>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57" w:type="dxa"/>
            <w:bottom w:w="0" w:type="dxa"/>
            <w:right w:w="57" w:type="dxa"/>
          </w:tblCellMar>
        </w:tblPrEx>
        <w:trPr>
          <w:trHeight w:val="20" w:hRule="atLeast"/>
          <w:jc w:val="center"/>
        </w:trPr>
        <w:tc>
          <w:tcPr>
            <w:tcW w:w="1124" w:type="pct"/>
            <w:noWrap w:val="0"/>
            <w:vAlign w:val="center"/>
          </w:tcPr>
          <w:p>
            <w:pPr>
              <w:widowControl/>
              <w:jc w:val="center"/>
              <w:rPr>
                <w:rFonts w:hint="default" w:ascii="Times New Roman" w:hAnsi="Times New Roman" w:eastAsia="宋体"/>
                <w:color w:val="auto"/>
                <w:szCs w:val="21"/>
                <w:highlight w:val="none"/>
                <w:lang w:val="en-US" w:eastAsia="zh-CN"/>
              </w:rPr>
            </w:pPr>
            <w:r>
              <w:rPr>
                <w:rFonts w:hint="default" w:ascii="Times New Roman" w:hAnsi="Times New Roman" w:eastAsia="宋体"/>
                <w:color w:val="auto"/>
                <w:szCs w:val="21"/>
                <w:highlight w:val="none"/>
                <w:lang w:val="en-US" w:eastAsia="zh-CN"/>
              </w:rPr>
              <w:t>检测项目</w:t>
            </w:r>
          </w:p>
        </w:tc>
        <w:tc>
          <w:tcPr>
            <w:tcW w:w="549" w:type="pct"/>
            <w:noWrap w:val="0"/>
            <w:vAlign w:val="center"/>
          </w:tcPr>
          <w:p>
            <w:pPr>
              <w:widowControl/>
              <w:jc w:val="center"/>
              <w:rPr>
                <w:rFonts w:hint="default"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1</w:t>
            </w:r>
            <w:r>
              <w:rPr>
                <w:rFonts w:hint="default" w:ascii="Times New Roman" w:hAnsi="Times New Roman" w:eastAsia="宋体"/>
                <w:color w:val="auto"/>
                <w:szCs w:val="21"/>
                <w:highlight w:val="none"/>
                <w:lang w:val="en-US" w:eastAsia="zh-CN"/>
              </w:rPr>
              <w:t>#</w:t>
            </w:r>
          </w:p>
        </w:tc>
        <w:tc>
          <w:tcPr>
            <w:tcW w:w="488" w:type="pct"/>
            <w:noWrap w:val="0"/>
            <w:vAlign w:val="center"/>
          </w:tcPr>
          <w:p>
            <w:pPr>
              <w:widowControl/>
              <w:jc w:val="center"/>
              <w:rPr>
                <w:rFonts w:hint="default"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2</w:t>
            </w:r>
            <w:r>
              <w:rPr>
                <w:rFonts w:hint="default" w:ascii="Times New Roman" w:hAnsi="Times New Roman" w:eastAsia="宋体"/>
                <w:color w:val="auto"/>
                <w:szCs w:val="21"/>
                <w:highlight w:val="none"/>
                <w:lang w:val="en-US" w:eastAsia="zh-CN"/>
              </w:rPr>
              <w:t>#</w:t>
            </w:r>
          </w:p>
        </w:tc>
        <w:tc>
          <w:tcPr>
            <w:tcW w:w="488" w:type="pct"/>
            <w:noWrap w:val="0"/>
            <w:vAlign w:val="center"/>
          </w:tcPr>
          <w:p>
            <w:pPr>
              <w:widowControl/>
              <w:jc w:val="center"/>
              <w:rPr>
                <w:rFonts w:hint="default"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3</w:t>
            </w:r>
            <w:r>
              <w:rPr>
                <w:rFonts w:hint="default" w:ascii="Times New Roman" w:hAnsi="Times New Roman" w:eastAsia="宋体"/>
                <w:color w:val="auto"/>
                <w:szCs w:val="21"/>
                <w:highlight w:val="none"/>
                <w:lang w:val="en-US" w:eastAsia="zh-CN"/>
              </w:rPr>
              <w:t>#</w:t>
            </w:r>
          </w:p>
        </w:tc>
        <w:tc>
          <w:tcPr>
            <w:tcW w:w="860" w:type="pct"/>
            <w:noWrap w:val="0"/>
            <w:vAlign w:val="center"/>
          </w:tcPr>
          <w:p>
            <w:pPr>
              <w:widowControl/>
              <w:jc w:val="center"/>
              <w:rPr>
                <w:rFonts w:hint="default" w:ascii="Times New Roman" w:hAnsi="Times New Roman" w:eastAsia="宋体"/>
                <w:color w:val="auto"/>
                <w:szCs w:val="21"/>
                <w:highlight w:val="none"/>
                <w:lang w:val="en-US" w:eastAsia="zh-CN"/>
              </w:rPr>
            </w:pPr>
            <w:r>
              <w:rPr>
                <w:rFonts w:hint="default" w:ascii="Times New Roman" w:hAnsi="Times New Roman" w:eastAsia="宋体"/>
                <w:color w:val="auto"/>
                <w:szCs w:val="21"/>
                <w:highlight w:val="none"/>
                <w:lang w:val="en-US" w:eastAsia="zh-CN"/>
              </w:rPr>
              <w:t>评价标准</w:t>
            </w:r>
          </w:p>
        </w:tc>
        <w:tc>
          <w:tcPr>
            <w:tcW w:w="1024" w:type="pct"/>
            <w:noWrap w:val="0"/>
            <w:vAlign w:val="center"/>
          </w:tcPr>
          <w:p>
            <w:pPr>
              <w:widowControl/>
              <w:jc w:val="center"/>
              <w:rPr>
                <w:rFonts w:hint="default" w:ascii="Times New Roman" w:hAnsi="Times New Roman" w:eastAsia="宋体"/>
                <w:color w:val="auto"/>
                <w:szCs w:val="21"/>
                <w:highlight w:val="none"/>
                <w:lang w:val="en-US" w:eastAsia="zh-CN"/>
              </w:rPr>
            </w:pPr>
            <w:r>
              <w:rPr>
                <w:rFonts w:hint="default" w:ascii="Times New Roman" w:hAnsi="Times New Roman" w:eastAsia="宋体"/>
                <w:color w:val="auto"/>
                <w:szCs w:val="21"/>
                <w:highlight w:val="none"/>
                <w:lang w:val="en-US" w:eastAsia="zh-CN"/>
              </w:rPr>
              <w:t>Simax</w:t>
            </w:r>
          </w:p>
        </w:tc>
        <w:tc>
          <w:tcPr>
            <w:tcW w:w="464" w:type="pct"/>
            <w:noWrap w:val="0"/>
            <w:vAlign w:val="center"/>
          </w:tcPr>
          <w:p>
            <w:pPr>
              <w:widowControl/>
              <w:jc w:val="center"/>
              <w:rPr>
                <w:rFonts w:hint="default"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备注</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57" w:type="dxa"/>
            <w:bottom w:w="0" w:type="dxa"/>
            <w:right w:w="57" w:type="dxa"/>
          </w:tblCellMar>
        </w:tblPrEx>
        <w:trPr>
          <w:trHeight w:val="20" w:hRule="atLeast"/>
          <w:jc w:val="center"/>
        </w:trPr>
        <w:tc>
          <w:tcPr>
            <w:tcW w:w="1124" w:type="pct"/>
            <w:noWrap w:val="0"/>
            <w:vAlign w:val="center"/>
          </w:tcPr>
          <w:p>
            <w:pPr>
              <w:adjustRightInd w:val="0"/>
              <w:snapToGrid w:val="0"/>
              <w:jc w:val="center"/>
              <w:rPr>
                <w:rFonts w:hint="default" w:ascii="Times New Roman" w:hAnsi="Times New Roman" w:eastAsia="宋体"/>
                <w:color w:val="auto"/>
                <w:szCs w:val="21"/>
                <w:highlight w:val="none"/>
                <w:lang w:val="en-US" w:eastAsia="zh-CN"/>
              </w:rPr>
            </w:pPr>
            <w:r>
              <w:rPr>
                <w:rFonts w:hint="default" w:ascii="Times New Roman" w:hAnsi="Times New Roman" w:eastAsia="宋体" w:cs="Times New Roman"/>
                <w:bCs/>
                <w:color w:val="auto"/>
                <w:sz w:val="21"/>
                <w:szCs w:val="21"/>
                <w:highlight w:val="none"/>
              </w:rPr>
              <w:t>pH（无量纲）</w:t>
            </w:r>
          </w:p>
        </w:tc>
        <w:tc>
          <w:tcPr>
            <w:tcW w:w="549" w:type="pct"/>
            <w:noWrap w:val="0"/>
            <w:vAlign w:val="center"/>
          </w:tcPr>
          <w:p>
            <w:pPr>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Cs/>
                <w:color w:val="auto"/>
                <w:sz w:val="21"/>
                <w:szCs w:val="21"/>
                <w:highlight w:val="none"/>
                <w:lang w:val="en-US" w:eastAsia="zh-CN"/>
              </w:rPr>
              <w:t>4.06</w:t>
            </w:r>
          </w:p>
        </w:tc>
        <w:tc>
          <w:tcPr>
            <w:tcW w:w="488" w:type="pct"/>
            <w:noWrap w:val="0"/>
            <w:vAlign w:val="center"/>
          </w:tcPr>
          <w:p>
            <w:pPr>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Cs/>
                <w:color w:val="auto"/>
                <w:sz w:val="21"/>
                <w:szCs w:val="21"/>
                <w:highlight w:val="none"/>
                <w:lang w:val="en-US" w:eastAsia="zh-CN"/>
              </w:rPr>
              <w:t>4.11</w:t>
            </w:r>
          </w:p>
        </w:tc>
        <w:tc>
          <w:tcPr>
            <w:tcW w:w="488" w:type="pct"/>
            <w:noWrap w:val="0"/>
            <w:vAlign w:val="center"/>
          </w:tcPr>
          <w:p>
            <w:pPr>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Cs/>
                <w:color w:val="auto"/>
                <w:sz w:val="21"/>
                <w:szCs w:val="21"/>
                <w:highlight w:val="none"/>
                <w:lang w:val="en-US" w:eastAsia="zh-CN"/>
              </w:rPr>
              <w:t>4.15</w:t>
            </w:r>
          </w:p>
        </w:tc>
        <w:tc>
          <w:tcPr>
            <w:tcW w:w="860" w:type="pc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w:t>
            </w:r>
          </w:p>
        </w:tc>
        <w:tc>
          <w:tcPr>
            <w:tcW w:w="1024" w:type="pct"/>
            <w:noWrap w:val="0"/>
            <w:vAlign w:val="center"/>
          </w:tcPr>
          <w:p>
            <w:pPr>
              <w:widowControl/>
              <w:jc w:val="center"/>
              <w:rPr>
                <w:rFonts w:hint="default" w:ascii="Times New Roman" w:hAnsi="Times New Roman" w:eastAsia="宋体"/>
                <w:color w:val="auto"/>
                <w:szCs w:val="21"/>
                <w:highlight w:val="none"/>
                <w:lang w:val="en-US" w:eastAsia="zh-CN"/>
              </w:rPr>
            </w:pPr>
            <w:r>
              <w:rPr>
                <w:rFonts w:hint="eastAsia" w:ascii="Times New Roman" w:hAnsi="Times New Roman"/>
                <w:color w:val="auto"/>
                <w:szCs w:val="21"/>
                <w:highlight w:val="none"/>
                <w:lang w:val="en-US" w:eastAsia="zh-CN"/>
              </w:rPr>
              <w:t>/</w:t>
            </w:r>
          </w:p>
        </w:tc>
        <w:tc>
          <w:tcPr>
            <w:tcW w:w="464" w:type="pct"/>
            <w:vMerge w:val="restart"/>
            <w:noWrap w:val="0"/>
            <w:vAlign w:val="center"/>
          </w:tcPr>
          <w:p>
            <w:pPr>
              <w:widowControl/>
              <w:jc w:val="center"/>
              <w:rPr>
                <w:rFonts w:hint="default" w:ascii="Times New Roman" w:hAnsi="Times New Roman" w:eastAsia="宋体"/>
                <w:color w:val="auto"/>
                <w:szCs w:val="21"/>
                <w:highlight w:val="none"/>
                <w:lang w:val="en-US" w:eastAsia="zh-CN"/>
              </w:rPr>
            </w:pP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57" w:type="dxa"/>
            <w:bottom w:w="0" w:type="dxa"/>
            <w:right w:w="57" w:type="dxa"/>
          </w:tblCellMar>
        </w:tblPrEx>
        <w:trPr>
          <w:trHeight w:val="20" w:hRule="atLeast"/>
          <w:jc w:val="center"/>
        </w:trPr>
        <w:tc>
          <w:tcPr>
            <w:tcW w:w="1124" w:type="pct"/>
            <w:noWrap w:val="0"/>
            <w:vAlign w:val="center"/>
          </w:tcPr>
          <w:p>
            <w:pPr>
              <w:adjustRightInd w:val="0"/>
              <w:snapToGrid w:val="0"/>
              <w:jc w:val="center"/>
              <w:rPr>
                <w:rFonts w:hint="default" w:ascii="Times New Roman" w:hAnsi="Times New Roman" w:eastAsia="宋体"/>
                <w:color w:val="auto"/>
                <w:szCs w:val="21"/>
                <w:highlight w:val="none"/>
                <w:lang w:val="en-US" w:eastAsia="zh-CN"/>
              </w:rPr>
            </w:pPr>
            <w:r>
              <w:rPr>
                <w:rFonts w:hint="default" w:ascii="Times New Roman" w:hAnsi="Times New Roman" w:eastAsia="宋体" w:cs="Times New Roman"/>
                <w:bCs/>
                <w:color w:val="auto"/>
                <w:sz w:val="21"/>
                <w:szCs w:val="21"/>
                <w:highlight w:val="none"/>
              </w:rPr>
              <w:t>铬（mg/kg）</w:t>
            </w:r>
          </w:p>
        </w:tc>
        <w:tc>
          <w:tcPr>
            <w:tcW w:w="549" w:type="pct"/>
            <w:noWrap w:val="0"/>
            <w:vAlign w:val="center"/>
          </w:tcPr>
          <w:p>
            <w:pPr>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＜4</w:t>
            </w:r>
          </w:p>
        </w:tc>
        <w:tc>
          <w:tcPr>
            <w:tcW w:w="488" w:type="pct"/>
            <w:noWrap w:val="0"/>
            <w:vAlign w:val="center"/>
          </w:tcPr>
          <w:p>
            <w:pPr>
              <w:adjustRightInd w:val="0"/>
              <w:snapToGrid w:val="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＜4</w:t>
            </w:r>
          </w:p>
        </w:tc>
        <w:tc>
          <w:tcPr>
            <w:tcW w:w="488" w:type="pct"/>
            <w:noWrap w:val="0"/>
            <w:vAlign w:val="center"/>
          </w:tcPr>
          <w:p>
            <w:pPr>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＜4</w:t>
            </w:r>
          </w:p>
        </w:tc>
        <w:tc>
          <w:tcPr>
            <w:tcW w:w="860" w:type="pc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150</w:t>
            </w:r>
          </w:p>
        </w:tc>
        <w:tc>
          <w:tcPr>
            <w:tcW w:w="1024" w:type="pc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w:t>
            </w:r>
          </w:p>
        </w:tc>
        <w:tc>
          <w:tcPr>
            <w:tcW w:w="464" w:type="pct"/>
            <w:vMerge w:val="continue"/>
            <w:noWrap w:val="0"/>
            <w:vAlign w:val="center"/>
          </w:tcPr>
          <w:p>
            <w:pPr>
              <w:widowControl/>
              <w:jc w:val="center"/>
              <w:rPr>
                <w:rFonts w:hint="default" w:ascii="Times New Roman" w:hAnsi="Times New Roman" w:eastAsia="宋体"/>
                <w:color w:val="auto"/>
                <w:szCs w:val="21"/>
                <w:highlight w:val="none"/>
                <w:lang w:val="en-US" w:eastAsia="zh-CN"/>
              </w:rPr>
            </w:pP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57" w:type="dxa"/>
            <w:bottom w:w="0" w:type="dxa"/>
            <w:right w:w="57" w:type="dxa"/>
          </w:tblCellMar>
        </w:tblPrEx>
        <w:trPr>
          <w:trHeight w:val="20" w:hRule="atLeast"/>
          <w:jc w:val="center"/>
        </w:trPr>
        <w:tc>
          <w:tcPr>
            <w:tcW w:w="1124" w:type="pct"/>
            <w:noWrap w:val="0"/>
            <w:vAlign w:val="center"/>
          </w:tcPr>
          <w:p>
            <w:pPr>
              <w:adjustRightInd w:val="0"/>
              <w:snapToGrid w:val="0"/>
              <w:jc w:val="center"/>
              <w:rPr>
                <w:rFonts w:hint="default" w:ascii="Times New Roman" w:hAnsi="Times New Roman" w:eastAsia="宋体"/>
                <w:color w:val="auto"/>
                <w:szCs w:val="21"/>
                <w:highlight w:val="none"/>
                <w:lang w:val="en-US" w:eastAsia="zh-CN"/>
              </w:rPr>
            </w:pPr>
            <w:r>
              <w:rPr>
                <w:rFonts w:hint="default" w:ascii="Times New Roman" w:hAnsi="Times New Roman" w:eastAsia="宋体" w:cs="Times New Roman"/>
                <w:bCs/>
                <w:color w:val="auto"/>
                <w:sz w:val="21"/>
                <w:szCs w:val="21"/>
                <w:highlight w:val="none"/>
                <w:lang w:eastAsia="zh-CN"/>
              </w:rPr>
              <w:t>总</w:t>
            </w:r>
            <w:r>
              <w:rPr>
                <w:rFonts w:hint="default" w:ascii="Times New Roman" w:hAnsi="Times New Roman" w:eastAsia="宋体" w:cs="Times New Roman"/>
                <w:bCs/>
                <w:color w:val="auto"/>
                <w:sz w:val="21"/>
                <w:szCs w:val="21"/>
                <w:highlight w:val="none"/>
              </w:rPr>
              <w:t>砷（mg/kg）</w:t>
            </w:r>
          </w:p>
        </w:tc>
        <w:tc>
          <w:tcPr>
            <w:tcW w:w="549" w:type="pct"/>
            <w:noWrap w:val="0"/>
            <w:vAlign w:val="center"/>
          </w:tcPr>
          <w:p>
            <w:pPr>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5.94</w:t>
            </w:r>
          </w:p>
        </w:tc>
        <w:tc>
          <w:tcPr>
            <w:tcW w:w="488" w:type="pct"/>
            <w:noWrap w:val="0"/>
            <w:vAlign w:val="center"/>
          </w:tcPr>
          <w:p>
            <w:pPr>
              <w:adjustRightInd w:val="0"/>
              <w:snapToGrid w:val="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5.56</w:t>
            </w:r>
          </w:p>
        </w:tc>
        <w:tc>
          <w:tcPr>
            <w:tcW w:w="488" w:type="pct"/>
            <w:noWrap w:val="0"/>
            <w:vAlign w:val="center"/>
          </w:tcPr>
          <w:p>
            <w:pPr>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5.70</w:t>
            </w:r>
          </w:p>
        </w:tc>
        <w:tc>
          <w:tcPr>
            <w:tcW w:w="860" w:type="pc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bidi="ar-SA"/>
              </w:rPr>
              <w:t>40</w:t>
            </w:r>
          </w:p>
        </w:tc>
        <w:tc>
          <w:tcPr>
            <w:tcW w:w="1024" w:type="pc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 xml:space="preserve">0.15 </w:t>
            </w:r>
          </w:p>
        </w:tc>
        <w:tc>
          <w:tcPr>
            <w:tcW w:w="464" w:type="pct"/>
            <w:vMerge w:val="continue"/>
            <w:noWrap w:val="0"/>
            <w:vAlign w:val="center"/>
          </w:tcPr>
          <w:p>
            <w:pPr>
              <w:widowControl/>
              <w:jc w:val="center"/>
              <w:rPr>
                <w:rFonts w:hint="default" w:ascii="Times New Roman" w:hAnsi="Times New Roman" w:eastAsia="宋体"/>
                <w:color w:val="auto"/>
                <w:szCs w:val="21"/>
                <w:highlight w:val="none"/>
                <w:lang w:val="en-US" w:eastAsia="zh-CN"/>
              </w:rPr>
            </w:pP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57" w:type="dxa"/>
            <w:bottom w:w="0" w:type="dxa"/>
            <w:right w:w="57" w:type="dxa"/>
          </w:tblCellMar>
        </w:tblPrEx>
        <w:trPr>
          <w:trHeight w:val="20" w:hRule="atLeast"/>
          <w:jc w:val="center"/>
        </w:trPr>
        <w:tc>
          <w:tcPr>
            <w:tcW w:w="1124" w:type="pct"/>
            <w:noWrap w:val="0"/>
            <w:vAlign w:val="center"/>
          </w:tcPr>
          <w:p>
            <w:pPr>
              <w:adjustRightInd w:val="0"/>
              <w:snapToGrid w:val="0"/>
              <w:jc w:val="center"/>
              <w:rPr>
                <w:rFonts w:hint="default" w:ascii="Times New Roman" w:hAnsi="Times New Roman" w:eastAsia="宋体"/>
                <w:color w:val="auto"/>
                <w:szCs w:val="21"/>
                <w:highlight w:val="none"/>
                <w:lang w:val="en-US" w:eastAsia="zh-CN"/>
              </w:rPr>
            </w:pPr>
            <w:r>
              <w:rPr>
                <w:rFonts w:hint="default" w:ascii="Times New Roman" w:hAnsi="Times New Roman" w:eastAsia="宋体" w:cs="Times New Roman"/>
                <w:bCs/>
                <w:color w:val="auto"/>
                <w:sz w:val="21"/>
                <w:szCs w:val="21"/>
                <w:highlight w:val="none"/>
                <w:lang w:eastAsia="zh-CN"/>
              </w:rPr>
              <w:t>总</w:t>
            </w:r>
            <w:r>
              <w:rPr>
                <w:rFonts w:hint="default" w:ascii="Times New Roman" w:hAnsi="Times New Roman" w:eastAsia="宋体" w:cs="Times New Roman"/>
                <w:bCs/>
                <w:color w:val="auto"/>
                <w:sz w:val="21"/>
                <w:szCs w:val="21"/>
                <w:highlight w:val="none"/>
              </w:rPr>
              <w:t>汞（mg/kg）</w:t>
            </w:r>
          </w:p>
        </w:tc>
        <w:tc>
          <w:tcPr>
            <w:tcW w:w="549" w:type="pct"/>
            <w:noWrap w:val="0"/>
            <w:vAlign w:val="center"/>
          </w:tcPr>
          <w:p>
            <w:pPr>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Cs/>
                <w:color w:val="auto"/>
                <w:sz w:val="21"/>
                <w:szCs w:val="21"/>
                <w:highlight w:val="none"/>
                <w:lang w:val="en-US" w:eastAsia="zh-CN"/>
              </w:rPr>
              <w:t>0.428</w:t>
            </w:r>
          </w:p>
        </w:tc>
        <w:tc>
          <w:tcPr>
            <w:tcW w:w="488" w:type="pct"/>
            <w:noWrap w:val="0"/>
            <w:vAlign w:val="center"/>
          </w:tcPr>
          <w:p>
            <w:pPr>
              <w:adjustRightInd w:val="0"/>
              <w:snapToGrid w:val="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Cs/>
                <w:color w:val="auto"/>
                <w:sz w:val="21"/>
                <w:szCs w:val="21"/>
                <w:highlight w:val="none"/>
                <w:lang w:val="en-US" w:eastAsia="zh-CN"/>
              </w:rPr>
              <w:t>0.329</w:t>
            </w:r>
          </w:p>
        </w:tc>
        <w:tc>
          <w:tcPr>
            <w:tcW w:w="488" w:type="pct"/>
            <w:noWrap w:val="0"/>
            <w:vAlign w:val="center"/>
          </w:tcPr>
          <w:p>
            <w:pPr>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Cs/>
                <w:color w:val="auto"/>
                <w:sz w:val="21"/>
                <w:szCs w:val="21"/>
                <w:highlight w:val="none"/>
                <w:lang w:val="en-US" w:eastAsia="zh-CN"/>
              </w:rPr>
              <w:t>0.637</w:t>
            </w:r>
          </w:p>
        </w:tc>
        <w:tc>
          <w:tcPr>
            <w:tcW w:w="860" w:type="pc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bidi="ar-SA"/>
              </w:rPr>
              <w:t>1.3</w:t>
            </w:r>
          </w:p>
        </w:tc>
        <w:tc>
          <w:tcPr>
            <w:tcW w:w="1024" w:type="pc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 xml:space="preserve">0.49 </w:t>
            </w:r>
          </w:p>
        </w:tc>
        <w:tc>
          <w:tcPr>
            <w:tcW w:w="464" w:type="pct"/>
            <w:vMerge w:val="continue"/>
            <w:noWrap w:val="0"/>
            <w:vAlign w:val="center"/>
          </w:tcPr>
          <w:p>
            <w:pPr>
              <w:widowControl/>
              <w:jc w:val="center"/>
              <w:rPr>
                <w:rFonts w:hint="default" w:ascii="Times New Roman" w:hAnsi="Times New Roman" w:eastAsia="宋体"/>
                <w:color w:val="auto"/>
                <w:szCs w:val="21"/>
                <w:highlight w:val="none"/>
                <w:lang w:val="en-US" w:eastAsia="zh-CN"/>
              </w:rPr>
            </w:pP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57" w:type="dxa"/>
            <w:bottom w:w="0" w:type="dxa"/>
            <w:right w:w="57" w:type="dxa"/>
          </w:tblCellMar>
        </w:tblPrEx>
        <w:trPr>
          <w:trHeight w:val="20" w:hRule="atLeast"/>
          <w:jc w:val="center"/>
        </w:trPr>
        <w:tc>
          <w:tcPr>
            <w:tcW w:w="1124" w:type="pct"/>
            <w:noWrap w:val="0"/>
            <w:vAlign w:val="center"/>
          </w:tcPr>
          <w:p>
            <w:pPr>
              <w:adjustRightInd w:val="0"/>
              <w:snapToGrid w:val="0"/>
              <w:jc w:val="center"/>
              <w:rPr>
                <w:rFonts w:hint="default" w:ascii="Times New Roman" w:hAnsi="Times New Roman" w:eastAsia="宋体"/>
                <w:color w:val="auto"/>
                <w:szCs w:val="21"/>
                <w:highlight w:val="none"/>
                <w:lang w:val="en-US" w:eastAsia="zh-CN"/>
              </w:rPr>
            </w:pPr>
            <w:r>
              <w:rPr>
                <w:rFonts w:hint="default" w:ascii="Times New Roman" w:hAnsi="Times New Roman" w:eastAsia="宋体" w:cs="Times New Roman"/>
                <w:bCs/>
                <w:color w:val="auto"/>
                <w:sz w:val="21"/>
                <w:szCs w:val="21"/>
                <w:highlight w:val="none"/>
              </w:rPr>
              <w:t>镉（mg/kg）</w:t>
            </w:r>
          </w:p>
        </w:tc>
        <w:tc>
          <w:tcPr>
            <w:tcW w:w="549" w:type="pct"/>
            <w:noWrap w:val="0"/>
            <w:vAlign w:val="center"/>
          </w:tcPr>
          <w:p>
            <w:pPr>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Cs/>
                <w:color w:val="auto"/>
                <w:sz w:val="21"/>
                <w:szCs w:val="21"/>
                <w:highlight w:val="none"/>
                <w:lang w:val="en-US" w:eastAsia="zh-CN"/>
              </w:rPr>
              <w:t>0.02</w:t>
            </w:r>
          </w:p>
        </w:tc>
        <w:tc>
          <w:tcPr>
            <w:tcW w:w="488" w:type="pct"/>
            <w:noWrap w:val="0"/>
            <w:vAlign w:val="center"/>
          </w:tcPr>
          <w:p>
            <w:pPr>
              <w:adjustRightInd w:val="0"/>
              <w:snapToGrid w:val="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Cs/>
                <w:color w:val="auto"/>
                <w:sz w:val="21"/>
                <w:szCs w:val="21"/>
                <w:highlight w:val="none"/>
                <w:lang w:val="en-US" w:eastAsia="zh-CN"/>
              </w:rPr>
              <w:t>0.03</w:t>
            </w:r>
          </w:p>
        </w:tc>
        <w:tc>
          <w:tcPr>
            <w:tcW w:w="488" w:type="pct"/>
            <w:noWrap w:val="0"/>
            <w:vAlign w:val="center"/>
          </w:tcPr>
          <w:p>
            <w:pPr>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Cs/>
                <w:color w:val="auto"/>
                <w:sz w:val="21"/>
                <w:szCs w:val="21"/>
                <w:highlight w:val="none"/>
                <w:lang w:val="en-US" w:eastAsia="zh-CN"/>
              </w:rPr>
              <w:t>0.08</w:t>
            </w:r>
          </w:p>
        </w:tc>
        <w:tc>
          <w:tcPr>
            <w:tcW w:w="860" w:type="pc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0.3</w:t>
            </w:r>
          </w:p>
        </w:tc>
        <w:tc>
          <w:tcPr>
            <w:tcW w:w="1024" w:type="pc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 xml:space="preserve">0.27 </w:t>
            </w:r>
          </w:p>
        </w:tc>
        <w:tc>
          <w:tcPr>
            <w:tcW w:w="464" w:type="pct"/>
            <w:vMerge w:val="continue"/>
            <w:noWrap w:val="0"/>
            <w:vAlign w:val="center"/>
          </w:tcPr>
          <w:p>
            <w:pPr>
              <w:widowControl/>
              <w:jc w:val="center"/>
              <w:rPr>
                <w:rFonts w:hint="default" w:ascii="Times New Roman" w:hAnsi="Times New Roman" w:eastAsia="宋体"/>
                <w:color w:val="auto"/>
                <w:szCs w:val="21"/>
                <w:highlight w:val="none"/>
                <w:lang w:val="en-US" w:eastAsia="zh-CN"/>
              </w:rPr>
            </w:pP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57" w:type="dxa"/>
            <w:bottom w:w="0" w:type="dxa"/>
            <w:right w:w="57" w:type="dxa"/>
          </w:tblCellMar>
        </w:tblPrEx>
        <w:trPr>
          <w:trHeight w:val="20" w:hRule="atLeast"/>
          <w:jc w:val="center"/>
        </w:trPr>
        <w:tc>
          <w:tcPr>
            <w:tcW w:w="1124" w:type="pct"/>
            <w:noWrap w:val="0"/>
            <w:vAlign w:val="center"/>
          </w:tcPr>
          <w:p>
            <w:pPr>
              <w:adjustRightInd w:val="0"/>
              <w:snapToGrid w:val="0"/>
              <w:jc w:val="center"/>
              <w:rPr>
                <w:rFonts w:hint="default" w:ascii="Times New Roman" w:hAnsi="Times New Roman" w:eastAsia="宋体"/>
                <w:color w:val="auto"/>
                <w:szCs w:val="21"/>
                <w:highlight w:val="none"/>
                <w:lang w:val="en-US" w:eastAsia="zh-CN"/>
              </w:rPr>
            </w:pPr>
            <w:r>
              <w:rPr>
                <w:rFonts w:hint="default" w:ascii="Times New Roman" w:hAnsi="Times New Roman" w:eastAsia="宋体" w:cs="Times New Roman"/>
                <w:bCs/>
                <w:color w:val="auto"/>
                <w:sz w:val="21"/>
                <w:szCs w:val="21"/>
                <w:highlight w:val="none"/>
              </w:rPr>
              <w:t>铜（mg/kg）</w:t>
            </w:r>
          </w:p>
        </w:tc>
        <w:tc>
          <w:tcPr>
            <w:tcW w:w="549" w:type="pct"/>
            <w:noWrap w:val="0"/>
            <w:vAlign w:val="center"/>
          </w:tcPr>
          <w:p>
            <w:pPr>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Cs/>
                <w:color w:val="auto"/>
                <w:sz w:val="21"/>
                <w:szCs w:val="21"/>
                <w:highlight w:val="none"/>
                <w:lang w:val="en-US" w:eastAsia="zh-CN"/>
              </w:rPr>
              <w:t>26</w:t>
            </w:r>
          </w:p>
        </w:tc>
        <w:tc>
          <w:tcPr>
            <w:tcW w:w="488" w:type="pct"/>
            <w:noWrap w:val="0"/>
            <w:vAlign w:val="center"/>
          </w:tcPr>
          <w:p>
            <w:pPr>
              <w:adjustRightInd w:val="0"/>
              <w:snapToGrid w:val="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Cs/>
                <w:color w:val="auto"/>
                <w:sz w:val="21"/>
                <w:szCs w:val="21"/>
                <w:highlight w:val="none"/>
                <w:lang w:val="en-US" w:eastAsia="zh-CN"/>
              </w:rPr>
              <w:t>33</w:t>
            </w:r>
          </w:p>
        </w:tc>
        <w:tc>
          <w:tcPr>
            <w:tcW w:w="488" w:type="pct"/>
            <w:noWrap w:val="0"/>
            <w:vAlign w:val="center"/>
          </w:tcPr>
          <w:p>
            <w:pPr>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Cs/>
                <w:color w:val="auto"/>
                <w:sz w:val="21"/>
                <w:szCs w:val="21"/>
                <w:highlight w:val="none"/>
                <w:lang w:val="en-US" w:eastAsia="zh-CN"/>
              </w:rPr>
              <w:t>30</w:t>
            </w:r>
          </w:p>
        </w:tc>
        <w:tc>
          <w:tcPr>
            <w:tcW w:w="860" w:type="pc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50</w:t>
            </w:r>
          </w:p>
        </w:tc>
        <w:tc>
          <w:tcPr>
            <w:tcW w:w="1024" w:type="pc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 xml:space="preserve">0.66 </w:t>
            </w:r>
          </w:p>
        </w:tc>
        <w:tc>
          <w:tcPr>
            <w:tcW w:w="464" w:type="pct"/>
            <w:vMerge w:val="continue"/>
            <w:noWrap w:val="0"/>
            <w:vAlign w:val="top"/>
          </w:tcPr>
          <w:p>
            <w:pPr>
              <w:widowControl/>
              <w:jc w:val="center"/>
              <w:rPr>
                <w:rFonts w:hint="default" w:ascii="Times New Roman" w:hAnsi="Times New Roman" w:eastAsia="宋体"/>
                <w:color w:val="auto"/>
                <w:szCs w:val="21"/>
                <w:highlight w:val="none"/>
                <w:lang w:val="en-US" w:eastAsia="zh-CN"/>
              </w:rPr>
            </w:pP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57" w:type="dxa"/>
            <w:bottom w:w="0" w:type="dxa"/>
            <w:right w:w="57" w:type="dxa"/>
          </w:tblCellMar>
        </w:tblPrEx>
        <w:trPr>
          <w:trHeight w:val="20" w:hRule="atLeast"/>
          <w:jc w:val="center"/>
        </w:trPr>
        <w:tc>
          <w:tcPr>
            <w:tcW w:w="1124" w:type="pct"/>
            <w:noWrap w:val="0"/>
            <w:vAlign w:val="center"/>
          </w:tcPr>
          <w:p>
            <w:pPr>
              <w:adjustRightInd w:val="0"/>
              <w:snapToGrid w:val="0"/>
              <w:jc w:val="center"/>
              <w:rPr>
                <w:rFonts w:hint="default" w:ascii="Times New Roman" w:hAnsi="Times New Roman" w:eastAsia="宋体"/>
                <w:color w:val="auto"/>
                <w:szCs w:val="21"/>
                <w:highlight w:val="none"/>
                <w:lang w:val="en-US" w:eastAsia="zh-CN"/>
              </w:rPr>
            </w:pPr>
            <w:r>
              <w:rPr>
                <w:rFonts w:hint="default" w:ascii="Times New Roman" w:hAnsi="Times New Roman" w:eastAsia="宋体" w:cs="Times New Roman"/>
                <w:bCs/>
                <w:color w:val="auto"/>
                <w:sz w:val="21"/>
                <w:szCs w:val="21"/>
                <w:highlight w:val="none"/>
              </w:rPr>
              <w:t>铅（mg/kg）</w:t>
            </w:r>
          </w:p>
        </w:tc>
        <w:tc>
          <w:tcPr>
            <w:tcW w:w="549" w:type="pct"/>
            <w:noWrap w:val="0"/>
            <w:vAlign w:val="center"/>
          </w:tcPr>
          <w:p>
            <w:pPr>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Cs/>
                <w:color w:val="auto"/>
                <w:sz w:val="21"/>
                <w:szCs w:val="21"/>
                <w:highlight w:val="none"/>
                <w:lang w:val="en-US" w:eastAsia="zh-CN"/>
              </w:rPr>
              <w:t>17.7</w:t>
            </w:r>
          </w:p>
        </w:tc>
        <w:tc>
          <w:tcPr>
            <w:tcW w:w="488" w:type="pct"/>
            <w:noWrap w:val="0"/>
            <w:vAlign w:val="center"/>
          </w:tcPr>
          <w:p>
            <w:pPr>
              <w:adjustRightInd w:val="0"/>
              <w:snapToGrid w:val="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Cs/>
                <w:color w:val="auto"/>
                <w:sz w:val="21"/>
                <w:szCs w:val="21"/>
                <w:highlight w:val="none"/>
                <w:lang w:val="en-US" w:eastAsia="zh-CN"/>
              </w:rPr>
              <w:t>20.6</w:t>
            </w:r>
          </w:p>
        </w:tc>
        <w:tc>
          <w:tcPr>
            <w:tcW w:w="488" w:type="pct"/>
            <w:noWrap w:val="0"/>
            <w:vAlign w:val="center"/>
          </w:tcPr>
          <w:p>
            <w:pPr>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Cs/>
                <w:color w:val="auto"/>
                <w:sz w:val="21"/>
                <w:szCs w:val="21"/>
                <w:highlight w:val="none"/>
                <w:lang w:val="en-US" w:eastAsia="zh-CN"/>
              </w:rPr>
              <w:t>22.8</w:t>
            </w:r>
          </w:p>
        </w:tc>
        <w:tc>
          <w:tcPr>
            <w:tcW w:w="860" w:type="pc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70</w:t>
            </w:r>
          </w:p>
        </w:tc>
        <w:tc>
          <w:tcPr>
            <w:tcW w:w="1024" w:type="pc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 xml:space="preserve">0.33 </w:t>
            </w:r>
          </w:p>
        </w:tc>
        <w:tc>
          <w:tcPr>
            <w:tcW w:w="464" w:type="pct"/>
            <w:vMerge w:val="continue"/>
            <w:noWrap w:val="0"/>
            <w:vAlign w:val="top"/>
          </w:tcPr>
          <w:p>
            <w:pPr>
              <w:widowControl/>
              <w:jc w:val="center"/>
              <w:rPr>
                <w:rFonts w:hint="default" w:ascii="Times New Roman" w:hAnsi="Times New Roman" w:eastAsia="宋体"/>
                <w:color w:val="auto"/>
                <w:szCs w:val="21"/>
                <w:highlight w:val="none"/>
                <w:lang w:val="en-US" w:eastAsia="zh-CN"/>
              </w:rPr>
            </w:pP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57" w:type="dxa"/>
            <w:bottom w:w="0" w:type="dxa"/>
            <w:right w:w="57" w:type="dxa"/>
          </w:tblCellMar>
        </w:tblPrEx>
        <w:trPr>
          <w:trHeight w:val="20" w:hRule="atLeast"/>
          <w:jc w:val="center"/>
        </w:trPr>
        <w:tc>
          <w:tcPr>
            <w:tcW w:w="1124" w:type="pct"/>
            <w:noWrap w:val="0"/>
            <w:vAlign w:val="center"/>
          </w:tcPr>
          <w:p>
            <w:pPr>
              <w:adjustRightInd w:val="0"/>
              <w:snapToGrid w:val="0"/>
              <w:jc w:val="center"/>
              <w:rPr>
                <w:rFonts w:hint="default" w:ascii="Times New Roman" w:hAnsi="Times New Roman" w:eastAsia="宋体"/>
                <w:color w:val="auto"/>
                <w:szCs w:val="21"/>
                <w:highlight w:val="none"/>
                <w:lang w:val="en-US" w:eastAsia="zh-CN"/>
              </w:rPr>
            </w:pPr>
            <w:r>
              <w:rPr>
                <w:rFonts w:hint="default" w:ascii="Times New Roman" w:hAnsi="Times New Roman" w:eastAsia="宋体" w:cs="Times New Roman"/>
                <w:bCs/>
                <w:color w:val="auto"/>
                <w:sz w:val="21"/>
                <w:szCs w:val="21"/>
                <w:highlight w:val="none"/>
              </w:rPr>
              <w:t>锌（mg/kg）</w:t>
            </w:r>
          </w:p>
        </w:tc>
        <w:tc>
          <w:tcPr>
            <w:tcW w:w="549" w:type="pct"/>
            <w:noWrap w:val="0"/>
            <w:vAlign w:val="center"/>
          </w:tcPr>
          <w:p>
            <w:pPr>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Cs/>
                <w:color w:val="auto"/>
                <w:sz w:val="21"/>
                <w:szCs w:val="21"/>
                <w:highlight w:val="none"/>
                <w:lang w:val="en-US" w:eastAsia="zh-CN"/>
              </w:rPr>
              <w:t>58</w:t>
            </w:r>
          </w:p>
        </w:tc>
        <w:tc>
          <w:tcPr>
            <w:tcW w:w="488" w:type="pct"/>
            <w:noWrap w:val="0"/>
            <w:vAlign w:val="center"/>
          </w:tcPr>
          <w:p>
            <w:pPr>
              <w:adjustRightInd w:val="0"/>
              <w:snapToGrid w:val="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Cs/>
                <w:color w:val="auto"/>
                <w:sz w:val="21"/>
                <w:szCs w:val="21"/>
                <w:highlight w:val="none"/>
                <w:lang w:val="en-US" w:eastAsia="zh-CN"/>
              </w:rPr>
              <w:t>59</w:t>
            </w:r>
          </w:p>
        </w:tc>
        <w:tc>
          <w:tcPr>
            <w:tcW w:w="488" w:type="pct"/>
            <w:noWrap w:val="0"/>
            <w:vAlign w:val="center"/>
          </w:tcPr>
          <w:p>
            <w:pPr>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Cs/>
                <w:color w:val="auto"/>
                <w:sz w:val="21"/>
                <w:szCs w:val="21"/>
                <w:highlight w:val="none"/>
                <w:lang w:val="en-US" w:eastAsia="zh-CN"/>
              </w:rPr>
              <w:t>60</w:t>
            </w:r>
          </w:p>
        </w:tc>
        <w:tc>
          <w:tcPr>
            <w:tcW w:w="860" w:type="pc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200</w:t>
            </w:r>
          </w:p>
        </w:tc>
        <w:tc>
          <w:tcPr>
            <w:tcW w:w="1024" w:type="pc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 xml:space="preserve">0.30 </w:t>
            </w:r>
          </w:p>
        </w:tc>
        <w:tc>
          <w:tcPr>
            <w:tcW w:w="464" w:type="pct"/>
            <w:vMerge w:val="continue"/>
            <w:noWrap w:val="0"/>
            <w:vAlign w:val="center"/>
          </w:tcPr>
          <w:p>
            <w:pPr>
              <w:widowControl/>
              <w:jc w:val="center"/>
              <w:rPr>
                <w:rFonts w:hint="default" w:ascii="Times New Roman" w:hAnsi="Times New Roman" w:eastAsia="宋体"/>
                <w:color w:val="auto"/>
                <w:szCs w:val="21"/>
                <w:highlight w:val="none"/>
                <w:lang w:val="en-US" w:eastAsia="zh-CN"/>
              </w:rPr>
            </w:pP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57" w:type="dxa"/>
            <w:bottom w:w="0" w:type="dxa"/>
            <w:right w:w="57" w:type="dxa"/>
          </w:tblCellMar>
        </w:tblPrEx>
        <w:trPr>
          <w:trHeight w:val="20" w:hRule="atLeast"/>
          <w:jc w:val="center"/>
        </w:trPr>
        <w:tc>
          <w:tcPr>
            <w:tcW w:w="1124" w:type="pct"/>
            <w:noWrap w:val="0"/>
            <w:vAlign w:val="center"/>
          </w:tcPr>
          <w:p>
            <w:pPr>
              <w:adjustRightInd w:val="0"/>
              <w:snapToGrid w:val="0"/>
              <w:jc w:val="center"/>
              <w:rPr>
                <w:rFonts w:hint="default" w:ascii="Times New Roman" w:hAnsi="Times New Roman" w:eastAsia="宋体"/>
                <w:color w:val="auto"/>
                <w:szCs w:val="21"/>
                <w:highlight w:val="none"/>
                <w:lang w:val="en-US" w:eastAsia="zh-CN"/>
              </w:rPr>
            </w:pPr>
            <w:r>
              <w:rPr>
                <w:rFonts w:hint="default" w:ascii="Times New Roman" w:hAnsi="Times New Roman" w:eastAsia="宋体" w:cs="Times New Roman"/>
                <w:bCs/>
                <w:color w:val="auto"/>
                <w:sz w:val="21"/>
                <w:szCs w:val="21"/>
                <w:highlight w:val="none"/>
              </w:rPr>
              <w:t>镍（mg/kg）</w:t>
            </w:r>
          </w:p>
        </w:tc>
        <w:tc>
          <w:tcPr>
            <w:tcW w:w="549" w:type="pct"/>
            <w:noWrap w:val="0"/>
            <w:vAlign w:val="center"/>
          </w:tcPr>
          <w:p>
            <w:pPr>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Cs/>
                <w:color w:val="auto"/>
                <w:sz w:val="21"/>
                <w:szCs w:val="21"/>
                <w:highlight w:val="none"/>
                <w:lang w:val="en-US" w:eastAsia="zh-CN"/>
              </w:rPr>
              <w:t>46</w:t>
            </w:r>
          </w:p>
        </w:tc>
        <w:tc>
          <w:tcPr>
            <w:tcW w:w="488" w:type="pct"/>
            <w:noWrap w:val="0"/>
            <w:vAlign w:val="center"/>
          </w:tcPr>
          <w:p>
            <w:pPr>
              <w:adjustRightInd w:val="0"/>
              <w:snapToGrid w:val="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Cs/>
                <w:color w:val="auto"/>
                <w:sz w:val="21"/>
                <w:szCs w:val="21"/>
                <w:highlight w:val="none"/>
                <w:lang w:val="en-US" w:eastAsia="zh-CN"/>
              </w:rPr>
              <w:t>48</w:t>
            </w:r>
          </w:p>
        </w:tc>
        <w:tc>
          <w:tcPr>
            <w:tcW w:w="488" w:type="pct"/>
            <w:noWrap w:val="0"/>
            <w:vAlign w:val="center"/>
          </w:tcPr>
          <w:p>
            <w:pPr>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Cs/>
                <w:color w:val="auto"/>
                <w:sz w:val="21"/>
                <w:szCs w:val="21"/>
                <w:highlight w:val="none"/>
                <w:lang w:val="en-US" w:eastAsia="zh-CN"/>
              </w:rPr>
              <w:t>58</w:t>
            </w:r>
          </w:p>
        </w:tc>
        <w:tc>
          <w:tcPr>
            <w:tcW w:w="860" w:type="pc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60</w:t>
            </w:r>
          </w:p>
        </w:tc>
        <w:tc>
          <w:tcPr>
            <w:tcW w:w="1024" w:type="pct"/>
            <w:noWrap w:val="0"/>
            <w:vAlign w:val="center"/>
          </w:tcPr>
          <w:p>
            <w:pPr>
              <w:pStyle w:val="30"/>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 xml:space="preserve">0.97 </w:t>
            </w:r>
          </w:p>
        </w:tc>
        <w:tc>
          <w:tcPr>
            <w:tcW w:w="464" w:type="pct"/>
            <w:vMerge w:val="continue"/>
            <w:noWrap w:val="0"/>
            <w:vAlign w:val="center"/>
          </w:tcPr>
          <w:p>
            <w:pPr>
              <w:widowControl/>
              <w:jc w:val="center"/>
              <w:rPr>
                <w:rFonts w:hint="default" w:ascii="Times New Roman" w:hAnsi="Times New Roman" w:eastAsia="宋体"/>
                <w:color w:val="auto"/>
                <w:szCs w:val="21"/>
                <w:highlight w:val="none"/>
                <w:lang w:val="en-US" w:eastAsia="zh-CN"/>
              </w:rPr>
            </w:pP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57" w:type="dxa"/>
            <w:bottom w:w="0" w:type="dxa"/>
            <w:right w:w="57" w:type="dxa"/>
          </w:tblCellMar>
        </w:tblPrEx>
        <w:trPr>
          <w:trHeight w:val="20" w:hRule="atLeast"/>
          <w:jc w:val="center"/>
        </w:trPr>
        <w:tc>
          <w:tcPr>
            <w:tcW w:w="4535" w:type="pct"/>
            <w:gridSpan w:val="6"/>
            <w:noWrap w:val="0"/>
            <w:vAlign w:val="center"/>
          </w:tcPr>
          <w:p>
            <w:pPr>
              <w:widowControl/>
              <w:jc w:val="center"/>
              <w:rPr>
                <w:rFonts w:hint="default" w:ascii="Times New Roman" w:hAnsi="Times New Roman" w:eastAsia="宋体"/>
                <w:color w:val="auto"/>
                <w:szCs w:val="21"/>
                <w:highlight w:val="none"/>
                <w:lang w:val="en-US" w:eastAsia="zh-CN"/>
              </w:rPr>
            </w:pPr>
            <w:r>
              <w:rPr>
                <w:rFonts w:hint="default" w:ascii="Times New Roman" w:hAnsi="Times New Roman" w:eastAsia="宋体"/>
                <w:color w:val="auto"/>
                <w:szCs w:val="21"/>
                <w:highlight w:val="none"/>
                <w:lang w:val="en-US" w:eastAsia="zh-CN"/>
              </w:rPr>
              <w:t xml:space="preserve">执行《土壤环境质量标准 </w:t>
            </w:r>
            <w:r>
              <w:rPr>
                <w:rFonts w:hint="eastAsia" w:ascii="Times New Roman" w:hAnsi="Times New Roman" w:eastAsia="宋体"/>
                <w:color w:val="auto"/>
                <w:szCs w:val="21"/>
                <w:highlight w:val="none"/>
                <w:lang w:val="en-US" w:eastAsia="zh-CN"/>
              </w:rPr>
              <w:t>农用地</w:t>
            </w:r>
            <w:r>
              <w:rPr>
                <w:rFonts w:hint="default" w:ascii="Times New Roman" w:hAnsi="Times New Roman" w:eastAsia="宋体"/>
                <w:color w:val="auto"/>
                <w:szCs w:val="21"/>
                <w:highlight w:val="none"/>
                <w:lang w:val="en-US" w:eastAsia="zh-CN"/>
              </w:rPr>
              <w:t>土壤污染风险管控标准（试行）》（GB15618-2018）标准中第二类用地筛选值。</w:t>
            </w:r>
          </w:p>
        </w:tc>
        <w:tc>
          <w:tcPr>
            <w:tcW w:w="464" w:type="pct"/>
            <w:noWrap w:val="0"/>
            <w:vAlign w:val="center"/>
          </w:tcPr>
          <w:p>
            <w:pPr>
              <w:widowControl/>
              <w:jc w:val="center"/>
              <w:rPr>
                <w:rFonts w:hint="default" w:ascii="Times New Roman" w:hAnsi="Times New Roman" w:eastAsia="宋体"/>
                <w:color w:val="auto"/>
                <w:szCs w:val="21"/>
                <w:highlight w:val="none"/>
                <w:lang w:val="en-US" w:eastAsia="zh-CN"/>
              </w:rPr>
            </w:pPr>
          </w:p>
        </w:tc>
      </w:tr>
    </w:tbl>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auto"/>
        <w:rPr>
          <w:rFonts w:hint="eastAsia" w:ascii="Times New Roman" w:hAnsi="Times New Roman" w:eastAsia="宋体" w:cs="Times New Roman"/>
          <w:color w:val="auto"/>
          <w:kern w:val="2"/>
          <w:sz w:val="24"/>
          <w:szCs w:val="22"/>
          <w:highlight w:val="none"/>
          <w:lang w:val="en-US" w:eastAsia="zh-CN" w:bidi="ar-SA"/>
        </w:rPr>
      </w:pPr>
      <w:r>
        <w:rPr>
          <w:rFonts w:hint="eastAsia" w:ascii="Times New Roman" w:hAnsi="Times New Roman" w:eastAsia="宋体" w:cs="Times New Roman"/>
          <w:color w:val="auto"/>
          <w:kern w:val="2"/>
          <w:sz w:val="24"/>
          <w:szCs w:val="22"/>
          <w:highlight w:val="none"/>
          <w:lang w:val="en-US" w:eastAsia="zh-CN" w:bidi="ar-SA"/>
        </w:rPr>
        <w:t>由上表可知，评价结果表明，区域各土壤采样点所有监测因子的单项评价指数均小于1，本项目所在区域工业用地各项监测因子能够达到《土壤环境质量标准 农用地土壤污染风险管控标准（试行）》（GB15618－2018）土壤风险第二类用地筛选值的限值要求，表明区域土壤本底环境质量状况良好。</w:t>
      </w:r>
    </w:p>
    <w:p>
      <w:pPr>
        <w:pStyle w:val="5"/>
        <w:adjustRightInd w:val="0"/>
        <w:snapToGrid w:val="0"/>
        <w:spacing w:before="0" w:after="0" w:line="360" w:lineRule="auto"/>
        <w:rPr>
          <w:rFonts w:hint="eastAsia" w:ascii="Times New Roman" w:hAnsi="Times New Roman" w:eastAsia="宋体"/>
          <w:color w:val="auto"/>
          <w:sz w:val="30"/>
          <w:szCs w:val="30"/>
        </w:rPr>
      </w:pPr>
      <w:bookmarkStart w:id="207" w:name="_Toc26914"/>
      <w:r>
        <w:rPr>
          <w:rFonts w:hint="eastAsia" w:ascii="Times New Roman" w:hAnsi="Times New Roman" w:eastAsia="宋体"/>
          <w:color w:val="auto"/>
          <w:sz w:val="30"/>
          <w:szCs w:val="30"/>
        </w:rPr>
        <w:t>4.4区域污染源调查</w:t>
      </w:r>
      <w:bookmarkEnd w:id="207"/>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项目位于眉山市丹棱县仁美镇雄义村5组，根据对建设项目及周边环境现场踏勘结果，项目周边主要为果园等，评价范围内无高大烟囱、无重污染型企业。同时，调查未发现食品、医药、餐饮等对卫生要求较高的企业。</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imes New Roman" w:hAnsi="Times New Roman" w:eastAsia="宋体" w:cs="Times New Roman"/>
          <w:color w:val="auto"/>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imes New Roman" w:hAnsi="Times New Roman" w:eastAsia="宋体" w:cs="Times New Roman"/>
          <w:color w:val="auto"/>
          <w:sz w:val="24"/>
          <w:lang w:val="en-US" w:eastAsia="zh-CN"/>
        </w:rPr>
        <w:sectPr>
          <w:headerReference r:id="rId12" w:type="default"/>
          <w:footerReference r:id="rId13" w:type="default"/>
          <w:pgSz w:w="11906" w:h="16838"/>
          <w:pgMar w:top="1440" w:right="1451" w:bottom="1440" w:left="1451" w:header="851" w:footer="992" w:gutter="0"/>
          <w:pgBorders>
            <w:top w:val="none" w:sz="0" w:space="0"/>
            <w:left w:val="none" w:sz="0" w:space="0"/>
            <w:bottom w:val="none" w:sz="0" w:space="0"/>
            <w:right w:val="none" w:sz="0" w:space="0"/>
          </w:pgBorders>
          <w:pgNumType w:fmt="decimal"/>
          <w:cols w:space="0" w:num="1"/>
          <w:rtlGutter w:val="0"/>
          <w:docGrid w:type="lines" w:linePitch="321" w:charSpace="0"/>
        </w:sectPr>
      </w:pPr>
    </w:p>
    <w:p>
      <w:pPr>
        <w:pStyle w:val="4"/>
        <w:spacing w:line="360" w:lineRule="auto"/>
        <w:jc w:val="center"/>
        <w:rPr>
          <w:rFonts w:ascii="Times New Roman" w:hAnsi="Times New Roman" w:eastAsia="宋体"/>
          <w:color w:val="auto"/>
          <w:sz w:val="32"/>
          <w:szCs w:val="32"/>
        </w:rPr>
      </w:pPr>
      <w:bookmarkStart w:id="208" w:name="_Toc136"/>
      <w:r>
        <w:rPr>
          <w:rFonts w:hint="eastAsia" w:ascii="Times New Roman" w:hAnsi="Times New Roman" w:eastAsia="宋体"/>
          <w:color w:val="auto"/>
          <w:sz w:val="32"/>
          <w:szCs w:val="32"/>
        </w:rPr>
        <w:t>5</w:t>
      </w:r>
      <w:r>
        <w:rPr>
          <w:rFonts w:ascii="Times New Roman" w:hAnsi="Times New Roman" w:eastAsia="宋体"/>
          <w:color w:val="auto"/>
          <w:sz w:val="32"/>
          <w:szCs w:val="32"/>
        </w:rPr>
        <w:t>环境影响</w:t>
      </w:r>
      <w:bookmarkEnd w:id="204"/>
      <w:r>
        <w:rPr>
          <w:rFonts w:hint="eastAsia" w:ascii="Times New Roman" w:hAnsi="Times New Roman" w:eastAsia="宋体"/>
          <w:color w:val="auto"/>
          <w:sz w:val="32"/>
          <w:szCs w:val="32"/>
        </w:rPr>
        <w:t>评价</w:t>
      </w:r>
      <w:bookmarkEnd w:id="205"/>
      <w:bookmarkEnd w:id="208"/>
    </w:p>
    <w:p>
      <w:pPr>
        <w:pStyle w:val="5"/>
        <w:adjustRightInd w:val="0"/>
        <w:snapToGrid w:val="0"/>
        <w:spacing w:before="0" w:after="0" w:line="360" w:lineRule="auto"/>
        <w:rPr>
          <w:rFonts w:hint="eastAsia" w:ascii="Times New Roman" w:hAnsi="Times New Roman" w:eastAsia="宋体"/>
          <w:color w:val="auto"/>
          <w:kern w:val="0"/>
          <w:sz w:val="30"/>
          <w:szCs w:val="30"/>
          <w:lang w:eastAsia="zh-CN"/>
        </w:rPr>
      </w:pPr>
      <w:bookmarkStart w:id="209" w:name="_Toc2738"/>
      <w:bookmarkStart w:id="210" w:name="_Toc18483"/>
      <w:bookmarkStart w:id="211" w:name="_Toc311815660"/>
      <w:bookmarkStart w:id="212" w:name="_Toc27924"/>
      <w:bookmarkStart w:id="213" w:name="_Toc459118466"/>
      <w:bookmarkStart w:id="214" w:name="_Toc6944"/>
      <w:r>
        <w:rPr>
          <w:rFonts w:hint="eastAsia" w:ascii="Times New Roman" w:hAnsi="Times New Roman" w:eastAsia="宋体"/>
          <w:color w:val="auto"/>
          <w:kern w:val="0"/>
          <w:sz w:val="30"/>
          <w:szCs w:val="30"/>
        </w:rPr>
        <w:t>5</w:t>
      </w:r>
      <w:r>
        <w:rPr>
          <w:rFonts w:ascii="Times New Roman" w:hAnsi="Times New Roman" w:eastAsia="宋体"/>
          <w:color w:val="auto"/>
          <w:kern w:val="0"/>
          <w:sz w:val="30"/>
          <w:szCs w:val="30"/>
        </w:rPr>
        <w:t>.</w:t>
      </w:r>
      <w:r>
        <w:rPr>
          <w:rFonts w:hint="eastAsia" w:ascii="Times New Roman" w:hAnsi="Times New Roman" w:eastAsia="宋体"/>
          <w:color w:val="auto"/>
          <w:kern w:val="0"/>
          <w:sz w:val="30"/>
          <w:szCs w:val="30"/>
        </w:rPr>
        <w:t>1施工期环境影响</w:t>
      </w:r>
      <w:bookmarkEnd w:id="209"/>
      <w:bookmarkEnd w:id="210"/>
      <w:bookmarkEnd w:id="211"/>
      <w:r>
        <w:rPr>
          <w:rFonts w:hint="eastAsia" w:ascii="Times New Roman" w:hAnsi="Times New Roman" w:eastAsia="宋体"/>
          <w:color w:val="auto"/>
          <w:kern w:val="0"/>
          <w:sz w:val="30"/>
          <w:szCs w:val="30"/>
          <w:lang w:eastAsia="zh-CN"/>
        </w:rPr>
        <w:t>分析</w:t>
      </w:r>
      <w:bookmarkEnd w:id="212"/>
    </w:p>
    <w:p>
      <w:pPr>
        <w:pStyle w:val="6"/>
        <w:adjustRightInd w:val="0"/>
        <w:snapToGrid w:val="0"/>
        <w:spacing w:before="0" w:after="0" w:line="360" w:lineRule="auto"/>
        <w:rPr>
          <w:rFonts w:hint="eastAsia" w:ascii="Times New Roman" w:hAnsi="Times New Roman" w:eastAsia="宋体"/>
          <w:color w:val="auto"/>
          <w:sz w:val="28"/>
          <w:szCs w:val="28"/>
          <w:lang w:eastAsia="zh-CN"/>
        </w:rPr>
      </w:pPr>
      <w:r>
        <w:rPr>
          <w:rFonts w:hint="eastAsia" w:ascii="Times New Roman" w:hAnsi="Times New Roman" w:eastAsia="宋体"/>
          <w:color w:val="auto"/>
          <w:sz w:val="28"/>
          <w:szCs w:val="28"/>
        </w:rPr>
        <w:t>5.</w:t>
      </w:r>
      <w:r>
        <w:rPr>
          <w:rFonts w:hint="eastAsia" w:ascii="Times New Roman" w:hAnsi="Times New Roman" w:eastAsia="宋体"/>
          <w:color w:val="auto"/>
          <w:sz w:val="28"/>
          <w:szCs w:val="28"/>
          <w:lang w:val="en-US" w:eastAsia="zh-CN"/>
        </w:rPr>
        <w:t>1</w:t>
      </w:r>
      <w:r>
        <w:rPr>
          <w:rFonts w:ascii="Times New Roman" w:hAnsi="Times New Roman" w:eastAsia="宋体"/>
          <w:color w:val="auto"/>
          <w:sz w:val="28"/>
          <w:szCs w:val="28"/>
        </w:rPr>
        <w:t>.1</w:t>
      </w:r>
      <w:r>
        <w:rPr>
          <w:rFonts w:hint="eastAsia" w:ascii="Times New Roman" w:hAnsi="Times New Roman" w:eastAsia="宋体"/>
          <w:color w:val="auto"/>
          <w:sz w:val="28"/>
          <w:szCs w:val="28"/>
          <w:lang w:eastAsia="zh-CN"/>
        </w:rPr>
        <w:t>施工</w:t>
      </w:r>
      <w:r>
        <w:rPr>
          <w:rFonts w:hint="eastAsia" w:ascii="Times New Roman" w:hAnsi="Times New Roman" w:eastAsia="宋体"/>
          <w:color w:val="auto"/>
          <w:sz w:val="28"/>
          <w:szCs w:val="28"/>
        </w:rPr>
        <w:t>期</w:t>
      </w:r>
      <w:r>
        <w:rPr>
          <w:rFonts w:ascii="Times New Roman" w:hAnsi="Times New Roman" w:eastAsia="宋体"/>
          <w:color w:val="auto"/>
          <w:sz w:val="28"/>
          <w:szCs w:val="28"/>
        </w:rPr>
        <w:t>大气环境影响</w:t>
      </w:r>
      <w:r>
        <w:rPr>
          <w:rFonts w:hint="eastAsia" w:ascii="Times New Roman" w:hAnsi="Times New Roman" w:eastAsia="宋体"/>
          <w:color w:val="auto"/>
          <w:sz w:val="28"/>
          <w:szCs w:val="28"/>
          <w:lang w:eastAsia="zh-CN"/>
        </w:rPr>
        <w:t>分析</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auto"/>
          <w:kern w:val="2"/>
          <w:sz w:val="24"/>
          <w:lang w:val="en-US" w:eastAsia="zh-CN"/>
        </w:rPr>
      </w:pPr>
      <w:r>
        <w:rPr>
          <w:rFonts w:hint="eastAsia" w:ascii="Times New Roman" w:hAnsi="Times New Roman" w:cs="Times New Roman" w:eastAsiaTheme="minorEastAsia"/>
          <w:color w:val="auto"/>
          <w:kern w:val="2"/>
          <w:sz w:val="24"/>
          <w:lang w:val="en-US" w:eastAsia="zh-CN"/>
        </w:rPr>
        <w:t>施工期由于在开挖平整地面、挖沟、埋管等过程中破坏了地表结构，会造成地面扬尘污染环境，弃土和露天堆放的土石方也产生扬尘，同时施工中运输量增加也会增加沿路的扬尘量。</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auto"/>
          <w:kern w:val="2"/>
          <w:sz w:val="24"/>
          <w:lang w:val="en-US" w:eastAsia="zh-CN"/>
        </w:rPr>
      </w:pPr>
      <w:r>
        <w:rPr>
          <w:rFonts w:hint="eastAsia" w:ascii="Times New Roman" w:hAnsi="Times New Roman" w:cs="Times New Roman" w:eastAsiaTheme="minorEastAsia"/>
          <w:color w:val="auto"/>
          <w:kern w:val="2"/>
          <w:sz w:val="24"/>
          <w:lang w:val="en-US" w:eastAsia="zh-CN"/>
        </w:rPr>
        <w:t>工程建筑施工及运输产生的扬尘主要有以下几个方面：</w:t>
      </w:r>
    </w:p>
    <w:p>
      <w:pPr>
        <w:keepNext w:val="0"/>
        <w:keepLines w:val="0"/>
        <w:numPr>
          <w:ilvl w:val="0"/>
          <w:numId w:val="22"/>
        </w:numPr>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auto"/>
          <w:kern w:val="2"/>
          <w:sz w:val="24"/>
          <w:lang w:val="en-US" w:eastAsia="zh-CN"/>
        </w:rPr>
      </w:pPr>
      <w:r>
        <w:rPr>
          <w:rFonts w:hint="eastAsia" w:ascii="Times New Roman" w:hAnsi="Times New Roman" w:cs="Times New Roman" w:eastAsiaTheme="minorEastAsia"/>
          <w:color w:val="auto"/>
          <w:kern w:val="2"/>
          <w:sz w:val="24"/>
          <w:lang w:val="en-US" w:eastAsia="zh-CN"/>
        </w:rPr>
        <w:t>建筑材料（白灰、水泥、砂子、石子、砖等）的搬运及堆放；</w:t>
      </w:r>
    </w:p>
    <w:p>
      <w:pPr>
        <w:keepNext w:val="0"/>
        <w:keepLines w:val="0"/>
        <w:numPr>
          <w:ilvl w:val="0"/>
          <w:numId w:val="22"/>
        </w:numPr>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auto"/>
          <w:kern w:val="2"/>
          <w:sz w:val="24"/>
          <w:lang w:val="en-US" w:eastAsia="zh-CN"/>
        </w:rPr>
      </w:pPr>
      <w:r>
        <w:rPr>
          <w:rFonts w:hint="eastAsia" w:ascii="Times New Roman" w:hAnsi="Times New Roman" w:cs="Times New Roman" w:eastAsiaTheme="minorEastAsia"/>
          <w:color w:val="auto"/>
          <w:kern w:val="2"/>
          <w:sz w:val="24"/>
          <w:lang w:val="en-US" w:eastAsia="zh-CN"/>
        </w:rPr>
        <w:t>土方填挖及现场堆放；</w:t>
      </w:r>
    </w:p>
    <w:p>
      <w:pPr>
        <w:keepNext w:val="0"/>
        <w:keepLines w:val="0"/>
        <w:numPr>
          <w:ilvl w:val="0"/>
          <w:numId w:val="22"/>
        </w:numPr>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auto"/>
          <w:kern w:val="2"/>
          <w:sz w:val="24"/>
          <w:lang w:val="en-US" w:eastAsia="zh-CN"/>
        </w:rPr>
      </w:pPr>
      <w:r>
        <w:rPr>
          <w:rFonts w:hint="eastAsia" w:ascii="Times New Roman" w:hAnsi="Times New Roman" w:cs="Times New Roman" w:eastAsiaTheme="minorEastAsia"/>
          <w:color w:val="auto"/>
          <w:kern w:val="2"/>
          <w:sz w:val="24"/>
          <w:lang w:val="en-US" w:eastAsia="zh-CN"/>
        </w:rPr>
        <w:t>施工材料的堆放及清理；</w:t>
      </w:r>
    </w:p>
    <w:p>
      <w:pPr>
        <w:keepNext w:val="0"/>
        <w:keepLines w:val="0"/>
        <w:numPr>
          <w:ilvl w:val="0"/>
          <w:numId w:val="22"/>
        </w:numPr>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auto"/>
          <w:kern w:val="2"/>
          <w:sz w:val="24"/>
          <w:lang w:val="en-US" w:eastAsia="zh-CN"/>
        </w:rPr>
      </w:pPr>
      <w:r>
        <w:rPr>
          <w:rFonts w:hint="eastAsia" w:ascii="Times New Roman" w:hAnsi="Times New Roman" w:cs="Times New Roman" w:eastAsiaTheme="minorEastAsia"/>
          <w:color w:val="auto"/>
          <w:kern w:val="2"/>
          <w:sz w:val="24"/>
          <w:lang w:val="en-US" w:eastAsia="zh-CN"/>
        </w:rPr>
        <w:t>施工期运输车辆运行。</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auto"/>
          <w:kern w:val="2"/>
          <w:sz w:val="24"/>
          <w:lang w:val="en-US" w:eastAsia="zh-CN"/>
        </w:rPr>
      </w:pPr>
      <w:r>
        <w:rPr>
          <w:rFonts w:hint="eastAsia" w:ascii="Times New Roman" w:hAnsi="Times New Roman" w:cs="Times New Roman" w:eastAsiaTheme="minorEastAsia"/>
          <w:color w:val="auto"/>
          <w:kern w:val="2"/>
          <w:sz w:val="24"/>
          <w:lang w:val="en-US" w:eastAsia="zh-CN"/>
        </w:rPr>
        <w:t>工程建筑施工将产生一定量的扬尘，污染周边大气环境。据有关资料统计，北京市环科院曾对</w:t>
      </w:r>
      <w:r>
        <w:rPr>
          <w:rFonts w:hint="eastAsia" w:ascii="Times New Roman" w:hAnsi="Times New Roman" w:cs="Times New Roman"/>
          <w:color w:val="auto"/>
          <w:kern w:val="2"/>
          <w:sz w:val="24"/>
          <w:lang w:val="en-US" w:eastAsia="zh-CN"/>
        </w:rPr>
        <w:t>6</w:t>
      </w:r>
      <w:r>
        <w:rPr>
          <w:rFonts w:hint="eastAsia" w:ascii="Times New Roman" w:hAnsi="Times New Roman" w:cs="Times New Roman" w:eastAsiaTheme="minorEastAsia"/>
          <w:color w:val="auto"/>
          <w:kern w:val="2"/>
          <w:sz w:val="24"/>
          <w:lang w:val="en-US" w:eastAsia="zh-CN"/>
        </w:rPr>
        <w:t>个建筑施工工地的扬尘情况进行了测定，测定时风速为 2.4 m/s，结果详见表 5</w:t>
      </w:r>
      <w:r>
        <w:rPr>
          <w:rFonts w:hint="eastAsia" w:ascii="Times New Roman" w:hAnsi="Times New Roman" w:cs="Times New Roman"/>
          <w:color w:val="auto"/>
          <w:kern w:val="2"/>
          <w:sz w:val="24"/>
          <w:lang w:val="en-US" w:eastAsia="zh-CN"/>
        </w:rPr>
        <w:t>.1</w:t>
      </w:r>
      <w:r>
        <w:rPr>
          <w:rFonts w:hint="eastAsia" w:ascii="Times New Roman" w:hAnsi="Times New Roman" w:cs="Times New Roman" w:eastAsiaTheme="minorEastAsia"/>
          <w:color w:val="auto"/>
          <w:kern w:val="2"/>
          <w:sz w:val="24"/>
          <w:lang w:val="en-US" w:eastAsia="zh-CN"/>
        </w:rPr>
        <w:t>-1。</w:t>
      </w:r>
    </w:p>
    <w:p>
      <w:pPr>
        <w:spacing w:line="360" w:lineRule="auto"/>
        <w:ind w:firstLine="422" w:firstLineChars="200"/>
        <w:jc w:val="center"/>
        <w:rPr>
          <w:rFonts w:hint="eastAsia"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rPr>
        <w:t>表5.</w:t>
      </w:r>
      <w:r>
        <w:rPr>
          <w:rFonts w:hint="eastAsia" w:ascii="Times New Roman" w:hAnsi="Times New Roman" w:eastAsia="宋体" w:cs="Times New Roman"/>
          <w:b/>
          <w:bCs/>
          <w:color w:val="auto"/>
          <w:sz w:val="21"/>
          <w:szCs w:val="21"/>
          <w:lang w:val="en-US" w:eastAsia="zh-CN"/>
        </w:rPr>
        <w:t>1</w:t>
      </w:r>
      <w:r>
        <w:rPr>
          <w:rFonts w:hint="eastAsia" w:ascii="Times New Roman" w:hAnsi="Times New Roman" w:eastAsia="宋体" w:cs="Times New Roman"/>
          <w:b/>
          <w:bCs/>
          <w:color w:val="auto"/>
          <w:sz w:val="21"/>
          <w:szCs w:val="21"/>
        </w:rPr>
        <w:t>-1</w:t>
      </w:r>
      <w:r>
        <w:rPr>
          <w:rFonts w:hint="eastAsia" w:ascii="Times New Roman" w:hAnsi="Times New Roman" w:eastAsia="宋体" w:cs="Times New Roman"/>
          <w:b/>
          <w:bCs/>
          <w:color w:val="auto"/>
          <w:sz w:val="21"/>
          <w:szCs w:val="21"/>
          <w:lang w:val="en-US" w:eastAsia="zh-CN"/>
        </w:rPr>
        <w:t xml:space="preserve"> </w:t>
      </w:r>
      <w:r>
        <w:rPr>
          <w:rFonts w:hint="eastAsia" w:ascii="Times New Roman" w:hAnsi="Times New Roman" w:eastAsia="宋体" w:cs="Times New Roman"/>
          <w:b/>
          <w:bCs/>
          <w:color w:val="auto"/>
          <w:sz w:val="21"/>
          <w:szCs w:val="21"/>
        </w:rPr>
        <w:t xml:space="preserve"> 建筑施工工地扬尘污染情况—TSP 浓度</w:t>
      </w:r>
      <w:r>
        <w:rPr>
          <w:rFonts w:hint="eastAsia" w:ascii="Times New Roman" w:hAnsi="Times New Roman" w:eastAsia="宋体" w:cs="Times New Roman"/>
          <w:b/>
          <w:bCs/>
          <w:color w:val="auto"/>
          <w:sz w:val="21"/>
          <w:szCs w:val="21"/>
          <w:lang w:val="en-US" w:eastAsia="zh-CN"/>
        </w:rPr>
        <w:t xml:space="preserve">  </w:t>
      </w:r>
      <w:r>
        <w:rPr>
          <w:rFonts w:hint="eastAsia" w:ascii="Times New Roman" w:hAnsi="Times New Roman" w:eastAsia="宋体" w:cs="Times New Roman"/>
          <w:b/>
          <w:bCs/>
          <w:color w:val="auto"/>
          <w:sz w:val="21"/>
          <w:szCs w:val="21"/>
        </w:rPr>
        <w:t xml:space="preserve"> 单位：ug/m</w:t>
      </w:r>
      <w:r>
        <w:rPr>
          <w:rFonts w:hint="eastAsia" w:ascii="Times New Roman" w:hAnsi="Times New Roman" w:eastAsia="宋体" w:cs="Times New Roman"/>
          <w:b/>
          <w:bCs/>
          <w:color w:val="auto"/>
          <w:sz w:val="21"/>
          <w:szCs w:val="21"/>
          <w:vertAlign w:val="superscript"/>
          <w:lang w:val="en-US" w:eastAsia="zh-CN"/>
        </w:rPr>
        <w:t>3</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92"/>
        <w:gridCol w:w="850"/>
        <w:gridCol w:w="2194"/>
        <w:gridCol w:w="1065"/>
        <w:gridCol w:w="1155"/>
        <w:gridCol w:w="9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92" w:type="dxa"/>
            <w:vMerge w:val="restart"/>
            <w:vAlign w:val="center"/>
          </w:tcPr>
          <w:p>
            <w:pPr>
              <w:adjustRightInd w:val="0"/>
              <w:snapToGrid w:val="0"/>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工程名称</w:t>
            </w:r>
          </w:p>
        </w:tc>
        <w:tc>
          <w:tcPr>
            <w:tcW w:w="850" w:type="dxa"/>
            <w:vMerge w:val="restart"/>
            <w:vAlign w:val="center"/>
          </w:tcPr>
          <w:p>
            <w:pPr>
              <w:adjustRightInd w:val="0"/>
              <w:snapToGrid w:val="0"/>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工地内</w:t>
            </w:r>
          </w:p>
        </w:tc>
        <w:tc>
          <w:tcPr>
            <w:tcW w:w="2194" w:type="dxa"/>
            <w:vMerge w:val="restart"/>
            <w:vAlign w:val="center"/>
          </w:tcPr>
          <w:p>
            <w:pPr>
              <w:adjustRightInd w:val="0"/>
              <w:snapToGrid w:val="0"/>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工地上风向（50m）</w:t>
            </w:r>
          </w:p>
        </w:tc>
        <w:tc>
          <w:tcPr>
            <w:tcW w:w="3184" w:type="dxa"/>
            <w:gridSpan w:val="3"/>
            <w:vAlign w:val="center"/>
          </w:tcPr>
          <w:p>
            <w:pPr>
              <w:adjustRightInd w:val="0"/>
              <w:snapToGrid w:val="0"/>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工地下风向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92" w:type="dxa"/>
            <w:vMerge w:val="continue"/>
            <w:vAlign w:val="center"/>
          </w:tcPr>
          <w:p>
            <w:pPr>
              <w:adjustRightInd w:val="0"/>
              <w:snapToGrid w:val="0"/>
              <w:jc w:val="center"/>
              <w:rPr>
                <w:rFonts w:hint="eastAsia" w:ascii="Times New Roman" w:hAnsi="Times New Roman" w:eastAsia="宋体" w:cs="Times New Roman"/>
                <w:b/>
                <w:bCs/>
                <w:color w:val="auto"/>
                <w:szCs w:val="21"/>
                <w:lang w:val="en-US" w:eastAsia="zh-CN"/>
              </w:rPr>
            </w:pPr>
          </w:p>
        </w:tc>
        <w:tc>
          <w:tcPr>
            <w:tcW w:w="850" w:type="dxa"/>
            <w:vMerge w:val="continue"/>
            <w:vAlign w:val="center"/>
          </w:tcPr>
          <w:p>
            <w:pPr>
              <w:adjustRightInd w:val="0"/>
              <w:snapToGrid w:val="0"/>
              <w:jc w:val="center"/>
              <w:rPr>
                <w:rFonts w:hint="eastAsia" w:ascii="Times New Roman" w:hAnsi="Times New Roman" w:eastAsia="宋体" w:cs="Times New Roman"/>
                <w:b/>
                <w:bCs/>
                <w:color w:val="auto"/>
                <w:szCs w:val="21"/>
                <w:lang w:val="en-US" w:eastAsia="zh-CN"/>
              </w:rPr>
            </w:pPr>
          </w:p>
        </w:tc>
        <w:tc>
          <w:tcPr>
            <w:tcW w:w="2194" w:type="dxa"/>
            <w:vMerge w:val="continue"/>
            <w:vAlign w:val="center"/>
          </w:tcPr>
          <w:p>
            <w:pPr>
              <w:adjustRightInd w:val="0"/>
              <w:snapToGrid w:val="0"/>
              <w:jc w:val="center"/>
              <w:rPr>
                <w:rFonts w:hint="eastAsia" w:ascii="Times New Roman" w:hAnsi="Times New Roman" w:eastAsia="宋体" w:cs="Times New Roman"/>
                <w:b/>
                <w:bCs/>
                <w:color w:val="auto"/>
                <w:szCs w:val="21"/>
                <w:lang w:val="en-US" w:eastAsia="zh-CN"/>
              </w:rPr>
            </w:pPr>
          </w:p>
        </w:tc>
        <w:tc>
          <w:tcPr>
            <w:tcW w:w="1065" w:type="dxa"/>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50m</w:t>
            </w:r>
          </w:p>
        </w:tc>
        <w:tc>
          <w:tcPr>
            <w:tcW w:w="1155" w:type="dxa"/>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100m</w:t>
            </w:r>
          </w:p>
        </w:tc>
        <w:tc>
          <w:tcPr>
            <w:tcW w:w="964" w:type="dxa"/>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150m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92" w:type="dxa"/>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侨办工地</w:t>
            </w:r>
          </w:p>
        </w:tc>
        <w:tc>
          <w:tcPr>
            <w:tcW w:w="85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759</w:t>
            </w:r>
          </w:p>
        </w:tc>
        <w:tc>
          <w:tcPr>
            <w:tcW w:w="2194"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328</w:t>
            </w:r>
          </w:p>
        </w:tc>
        <w:tc>
          <w:tcPr>
            <w:tcW w:w="106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502</w:t>
            </w:r>
          </w:p>
        </w:tc>
        <w:tc>
          <w:tcPr>
            <w:tcW w:w="115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367</w:t>
            </w:r>
          </w:p>
        </w:tc>
        <w:tc>
          <w:tcPr>
            <w:tcW w:w="964"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92" w:type="dxa"/>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金属材料总公司工地</w:t>
            </w:r>
          </w:p>
        </w:tc>
        <w:tc>
          <w:tcPr>
            <w:tcW w:w="85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618</w:t>
            </w:r>
          </w:p>
        </w:tc>
        <w:tc>
          <w:tcPr>
            <w:tcW w:w="2194"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325</w:t>
            </w:r>
          </w:p>
        </w:tc>
        <w:tc>
          <w:tcPr>
            <w:tcW w:w="106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472</w:t>
            </w:r>
          </w:p>
        </w:tc>
        <w:tc>
          <w:tcPr>
            <w:tcW w:w="115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356</w:t>
            </w:r>
          </w:p>
        </w:tc>
        <w:tc>
          <w:tcPr>
            <w:tcW w:w="964"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92" w:type="dxa"/>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广播电视部工地</w:t>
            </w:r>
          </w:p>
        </w:tc>
        <w:tc>
          <w:tcPr>
            <w:tcW w:w="85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596</w:t>
            </w:r>
          </w:p>
        </w:tc>
        <w:tc>
          <w:tcPr>
            <w:tcW w:w="2194"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311</w:t>
            </w:r>
          </w:p>
        </w:tc>
        <w:tc>
          <w:tcPr>
            <w:tcW w:w="106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434</w:t>
            </w:r>
          </w:p>
        </w:tc>
        <w:tc>
          <w:tcPr>
            <w:tcW w:w="115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376</w:t>
            </w:r>
          </w:p>
        </w:tc>
        <w:tc>
          <w:tcPr>
            <w:tcW w:w="964"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92" w:type="dxa"/>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劲松小区 5#、11#、12#楼工地</w:t>
            </w:r>
          </w:p>
        </w:tc>
        <w:tc>
          <w:tcPr>
            <w:tcW w:w="85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509</w:t>
            </w:r>
          </w:p>
        </w:tc>
        <w:tc>
          <w:tcPr>
            <w:tcW w:w="2194"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303</w:t>
            </w:r>
          </w:p>
        </w:tc>
        <w:tc>
          <w:tcPr>
            <w:tcW w:w="106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538</w:t>
            </w:r>
          </w:p>
        </w:tc>
        <w:tc>
          <w:tcPr>
            <w:tcW w:w="115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465</w:t>
            </w:r>
          </w:p>
        </w:tc>
        <w:tc>
          <w:tcPr>
            <w:tcW w:w="964"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92" w:type="dxa"/>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平均值</w:t>
            </w:r>
          </w:p>
        </w:tc>
        <w:tc>
          <w:tcPr>
            <w:tcW w:w="85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620.5</w:t>
            </w:r>
          </w:p>
        </w:tc>
        <w:tc>
          <w:tcPr>
            <w:tcW w:w="2194"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316.7</w:t>
            </w:r>
          </w:p>
        </w:tc>
        <w:tc>
          <w:tcPr>
            <w:tcW w:w="106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486.5</w:t>
            </w:r>
          </w:p>
        </w:tc>
        <w:tc>
          <w:tcPr>
            <w:tcW w:w="115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390</w:t>
            </w:r>
          </w:p>
        </w:tc>
        <w:tc>
          <w:tcPr>
            <w:tcW w:w="964"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322</w:t>
            </w:r>
          </w:p>
        </w:tc>
      </w:tr>
    </w:tbl>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auto"/>
          <w:kern w:val="2"/>
          <w:sz w:val="24"/>
          <w:lang w:val="en-US" w:eastAsia="zh-CN"/>
        </w:rPr>
      </w:pPr>
      <w:r>
        <w:rPr>
          <w:rFonts w:hint="eastAsia" w:ascii="Times New Roman" w:hAnsi="Times New Roman" w:cs="Times New Roman" w:eastAsiaTheme="minorEastAsia"/>
          <w:color w:val="auto"/>
          <w:kern w:val="2"/>
          <w:sz w:val="24"/>
          <w:lang w:val="en-US" w:eastAsia="zh-CN"/>
        </w:rPr>
        <w:t>根据以上数据可知：</w:t>
      </w:r>
    </w:p>
    <w:p>
      <w:pPr>
        <w:keepNext w:val="0"/>
        <w:keepLines w:val="0"/>
        <w:numPr>
          <w:ilvl w:val="0"/>
          <w:numId w:val="23"/>
        </w:numPr>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auto"/>
          <w:kern w:val="2"/>
          <w:sz w:val="24"/>
          <w:lang w:val="en-US" w:eastAsia="zh-CN"/>
        </w:rPr>
      </w:pPr>
      <w:r>
        <w:rPr>
          <w:rFonts w:hint="eastAsia" w:ascii="Times New Roman" w:hAnsi="Times New Roman" w:cs="Times New Roman" w:eastAsiaTheme="minorEastAsia"/>
          <w:color w:val="auto"/>
          <w:kern w:val="2"/>
          <w:sz w:val="24"/>
          <w:lang w:val="en-US" w:eastAsia="zh-CN"/>
        </w:rPr>
        <w:t>建筑施工扬尘严重，当风速为 2.4m/s 时，工地内 TSP 浓度是上风向对照点的 1.5～2.3 倍，平均 1.88 倍，相当于环境空气质量标准的 1.4～2.5 倍，平均 1.98 倍。</w:t>
      </w:r>
    </w:p>
    <w:p>
      <w:pPr>
        <w:keepNext w:val="0"/>
        <w:keepLines w:val="0"/>
        <w:numPr>
          <w:ilvl w:val="0"/>
          <w:numId w:val="23"/>
        </w:numPr>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auto"/>
          <w:kern w:val="2"/>
          <w:sz w:val="24"/>
          <w:lang w:val="en-US" w:eastAsia="zh-CN"/>
        </w:rPr>
      </w:pPr>
      <w:r>
        <w:rPr>
          <w:rFonts w:hint="eastAsia" w:ascii="Times New Roman" w:hAnsi="Times New Roman" w:cs="Times New Roman" w:eastAsiaTheme="minorEastAsia"/>
          <w:color w:val="auto"/>
          <w:kern w:val="2"/>
          <w:sz w:val="24"/>
          <w:lang w:val="en-US" w:eastAsia="zh-CN"/>
        </w:rPr>
        <w:t>建筑施工扬尘影响范围为其下风向 150m 之间，被影响地区的 TSP 浓度平均值为 491ug/m</w:t>
      </w:r>
      <w:r>
        <w:rPr>
          <w:rFonts w:hint="eastAsia" w:ascii="Times New Roman" w:hAnsi="Times New Roman" w:cs="Times New Roman" w:eastAsiaTheme="minorEastAsia"/>
          <w:color w:val="auto"/>
          <w:kern w:val="2"/>
          <w:sz w:val="24"/>
          <w:vertAlign w:val="superscript"/>
          <w:lang w:val="en-US" w:eastAsia="zh-CN"/>
        </w:rPr>
        <w:t>3</w:t>
      </w:r>
      <w:r>
        <w:rPr>
          <w:rFonts w:hint="eastAsia" w:ascii="Times New Roman" w:hAnsi="Times New Roman" w:cs="Times New Roman" w:eastAsiaTheme="minorEastAsia"/>
          <w:color w:val="auto"/>
          <w:kern w:val="2"/>
          <w:sz w:val="24"/>
          <w:lang w:val="en-US" w:eastAsia="zh-CN"/>
        </w:rPr>
        <w:t>，为上风向对照点的 1.5 倍，相当于环境空气质量标准的 1.6 倍。</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auto"/>
          <w:kern w:val="2"/>
          <w:sz w:val="24"/>
          <w:lang w:val="en-US" w:eastAsia="zh-CN"/>
        </w:rPr>
      </w:pPr>
      <w:r>
        <w:rPr>
          <w:rFonts w:hint="eastAsia" w:ascii="Times New Roman" w:hAnsi="Times New Roman" w:cs="Times New Roman" w:eastAsiaTheme="minorEastAsia"/>
          <w:color w:val="auto"/>
          <w:kern w:val="2"/>
          <w:sz w:val="24"/>
          <w:lang w:val="en-US" w:eastAsia="zh-CN"/>
        </w:rPr>
        <w:t>另外，施工期运输车辆运行将产生道路扬尘，而道路扬尘属于等效线源，扬尘污染在道路两边扩散，最大扬尘浓度出现在道路两边，随着离开路边的距离增加浓度逐渐递减而趋于背景值，一般条件下影响范围在路边两侧 30m 以内。因此，车辆扬尘对运输线路周围小范围大气造成一定程度的污染，但工程完工后其污染也随之消失。</w:t>
      </w:r>
    </w:p>
    <w:p>
      <w:pPr>
        <w:pStyle w:val="6"/>
        <w:adjustRightInd w:val="0"/>
        <w:snapToGrid w:val="0"/>
        <w:spacing w:before="0" w:after="0" w:line="360" w:lineRule="auto"/>
        <w:rPr>
          <w:rFonts w:hint="eastAsia" w:ascii="Times New Roman" w:hAnsi="Times New Roman" w:eastAsia="宋体"/>
          <w:color w:val="auto"/>
          <w:sz w:val="28"/>
          <w:szCs w:val="28"/>
          <w:lang w:eastAsia="zh-CN"/>
        </w:rPr>
      </w:pPr>
      <w:r>
        <w:rPr>
          <w:rFonts w:hint="eastAsia" w:ascii="Times New Roman" w:hAnsi="Times New Roman" w:eastAsia="宋体"/>
          <w:color w:val="auto"/>
          <w:sz w:val="28"/>
          <w:szCs w:val="28"/>
        </w:rPr>
        <w:t>5.</w:t>
      </w:r>
      <w:r>
        <w:rPr>
          <w:rFonts w:hint="eastAsia" w:ascii="Times New Roman" w:hAnsi="Times New Roman" w:eastAsia="宋体"/>
          <w:color w:val="auto"/>
          <w:sz w:val="28"/>
          <w:szCs w:val="28"/>
          <w:lang w:val="en-US" w:eastAsia="zh-CN"/>
        </w:rPr>
        <w:t>1</w:t>
      </w:r>
      <w:r>
        <w:rPr>
          <w:rFonts w:ascii="Times New Roman" w:hAnsi="Times New Roman" w:eastAsia="宋体"/>
          <w:color w:val="auto"/>
          <w:sz w:val="28"/>
          <w:szCs w:val="28"/>
        </w:rPr>
        <w:t>.</w:t>
      </w:r>
      <w:r>
        <w:rPr>
          <w:rFonts w:hint="eastAsia" w:ascii="Times New Roman" w:hAnsi="Times New Roman" w:eastAsia="宋体"/>
          <w:color w:val="auto"/>
          <w:sz w:val="28"/>
          <w:szCs w:val="28"/>
          <w:lang w:val="en-US" w:eastAsia="zh-CN"/>
        </w:rPr>
        <w:t>2</w:t>
      </w:r>
      <w:r>
        <w:rPr>
          <w:rFonts w:hint="eastAsia" w:ascii="Times New Roman" w:hAnsi="Times New Roman" w:eastAsia="宋体"/>
          <w:color w:val="auto"/>
          <w:sz w:val="28"/>
          <w:szCs w:val="28"/>
          <w:lang w:eastAsia="zh-CN"/>
        </w:rPr>
        <w:t>施工</w:t>
      </w:r>
      <w:r>
        <w:rPr>
          <w:rFonts w:hint="eastAsia" w:ascii="Times New Roman" w:hAnsi="Times New Roman" w:eastAsia="宋体"/>
          <w:color w:val="auto"/>
          <w:sz w:val="28"/>
          <w:szCs w:val="28"/>
        </w:rPr>
        <w:t>期</w:t>
      </w:r>
      <w:r>
        <w:rPr>
          <w:rFonts w:hint="eastAsia" w:ascii="Times New Roman" w:hAnsi="Times New Roman" w:eastAsia="宋体"/>
          <w:color w:val="auto"/>
          <w:sz w:val="28"/>
          <w:szCs w:val="28"/>
          <w:lang w:eastAsia="zh-CN"/>
        </w:rPr>
        <w:t>水</w:t>
      </w:r>
      <w:r>
        <w:rPr>
          <w:rFonts w:ascii="Times New Roman" w:hAnsi="Times New Roman" w:eastAsia="宋体"/>
          <w:color w:val="auto"/>
          <w:sz w:val="28"/>
          <w:szCs w:val="28"/>
        </w:rPr>
        <w:t>环境影响</w:t>
      </w:r>
      <w:r>
        <w:rPr>
          <w:rFonts w:hint="eastAsia" w:ascii="Times New Roman" w:hAnsi="Times New Roman" w:eastAsia="宋体"/>
          <w:color w:val="auto"/>
          <w:sz w:val="28"/>
          <w:szCs w:val="28"/>
          <w:lang w:eastAsia="zh-CN"/>
        </w:rPr>
        <w:t>分析</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auto"/>
          <w:kern w:val="2"/>
          <w:sz w:val="24"/>
          <w:lang w:val="en-US" w:eastAsia="zh-CN"/>
        </w:rPr>
      </w:pPr>
      <w:r>
        <w:rPr>
          <w:rFonts w:hint="eastAsia" w:ascii="Times New Roman" w:hAnsi="Times New Roman" w:cs="Times New Roman" w:eastAsiaTheme="minorEastAsia"/>
          <w:color w:val="auto"/>
          <w:kern w:val="2"/>
          <w:sz w:val="24"/>
          <w:lang w:val="en-US" w:eastAsia="zh-CN"/>
        </w:rPr>
        <w:t>施工期废水来源主要为工程施工废水和生活污水。其中工程施工废水包括施工现场清洗、混凝土浇筑、养护、冲洗等，这部分废水有一定量的油污和泥沙。施工人员的生活污水含有一定量的有机物和病菌。另外，雨季作业场面的地面径流水，含有一定量的泥土和高浓度的悬浮物。</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auto"/>
          <w:kern w:val="2"/>
          <w:sz w:val="24"/>
          <w:lang w:val="en-US" w:eastAsia="zh-CN"/>
        </w:rPr>
      </w:pPr>
      <w:r>
        <w:rPr>
          <w:rFonts w:hint="eastAsia" w:ascii="Times New Roman" w:hAnsi="Times New Roman" w:cs="Times New Roman" w:eastAsiaTheme="minorEastAsia"/>
          <w:color w:val="auto"/>
          <w:kern w:val="2"/>
          <w:sz w:val="24"/>
          <w:lang w:val="en-US" w:eastAsia="zh-CN"/>
        </w:rPr>
        <w:t>施工营地内生活废水的处理措施为设置临时隔油池、化粪池，经收集处理后用作周边农田施肥，隔油池废油定期交由油脂回收单位处理。生产废水修建临时沉淀池，生产废水经过沉淀池沉淀以后回用，不外排。采取以上措施后，能有效地控制对水体的污染，预计施工期对水环境的影响较小。随着施工期的结束，该类污染将随之不复存在。</w:t>
      </w:r>
    </w:p>
    <w:p>
      <w:pPr>
        <w:pStyle w:val="6"/>
        <w:adjustRightInd w:val="0"/>
        <w:snapToGrid w:val="0"/>
        <w:spacing w:before="0" w:after="0" w:line="360" w:lineRule="auto"/>
        <w:rPr>
          <w:rFonts w:hint="eastAsia" w:ascii="Times New Roman" w:hAnsi="Times New Roman" w:eastAsia="宋体"/>
          <w:color w:val="auto"/>
          <w:sz w:val="28"/>
          <w:szCs w:val="28"/>
          <w:lang w:eastAsia="zh-CN"/>
        </w:rPr>
      </w:pPr>
      <w:r>
        <w:rPr>
          <w:rFonts w:hint="eastAsia" w:ascii="Times New Roman" w:hAnsi="Times New Roman" w:eastAsia="宋体"/>
          <w:color w:val="auto"/>
          <w:sz w:val="28"/>
          <w:szCs w:val="28"/>
        </w:rPr>
        <w:t>5.</w:t>
      </w:r>
      <w:r>
        <w:rPr>
          <w:rFonts w:hint="eastAsia" w:ascii="Times New Roman" w:hAnsi="Times New Roman" w:eastAsia="宋体"/>
          <w:color w:val="auto"/>
          <w:sz w:val="28"/>
          <w:szCs w:val="28"/>
          <w:lang w:val="en-US" w:eastAsia="zh-CN"/>
        </w:rPr>
        <w:t>1</w:t>
      </w:r>
      <w:r>
        <w:rPr>
          <w:rFonts w:ascii="Times New Roman" w:hAnsi="Times New Roman" w:eastAsia="宋体"/>
          <w:color w:val="auto"/>
          <w:sz w:val="28"/>
          <w:szCs w:val="28"/>
        </w:rPr>
        <w:t>.</w:t>
      </w:r>
      <w:r>
        <w:rPr>
          <w:rFonts w:hint="eastAsia" w:ascii="Times New Roman" w:hAnsi="Times New Roman" w:eastAsia="宋体"/>
          <w:color w:val="auto"/>
          <w:sz w:val="28"/>
          <w:szCs w:val="28"/>
          <w:lang w:val="en-US" w:eastAsia="zh-CN"/>
        </w:rPr>
        <w:t>3</w:t>
      </w:r>
      <w:r>
        <w:rPr>
          <w:rFonts w:hint="eastAsia" w:ascii="Times New Roman" w:hAnsi="Times New Roman" w:eastAsia="宋体"/>
          <w:color w:val="auto"/>
          <w:sz w:val="28"/>
          <w:szCs w:val="28"/>
          <w:lang w:eastAsia="zh-CN"/>
        </w:rPr>
        <w:t>施工</w:t>
      </w:r>
      <w:r>
        <w:rPr>
          <w:rFonts w:hint="eastAsia" w:ascii="Times New Roman" w:hAnsi="Times New Roman" w:eastAsia="宋体"/>
          <w:color w:val="auto"/>
          <w:sz w:val="28"/>
          <w:szCs w:val="28"/>
        </w:rPr>
        <w:t>期</w:t>
      </w:r>
      <w:r>
        <w:rPr>
          <w:rFonts w:hint="eastAsia" w:ascii="Times New Roman" w:hAnsi="Times New Roman" w:eastAsia="宋体"/>
          <w:color w:val="auto"/>
          <w:sz w:val="28"/>
          <w:szCs w:val="28"/>
          <w:lang w:eastAsia="zh-CN"/>
        </w:rPr>
        <w:t>噪声</w:t>
      </w:r>
      <w:r>
        <w:rPr>
          <w:rFonts w:ascii="Times New Roman" w:hAnsi="Times New Roman" w:eastAsia="宋体"/>
          <w:color w:val="auto"/>
          <w:sz w:val="28"/>
          <w:szCs w:val="28"/>
        </w:rPr>
        <w:t>环境影响</w:t>
      </w:r>
      <w:r>
        <w:rPr>
          <w:rFonts w:hint="eastAsia" w:ascii="Times New Roman" w:hAnsi="Times New Roman" w:eastAsia="宋体"/>
          <w:color w:val="auto"/>
          <w:sz w:val="28"/>
          <w:szCs w:val="28"/>
          <w:lang w:eastAsia="zh-CN"/>
        </w:rPr>
        <w:t>分析</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auto"/>
          <w:kern w:val="2"/>
          <w:sz w:val="24"/>
          <w:lang w:val="en-US" w:eastAsia="zh-CN"/>
        </w:rPr>
      </w:pPr>
      <w:r>
        <w:rPr>
          <w:rFonts w:hint="eastAsia" w:ascii="Times New Roman" w:hAnsi="Times New Roman" w:cs="Times New Roman" w:eastAsiaTheme="minorEastAsia"/>
          <w:color w:val="auto"/>
          <w:kern w:val="2"/>
          <w:sz w:val="24"/>
          <w:lang w:val="en-US" w:eastAsia="zh-CN"/>
        </w:rPr>
        <w:t>从噪声角度，可以把地面工程的施工期，划分为：①土方阶段；②基础阶段；③结构制作阶段。各阶段具有独立的特性。第一阶段，主要是推土机、装载机以及各种车辆，大部分为移动声源，一般声功率级为 82~95dB（A），没 有明显的指向性；第二阶段，噪声源主要是各种打桩机，基本属于固定声源，打桩机系脉冲噪声，一般声功率级为 70~105dB（A）左右；第三阶段，主要噪声源为混凝土搅拌机、振捣棒、电锯、电焊机等，其中包含一些撞击声，声功率级一般为 80~95dB（A）。各声源设备源强见 3.</w:t>
      </w:r>
      <w:r>
        <w:rPr>
          <w:rFonts w:hint="eastAsia" w:ascii="Times New Roman" w:hAnsi="Times New Roman" w:cs="Times New Roman"/>
          <w:color w:val="auto"/>
          <w:kern w:val="2"/>
          <w:sz w:val="24"/>
          <w:lang w:val="en-US" w:eastAsia="zh-CN"/>
        </w:rPr>
        <w:t>5</w:t>
      </w:r>
      <w:r>
        <w:rPr>
          <w:rFonts w:hint="eastAsia" w:ascii="Times New Roman" w:hAnsi="Times New Roman" w:cs="Times New Roman" w:eastAsiaTheme="minorEastAsia"/>
          <w:color w:val="auto"/>
          <w:kern w:val="2"/>
          <w:sz w:val="24"/>
          <w:lang w:val="en-US" w:eastAsia="zh-CN"/>
        </w:rPr>
        <w:t>.3 章节。</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auto"/>
          <w:kern w:val="2"/>
          <w:sz w:val="24"/>
          <w:lang w:val="en-US" w:eastAsia="zh-CN"/>
        </w:rPr>
      </w:pPr>
      <w:r>
        <w:rPr>
          <w:rFonts w:hint="eastAsia" w:ascii="Times New Roman" w:hAnsi="Times New Roman" w:cs="Times New Roman" w:eastAsiaTheme="minorEastAsia"/>
          <w:color w:val="auto"/>
          <w:kern w:val="2"/>
          <w:sz w:val="24"/>
          <w:lang w:val="en-US" w:eastAsia="zh-CN"/>
        </w:rPr>
        <w:t>噪声采用点声源衰减模式进行预测，衰减模式如下：</w:t>
      </w:r>
    </w:p>
    <w:p>
      <w:pPr>
        <w:keepNext w:val="0"/>
        <w:keepLines w:val="0"/>
        <w:suppressLineNumbers w:val="0"/>
        <w:spacing w:before="0" w:beforeAutospacing="0" w:after="0" w:afterAutospacing="0" w:line="360" w:lineRule="auto"/>
        <w:ind w:right="0"/>
        <w:jc w:val="center"/>
        <w:rPr>
          <w:rFonts w:hint="eastAsia" w:ascii="Times New Roman" w:hAnsi="Times New Roman" w:cs="Times New Roman" w:eastAsiaTheme="minorEastAsia"/>
          <w:color w:val="auto"/>
          <w:kern w:val="2"/>
          <w:sz w:val="24"/>
          <w:lang w:val="en-US" w:eastAsia="zh-CN"/>
        </w:rPr>
      </w:pPr>
      <w:r>
        <w:rPr>
          <w:rFonts w:hint="eastAsia" w:ascii="Times New Roman" w:hAnsi="Times New Roman" w:cs="Times New Roman" w:eastAsiaTheme="minorEastAsia"/>
          <w:color w:val="auto"/>
          <w:kern w:val="2"/>
          <w:position w:val="-32"/>
          <w:sz w:val="24"/>
          <w:lang w:val="en-US" w:eastAsia="zh-CN"/>
        </w:rPr>
        <w:object>
          <v:shape id="_x0000_i1034" o:spt="75" type="#_x0000_t75" style="height:38pt;width:111pt;" o:ole="t" filled="f" o:preferrelative="t" stroked="f" coordsize="21600,21600">
            <v:path/>
            <v:fill on="f" focussize="0,0"/>
            <v:stroke on="f"/>
            <v:imagedata r:id="rId53" o:title=""/>
            <o:lock v:ext="edit" aspectratio="t"/>
            <w10:wrap type="none"/>
            <w10:anchorlock/>
          </v:shape>
          <o:OLEObject Type="Embed" ProgID="Equation.KSEE3" ShapeID="_x0000_i1034" DrawAspect="Content" ObjectID="_1468075734" r:id="rId52">
            <o:LockedField>false</o:LockedField>
          </o:OLEObject>
        </w:objec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eastAsiaTheme="minorEastAsia"/>
          <w:color w:val="auto"/>
          <w:kern w:val="2"/>
          <w:sz w:val="24"/>
          <w:lang w:val="en-US" w:eastAsia="zh-CN"/>
        </w:rPr>
      </w:pPr>
      <w:r>
        <w:rPr>
          <w:rFonts w:hint="eastAsia" w:ascii="Times New Roman" w:hAnsi="Times New Roman" w:cs="Times New Roman"/>
          <w:color w:val="auto"/>
          <w:kern w:val="2"/>
          <w:sz w:val="24"/>
          <w:lang w:val="en-US" w:eastAsia="zh-CN"/>
        </w:rPr>
        <w:t>式中：L</w:t>
      </w:r>
      <w:r>
        <w:rPr>
          <w:rFonts w:hint="eastAsia" w:ascii="Times New Roman" w:hAnsi="Times New Roman" w:cs="Times New Roman"/>
          <w:color w:val="auto"/>
          <w:kern w:val="2"/>
          <w:sz w:val="24"/>
          <w:vertAlign w:val="subscript"/>
          <w:lang w:val="en-US" w:eastAsia="zh-CN"/>
        </w:rPr>
        <w:t>i</w:t>
      </w:r>
      <w:r>
        <w:rPr>
          <w:rFonts w:hint="eastAsia" w:ascii="Times New Roman" w:hAnsi="Times New Roman" w:cs="Times New Roman"/>
          <w:color w:val="auto"/>
          <w:kern w:val="2"/>
          <w:sz w:val="24"/>
          <w:lang w:val="en-US" w:eastAsia="zh-CN"/>
        </w:rPr>
        <w:t>—距声源 r</w:t>
      </w:r>
      <w:r>
        <w:rPr>
          <w:rFonts w:hint="eastAsia" w:ascii="Times New Roman" w:hAnsi="Times New Roman" w:cs="Times New Roman"/>
          <w:color w:val="auto"/>
          <w:kern w:val="2"/>
          <w:sz w:val="24"/>
          <w:vertAlign w:val="subscript"/>
          <w:lang w:val="en-US" w:eastAsia="zh-CN"/>
        </w:rPr>
        <w:t>i</w:t>
      </w:r>
      <w:r>
        <w:rPr>
          <w:rFonts w:hint="eastAsia" w:ascii="Times New Roman" w:hAnsi="Times New Roman" w:cs="Times New Roman"/>
          <w:color w:val="auto"/>
          <w:kern w:val="2"/>
          <w:sz w:val="24"/>
          <w:lang w:val="en-US" w:eastAsia="zh-CN"/>
        </w:rPr>
        <w:t xml:space="preserve"> 处的声级[dB(A)]；</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eastAsiaTheme="minorEastAsia"/>
          <w:color w:val="auto"/>
          <w:kern w:val="2"/>
          <w:sz w:val="24"/>
          <w:lang w:val="en-US" w:eastAsia="zh-CN"/>
        </w:rPr>
      </w:pPr>
      <w:r>
        <w:rPr>
          <w:rFonts w:hint="eastAsia" w:ascii="Times New Roman" w:hAnsi="Times New Roman" w:cs="Times New Roman"/>
          <w:color w:val="auto"/>
          <w:kern w:val="2"/>
          <w:sz w:val="24"/>
          <w:lang w:val="en-US" w:eastAsia="zh-CN"/>
        </w:rPr>
        <w:t xml:space="preserve">      L</w:t>
      </w:r>
      <w:r>
        <w:rPr>
          <w:rFonts w:hint="eastAsia" w:ascii="Times New Roman" w:hAnsi="Times New Roman" w:cs="Times New Roman"/>
          <w:color w:val="auto"/>
          <w:kern w:val="2"/>
          <w:sz w:val="24"/>
          <w:vertAlign w:val="subscript"/>
          <w:lang w:val="en-US" w:eastAsia="zh-CN"/>
        </w:rPr>
        <w:t>0</w:t>
      </w:r>
      <w:r>
        <w:rPr>
          <w:rFonts w:hint="eastAsia" w:ascii="Times New Roman" w:hAnsi="Times New Roman" w:cs="Times New Roman"/>
          <w:color w:val="auto"/>
          <w:kern w:val="2"/>
          <w:sz w:val="24"/>
          <w:lang w:val="en-US" w:eastAsia="zh-CN"/>
        </w:rPr>
        <w:t>—距声源 r</w:t>
      </w:r>
      <w:r>
        <w:rPr>
          <w:rFonts w:hint="eastAsia" w:ascii="Times New Roman" w:hAnsi="Times New Roman" w:cs="Times New Roman"/>
          <w:color w:val="auto"/>
          <w:kern w:val="2"/>
          <w:sz w:val="24"/>
          <w:vertAlign w:val="subscript"/>
          <w:lang w:val="en-US" w:eastAsia="zh-CN"/>
        </w:rPr>
        <w:t>0</w:t>
      </w:r>
      <w:r>
        <w:rPr>
          <w:rFonts w:hint="eastAsia" w:ascii="Times New Roman" w:hAnsi="Times New Roman" w:cs="Times New Roman"/>
          <w:color w:val="auto"/>
          <w:kern w:val="2"/>
          <w:sz w:val="24"/>
          <w:lang w:val="en-US" w:eastAsia="zh-CN"/>
        </w:rPr>
        <w:t xml:space="preserve"> 处的声级；</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eastAsiaTheme="minorEastAsia"/>
          <w:color w:val="auto"/>
          <w:kern w:val="2"/>
          <w:sz w:val="24"/>
          <w:lang w:val="en-US" w:eastAsia="zh-CN"/>
        </w:rPr>
      </w:pPr>
      <w:r>
        <w:rPr>
          <w:rFonts w:hint="eastAsia" w:ascii="Times New Roman" w:hAnsi="Times New Roman" w:cs="Times New Roman"/>
          <w:color w:val="auto"/>
          <w:kern w:val="2"/>
          <w:sz w:val="24"/>
          <w:lang w:val="en-US" w:eastAsia="zh-CN"/>
        </w:rPr>
        <w:t xml:space="preserve">      △L—其他因素引起的噪声衰减量[dB(A)]，一般取 0~15dB(A)；</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color w:val="auto"/>
          <w:kern w:val="2"/>
          <w:sz w:val="24"/>
          <w:lang w:val="en-US" w:eastAsia="zh-CN"/>
        </w:rPr>
      </w:pPr>
      <w:r>
        <w:rPr>
          <w:rFonts w:hint="eastAsia" w:ascii="Times New Roman" w:hAnsi="Times New Roman" w:cs="Times New Roman" w:eastAsiaTheme="minorEastAsia"/>
          <w:color w:val="auto"/>
          <w:kern w:val="2"/>
          <w:sz w:val="24"/>
          <w:lang w:val="en-US" w:eastAsia="zh-CN"/>
        </w:rPr>
        <w:t>根据上述公式及该建设项目与周围主要敏感点的距离，可计算出在无屏障的情形下，该建设项目在施工过程中各种主要噪声源对环境的影响程度，其噪声级如下表所示</w:t>
      </w:r>
      <w:r>
        <w:rPr>
          <w:rFonts w:hint="eastAsia" w:ascii="Times New Roman" w:hAnsi="Times New Roman" w:cs="Times New Roman"/>
          <w:color w:val="auto"/>
          <w:kern w:val="2"/>
          <w:sz w:val="24"/>
          <w:lang w:val="en-US" w:eastAsia="zh-CN"/>
        </w:rPr>
        <w:t>。</w:t>
      </w:r>
    </w:p>
    <w:p>
      <w:pPr>
        <w:spacing w:line="360" w:lineRule="auto"/>
        <w:ind w:firstLine="422" w:firstLineChars="200"/>
        <w:jc w:val="center"/>
        <w:rPr>
          <w:rFonts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表5.</w:t>
      </w:r>
      <w:r>
        <w:rPr>
          <w:rFonts w:hint="eastAsia" w:ascii="Times New Roman" w:hAnsi="Times New Roman" w:eastAsia="宋体" w:cs="Times New Roman"/>
          <w:b/>
          <w:bCs/>
          <w:color w:val="auto"/>
          <w:sz w:val="21"/>
          <w:szCs w:val="21"/>
          <w:lang w:val="en-US" w:eastAsia="zh-CN"/>
        </w:rPr>
        <w:t>1</w:t>
      </w:r>
      <w:r>
        <w:rPr>
          <w:rFonts w:hint="eastAsia" w:ascii="Times New Roman" w:hAnsi="Times New Roman" w:eastAsia="宋体" w:cs="Times New Roman"/>
          <w:b/>
          <w:bCs/>
          <w:color w:val="auto"/>
          <w:sz w:val="21"/>
          <w:szCs w:val="21"/>
        </w:rPr>
        <w:t>-</w:t>
      </w:r>
      <w:r>
        <w:rPr>
          <w:rFonts w:hint="eastAsia" w:ascii="Times New Roman" w:hAnsi="Times New Roman" w:eastAsia="宋体" w:cs="Times New Roman"/>
          <w:b/>
          <w:bCs/>
          <w:color w:val="auto"/>
          <w:sz w:val="21"/>
          <w:szCs w:val="21"/>
          <w:lang w:val="en-US" w:eastAsia="zh-CN"/>
        </w:rPr>
        <w:t xml:space="preserve">2 </w:t>
      </w:r>
      <w:r>
        <w:rPr>
          <w:rFonts w:hint="eastAsia" w:ascii="Times New Roman" w:hAnsi="Times New Roman" w:eastAsia="宋体" w:cs="Times New Roman"/>
          <w:b/>
          <w:bCs/>
          <w:color w:val="auto"/>
          <w:sz w:val="21"/>
          <w:szCs w:val="21"/>
        </w:rPr>
        <w:t xml:space="preserve"> 建筑施工工地扬尘污染情况—TSP 浓度</w:t>
      </w:r>
      <w:r>
        <w:rPr>
          <w:rFonts w:hint="eastAsia" w:ascii="Times New Roman" w:hAnsi="Times New Roman" w:eastAsia="宋体" w:cs="Times New Roman"/>
          <w:b/>
          <w:bCs/>
          <w:color w:val="auto"/>
          <w:sz w:val="21"/>
          <w:szCs w:val="21"/>
          <w:lang w:val="en-US" w:eastAsia="zh-CN"/>
        </w:rPr>
        <w:t xml:space="preserve">  </w:t>
      </w:r>
      <w:r>
        <w:rPr>
          <w:rFonts w:hint="eastAsia" w:ascii="Times New Roman" w:hAnsi="Times New Roman" w:eastAsia="宋体" w:cs="Times New Roman"/>
          <w:b/>
          <w:bCs/>
          <w:color w:val="auto"/>
          <w:sz w:val="21"/>
          <w:szCs w:val="21"/>
        </w:rPr>
        <w:t xml:space="preserve"> 单位：ug/m</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0"/>
        <w:gridCol w:w="1155"/>
        <w:gridCol w:w="735"/>
        <w:gridCol w:w="735"/>
        <w:gridCol w:w="885"/>
        <w:gridCol w:w="900"/>
        <w:gridCol w:w="1110"/>
        <w:gridCol w:w="1095"/>
        <w:gridCol w:w="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vMerge w:val="restart"/>
            <w:vAlign w:val="center"/>
          </w:tcPr>
          <w:p>
            <w:pPr>
              <w:adjustRightInd w:val="0"/>
              <w:snapToGrid w:val="0"/>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设备名称</w:t>
            </w:r>
          </w:p>
        </w:tc>
        <w:tc>
          <w:tcPr>
            <w:tcW w:w="1155" w:type="dxa"/>
            <w:vMerge w:val="restart"/>
            <w:vAlign w:val="center"/>
          </w:tcPr>
          <w:p>
            <w:pPr>
              <w:adjustRightInd w:val="0"/>
              <w:snapToGrid w:val="0"/>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声级测值距离声源</w:t>
            </w:r>
          </w:p>
        </w:tc>
        <w:tc>
          <w:tcPr>
            <w:tcW w:w="6345" w:type="dxa"/>
            <w:gridSpan w:val="7"/>
            <w:vAlign w:val="center"/>
          </w:tcPr>
          <w:p>
            <w:pPr>
              <w:adjustRightInd w:val="0"/>
              <w:snapToGrid w:val="0"/>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vMerge w:val="continue"/>
            <w:vAlign w:val="center"/>
          </w:tcPr>
          <w:p>
            <w:pPr>
              <w:adjustRightInd w:val="0"/>
              <w:snapToGrid w:val="0"/>
              <w:jc w:val="center"/>
              <w:rPr>
                <w:rFonts w:hint="eastAsia" w:ascii="Times New Roman" w:hAnsi="Times New Roman" w:eastAsia="宋体" w:cs="Times New Roman"/>
                <w:b/>
                <w:bCs/>
                <w:color w:val="auto"/>
                <w:szCs w:val="21"/>
                <w:lang w:val="en-US" w:eastAsia="zh-CN"/>
              </w:rPr>
            </w:pPr>
          </w:p>
        </w:tc>
        <w:tc>
          <w:tcPr>
            <w:tcW w:w="1155" w:type="dxa"/>
            <w:vMerge w:val="continue"/>
            <w:vAlign w:val="center"/>
          </w:tcPr>
          <w:p>
            <w:pPr>
              <w:adjustRightInd w:val="0"/>
              <w:snapToGrid w:val="0"/>
              <w:jc w:val="center"/>
              <w:rPr>
                <w:rFonts w:hint="eastAsia" w:ascii="Times New Roman" w:hAnsi="Times New Roman" w:eastAsia="宋体" w:cs="Times New Roman"/>
                <w:b/>
                <w:bCs/>
                <w:color w:val="auto"/>
                <w:szCs w:val="21"/>
                <w:lang w:val="en-US" w:eastAsia="zh-CN"/>
              </w:rPr>
            </w:pPr>
          </w:p>
        </w:tc>
        <w:tc>
          <w:tcPr>
            <w:tcW w:w="735" w:type="dxa"/>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10</w:t>
            </w:r>
          </w:p>
        </w:tc>
        <w:tc>
          <w:tcPr>
            <w:tcW w:w="735" w:type="dxa"/>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20</w:t>
            </w:r>
          </w:p>
        </w:tc>
        <w:tc>
          <w:tcPr>
            <w:tcW w:w="885" w:type="dxa"/>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40</w:t>
            </w:r>
          </w:p>
        </w:tc>
        <w:tc>
          <w:tcPr>
            <w:tcW w:w="900" w:type="dxa"/>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50</w:t>
            </w:r>
          </w:p>
        </w:tc>
        <w:tc>
          <w:tcPr>
            <w:tcW w:w="1110" w:type="dxa"/>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60</w:t>
            </w:r>
          </w:p>
        </w:tc>
        <w:tc>
          <w:tcPr>
            <w:tcW w:w="1095" w:type="dxa"/>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100</w:t>
            </w:r>
          </w:p>
        </w:tc>
        <w:tc>
          <w:tcPr>
            <w:tcW w:w="885" w:type="dxa"/>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液压挖掘机</w:t>
            </w:r>
          </w:p>
        </w:tc>
        <w:tc>
          <w:tcPr>
            <w:tcW w:w="115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w:t>
            </w:r>
          </w:p>
        </w:tc>
        <w:tc>
          <w:tcPr>
            <w:tcW w:w="73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70</w:t>
            </w:r>
          </w:p>
        </w:tc>
        <w:tc>
          <w:tcPr>
            <w:tcW w:w="73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64.0</w:t>
            </w:r>
          </w:p>
        </w:tc>
        <w:tc>
          <w:tcPr>
            <w:tcW w:w="88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57.9</w:t>
            </w:r>
          </w:p>
        </w:tc>
        <w:tc>
          <w:tcPr>
            <w:tcW w:w="90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56.0</w:t>
            </w:r>
          </w:p>
        </w:tc>
        <w:tc>
          <w:tcPr>
            <w:tcW w:w="111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54.4</w:t>
            </w:r>
          </w:p>
        </w:tc>
        <w:tc>
          <w:tcPr>
            <w:tcW w:w="109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50</w:t>
            </w:r>
          </w:p>
        </w:tc>
        <w:tc>
          <w:tcPr>
            <w:tcW w:w="88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电动挖掘机</w:t>
            </w:r>
          </w:p>
        </w:tc>
        <w:tc>
          <w:tcPr>
            <w:tcW w:w="115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86</w:t>
            </w:r>
          </w:p>
        </w:tc>
        <w:tc>
          <w:tcPr>
            <w:tcW w:w="73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66</w:t>
            </w:r>
          </w:p>
        </w:tc>
        <w:tc>
          <w:tcPr>
            <w:tcW w:w="73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60.0</w:t>
            </w:r>
          </w:p>
        </w:tc>
        <w:tc>
          <w:tcPr>
            <w:tcW w:w="88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53.9</w:t>
            </w:r>
          </w:p>
        </w:tc>
        <w:tc>
          <w:tcPr>
            <w:tcW w:w="90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52.0</w:t>
            </w:r>
          </w:p>
        </w:tc>
        <w:tc>
          <w:tcPr>
            <w:tcW w:w="111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50.4</w:t>
            </w:r>
          </w:p>
        </w:tc>
        <w:tc>
          <w:tcPr>
            <w:tcW w:w="109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46</w:t>
            </w:r>
          </w:p>
        </w:tc>
        <w:tc>
          <w:tcPr>
            <w:tcW w:w="88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轮式挖掘机</w:t>
            </w:r>
          </w:p>
        </w:tc>
        <w:tc>
          <w:tcPr>
            <w:tcW w:w="115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95</w:t>
            </w:r>
          </w:p>
        </w:tc>
        <w:tc>
          <w:tcPr>
            <w:tcW w:w="73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75</w:t>
            </w:r>
          </w:p>
        </w:tc>
        <w:tc>
          <w:tcPr>
            <w:tcW w:w="73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68.9</w:t>
            </w:r>
          </w:p>
        </w:tc>
        <w:tc>
          <w:tcPr>
            <w:tcW w:w="88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63.9</w:t>
            </w:r>
          </w:p>
        </w:tc>
        <w:tc>
          <w:tcPr>
            <w:tcW w:w="90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61.0</w:t>
            </w:r>
          </w:p>
        </w:tc>
        <w:tc>
          <w:tcPr>
            <w:tcW w:w="111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59.0</w:t>
            </w:r>
          </w:p>
        </w:tc>
        <w:tc>
          <w:tcPr>
            <w:tcW w:w="109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55</w:t>
            </w:r>
          </w:p>
        </w:tc>
        <w:tc>
          <w:tcPr>
            <w:tcW w:w="88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推土机</w:t>
            </w:r>
          </w:p>
        </w:tc>
        <w:tc>
          <w:tcPr>
            <w:tcW w:w="115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88</w:t>
            </w:r>
          </w:p>
        </w:tc>
        <w:tc>
          <w:tcPr>
            <w:tcW w:w="73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68</w:t>
            </w:r>
          </w:p>
        </w:tc>
        <w:tc>
          <w:tcPr>
            <w:tcW w:w="73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61.9</w:t>
            </w:r>
          </w:p>
        </w:tc>
        <w:tc>
          <w:tcPr>
            <w:tcW w:w="88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55.9</w:t>
            </w:r>
          </w:p>
        </w:tc>
        <w:tc>
          <w:tcPr>
            <w:tcW w:w="90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54.0</w:t>
            </w:r>
          </w:p>
        </w:tc>
        <w:tc>
          <w:tcPr>
            <w:tcW w:w="111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52.0</w:t>
            </w:r>
          </w:p>
        </w:tc>
        <w:tc>
          <w:tcPr>
            <w:tcW w:w="109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48</w:t>
            </w:r>
          </w:p>
        </w:tc>
        <w:tc>
          <w:tcPr>
            <w:tcW w:w="88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各类压路机</w:t>
            </w:r>
          </w:p>
        </w:tc>
        <w:tc>
          <w:tcPr>
            <w:tcW w:w="115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w:t>
            </w:r>
          </w:p>
        </w:tc>
        <w:tc>
          <w:tcPr>
            <w:tcW w:w="73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70</w:t>
            </w:r>
          </w:p>
        </w:tc>
        <w:tc>
          <w:tcPr>
            <w:tcW w:w="73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64.0</w:t>
            </w:r>
          </w:p>
        </w:tc>
        <w:tc>
          <w:tcPr>
            <w:tcW w:w="88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57.9</w:t>
            </w:r>
          </w:p>
        </w:tc>
        <w:tc>
          <w:tcPr>
            <w:tcW w:w="90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56.0</w:t>
            </w:r>
          </w:p>
        </w:tc>
        <w:tc>
          <w:tcPr>
            <w:tcW w:w="111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54.4</w:t>
            </w:r>
          </w:p>
        </w:tc>
        <w:tc>
          <w:tcPr>
            <w:tcW w:w="109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50</w:t>
            </w:r>
          </w:p>
        </w:tc>
        <w:tc>
          <w:tcPr>
            <w:tcW w:w="88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重型运输车</w:t>
            </w:r>
          </w:p>
        </w:tc>
        <w:tc>
          <w:tcPr>
            <w:tcW w:w="115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w:t>
            </w:r>
          </w:p>
        </w:tc>
        <w:tc>
          <w:tcPr>
            <w:tcW w:w="73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70</w:t>
            </w:r>
          </w:p>
        </w:tc>
        <w:tc>
          <w:tcPr>
            <w:tcW w:w="73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64.0</w:t>
            </w:r>
          </w:p>
        </w:tc>
        <w:tc>
          <w:tcPr>
            <w:tcW w:w="88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57.9</w:t>
            </w:r>
          </w:p>
        </w:tc>
        <w:tc>
          <w:tcPr>
            <w:tcW w:w="90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56.0</w:t>
            </w:r>
          </w:p>
        </w:tc>
        <w:tc>
          <w:tcPr>
            <w:tcW w:w="111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54.4</w:t>
            </w:r>
          </w:p>
        </w:tc>
        <w:tc>
          <w:tcPr>
            <w:tcW w:w="109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50</w:t>
            </w:r>
          </w:p>
        </w:tc>
        <w:tc>
          <w:tcPr>
            <w:tcW w:w="88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木电工程</w:t>
            </w:r>
          </w:p>
        </w:tc>
        <w:tc>
          <w:tcPr>
            <w:tcW w:w="115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99</w:t>
            </w:r>
          </w:p>
        </w:tc>
        <w:tc>
          <w:tcPr>
            <w:tcW w:w="73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79</w:t>
            </w:r>
          </w:p>
        </w:tc>
        <w:tc>
          <w:tcPr>
            <w:tcW w:w="73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72.9</w:t>
            </w:r>
          </w:p>
        </w:tc>
        <w:tc>
          <w:tcPr>
            <w:tcW w:w="88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66.9</w:t>
            </w:r>
          </w:p>
        </w:tc>
        <w:tc>
          <w:tcPr>
            <w:tcW w:w="90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65.0</w:t>
            </w:r>
          </w:p>
        </w:tc>
        <w:tc>
          <w:tcPr>
            <w:tcW w:w="111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63.4</w:t>
            </w:r>
          </w:p>
        </w:tc>
        <w:tc>
          <w:tcPr>
            <w:tcW w:w="109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59</w:t>
            </w:r>
          </w:p>
        </w:tc>
        <w:tc>
          <w:tcPr>
            <w:tcW w:w="88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电锤</w:t>
            </w:r>
          </w:p>
        </w:tc>
        <w:tc>
          <w:tcPr>
            <w:tcW w:w="115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100</w:t>
            </w:r>
          </w:p>
        </w:tc>
        <w:tc>
          <w:tcPr>
            <w:tcW w:w="73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80</w:t>
            </w:r>
          </w:p>
        </w:tc>
        <w:tc>
          <w:tcPr>
            <w:tcW w:w="73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73.9</w:t>
            </w:r>
          </w:p>
        </w:tc>
        <w:tc>
          <w:tcPr>
            <w:tcW w:w="88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67.9</w:t>
            </w:r>
          </w:p>
        </w:tc>
        <w:tc>
          <w:tcPr>
            <w:tcW w:w="90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66.0</w:t>
            </w:r>
          </w:p>
        </w:tc>
        <w:tc>
          <w:tcPr>
            <w:tcW w:w="111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64.4</w:t>
            </w:r>
          </w:p>
        </w:tc>
        <w:tc>
          <w:tcPr>
            <w:tcW w:w="109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60</w:t>
            </w:r>
          </w:p>
        </w:tc>
        <w:tc>
          <w:tcPr>
            <w:tcW w:w="88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振动夯锤</w:t>
            </w:r>
          </w:p>
        </w:tc>
        <w:tc>
          <w:tcPr>
            <w:tcW w:w="115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100</w:t>
            </w:r>
          </w:p>
        </w:tc>
        <w:tc>
          <w:tcPr>
            <w:tcW w:w="73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80</w:t>
            </w:r>
          </w:p>
        </w:tc>
        <w:tc>
          <w:tcPr>
            <w:tcW w:w="73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73.9</w:t>
            </w:r>
          </w:p>
        </w:tc>
        <w:tc>
          <w:tcPr>
            <w:tcW w:w="88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67.9</w:t>
            </w:r>
          </w:p>
        </w:tc>
        <w:tc>
          <w:tcPr>
            <w:tcW w:w="90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66.0</w:t>
            </w:r>
          </w:p>
        </w:tc>
        <w:tc>
          <w:tcPr>
            <w:tcW w:w="111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64.4</w:t>
            </w:r>
          </w:p>
        </w:tc>
        <w:tc>
          <w:tcPr>
            <w:tcW w:w="109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60</w:t>
            </w:r>
          </w:p>
        </w:tc>
        <w:tc>
          <w:tcPr>
            <w:tcW w:w="88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静力压桩机</w:t>
            </w:r>
          </w:p>
        </w:tc>
        <w:tc>
          <w:tcPr>
            <w:tcW w:w="115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75</w:t>
            </w:r>
          </w:p>
        </w:tc>
        <w:tc>
          <w:tcPr>
            <w:tcW w:w="73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55</w:t>
            </w:r>
          </w:p>
        </w:tc>
        <w:tc>
          <w:tcPr>
            <w:tcW w:w="73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48.9</w:t>
            </w:r>
          </w:p>
        </w:tc>
        <w:tc>
          <w:tcPr>
            <w:tcW w:w="88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42.9</w:t>
            </w:r>
          </w:p>
        </w:tc>
        <w:tc>
          <w:tcPr>
            <w:tcW w:w="90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41.0</w:t>
            </w:r>
          </w:p>
        </w:tc>
        <w:tc>
          <w:tcPr>
            <w:tcW w:w="111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39.4</w:t>
            </w:r>
          </w:p>
        </w:tc>
        <w:tc>
          <w:tcPr>
            <w:tcW w:w="109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35</w:t>
            </w:r>
          </w:p>
        </w:tc>
        <w:tc>
          <w:tcPr>
            <w:tcW w:w="88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混凝土输送泵</w:t>
            </w:r>
          </w:p>
        </w:tc>
        <w:tc>
          <w:tcPr>
            <w:tcW w:w="115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95</w:t>
            </w:r>
          </w:p>
        </w:tc>
        <w:tc>
          <w:tcPr>
            <w:tcW w:w="73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75</w:t>
            </w:r>
          </w:p>
        </w:tc>
        <w:tc>
          <w:tcPr>
            <w:tcW w:w="73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68.9</w:t>
            </w:r>
          </w:p>
        </w:tc>
        <w:tc>
          <w:tcPr>
            <w:tcW w:w="88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63.9</w:t>
            </w:r>
          </w:p>
        </w:tc>
        <w:tc>
          <w:tcPr>
            <w:tcW w:w="90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61.0</w:t>
            </w:r>
          </w:p>
        </w:tc>
        <w:tc>
          <w:tcPr>
            <w:tcW w:w="111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59.4</w:t>
            </w:r>
          </w:p>
        </w:tc>
        <w:tc>
          <w:tcPr>
            <w:tcW w:w="109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55</w:t>
            </w:r>
          </w:p>
        </w:tc>
        <w:tc>
          <w:tcPr>
            <w:tcW w:w="88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商砼搅拌车</w:t>
            </w:r>
          </w:p>
        </w:tc>
        <w:tc>
          <w:tcPr>
            <w:tcW w:w="115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w:t>
            </w:r>
          </w:p>
        </w:tc>
        <w:tc>
          <w:tcPr>
            <w:tcW w:w="73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70</w:t>
            </w:r>
          </w:p>
        </w:tc>
        <w:tc>
          <w:tcPr>
            <w:tcW w:w="73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64.0</w:t>
            </w:r>
          </w:p>
        </w:tc>
        <w:tc>
          <w:tcPr>
            <w:tcW w:w="88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57.9</w:t>
            </w:r>
          </w:p>
        </w:tc>
        <w:tc>
          <w:tcPr>
            <w:tcW w:w="90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56.0</w:t>
            </w:r>
          </w:p>
        </w:tc>
        <w:tc>
          <w:tcPr>
            <w:tcW w:w="111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54.4</w:t>
            </w:r>
          </w:p>
        </w:tc>
        <w:tc>
          <w:tcPr>
            <w:tcW w:w="109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50</w:t>
            </w:r>
          </w:p>
        </w:tc>
        <w:tc>
          <w:tcPr>
            <w:tcW w:w="88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混凝土振捣器</w:t>
            </w:r>
          </w:p>
        </w:tc>
        <w:tc>
          <w:tcPr>
            <w:tcW w:w="115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88</w:t>
            </w:r>
          </w:p>
        </w:tc>
        <w:tc>
          <w:tcPr>
            <w:tcW w:w="73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68</w:t>
            </w:r>
          </w:p>
        </w:tc>
        <w:tc>
          <w:tcPr>
            <w:tcW w:w="73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61.9</w:t>
            </w:r>
          </w:p>
        </w:tc>
        <w:tc>
          <w:tcPr>
            <w:tcW w:w="88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55.9</w:t>
            </w:r>
          </w:p>
        </w:tc>
        <w:tc>
          <w:tcPr>
            <w:tcW w:w="90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54.0</w:t>
            </w:r>
          </w:p>
        </w:tc>
        <w:tc>
          <w:tcPr>
            <w:tcW w:w="111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52.4</w:t>
            </w:r>
          </w:p>
        </w:tc>
        <w:tc>
          <w:tcPr>
            <w:tcW w:w="109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48</w:t>
            </w:r>
          </w:p>
        </w:tc>
        <w:tc>
          <w:tcPr>
            <w:tcW w:w="88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0" w:type="dxa"/>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空压机</w:t>
            </w:r>
          </w:p>
        </w:tc>
        <w:tc>
          <w:tcPr>
            <w:tcW w:w="115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92</w:t>
            </w:r>
          </w:p>
        </w:tc>
        <w:tc>
          <w:tcPr>
            <w:tcW w:w="73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72</w:t>
            </w:r>
          </w:p>
        </w:tc>
        <w:tc>
          <w:tcPr>
            <w:tcW w:w="73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65.9</w:t>
            </w:r>
          </w:p>
        </w:tc>
        <w:tc>
          <w:tcPr>
            <w:tcW w:w="88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59.9</w:t>
            </w:r>
          </w:p>
        </w:tc>
        <w:tc>
          <w:tcPr>
            <w:tcW w:w="90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58.0</w:t>
            </w:r>
          </w:p>
        </w:tc>
        <w:tc>
          <w:tcPr>
            <w:tcW w:w="111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56.4</w:t>
            </w:r>
          </w:p>
        </w:tc>
        <w:tc>
          <w:tcPr>
            <w:tcW w:w="109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52</w:t>
            </w:r>
          </w:p>
        </w:tc>
        <w:tc>
          <w:tcPr>
            <w:tcW w:w="885"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45.9</w:t>
            </w:r>
          </w:p>
        </w:tc>
      </w:tr>
    </w:tbl>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auto"/>
          <w:kern w:val="2"/>
          <w:sz w:val="24"/>
          <w:lang w:val="en-US" w:eastAsia="zh-CN"/>
        </w:rPr>
      </w:pPr>
      <w:r>
        <w:rPr>
          <w:rFonts w:hint="eastAsia" w:ascii="Times New Roman" w:hAnsi="Times New Roman" w:cs="Times New Roman" w:eastAsiaTheme="minorEastAsia"/>
          <w:color w:val="auto"/>
          <w:kern w:val="2"/>
          <w:sz w:val="24"/>
          <w:lang w:val="en-US" w:eastAsia="zh-CN"/>
        </w:rPr>
        <w:t>从表 5</w:t>
      </w:r>
      <w:r>
        <w:rPr>
          <w:rFonts w:hint="eastAsia" w:ascii="Times New Roman" w:hAnsi="Times New Roman" w:cs="Times New Roman"/>
          <w:color w:val="auto"/>
          <w:kern w:val="2"/>
          <w:sz w:val="24"/>
          <w:lang w:val="en-US" w:eastAsia="zh-CN"/>
        </w:rPr>
        <w:t>.1</w:t>
      </w:r>
      <w:r>
        <w:rPr>
          <w:rFonts w:hint="eastAsia" w:ascii="Times New Roman" w:hAnsi="Times New Roman" w:cs="Times New Roman" w:eastAsiaTheme="minorEastAsia"/>
          <w:color w:val="auto"/>
          <w:kern w:val="2"/>
          <w:sz w:val="24"/>
          <w:lang w:val="en-US" w:eastAsia="zh-CN"/>
        </w:rPr>
        <w:t>-2 可知，单台施工机械噪声昼间在距施工场地约 40m 处满足《建筑施工场界环境噪声排放标准》（GB12523-2011）标准要求。本项目仅在白天施工，因此，施工期噪声对周围居民影响不大。环评要求合理布设固定源机械（如空压机），尽量布置于远离居民点，在场地四周设置施工围挡，加强施工期环境管理，在此条件下施工噪声不会对周围声环境敏感点带来不利影响，不会改变施工场地周边声功能区划。材料运输安排在白天进行，在经过村庄时采取限速、禁鸣等措施，在此前提下，运输车辆产生的噪声不会改变沿线声功能区划。</w:t>
      </w:r>
    </w:p>
    <w:p>
      <w:pPr>
        <w:pStyle w:val="6"/>
        <w:adjustRightInd w:val="0"/>
        <w:snapToGrid w:val="0"/>
        <w:spacing w:before="0" w:after="0" w:line="360" w:lineRule="auto"/>
        <w:rPr>
          <w:rFonts w:hint="eastAsia" w:ascii="Times New Roman" w:hAnsi="Times New Roman" w:eastAsia="宋体"/>
          <w:color w:val="auto"/>
          <w:sz w:val="28"/>
          <w:szCs w:val="28"/>
          <w:lang w:eastAsia="zh-CN"/>
        </w:rPr>
      </w:pPr>
      <w:r>
        <w:rPr>
          <w:rFonts w:hint="eastAsia" w:ascii="Times New Roman" w:hAnsi="Times New Roman" w:eastAsia="宋体"/>
          <w:color w:val="auto"/>
          <w:sz w:val="28"/>
          <w:szCs w:val="28"/>
        </w:rPr>
        <w:t>5.</w:t>
      </w:r>
      <w:r>
        <w:rPr>
          <w:rFonts w:hint="eastAsia" w:ascii="Times New Roman" w:hAnsi="Times New Roman" w:eastAsia="宋体"/>
          <w:color w:val="auto"/>
          <w:sz w:val="28"/>
          <w:szCs w:val="28"/>
          <w:lang w:val="en-US" w:eastAsia="zh-CN"/>
        </w:rPr>
        <w:t>1</w:t>
      </w:r>
      <w:r>
        <w:rPr>
          <w:rFonts w:ascii="Times New Roman" w:hAnsi="Times New Roman" w:eastAsia="宋体"/>
          <w:color w:val="auto"/>
          <w:sz w:val="28"/>
          <w:szCs w:val="28"/>
        </w:rPr>
        <w:t>.</w:t>
      </w:r>
      <w:r>
        <w:rPr>
          <w:rFonts w:hint="eastAsia" w:ascii="Times New Roman" w:hAnsi="Times New Roman" w:eastAsia="宋体"/>
          <w:color w:val="auto"/>
          <w:sz w:val="28"/>
          <w:szCs w:val="28"/>
          <w:lang w:val="en-US" w:eastAsia="zh-CN"/>
        </w:rPr>
        <w:t>4</w:t>
      </w:r>
      <w:r>
        <w:rPr>
          <w:rFonts w:hint="eastAsia" w:ascii="Times New Roman" w:hAnsi="Times New Roman" w:eastAsia="宋体"/>
          <w:color w:val="auto"/>
          <w:sz w:val="28"/>
          <w:szCs w:val="28"/>
          <w:lang w:eastAsia="zh-CN"/>
        </w:rPr>
        <w:t>施工</w:t>
      </w:r>
      <w:r>
        <w:rPr>
          <w:rFonts w:hint="eastAsia" w:ascii="Times New Roman" w:hAnsi="Times New Roman" w:eastAsia="宋体"/>
          <w:color w:val="auto"/>
          <w:sz w:val="28"/>
          <w:szCs w:val="28"/>
        </w:rPr>
        <w:t>期</w:t>
      </w:r>
      <w:r>
        <w:rPr>
          <w:rFonts w:hint="eastAsia" w:ascii="Times New Roman" w:hAnsi="Times New Roman" w:eastAsia="宋体"/>
          <w:color w:val="auto"/>
          <w:sz w:val="28"/>
          <w:szCs w:val="28"/>
          <w:lang w:eastAsia="zh-CN"/>
        </w:rPr>
        <w:t>固体废物</w:t>
      </w:r>
      <w:r>
        <w:rPr>
          <w:rFonts w:ascii="Times New Roman" w:hAnsi="Times New Roman" w:eastAsia="宋体"/>
          <w:color w:val="auto"/>
          <w:sz w:val="28"/>
          <w:szCs w:val="28"/>
        </w:rPr>
        <w:t>环境影响</w:t>
      </w:r>
      <w:r>
        <w:rPr>
          <w:rFonts w:hint="eastAsia" w:ascii="Times New Roman" w:hAnsi="Times New Roman" w:eastAsia="宋体"/>
          <w:color w:val="auto"/>
          <w:sz w:val="28"/>
          <w:szCs w:val="28"/>
          <w:lang w:eastAsia="zh-CN"/>
        </w:rPr>
        <w:t>分析</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auto"/>
          <w:kern w:val="2"/>
          <w:sz w:val="24"/>
          <w:lang w:val="en-US" w:eastAsia="zh-CN"/>
        </w:rPr>
      </w:pPr>
      <w:r>
        <w:rPr>
          <w:rFonts w:hint="eastAsia" w:ascii="Times New Roman" w:hAnsi="Times New Roman" w:cs="Times New Roman" w:eastAsiaTheme="minorEastAsia"/>
          <w:color w:val="auto"/>
          <w:kern w:val="2"/>
          <w:sz w:val="24"/>
          <w:lang w:val="en-US" w:eastAsia="zh-CN"/>
        </w:rPr>
        <w:t>施工期间产生的固体废弃物主要为弃渣弃土、生活垃圾等。项目在施工过程中存在施工弃土，需进行专门处理。根据主体工程设计资料项目挖方量</w:t>
      </w:r>
      <w:r>
        <w:rPr>
          <w:rFonts w:hint="eastAsia" w:ascii="Times New Roman" w:hAnsi="Times New Roman" w:cs="Times New Roman"/>
          <w:color w:val="auto"/>
          <w:kern w:val="2"/>
          <w:sz w:val="24"/>
          <w:lang w:val="en-US" w:eastAsia="zh-CN"/>
        </w:rPr>
        <w:t>8.60</w:t>
      </w:r>
      <w:r>
        <w:rPr>
          <w:rFonts w:hint="eastAsia" w:ascii="Times New Roman" w:hAnsi="Times New Roman" w:cs="Times New Roman" w:eastAsiaTheme="minorEastAsia"/>
          <w:color w:val="auto"/>
          <w:kern w:val="2"/>
          <w:sz w:val="24"/>
          <w:lang w:val="en-US" w:eastAsia="zh-CN"/>
        </w:rPr>
        <w:t>万 m</w:t>
      </w:r>
      <w:r>
        <w:rPr>
          <w:rFonts w:hint="eastAsia" w:ascii="Times New Roman" w:hAnsi="Times New Roman" w:cs="Times New Roman" w:eastAsiaTheme="minorEastAsia"/>
          <w:color w:val="auto"/>
          <w:kern w:val="2"/>
          <w:sz w:val="24"/>
          <w:vertAlign w:val="superscript"/>
          <w:lang w:val="en-US" w:eastAsia="zh-CN"/>
        </w:rPr>
        <w:t>3</w:t>
      </w:r>
      <w:r>
        <w:rPr>
          <w:rFonts w:hint="eastAsia" w:ascii="Times New Roman" w:hAnsi="Times New Roman" w:cs="Times New Roman" w:eastAsiaTheme="minorEastAsia"/>
          <w:color w:val="auto"/>
          <w:kern w:val="2"/>
          <w:sz w:val="24"/>
          <w:lang w:val="en-US" w:eastAsia="zh-CN"/>
        </w:rPr>
        <w:t>，填方量</w:t>
      </w:r>
      <w:r>
        <w:rPr>
          <w:rFonts w:hint="eastAsia" w:ascii="Times New Roman" w:hAnsi="Times New Roman" w:cs="Times New Roman"/>
          <w:color w:val="auto"/>
          <w:kern w:val="2"/>
          <w:sz w:val="24"/>
          <w:lang w:val="en-US" w:eastAsia="zh-CN"/>
        </w:rPr>
        <w:t>8.60</w:t>
      </w:r>
      <w:r>
        <w:rPr>
          <w:rFonts w:hint="eastAsia" w:ascii="Times New Roman" w:hAnsi="Times New Roman" w:cs="Times New Roman" w:eastAsiaTheme="minorEastAsia"/>
          <w:color w:val="auto"/>
          <w:kern w:val="2"/>
          <w:sz w:val="24"/>
          <w:lang w:val="en-US" w:eastAsia="zh-CN"/>
        </w:rPr>
        <w:t>万m</w:t>
      </w:r>
      <w:r>
        <w:rPr>
          <w:rFonts w:hint="eastAsia" w:ascii="Times New Roman" w:hAnsi="Times New Roman" w:cs="Times New Roman" w:eastAsiaTheme="minorEastAsia"/>
          <w:color w:val="auto"/>
          <w:kern w:val="2"/>
          <w:sz w:val="24"/>
          <w:vertAlign w:val="superscript"/>
          <w:lang w:val="en-US" w:eastAsia="zh-CN"/>
        </w:rPr>
        <w:t>3</w:t>
      </w:r>
      <w:r>
        <w:rPr>
          <w:rFonts w:hint="eastAsia" w:ascii="Times New Roman" w:hAnsi="Times New Roman" w:cs="Times New Roman" w:eastAsiaTheme="minorEastAsia"/>
          <w:color w:val="auto"/>
          <w:kern w:val="2"/>
          <w:sz w:val="24"/>
          <w:lang w:val="en-US" w:eastAsia="zh-CN"/>
        </w:rPr>
        <w:t>，不存在弃方，项目填方主要用于建设区域高程低的区域回填。施工人员生活垃圾将由环卫部门统一清运处理。施工期间产生的建筑垃圾集中收集，由环卫部门清运。因此，上述废弃物不会对周围环境产生较大影响</w:t>
      </w:r>
      <w:r>
        <w:rPr>
          <w:rFonts w:hint="eastAsia" w:ascii="Times New Roman" w:hAnsi="Times New Roman" w:cs="Times New Roman"/>
          <w:color w:val="auto"/>
          <w:kern w:val="2"/>
          <w:sz w:val="24"/>
          <w:lang w:val="en-US" w:eastAsia="zh-CN"/>
        </w:rPr>
        <w:t>。</w:t>
      </w:r>
    </w:p>
    <w:p>
      <w:pPr>
        <w:pStyle w:val="6"/>
        <w:adjustRightInd w:val="0"/>
        <w:snapToGrid w:val="0"/>
        <w:spacing w:before="0" w:after="0" w:line="360" w:lineRule="auto"/>
        <w:rPr>
          <w:rFonts w:hint="eastAsia" w:ascii="Times New Roman" w:hAnsi="Times New Roman" w:eastAsia="宋体"/>
          <w:color w:val="auto"/>
          <w:sz w:val="28"/>
          <w:szCs w:val="28"/>
          <w:lang w:eastAsia="zh-CN"/>
        </w:rPr>
      </w:pPr>
      <w:r>
        <w:rPr>
          <w:rFonts w:hint="eastAsia" w:ascii="Times New Roman" w:hAnsi="Times New Roman" w:eastAsia="宋体"/>
          <w:color w:val="auto"/>
          <w:sz w:val="28"/>
          <w:szCs w:val="28"/>
        </w:rPr>
        <w:t>5.</w:t>
      </w:r>
      <w:r>
        <w:rPr>
          <w:rFonts w:hint="eastAsia" w:ascii="Times New Roman" w:hAnsi="Times New Roman" w:eastAsia="宋体"/>
          <w:color w:val="auto"/>
          <w:sz w:val="28"/>
          <w:szCs w:val="28"/>
          <w:lang w:val="en-US" w:eastAsia="zh-CN"/>
        </w:rPr>
        <w:t>1</w:t>
      </w:r>
      <w:r>
        <w:rPr>
          <w:rFonts w:ascii="Times New Roman" w:hAnsi="Times New Roman" w:eastAsia="宋体"/>
          <w:color w:val="auto"/>
          <w:sz w:val="28"/>
          <w:szCs w:val="28"/>
        </w:rPr>
        <w:t>.</w:t>
      </w:r>
      <w:r>
        <w:rPr>
          <w:rFonts w:hint="eastAsia" w:ascii="Times New Roman" w:hAnsi="Times New Roman" w:eastAsia="宋体"/>
          <w:color w:val="auto"/>
          <w:sz w:val="28"/>
          <w:szCs w:val="28"/>
          <w:lang w:val="en-US" w:eastAsia="zh-CN"/>
        </w:rPr>
        <w:t>5</w:t>
      </w:r>
      <w:r>
        <w:rPr>
          <w:rFonts w:hint="eastAsia" w:ascii="Times New Roman" w:hAnsi="Times New Roman" w:eastAsia="宋体"/>
          <w:color w:val="auto"/>
          <w:sz w:val="28"/>
          <w:szCs w:val="28"/>
          <w:lang w:eastAsia="zh-CN"/>
        </w:rPr>
        <w:t>施工</w:t>
      </w:r>
      <w:r>
        <w:rPr>
          <w:rFonts w:hint="eastAsia" w:ascii="Times New Roman" w:hAnsi="Times New Roman" w:eastAsia="宋体"/>
          <w:color w:val="auto"/>
          <w:sz w:val="28"/>
          <w:szCs w:val="28"/>
        </w:rPr>
        <w:t>期</w:t>
      </w:r>
      <w:r>
        <w:rPr>
          <w:rFonts w:hint="eastAsia" w:ascii="Times New Roman" w:hAnsi="Times New Roman" w:eastAsia="宋体"/>
          <w:color w:val="auto"/>
          <w:sz w:val="28"/>
          <w:szCs w:val="28"/>
          <w:lang w:eastAsia="zh-CN"/>
        </w:rPr>
        <w:t>生态</w:t>
      </w:r>
      <w:r>
        <w:rPr>
          <w:rFonts w:ascii="Times New Roman" w:hAnsi="Times New Roman" w:eastAsia="宋体"/>
          <w:color w:val="auto"/>
          <w:sz w:val="28"/>
          <w:szCs w:val="28"/>
        </w:rPr>
        <w:t>环境影响</w:t>
      </w:r>
      <w:r>
        <w:rPr>
          <w:rFonts w:hint="eastAsia" w:ascii="Times New Roman" w:hAnsi="Times New Roman" w:eastAsia="宋体"/>
          <w:color w:val="auto"/>
          <w:sz w:val="28"/>
          <w:szCs w:val="28"/>
          <w:lang w:eastAsia="zh-CN"/>
        </w:rPr>
        <w:t>分析</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auto"/>
          <w:kern w:val="2"/>
          <w:sz w:val="24"/>
          <w:lang w:val="en-US" w:eastAsia="zh-CN"/>
        </w:rPr>
      </w:pPr>
      <w:r>
        <w:rPr>
          <w:rFonts w:hint="eastAsia" w:ascii="Times New Roman" w:hAnsi="Times New Roman" w:cs="Times New Roman" w:eastAsiaTheme="minorEastAsia"/>
          <w:color w:val="auto"/>
          <w:kern w:val="2"/>
          <w:sz w:val="24"/>
          <w:lang w:val="en-US" w:eastAsia="zh-CN"/>
        </w:rPr>
        <w:t>项目养殖用地面积</w:t>
      </w:r>
      <w:r>
        <w:rPr>
          <w:rFonts w:hint="eastAsia" w:ascii="Times New Roman" w:hAnsi="Times New Roman" w:cs="Times New Roman"/>
          <w:color w:val="auto"/>
          <w:kern w:val="2"/>
          <w:sz w:val="24"/>
          <w:lang w:val="en-US" w:eastAsia="zh-CN"/>
        </w:rPr>
        <w:t>90亩</w:t>
      </w:r>
      <w:r>
        <w:rPr>
          <w:rFonts w:hint="eastAsia" w:ascii="Times New Roman" w:hAnsi="Times New Roman" w:cs="Times New Roman" w:eastAsiaTheme="minorEastAsia"/>
          <w:color w:val="auto"/>
          <w:kern w:val="2"/>
          <w:sz w:val="24"/>
          <w:lang w:val="en-US" w:eastAsia="zh-CN"/>
        </w:rPr>
        <w:t>，建设单位已</w:t>
      </w:r>
      <w:r>
        <w:rPr>
          <w:rFonts w:hint="eastAsia" w:ascii="Times New Roman" w:hAnsi="Times New Roman" w:cs="Times New Roman"/>
          <w:color w:val="auto"/>
          <w:kern w:val="2"/>
          <w:sz w:val="24"/>
          <w:lang w:val="en-US" w:eastAsia="zh-CN"/>
        </w:rPr>
        <w:t>取得用地手续</w:t>
      </w:r>
      <w:r>
        <w:rPr>
          <w:rFonts w:hint="eastAsia" w:ascii="Times New Roman" w:hAnsi="Times New Roman" w:cs="Times New Roman" w:eastAsiaTheme="minorEastAsia"/>
          <w:color w:val="auto"/>
          <w:kern w:val="2"/>
          <w:sz w:val="24"/>
          <w:lang w:val="en-US" w:eastAsia="zh-CN"/>
        </w:rPr>
        <w:t>，</w:t>
      </w:r>
      <w:r>
        <w:rPr>
          <w:rFonts w:hint="eastAsia" w:ascii="Times New Roman" w:hAnsi="Times New Roman" w:cs="Times New Roman"/>
          <w:color w:val="auto"/>
          <w:kern w:val="2"/>
          <w:sz w:val="24"/>
          <w:lang w:val="en-US" w:eastAsia="zh-CN"/>
        </w:rPr>
        <w:t>用地文件</w:t>
      </w:r>
      <w:r>
        <w:rPr>
          <w:rFonts w:hint="eastAsia" w:ascii="Times New Roman" w:hAnsi="Times New Roman" w:cs="Times New Roman" w:eastAsiaTheme="minorEastAsia"/>
          <w:color w:val="auto"/>
          <w:kern w:val="2"/>
          <w:sz w:val="24"/>
          <w:lang w:val="en-US" w:eastAsia="zh-CN"/>
        </w:rPr>
        <w:t>见附件。项目用地现状为</w:t>
      </w:r>
      <w:r>
        <w:rPr>
          <w:rFonts w:hint="eastAsia" w:ascii="Times New Roman" w:hAnsi="Times New Roman" w:cs="Times New Roman"/>
          <w:color w:val="auto"/>
          <w:kern w:val="2"/>
          <w:sz w:val="24"/>
          <w:lang w:val="en-US" w:eastAsia="zh-CN"/>
        </w:rPr>
        <w:t>林地</w:t>
      </w:r>
      <w:r>
        <w:rPr>
          <w:rFonts w:hint="eastAsia" w:ascii="Times New Roman" w:hAnsi="Times New Roman" w:cs="Times New Roman" w:eastAsiaTheme="minorEastAsia"/>
          <w:color w:val="auto"/>
          <w:kern w:val="2"/>
          <w:sz w:val="24"/>
          <w:lang w:val="en-US" w:eastAsia="zh-CN"/>
        </w:rPr>
        <w:t>，建设过程中将影响项目区内动植物生存环境、农村生态环境，改变区域土地利用现状，引发水土流失等。</w:t>
      </w:r>
    </w:p>
    <w:p>
      <w:pPr>
        <w:keepNext w:val="0"/>
        <w:keepLines w:val="0"/>
        <w:numPr>
          <w:ilvl w:val="0"/>
          <w:numId w:val="24"/>
        </w:numPr>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auto"/>
          <w:kern w:val="2"/>
          <w:sz w:val="24"/>
          <w:lang w:val="en-US" w:eastAsia="zh-CN"/>
        </w:rPr>
      </w:pPr>
      <w:r>
        <w:rPr>
          <w:rFonts w:hint="eastAsia" w:ascii="Times New Roman" w:hAnsi="Times New Roman" w:cs="Times New Roman" w:eastAsiaTheme="minorEastAsia"/>
          <w:color w:val="auto"/>
          <w:kern w:val="2"/>
          <w:sz w:val="24"/>
          <w:lang w:val="en-US" w:eastAsia="zh-CN"/>
        </w:rPr>
        <w:t>水土流失</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auto"/>
          <w:kern w:val="2"/>
          <w:sz w:val="24"/>
          <w:lang w:val="en-US" w:eastAsia="zh-CN"/>
        </w:rPr>
      </w:pPr>
      <w:r>
        <w:rPr>
          <w:rFonts w:hint="eastAsia" w:ascii="Times New Roman" w:hAnsi="Times New Roman" w:cs="Times New Roman" w:eastAsiaTheme="minorEastAsia"/>
          <w:color w:val="auto"/>
          <w:kern w:val="2"/>
          <w:sz w:val="24"/>
          <w:lang w:val="en-US" w:eastAsia="zh-CN"/>
        </w:rPr>
        <w:t>该建设项目的开发将会损坏原有的地形、地貌和植被，建设过程中的施工活动扰动了原有的土地结构，致使土体抗侵蚀能力降低，同时由于开挖量大，增大了风蚀和水蚀的强度。此外，由于项目地形、地貌和施工条件，有可能产生施工临时堆土，临时堆土场堆土若高度大、坡度陡，遇暴雨有可能产生比较严重的水土流失。禁止将建筑垃圾、石块、弃土等随意堆放、丢弃在建筑红线以外，尽量将挖土方就地填埋自行消化，地面上设计为绿化带，进行植被恢复，将其对地表的影响降至最低；本工程项目面积较大，施工中无需征用临时占地；合理安排各工段施工顺序、合理布置施工现场、做好施工进度计划表、缩短工期；使停车场、环卫设施及绿化工程等基础设施尽量同时完工，这样有利于减少水土流失对环境的影响。</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auto"/>
          <w:kern w:val="2"/>
          <w:sz w:val="24"/>
          <w:lang w:val="en-US" w:eastAsia="zh-CN"/>
        </w:rPr>
      </w:pPr>
      <w:r>
        <w:rPr>
          <w:rFonts w:hint="eastAsia" w:ascii="Times New Roman" w:hAnsi="Times New Roman" w:cs="Times New Roman"/>
          <w:color w:val="auto"/>
          <w:kern w:val="2"/>
          <w:sz w:val="24"/>
          <w:lang w:val="en-US" w:eastAsia="zh-CN"/>
        </w:rPr>
        <w:t>（2）</w:t>
      </w:r>
      <w:r>
        <w:rPr>
          <w:rFonts w:hint="eastAsia" w:ascii="Times New Roman" w:hAnsi="Times New Roman" w:cs="Times New Roman" w:eastAsiaTheme="minorEastAsia"/>
          <w:color w:val="auto"/>
          <w:kern w:val="2"/>
          <w:sz w:val="24"/>
          <w:lang w:val="en-US" w:eastAsia="zh-CN"/>
        </w:rPr>
        <w:t>植被影响分析</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auto"/>
          <w:kern w:val="2"/>
          <w:sz w:val="24"/>
          <w:lang w:val="en-US" w:eastAsia="zh-CN"/>
        </w:rPr>
      </w:pPr>
      <w:r>
        <w:rPr>
          <w:rFonts w:hint="eastAsia" w:ascii="Times New Roman" w:hAnsi="Times New Roman" w:cs="Times New Roman" w:eastAsiaTheme="minorEastAsia"/>
          <w:color w:val="auto"/>
          <w:kern w:val="2"/>
          <w:sz w:val="24"/>
          <w:lang w:val="en-US" w:eastAsia="zh-CN"/>
        </w:rPr>
        <w:t>工程占地对植被的影响，主要影响因素包括设施的修建、绿化工程占地及施工人员、施工机械对地表的践踏等。</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auto"/>
          <w:kern w:val="2"/>
          <w:sz w:val="24"/>
          <w:lang w:val="en-US" w:eastAsia="zh-CN"/>
        </w:rPr>
      </w:pPr>
      <w:r>
        <w:rPr>
          <w:rFonts w:hint="eastAsia" w:ascii="Times New Roman" w:hAnsi="Times New Roman" w:cs="Times New Roman" w:eastAsiaTheme="minorEastAsia"/>
          <w:color w:val="auto"/>
          <w:kern w:val="2"/>
          <w:sz w:val="24"/>
          <w:lang w:val="en-US" w:eastAsia="zh-CN"/>
        </w:rPr>
        <w:t>项目养殖用地</w:t>
      </w:r>
      <w:r>
        <w:rPr>
          <w:rFonts w:hint="eastAsia" w:ascii="Times New Roman" w:hAnsi="Times New Roman" w:cs="Times New Roman"/>
          <w:color w:val="auto"/>
          <w:kern w:val="2"/>
          <w:sz w:val="24"/>
          <w:lang w:val="en-US" w:eastAsia="zh-CN"/>
        </w:rPr>
        <w:t>90亩</w:t>
      </w:r>
      <w:r>
        <w:rPr>
          <w:rFonts w:hint="eastAsia" w:ascii="Times New Roman" w:hAnsi="Times New Roman" w:cs="Times New Roman" w:eastAsiaTheme="minorEastAsia"/>
          <w:color w:val="auto"/>
          <w:kern w:val="2"/>
          <w:sz w:val="24"/>
          <w:lang w:val="en-US" w:eastAsia="zh-CN"/>
        </w:rPr>
        <w:t>，占地类型为</w:t>
      </w:r>
      <w:r>
        <w:rPr>
          <w:rFonts w:hint="eastAsia" w:ascii="Times New Roman" w:hAnsi="Times New Roman" w:cs="Times New Roman"/>
          <w:color w:val="auto"/>
          <w:kern w:val="2"/>
          <w:sz w:val="24"/>
          <w:lang w:val="en-US" w:eastAsia="zh-CN"/>
        </w:rPr>
        <w:t>林地及耕地</w:t>
      </w:r>
      <w:r>
        <w:rPr>
          <w:rFonts w:hint="eastAsia" w:ascii="Times New Roman" w:hAnsi="Times New Roman" w:cs="Times New Roman" w:eastAsiaTheme="minorEastAsia"/>
          <w:color w:val="auto"/>
          <w:kern w:val="2"/>
          <w:sz w:val="24"/>
          <w:lang w:val="en-US" w:eastAsia="zh-CN"/>
        </w:rPr>
        <w:t>，目前土地现状为空地，土地占用主要为农作物的减少。据调查，项目施工区域没有珍稀名贵植物的记载。工程建筑、绿化和道路不同程度的占地外，其余地表植被保留，基本不会受影响。施工完成后其影响会逐渐减少，由于所在区域雨水丰富，气候适宜，植被比较容易恢复，加上本项目建设，开发强度不大，施工人员、施工机械对地表的践踏程度较轻，在1-2年后即可恢复。</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auto"/>
          <w:kern w:val="2"/>
          <w:sz w:val="24"/>
          <w:lang w:val="en-US" w:eastAsia="zh-CN"/>
        </w:rPr>
      </w:pPr>
      <w:r>
        <w:rPr>
          <w:rFonts w:hint="eastAsia" w:ascii="Times New Roman" w:hAnsi="Times New Roman" w:cs="Times New Roman" w:eastAsiaTheme="minorEastAsia"/>
          <w:color w:val="auto"/>
          <w:kern w:val="2"/>
          <w:sz w:val="24"/>
          <w:lang w:val="en-US" w:eastAsia="zh-CN"/>
        </w:rPr>
        <w:t>综上所述，本项目对植被不会产生大的影响。</w:t>
      </w:r>
    </w:p>
    <w:p>
      <w:pPr>
        <w:keepNext w:val="0"/>
        <w:keepLines w:val="0"/>
        <w:numPr>
          <w:ilvl w:val="0"/>
          <w:numId w:val="0"/>
        </w:numPr>
        <w:suppressLineNumbers w:val="0"/>
        <w:spacing w:before="0" w:beforeAutospacing="0" w:after="0" w:afterAutospacing="0" w:line="360" w:lineRule="auto"/>
        <w:ind w:leftChars="200" w:right="0" w:rightChars="0"/>
        <w:rPr>
          <w:rFonts w:hint="eastAsia" w:ascii="Times New Roman" w:hAnsi="Times New Roman" w:cs="Times New Roman" w:eastAsiaTheme="minorEastAsia"/>
          <w:color w:val="auto"/>
          <w:kern w:val="2"/>
          <w:sz w:val="24"/>
          <w:lang w:val="en-US" w:eastAsia="zh-CN"/>
        </w:rPr>
      </w:pPr>
      <w:r>
        <w:rPr>
          <w:rFonts w:hint="eastAsia" w:ascii="Times New Roman" w:hAnsi="Times New Roman" w:cs="Times New Roman" w:eastAsiaTheme="minorEastAsia"/>
          <w:color w:val="auto"/>
          <w:kern w:val="2"/>
          <w:sz w:val="24"/>
          <w:lang w:val="en-US" w:eastAsia="zh-CN"/>
        </w:rPr>
        <w:t>（3）野生动物影响分析</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auto"/>
          <w:kern w:val="2"/>
          <w:sz w:val="24"/>
          <w:lang w:val="en-US" w:eastAsia="zh-CN"/>
        </w:rPr>
      </w:pPr>
      <w:r>
        <w:rPr>
          <w:rFonts w:hint="eastAsia" w:ascii="Times New Roman" w:hAnsi="Times New Roman" w:cs="Times New Roman" w:eastAsiaTheme="minorEastAsia"/>
          <w:color w:val="auto"/>
          <w:kern w:val="2"/>
          <w:sz w:val="24"/>
          <w:lang w:val="en-US" w:eastAsia="zh-CN"/>
        </w:rPr>
        <w:t>施工期对野生动物的主要影响因素有车辆运输、工程建设，施工临时用地还占用一定范围的土地，这些施工行为，可能影响野生动物的栖息环境。</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auto"/>
          <w:kern w:val="2"/>
          <w:sz w:val="24"/>
          <w:lang w:val="en-US" w:eastAsia="zh-CN"/>
        </w:rPr>
      </w:pPr>
      <w:r>
        <w:rPr>
          <w:rFonts w:hint="eastAsia" w:ascii="Times New Roman" w:hAnsi="Times New Roman" w:cs="Times New Roman" w:eastAsiaTheme="minorEastAsia"/>
          <w:color w:val="auto"/>
          <w:kern w:val="2"/>
          <w:sz w:val="24"/>
          <w:lang w:val="en-US" w:eastAsia="zh-CN"/>
        </w:rPr>
        <w:t>施工期间，施工地段将有相当数量的人员进驻，施工队伍生活污水收集处理、生活垃圾等定点收集清运，不会对周围环境及野生动物产生影响。</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auto"/>
          <w:kern w:val="2"/>
          <w:sz w:val="24"/>
          <w:lang w:val="en-US" w:eastAsia="zh-CN"/>
        </w:rPr>
      </w:pPr>
      <w:r>
        <w:rPr>
          <w:rFonts w:hint="eastAsia" w:ascii="Times New Roman" w:hAnsi="Times New Roman" w:cs="Times New Roman" w:eastAsiaTheme="minorEastAsia"/>
          <w:color w:val="auto"/>
          <w:kern w:val="2"/>
          <w:sz w:val="24"/>
          <w:lang w:val="en-US" w:eastAsia="zh-CN"/>
        </w:rPr>
        <w:t>从现状调查情况看，评价区为农田生态系统，人类扰动较大，无大型野生动物，仅有鼠类等啮齿动物、蛇类，都是广布种，不具有较大保护价值。因此，只要加强环境保护措施及对施工人员的监督和环保意识的宣传，本工程对区域内野生动物不会产生较大影响。</w:t>
      </w:r>
    </w:p>
    <w:p>
      <w:pPr>
        <w:pStyle w:val="5"/>
        <w:adjustRightInd w:val="0"/>
        <w:snapToGrid w:val="0"/>
        <w:spacing w:before="0" w:after="0" w:line="360" w:lineRule="auto"/>
        <w:rPr>
          <w:rFonts w:ascii="Times New Roman" w:hAnsi="Times New Roman" w:eastAsia="宋体"/>
          <w:color w:val="auto"/>
          <w:sz w:val="30"/>
          <w:szCs w:val="30"/>
        </w:rPr>
      </w:pPr>
      <w:bookmarkStart w:id="215" w:name="_Toc11178"/>
      <w:r>
        <w:rPr>
          <w:rFonts w:hint="eastAsia" w:ascii="Times New Roman" w:hAnsi="Times New Roman" w:eastAsia="宋体"/>
          <w:color w:val="auto"/>
          <w:sz w:val="30"/>
          <w:szCs w:val="30"/>
        </w:rPr>
        <w:t>5.2</w:t>
      </w:r>
      <w:r>
        <w:rPr>
          <w:rFonts w:ascii="Times New Roman" w:hAnsi="Times New Roman" w:eastAsia="宋体"/>
          <w:color w:val="auto"/>
          <w:sz w:val="30"/>
          <w:szCs w:val="30"/>
        </w:rPr>
        <w:t>运营期</w:t>
      </w:r>
      <w:bookmarkEnd w:id="213"/>
      <w:r>
        <w:rPr>
          <w:rFonts w:hint="eastAsia" w:ascii="Times New Roman" w:hAnsi="Times New Roman" w:eastAsia="宋体"/>
          <w:color w:val="auto"/>
          <w:sz w:val="30"/>
          <w:szCs w:val="30"/>
        </w:rPr>
        <w:t>环境影响评价</w:t>
      </w:r>
      <w:bookmarkEnd w:id="214"/>
      <w:bookmarkEnd w:id="215"/>
    </w:p>
    <w:p>
      <w:pPr>
        <w:pStyle w:val="6"/>
        <w:adjustRightInd w:val="0"/>
        <w:snapToGrid w:val="0"/>
        <w:spacing w:before="0" w:after="0" w:line="360" w:lineRule="auto"/>
        <w:rPr>
          <w:rFonts w:ascii="Times New Roman" w:hAnsi="Times New Roman" w:eastAsia="宋体"/>
          <w:color w:val="auto"/>
          <w:sz w:val="28"/>
          <w:szCs w:val="28"/>
        </w:rPr>
      </w:pPr>
      <w:bookmarkStart w:id="216" w:name="_Toc459118467"/>
      <w:bookmarkStart w:id="217" w:name="_Toc20493"/>
      <w:r>
        <w:rPr>
          <w:rFonts w:hint="eastAsia" w:ascii="Times New Roman" w:hAnsi="Times New Roman" w:eastAsia="宋体"/>
          <w:color w:val="auto"/>
          <w:sz w:val="28"/>
          <w:szCs w:val="28"/>
        </w:rPr>
        <w:t>5.2</w:t>
      </w:r>
      <w:r>
        <w:rPr>
          <w:rFonts w:ascii="Times New Roman" w:hAnsi="Times New Roman" w:eastAsia="宋体"/>
          <w:color w:val="auto"/>
          <w:sz w:val="28"/>
          <w:szCs w:val="28"/>
        </w:rPr>
        <w:t>.1</w:t>
      </w:r>
      <w:r>
        <w:rPr>
          <w:rFonts w:hint="eastAsia" w:ascii="Times New Roman" w:hAnsi="Times New Roman" w:eastAsia="宋体"/>
          <w:color w:val="auto"/>
          <w:sz w:val="28"/>
          <w:szCs w:val="28"/>
        </w:rPr>
        <w:t>运营期</w:t>
      </w:r>
      <w:r>
        <w:rPr>
          <w:rFonts w:ascii="Times New Roman" w:hAnsi="Times New Roman" w:eastAsia="宋体"/>
          <w:color w:val="auto"/>
          <w:sz w:val="28"/>
          <w:szCs w:val="28"/>
        </w:rPr>
        <w:t>大气环境影响</w:t>
      </w:r>
      <w:bookmarkEnd w:id="216"/>
      <w:r>
        <w:rPr>
          <w:rFonts w:hint="eastAsia" w:ascii="Times New Roman" w:hAnsi="Times New Roman" w:eastAsia="宋体"/>
          <w:color w:val="auto"/>
          <w:sz w:val="28"/>
          <w:szCs w:val="28"/>
        </w:rPr>
        <w:t>评价</w:t>
      </w:r>
      <w:bookmarkEnd w:id="217"/>
    </w:p>
    <w:p>
      <w:pPr>
        <w:keepNext/>
        <w:keepLines/>
        <w:adjustRightInd w:val="0"/>
        <w:snapToGrid w:val="0"/>
        <w:spacing w:line="360" w:lineRule="auto"/>
        <w:outlineLvl w:val="3"/>
        <w:rPr>
          <w:rFonts w:hint="eastAsia" w:ascii="Times New Roman" w:hAnsi="Times New Roman" w:eastAsia="宋体"/>
          <w:b/>
          <w:bCs/>
          <w:color w:val="auto"/>
          <w:sz w:val="24"/>
          <w:szCs w:val="24"/>
          <w:lang w:eastAsia="zh-CN"/>
        </w:rPr>
      </w:pPr>
      <w:r>
        <w:rPr>
          <w:rFonts w:hint="eastAsia" w:ascii="Times New Roman" w:hAnsi="Times New Roman" w:eastAsia="宋体"/>
          <w:b/>
          <w:bCs/>
          <w:color w:val="auto"/>
          <w:sz w:val="24"/>
          <w:szCs w:val="24"/>
          <w:lang w:val="en-US" w:eastAsia="zh-CN"/>
        </w:rPr>
        <w:t>5.2.1.1 废气污染源强</w:t>
      </w:r>
    </w:p>
    <w:p>
      <w:pPr>
        <w:spacing w:line="360" w:lineRule="auto"/>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1</w:t>
      </w:r>
      <w:r>
        <w:rPr>
          <w:rFonts w:hint="eastAsia" w:ascii="Times New Roman" w:hAnsi="Times New Roman" w:eastAsia="宋体" w:cs="Times New Roman"/>
          <w:color w:val="auto"/>
          <w:sz w:val="24"/>
          <w:szCs w:val="24"/>
          <w:lang w:eastAsia="zh-CN"/>
        </w:rPr>
        <w:t>）预测因子</w:t>
      </w:r>
    </w:p>
    <w:p>
      <w:pPr>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根据工程分析，本项目排放的废气主要有养殖过程中的恶臭气体（主要为NH</w:t>
      </w:r>
      <w:r>
        <w:rPr>
          <w:rFonts w:hint="eastAsia" w:ascii="Times New Roman" w:hAnsi="Times New Roman" w:eastAsia="宋体" w:cs="Times New Roman"/>
          <w:color w:val="auto"/>
          <w:sz w:val="24"/>
          <w:szCs w:val="24"/>
          <w:vertAlign w:val="subscript"/>
        </w:rPr>
        <w:t>3</w:t>
      </w:r>
      <w:r>
        <w:rPr>
          <w:rFonts w:hint="eastAsia" w:ascii="Times New Roman" w:hAnsi="Times New Roman" w:eastAsia="宋体" w:cs="Times New Roman"/>
          <w:color w:val="auto"/>
          <w:sz w:val="24"/>
          <w:szCs w:val="24"/>
        </w:rPr>
        <w:t>和H</w:t>
      </w:r>
      <w:r>
        <w:rPr>
          <w:rFonts w:hint="eastAsia" w:ascii="Times New Roman" w:hAnsi="Times New Roman" w:eastAsia="宋体" w:cs="Times New Roman"/>
          <w:color w:val="auto"/>
          <w:sz w:val="24"/>
          <w:szCs w:val="24"/>
          <w:vertAlign w:val="subscript"/>
        </w:rPr>
        <w:t>2</w:t>
      </w:r>
      <w:r>
        <w:rPr>
          <w:rFonts w:hint="eastAsia" w:ascii="Times New Roman" w:hAnsi="Times New Roman" w:eastAsia="宋体" w:cs="Times New Roman"/>
          <w:color w:val="auto"/>
          <w:sz w:val="24"/>
          <w:szCs w:val="24"/>
        </w:rPr>
        <w:t>S）、柴油机尾气、食堂排放的餐饮油烟。其中：柴油发电机产生的废气先由自身携带的废气净化装置处理，处理后经抽排风系统抽至配电房顶排放，对周围环境影响较小；食堂油烟排放量小，经油烟净化器处理后引至屋顶排放，对周围环境影响较小。因此，本次评价只对养殖区猪舍恶臭、</w:t>
      </w:r>
      <w:r>
        <w:rPr>
          <w:rFonts w:hint="eastAsia" w:ascii="Times New Roman" w:hAnsi="Times New Roman" w:eastAsia="宋体" w:cs="Times New Roman"/>
          <w:color w:val="auto"/>
          <w:sz w:val="24"/>
          <w:szCs w:val="24"/>
          <w:lang w:eastAsia="zh-CN"/>
        </w:rPr>
        <w:t>堆粪间</w:t>
      </w:r>
      <w:r>
        <w:rPr>
          <w:rFonts w:hint="eastAsia" w:ascii="Times New Roman" w:hAnsi="Times New Roman" w:eastAsia="宋体" w:cs="Times New Roman"/>
          <w:color w:val="auto"/>
          <w:sz w:val="24"/>
          <w:szCs w:val="24"/>
        </w:rPr>
        <w:t>恶臭气体、</w:t>
      </w:r>
      <w:r>
        <w:rPr>
          <w:rFonts w:hint="eastAsia" w:ascii="Times New Roman" w:hAnsi="Times New Roman" w:eastAsia="宋体" w:cs="Times New Roman"/>
          <w:color w:val="auto"/>
          <w:sz w:val="24"/>
          <w:szCs w:val="24"/>
          <w:lang w:eastAsia="zh-CN"/>
        </w:rPr>
        <w:t>污水处理区</w:t>
      </w:r>
      <w:r>
        <w:rPr>
          <w:rFonts w:hint="eastAsia" w:ascii="Times New Roman" w:hAnsi="Times New Roman" w:eastAsia="宋体" w:cs="Times New Roman"/>
          <w:color w:val="auto"/>
          <w:sz w:val="24"/>
          <w:szCs w:val="24"/>
        </w:rPr>
        <w:t>恶臭气体进行评价。</w:t>
      </w:r>
    </w:p>
    <w:p>
      <w:pPr>
        <w:numPr>
          <w:ilvl w:val="0"/>
          <w:numId w:val="24"/>
        </w:numPr>
        <w:spacing w:line="360" w:lineRule="auto"/>
        <w:ind w:left="0" w:leftChars="0"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预测模式</w:t>
      </w:r>
    </w:p>
    <w:p>
      <w:pPr>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根据《环境影响评价技术导则 大气环境》（HJ 2.2-2018）中大气环境影响评价工作等级划分原则的规定，结合本项目污染物排放特点，采用导则推荐模式清单中的估算模式 ARESCREEN 对大气各污染因子进行最大落地浓度预测，为评价等级的判定提供依据。</w:t>
      </w:r>
    </w:p>
    <w:p>
      <w:pPr>
        <w:numPr>
          <w:ilvl w:val="0"/>
          <w:numId w:val="0"/>
        </w:numPr>
        <w:spacing w:line="360" w:lineRule="auto"/>
        <w:ind w:left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（3）污染物评价标准</w:t>
      </w:r>
    </w:p>
    <w:p>
      <w:pPr>
        <w:spacing w:line="360" w:lineRule="auto"/>
        <w:ind w:firstLine="422" w:firstLineChars="200"/>
        <w:jc w:val="center"/>
        <w:rPr>
          <w:rFonts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 xml:space="preserve">表5.2-1 </w:t>
      </w:r>
      <w:r>
        <w:rPr>
          <w:rFonts w:hint="eastAsia" w:ascii="Times New Roman" w:hAnsi="Times New Roman" w:eastAsia="宋体" w:cs="Times New Roman"/>
          <w:b/>
          <w:bCs/>
          <w:color w:val="auto"/>
          <w:sz w:val="21"/>
          <w:szCs w:val="21"/>
          <w:lang w:eastAsia="zh-CN"/>
        </w:rPr>
        <w:t>污染物评价标准</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6"/>
        <w:gridCol w:w="990"/>
        <w:gridCol w:w="1125"/>
        <w:gridCol w:w="1710"/>
        <w:gridCol w:w="39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6" w:type="dxa"/>
            <w:vAlign w:val="center"/>
          </w:tcPr>
          <w:p>
            <w:pPr>
              <w:adjustRightInd w:val="0"/>
              <w:snapToGrid w:val="0"/>
              <w:jc w:val="center"/>
              <w:rPr>
                <w:rFonts w:hint="eastAsia" w:ascii="Times New Roman" w:hAnsi="Times New Roman" w:eastAsia="宋体" w:cs="Times New Roman"/>
                <w:b/>
                <w:bCs/>
                <w:color w:val="auto"/>
                <w:szCs w:val="21"/>
                <w:lang w:eastAsia="zh-CN"/>
              </w:rPr>
            </w:pPr>
            <w:r>
              <w:rPr>
                <w:rFonts w:hint="eastAsia" w:ascii="Times New Roman" w:hAnsi="Times New Roman" w:eastAsia="宋体" w:cs="Times New Roman"/>
                <w:b/>
                <w:bCs/>
                <w:color w:val="auto"/>
                <w:szCs w:val="21"/>
                <w:lang w:eastAsia="zh-CN"/>
              </w:rPr>
              <w:t>污染物名称</w:t>
            </w:r>
          </w:p>
        </w:tc>
        <w:tc>
          <w:tcPr>
            <w:tcW w:w="990" w:type="dxa"/>
            <w:vAlign w:val="center"/>
          </w:tcPr>
          <w:p>
            <w:pPr>
              <w:adjustRightInd w:val="0"/>
              <w:snapToGrid w:val="0"/>
              <w:jc w:val="center"/>
              <w:rPr>
                <w:rFonts w:hint="eastAsia" w:ascii="Times New Roman" w:hAnsi="Times New Roman" w:eastAsia="宋体" w:cs="Times New Roman"/>
                <w:b/>
                <w:bCs/>
                <w:color w:val="auto"/>
                <w:szCs w:val="21"/>
                <w:lang w:eastAsia="zh-CN"/>
              </w:rPr>
            </w:pPr>
            <w:r>
              <w:rPr>
                <w:rFonts w:hint="eastAsia" w:ascii="Times New Roman" w:hAnsi="Times New Roman" w:eastAsia="宋体" w:cs="Times New Roman"/>
                <w:b/>
                <w:bCs/>
                <w:color w:val="auto"/>
                <w:szCs w:val="21"/>
                <w:lang w:eastAsia="zh-CN"/>
              </w:rPr>
              <w:t>功能区</w:t>
            </w:r>
          </w:p>
        </w:tc>
        <w:tc>
          <w:tcPr>
            <w:tcW w:w="1125" w:type="dxa"/>
            <w:vAlign w:val="center"/>
          </w:tcPr>
          <w:p>
            <w:pPr>
              <w:adjustRightInd w:val="0"/>
              <w:snapToGrid w:val="0"/>
              <w:jc w:val="center"/>
              <w:rPr>
                <w:rFonts w:hint="eastAsia" w:ascii="Times New Roman" w:hAnsi="Times New Roman" w:eastAsia="宋体" w:cs="Times New Roman"/>
                <w:b/>
                <w:bCs/>
                <w:color w:val="auto"/>
                <w:szCs w:val="21"/>
                <w:lang w:eastAsia="zh-CN"/>
              </w:rPr>
            </w:pPr>
            <w:r>
              <w:rPr>
                <w:rFonts w:hint="eastAsia" w:ascii="Times New Roman" w:hAnsi="Times New Roman" w:eastAsia="宋体" w:cs="Times New Roman"/>
                <w:b/>
                <w:bCs/>
                <w:color w:val="auto"/>
                <w:szCs w:val="21"/>
                <w:lang w:eastAsia="zh-CN"/>
              </w:rPr>
              <w:t>取值时间</w:t>
            </w:r>
          </w:p>
        </w:tc>
        <w:tc>
          <w:tcPr>
            <w:tcW w:w="1710" w:type="dxa"/>
            <w:vAlign w:val="center"/>
          </w:tcPr>
          <w:p>
            <w:pPr>
              <w:adjustRightInd w:val="0"/>
              <w:snapToGrid w:val="0"/>
              <w:jc w:val="center"/>
              <w:rPr>
                <w:rFonts w:hint="eastAsia" w:ascii="Times New Roman" w:hAnsi="Times New Roman" w:eastAsia="宋体" w:cs="Times New Roman"/>
                <w:b/>
                <w:bCs/>
                <w:color w:val="auto"/>
                <w:szCs w:val="21"/>
                <w:lang w:eastAsia="zh-CN"/>
              </w:rPr>
            </w:pPr>
            <w:r>
              <w:rPr>
                <w:rFonts w:hint="eastAsia" w:ascii="Times New Roman" w:hAnsi="Times New Roman" w:eastAsia="宋体" w:cs="Times New Roman"/>
                <w:b/>
                <w:bCs/>
                <w:color w:val="auto"/>
                <w:szCs w:val="21"/>
                <w:lang w:eastAsia="zh-CN"/>
              </w:rPr>
              <w:t>标准值（ug/m</w:t>
            </w:r>
            <w:r>
              <w:rPr>
                <w:rFonts w:hint="eastAsia" w:ascii="Times New Roman" w:hAnsi="Times New Roman" w:eastAsia="宋体" w:cs="Times New Roman"/>
                <w:b/>
                <w:bCs/>
                <w:color w:val="auto"/>
                <w:szCs w:val="21"/>
                <w:vertAlign w:val="superscript"/>
                <w:lang w:eastAsia="zh-CN"/>
              </w:rPr>
              <w:t>3</w:t>
            </w:r>
            <w:r>
              <w:rPr>
                <w:rFonts w:hint="eastAsia" w:ascii="Times New Roman" w:hAnsi="Times New Roman" w:eastAsia="宋体" w:cs="Times New Roman"/>
                <w:b/>
                <w:bCs/>
                <w:color w:val="auto"/>
                <w:szCs w:val="21"/>
                <w:lang w:eastAsia="zh-CN"/>
              </w:rPr>
              <w:t>）</w:t>
            </w:r>
          </w:p>
        </w:tc>
        <w:tc>
          <w:tcPr>
            <w:tcW w:w="3999" w:type="dxa"/>
            <w:vAlign w:val="center"/>
          </w:tcPr>
          <w:p>
            <w:pPr>
              <w:adjustRightInd w:val="0"/>
              <w:snapToGrid w:val="0"/>
              <w:jc w:val="center"/>
              <w:rPr>
                <w:rFonts w:hint="eastAsia" w:ascii="Times New Roman" w:hAnsi="Times New Roman" w:eastAsia="宋体" w:cs="Times New Roman"/>
                <w:b/>
                <w:bCs/>
                <w:color w:val="auto"/>
                <w:szCs w:val="21"/>
                <w:lang w:eastAsia="zh-CN"/>
              </w:rPr>
            </w:pPr>
            <w:r>
              <w:rPr>
                <w:rFonts w:hint="eastAsia" w:ascii="Times New Roman" w:hAnsi="Times New Roman" w:eastAsia="宋体" w:cs="Times New Roman"/>
                <w:b/>
                <w:bCs/>
                <w:color w:val="auto"/>
                <w:szCs w:val="21"/>
                <w:lang w:eastAsia="zh-CN"/>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6"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NH</w:t>
            </w:r>
            <w:r>
              <w:rPr>
                <w:rFonts w:hint="eastAsia" w:ascii="Times New Roman" w:hAnsi="Times New Roman" w:eastAsia="宋体" w:cs="Times New Roman"/>
                <w:color w:val="auto"/>
                <w:szCs w:val="21"/>
                <w:vertAlign w:val="subscript"/>
                <w:lang w:val="en-US" w:eastAsia="zh-CN"/>
              </w:rPr>
              <w:t>3</w:t>
            </w:r>
          </w:p>
        </w:tc>
        <w:tc>
          <w:tcPr>
            <w:tcW w:w="990" w:type="dxa"/>
            <w:vAlign w:val="center"/>
          </w:tcPr>
          <w:p>
            <w:pPr>
              <w:adjustRightInd w:val="0"/>
              <w:snapToGrid w:val="0"/>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二类区</w:t>
            </w:r>
          </w:p>
        </w:tc>
        <w:tc>
          <w:tcPr>
            <w:tcW w:w="1125" w:type="dxa"/>
            <w:vAlign w:val="center"/>
          </w:tcPr>
          <w:p>
            <w:pPr>
              <w:adjustRightInd w:val="0"/>
              <w:snapToGrid w:val="0"/>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一小时</w:t>
            </w:r>
          </w:p>
        </w:tc>
        <w:tc>
          <w:tcPr>
            <w:tcW w:w="171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200</w:t>
            </w:r>
          </w:p>
        </w:tc>
        <w:tc>
          <w:tcPr>
            <w:tcW w:w="3999" w:type="dxa"/>
            <w:vMerge w:val="restart"/>
            <w:vAlign w:val="center"/>
          </w:tcPr>
          <w:p>
            <w:pPr>
              <w:adjustRightInd w:val="0"/>
              <w:snapToGrid w:val="0"/>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《环境影响评价技术导则--大气环境》（HJ2.2-2018）附录 D 其他污染物空气质量浓度参考限值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6"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t>
            </w:r>
            <w:r>
              <w:rPr>
                <w:rFonts w:hint="eastAsia" w:ascii="Times New Roman" w:hAnsi="Times New Roman" w:eastAsia="宋体" w:cs="Times New Roman"/>
                <w:color w:val="auto"/>
                <w:szCs w:val="21"/>
                <w:vertAlign w:val="subscript"/>
                <w:lang w:val="en-US" w:eastAsia="zh-CN"/>
              </w:rPr>
              <w:t>2</w:t>
            </w:r>
            <w:r>
              <w:rPr>
                <w:rFonts w:hint="eastAsia" w:ascii="Times New Roman" w:hAnsi="Times New Roman" w:eastAsia="宋体" w:cs="Times New Roman"/>
                <w:color w:val="auto"/>
                <w:szCs w:val="21"/>
                <w:lang w:val="en-US" w:eastAsia="zh-CN"/>
              </w:rPr>
              <w:t>S</w:t>
            </w:r>
          </w:p>
        </w:tc>
        <w:tc>
          <w:tcPr>
            <w:tcW w:w="990" w:type="dxa"/>
            <w:vAlign w:val="center"/>
          </w:tcPr>
          <w:p>
            <w:pPr>
              <w:adjustRightInd w:val="0"/>
              <w:snapToGrid w:val="0"/>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二类区</w:t>
            </w:r>
          </w:p>
        </w:tc>
        <w:tc>
          <w:tcPr>
            <w:tcW w:w="1125" w:type="dxa"/>
            <w:vAlign w:val="center"/>
          </w:tcPr>
          <w:p>
            <w:pPr>
              <w:adjustRightInd w:val="0"/>
              <w:snapToGrid w:val="0"/>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一小时</w:t>
            </w:r>
          </w:p>
        </w:tc>
        <w:tc>
          <w:tcPr>
            <w:tcW w:w="1710" w:type="dxa"/>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10</w:t>
            </w:r>
          </w:p>
        </w:tc>
        <w:tc>
          <w:tcPr>
            <w:tcW w:w="3999" w:type="dxa"/>
            <w:vMerge w:val="continue"/>
            <w:vAlign w:val="center"/>
          </w:tcPr>
          <w:p>
            <w:pPr>
              <w:adjustRightInd w:val="0"/>
              <w:snapToGrid w:val="0"/>
              <w:jc w:val="center"/>
              <w:rPr>
                <w:rFonts w:hint="eastAsia" w:ascii="Times New Roman" w:hAnsi="Times New Roman" w:eastAsia="宋体" w:cs="Times New Roman"/>
                <w:color w:val="auto"/>
                <w:szCs w:val="21"/>
                <w:lang w:eastAsia="zh-CN"/>
              </w:rPr>
            </w:pPr>
          </w:p>
        </w:tc>
      </w:tr>
    </w:tbl>
    <w:p>
      <w:pPr>
        <w:spacing w:line="360" w:lineRule="auto"/>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rPr>
        <w:t>（4）</w:t>
      </w:r>
      <w:r>
        <w:rPr>
          <w:rFonts w:hint="eastAsia" w:ascii="Times New Roman" w:hAnsi="Times New Roman" w:eastAsia="宋体" w:cs="Times New Roman"/>
          <w:color w:val="auto"/>
          <w:sz w:val="24"/>
          <w:szCs w:val="24"/>
          <w:lang w:eastAsia="zh-CN"/>
        </w:rPr>
        <w:t>估算模式参数表</w:t>
      </w:r>
    </w:p>
    <w:p>
      <w:pPr>
        <w:spacing w:line="360" w:lineRule="auto"/>
        <w:ind w:firstLine="422" w:firstLineChars="200"/>
        <w:jc w:val="center"/>
        <w:rPr>
          <w:rFonts w:hint="eastAsia"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表5.2-2  估算模式参数表</w:t>
      </w:r>
    </w:p>
    <w:tbl>
      <w:tblPr>
        <w:tblStyle w:val="35"/>
        <w:tblW w:w="9159"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053"/>
        <w:gridCol w:w="3053"/>
        <w:gridCol w:w="305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106" w:type="dxa"/>
            <w:gridSpan w:val="2"/>
            <w:tcBorders>
              <w:left w:val="single" w:color="auto" w:sz="4" w:space="0"/>
            </w:tcBorders>
            <w:noWrap w:val="0"/>
            <w:vAlign w:val="center"/>
          </w:tcPr>
          <w:p>
            <w:pPr>
              <w:adjustRightInd w:val="0"/>
              <w:snapToGrid w:val="0"/>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参数</w:t>
            </w:r>
          </w:p>
        </w:tc>
        <w:tc>
          <w:tcPr>
            <w:tcW w:w="3053" w:type="dxa"/>
            <w:tcBorders>
              <w:right w:val="single" w:color="auto" w:sz="4" w:space="0"/>
            </w:tcBorders>
            <w:noWrap w:val="0"/>
            <w:vAlign w:val="center"/>
          </w:tcPr>
          <w:p>
            <w:pPr>
              <w:adjustRightInd w:val="0"/>
              <w:snapToGrid w:val="0"/>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取值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053" w:type="dxa"/>
            <w:vMerge w:val="restart"/>
            <w:tcBorders>
              <w:lef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城市/农村选项</w:t>
            </w:r>
          </w:p>
        </w:tc>
        <w:tc>
          <w:tcPr>
            <w:tcW w:w="3053" w:type="dxa"/>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城市/农村</w:t>
            </w:r>
          </w:p>
        </w:tc>
        <w:tc>
          <w:tcPr>
            <w:tcW w:w="3053" w:type="dxa"/>
            <w:tcBorders>
              <w:righ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农村</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053" w:type="dxa"/>
            <w:vMerge w:val="continue"/>
            <w:tcBorders>
              <w:lef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p>
        </w:tc>
        <w:tc>
          <w:tcPr>
            <w:tcW w:w="3053" w:type="dxa"/>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人口数（城市选项时）</w:t>
            </w:r>
          </w:p>
        </w:tc>
        <w:tc>
          <w:tcPr>
            <w:tcW w:w="3053" w:type="dxa"/>
            <w:tcBorders>
              <w:righ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06" w:type="dxa"/>
            <w:gridSpan w:val="2"/>
            <w:tcBorders>
              <w:lef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最高环境温度/℃</w:t>
            </w:r>
          </w:p>
        </w:tc>
        <w:tc>
          <w:tcPr>
            <w:tcW w:w="3053" w:type="dxa"/>
            <w:tcBorders>
              <w:right w:val="single" w:color="auto" w:sz="4" w:space="0"/>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37.2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106" w:type="dxa"/>
            <w:gridSpan w:val="2"/>
            <w:tcBorders>
              <w:lef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最低环境温度/℃</w:t>
            </w:r>
          </w:p>
        </w:tc>
        <w:tc>
          <w:tcPr>
            <w:tcW w:w="3053" w:type="dxa"/>
            <w:tcBorders>
              <w:right w:val="single" w:color="auto" w:sz="4" w:space="0"/>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106" w:type="dxa"/>
            <w:gridSpan w:val="2"/>
            <w:tcBorders>
              <w:lef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土地利用类型</w:t>
            </w:r>
          </w:p>
        </w:tc>
        <w:tc>
          <w:tcPr>
            <w:tcW w:w="3053" w:type="dxa"/>
            <w:tcBorders>
              <w:righ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农作地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106" w:type="dxa"/>
            <w:gridSpan w:val="2"/>
            <w:tcBorders>
              <w:lef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区域湿度条件</w:t>
            </w:r>
          </w:p>
        </w:tc>
        <w:tc>
          <w:tcPr>
            <w:tcW w:w="3053" w:type="dxa"/>
            <w:tcBorders>
              <w:righ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中等湿度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053" w:type="dxa"/>
            <w:vMerge w:val="restart"/>
            <w:tcBorders>
              <w:lef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是否考虑地形</w:t>
            </w:r>
          </w:p>
        </w:tc>
        <w:tc>
          <w:tcPr>
            <w:tcW w:w="3053" w:type="dxa"/>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考虑地形</w:t>
            </w:r>
          </w:p>
        </w:tc>
        <w:tc>
          <w:tcPr>
            <w:tcW w:w="3053" w:type="dxa"/>
            <w:tcBorders>
              <w:righ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sym w:font="Wingdings 2" w:char="0052"/>
            </w:r>
            <w:r>
              <w:rPr>
                <w:rFonts w:hint="eastAsia" w:ascii="Times New Roman" w:hAnsi="Times New Roman" w:eastAsia="宋体" w:cs="Times New Roman"/>
                <w:color w:val="auto"/>
                <w:szCs w:val="21"/>
                <w:lang w:val="en-US" w:eastAsia="zh-CN"/>
              </w:rPr>
              <w:t>是</w:t>
            </w:r>
            <w:r>
              <w:rPr>
                <w:rFonts w:hint="eastAsia" w:ascii="Times New Roman" w:hAnsi="Times New Roman" w:eastAsia="宋体" w:cs="Times New Roman"/>
                <w:color w:val="auto"/>
                <w:szCs w:val="21"/>
                <w:lang w:val="en-US" w:eastAsia="zh-CN"/>
              </w:rPr>
              <w:sym w:font="Wingdings 2" w:char="00A3"/>
            </w:r>
            <w:r>
              <w:rPr>
                <w:rFonts w:hint="eastAsia" w:ascii="Times New Roman" w:hAnsi="Times New Roman" w:eastAsia="宋体" w:cs="Times New Roman"/>
                <w:color w:val="auto"/>
                <w:szCs w:val="21"/>
                <w:lang w:val="en-US" w:eastAsia="zh-CN"/>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053" w:type="dxa"/>
            <w:vMerge w:val="continue"/>
            <w:tcBorders>
              <w:lef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p>
        </w:tc>
        <w:tc>
          <w:tcPr>
            <w:tcW w:w="3053" w:type="dxa"/>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地形数据分辨率/m</w:t>
            </w:r>
          </w:p>
        </w:tc>
        <w:tc>
          <w:tcPr>
            <w:tcW w:w="3053" w:type="dxa"/>
            <w:tcBorders>
              <w:righ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053" w:type="dxa"/>
            <w:vMerge w:val="restart"/>
            <w:tcBorders>
              <w:lef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是否考虑岸边熏烟</w:t>
            </w:r>
          </w:p>
        </w:tc>
        <w:tc>
          <w:tcPr>
            <w:tcW w:w="3053" w:type="dxa"/>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考虑岸边熏烟</w:t>
            </w:r>
          </w:p>
        </w:tc>
        <w:tc>
          <w:tcPr>
            <w:tcW w:w="3053" w:type="dxa"/>
            <w:tcBorders>
              <w:righ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sym w:font="Wingdings 2" w:char="00A3"/>
            </w:r>
            <w:r>
              <w:rPr>
                <w:rFonts w:hint="eastAsia" w:ascii="Times New Roman" w:hAnsi="Times New Roman" w:eastAsia="宋体" w:cs="Times New Roman"/>
                <w:color w:val="auto"/>
                <w:szCs w:val="21"/>
                <w:lang w:val="en-US" w:eastAsia="zh-CN"/>
              </w:rPr>
              <w:t>是</w:t>
            </w:r>
            <w:r>
              <w:rPr>
                <w:rFonts w:hint="eastAsia" w:ascii="Times New Roman" w:hAnsi="Times New Roman" w:eastAsia="宋体" w:cs="Times New Roman"/>
                <w:color w:val="auto"/>
                <w:szCs w:val="21"/>
                <w:lang w:val="en-US" w:eastAsia="zh-CN"/>
              </w:rPr>
              <w:sym w:font="Wingdings 2" w:char="0052"/>
            </w:r>
            <w:r>
              <w:rPr>
                <w:rFonts w:hint="eastAsia" w:ascii="Times New Roman" w:hAnsi="Times New Roman" w:eastAsia="宋体" w:cs="Times New Roman"/>
                <w:color w:val="auto"/>
                <w:szCs w:val="21"/>
                <w:lang w:val="en-US" w:eastAsia="zh-CN"/>
              </w:rPr>
              <w:t>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053" w:type="dxa"/>
            <w:vMerge w:val="continue"/>
            <w:tcBorders>
              <w:lef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p>
        </w:tc>
        <w:tc>
          <w:tcPr>
            <w:tcW w:w="3053" w:type="dxa"/>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岸线距离/km</w:t>
            </w:r>
          </w:p>
        </w:tc>
        <w:tc>
          <w:tcPr>
            <w:tcW w:w="3053" w:type="dxa"/>
            <w:tcBorders>
              <w:righ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053" w:type="dxa"/>
            <w:vMerge w:val="continue"/>
            <w:tcBorders>
              <w:lef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p>
        </w:tc>
        <w:tc>
          <w:tcPr>
            <w:tcW w:w="3053" w:type="dxa"/>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岸线角度/°</w:t>
            </w:r>
          </w:p>
        </w:tc>
        <w:tc>
          <w:tcPr>
            <w:tcW w:w="3053" w:type="dxa"/>
            <w:tcBorders>
              <w:right w:val="single" w:color="auto" w:sz="4" w:space="0"/>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w:t>
            </w:r>
          </w:p>
        </w:tc>
      </w:tr>
    </w:tbl>
    <w:p>
      <w:pPr>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eastAsia="zh-CN"/>
        </w:rPr>
        <w:t>5</w:t>
      </w:r>
      <w:r>
        <w:rPr>
          <w:rFonts w:hint="eastAsia" w:ascii="Times New Roman" w:hAnsi="Times New Roman" w:eastAsia="宋体" w:cs="Times New Roman"/>
          <w:color w:val="auto"/>
          <w:sz w:val="24"/>
          <w:szCs w:val="24"/>
        </w:rPr>
        <w:t>）预测污染源强</w:t>
      </w:r>
    </w:p>
    <w:p>
      <w:pPr>
        <w:spacing w:line="360" w:lineRule="auto"/>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rPr>
        <w:t>根据工程分析核算数据，项目有组织大气污染源参数统计表和无组织大气污染物参数统计表分别见表 5.2-3 和表 5.2-4</w:t>
      </w:r>
      <w:r>
        <w:rPr>
          <w:rFonts w:hint="eastAsia" w:ascii="Times New Roman" w:hAnsi="Times New Roman" w:eastAsia="宋体" w:cs="Times New Roman"/>
          <w:color w:val="auto"/>
          <w:sz w:val="24"/>
          <w:szCs w:val="24"/>
          <w:lang w:eastAsia="zh-CN"/>
        </w:rPr>
        <w:t>。</w:t>
      </w:r>
    </w:p>
    <w:p>
      <w:pPr>
        <w:spacing w:line="360" w:lineRule="auto"/>
        <w:ind w:firstLine="422" w:firstLineChars="200"/>
        <w:jc w:val="center"/>
        <w:rPr>
          <w:rFonts w:hint="eastAsia" w:ascii="Times New Roman" w:hAnsi="Times New Roman" w:eastAsia="宋体" w:cs="Times New Roman"/>
          <w:b/>
          <w:bCs/>
          <w:color w:val="auto"/>
          <w:sz w:val="21"/>
          <w:szCs w:val="21"/>
          <w:lang w:val="en-US" w:eastAsia="zh-CN"/>
        </w:rPr>
      </w:pPr>
    </w:p>
    <w:p>
      <w:pPr>
        <w:spacing w:line="360" w:lineRule="auto"/>
        <w:ind w:firstLine="422" w:firstLineChars="200"/>
        <w:jc w:val="center"/>
        <w:rPr>
          <w:rFonts w:hint="eastAsia" w:ascii="Times New Roman" w:hAnsi="Times New Roman" w:eastAsia="宋体" w:cs="Times New Roman"/>
          <w:b/>
          <w:bCs/>
          <w:color w:val="auto"/>
          <w:sz w:val="21"/>
          <w:szCs w:val="21"/>
          <w:lang w:val="en-US" w:eastAsia="zh-CN"/>
        </w:rPr>
      </w:pPr>
    </w:p>
    <w:p>
      <w:pPr>
        <w:spacing w:line="360" w:lineRule="auto"/>
        <w:ind w:firstLine="422" w:firstLineChars="200"/>
        <w:jc w:val="center"/>
        <w:rPr>
          <w:rFonts w:hint="eastAsia"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表5.2-3  本项目点源参数表</w:t>
      </w:r>
    </w:p>
    <w:tbl>
      <w:tblPr>
        <w:tblStyle w:val="35"/>
        <w:tblW w:w="871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35"/>
        <w:gridCol w:w="857"/>
        <w:gridCol w:w="929"/>
        <w:gridCol w:w="1117"/>
        <w:gridCol w:w="939"/>
        <w:gridCol w:w="752"/>
        <w:gridCol w:w="685"/>
        <w:gridCol w:w="425"/>
        <w:gridCol w:w="650"/>
        <w:gridCol w:w="1088"/>
        <w:gridCol w:w="83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16" w:hRule="atLeast"/>
          <w:jc w:val="center"/>
        </w:trPr>
        <w:tc>
          <w:tcPr>
            <w:tcW w:w="435" w:type="dxa"/>
            <w:tcBorders>
              <w:tl2br w:val="nil"/>
              <w:tr2bl w:val="nil"/>
            </w:tcBorders>
            <w:noWrap w:val="0"/>
            <w:vAlign w:val="center"/>
          </w:tcPr>
          <w:p>
            <w:pPr>
              <w:adjustRightInd w:val="0"/>
              <w:snapToGrid w:val="0"/>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编号</w:t>
            </w:r>
          </w:p>
        </w:tc>
        <w:tc>
          <w:tcPr>
            <w:tcW w:w="857" w:type="dxa"/>
            <w:tcBorders>
              <w:tl2br w:val="nil"/>
              <w:tr2bl w:val="nil"/>
            </w:tcBorders>
            <w:noWrap w:val="0"/>
            <w:vAlign w:val="center"/>
          </w:tcPr>
          <w:p>
            <w:pPr>
              <w:adjustRightInd w:val="0"/>
              <w:snapToGrid w:val="0"/>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名称</w:t>
            </w:r>
          </w:p>
        </w:tc>
        <w:tc>
          <w:tcPr>
            <w:tcW w:w="929" w:type="dxa"/>
            <w:tcBorders>
              <w:tl2br w:val="nil"/>
              <w:tr2bl w:val="nil"/>
            </w:tcBorders>
            <w:noWrap w:val="0"/>
            <w:vAlign w:val="center"/>
          </w:tcPr>
          <w:p>
            <w:pPr>
              <w:adjustRightInd w:val="0"/>
              <w:snapToGrid w:val="0"/>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排气筒高度/m</w:t>
            </w:r>
          </w:p>
        </w:tc>
        <w:tc>
          <w:tcPr>
            <w:tcW w:w="1117" w:type="dxa"/>
            <w:tcBorders>
              <w:tl2br w:val="nil"/>
              <w:tr2bl w:val="nil"/>
            </w:tcBorders>
            <w:noWrap w:val="0"/>
            <w:vAlign w:val="center"/>
          </w:tcPr>
          <w:p>
            <w:pPr>
              <w:adjustRightInd w:val="0"/>
              <w:snapToGrid w:val="0"/>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排气筒出口内径/m</w:t>
            </w:r>
          </w:p>
        </w:tc>
        <w:tc>
          <w:tcPr>
            <w:tcW w:w="939" w:type="dxa"/>
            <w:tcBorders>
              <w:tl2br w:val="nil"/>
              <w:tr2bl w:val="nil"/>
            </w:tcBorders>
            <w:noWrap w:val="0"/>
            <w:vAlign w:val="center"/>
          </w:tcPr>
          <w:p>
            <w:pPr>
              <w:adjustRightInd w:val="0"/>
              <w:snapToGrid w:val="0"/>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烟气流量/（m</w:t>
            </w:r>
            <w:r>
              <w:rPr>
                <w:rFonts w:hint="eastAsia" w:ascii="Times New Roman" w:hAnsi="Times New Roman" w:eastAsia="宋体" w:cs="Times New Roman"/>
                <w:b/>
                <w:bCs/>
                <w:color w:val="auto"/>
                <w:szCs w:val="21"/>
                <w:vertAlign w:val="superscript"/>
                <w:lang w:val="en-US" w:eastAsia="zh-CN"/>
              </w:rPr>
              <w:t>3</w:t>
            </w:r>
            <w:r>
              <w:rPr>
                <w:rFonts w:hint="eastAsia" w:ascii="Times New Roman" w:hAnsi="Times New Roman" w:eastAsia="宋体" w:cs="Times New Roman"/>
                <w:b/>
                <w:bCs/>
                <w:color w:val="auto"/>
                <w:szCs w:val="21"/>
                <w:lang w:val="en-US" w:eastAsia="zh-CN"/>
              </w:rPr>
              <w:t>/s）</w:t>
            </w:r>
          </w:p>
        </w:tc>
        <w:tc>
          <w:tcPr>
            <w:tcW w:w="752" w:type="dxa"/>
            <w:tcBorders>
              <w:tl2br w:val="nil"/>
              <w:tr2bl w:val="nil"/>
            </w:tcBorders>
            <w:noWrap w:val="0"/>
            <w:vAlign w:val="center"/>
          </w:tcPr>
          <w:p>
            <w:pPr>
              <w:adjustRightInd w:val="0"/>
              <w:snapToGrid w:val="0"/>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烟气温度/℃</w:t>
            </w:r>
          </w:p>
        </w:tc>
        <w:tc>
          <w:tcPr>
            <w:tcW w:w="685" w:type="dxa"/>
            <w:tcBorders>
              <w:tl2br w:val="nil"/>
              <w:tr2bl w:val="nil"/>
            </w:tcBorders>
            <w:noWrap w:val="0"/>
            <w:vAlign w:val="center"/>
          </w:tcPr>
          <w:p>
            <w:pPr>
              <w:adjustRightInd w:val="0"/>
              <w:snapToGrid w:val="0"/>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年排放小时数/h</w:t>
            </w:r>
          </w:p>
        </w:tc>
        <w:tc>
          <w:tcPr>
            <w:tcW w:w="425" w:type="dxa"/>
            <w:tcBorders>
              <w:tl2br w:val="nil"/>
              <w:tr2bl w:val="nil"/>
            </w:tcBorders>
            <w:noWrap w:val="0"/>
            <w:vAlign w:val="center"/>
          </w:tcPr>
          <w:p>
            <w:pPr>
              <w:adjustRightInd w:val="0"/>
              <w:snapToGrid w:val="0"/>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排放工况</w:t>
            </w:r>
          </w:p>
        </w:tc>
        <w:tc>
          <w:tcPr>
            <w:tcW w:w="650" w:type="dxa"/>
            <w:tcBorders>
              <w:tl2br w:val="nil"/>
              <w:tr2bl w:val="nil"/>
            </w:tcBorders>
            <w:noWrap w:val="0"/>
            <w:vAlign w:val="center"/>
          </w:tcPr>
          <w:p>
            <w:pPr>
              <w:adjustRightInd w:val="0"/>
              <w:snapToGrid w:val="0"/>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污染物名称</w:t>
            </w:r>
          </w:p>
        </w:tc>
        <w:tc>
          <w:tcPr>
            <w:tcW w:w="1088" w:type="dxa"/>
            <w:tcBorders>
              <w:tl2br w:val="nil"/>
              <w:tr2bl w:val="nil"/>
            </w:tcBorders>
            <w:noWrap w:val="0"/>
            <w:vAlign w:val="center"/>
          </w:tcPr>
          <w:p>
            <w:pPr>
              <w:adjustRightInd w:val="0"/>
              <w:snapToGrid w:val="0"/>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排放速率（kg/h）</w:t>
            </w:r>
          </w:p>
        </w:tc>
        <w:tc>
          <w:tcPr>
            <w:tcW w:w="838" w:type="dxa"/>
            <w:tcBorders>
              <w:tl2br w:val="nil"/>
              <w:tr2bl w:val="nil"/>
            </w:tcBorders>
            <w:noWrap w:val="0"/>
            <w:vAlign w:val="center"/>
          </w:tcPr>
          <w:p>
            <w:pPr>
              <w:adjustRightInd w:val="0"/>
              <w:snapToGrid w:val="0"/>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排放速率（g/s）</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435" w:type="dxa"/>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P1</w:t>
            </w:r>
          </w:p>
        </w:tc>
        <w:tc>
          <w:tcPr>
            <w:tcW w:w="857" w:type="dxa"/>
            <w:vMerge w:val="restart"/>
            <w:tcBorders>
              <w:tl2br w:val="nil"/>
              <w:tr2bl w:val="nil"/>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喷淋吸收塔排气筒</w:t>
            </w:r>
          </w:p>
        </w:tc>
        <w:tc>
          <w:tcPr>
            <w:tcW w:w="929" w:type="dxa"/>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15</w:t>
            </w:r>
          </w:p>
        </w:tc>
        <w:tc>
          <w:tcPr>
            <w:tcW w:w="1117" w:type="dxa"/>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0.48</w:t>
            </w:r>
          </w:p>
        </w:tc>
        <w:tc>
          <w:tcPr>
            <w:tcW w:w="939" w:type="dxa"/>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2.78</w:t>
            </w:r>
          </w:p>
        </w:tc>
        <w:tc>
          <w:tcPr>
            <w:tcW w:w="752" w:type="dxa"/>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25</w:t>
            </w:r>
          </w:p>
        </w:tc>
        <w:tc>
          <w:tcPr>
            <w:tcW w:w="685" w:type="dxa"/>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8760</w:t>
            </w:r>
          </w:p>
        </w:tc>
        <w:tc>
          <w:tcPr>
            <w:tcW w:w="425" w:type="dxa"/>
            <w:vMerge w:val="restart"/>
            <w:tcBorders>
              <w:tl2br w:val="nil"/>
              <w:tr2bl w:val="nil"/>
            </w:tcBorders>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正常</w:t>
            </w:r>
          </w:p>
        </w:tc>
        <w:tc>
          <w:tcPr>
            <w:tcW w:w="650"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NH</w:t>
            </w:r>
            <w:r>
              <w:rPr>
                <w:rFonts w:hint="eastAsia" w:ascii="Times New Roman" w:hAnsi="Times New Roman" w:eastAsia="宋体" w:cs="Times New Roman"/>
                <w:color w:val="auto"/>
                <w:szCs w:val="21"/>
                <w:vertAlign w:val="subscript"/>
                <w:lang w:val="en-US" w:eastAsia="zh-CN"/>
              </w:rPr>
              <w:t>3</w:t>
            </w:r>
          </w:p>
        </w:tc>
        <w:tc>
          <w:tcPr>
            <w:tcW w:w="1088"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0.00673</w:t>
            </w:r>
          </w:p>
        </w:tc>
        <w:tc>
          <w:tcPr>
            <w:tcW w:w="838"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0.0019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435" w:type="dxa"/>
            <w:vMerge w:val="continue"/>
            <w:tcBorders>
              <w:tl2br w:val="nil"/>
              <w:tr2bl w:val="nil"/>
            </w:tcBorders>
            <w:noWrap w:val="0"/>
            <w:vAlign w:val="center"/>
          </w:tcPr>
          <w:p>
            <w:pPr>
              <w:adjustRightInd w:val="0"/>
              <w:snapToGrid w:val="0"/>
              <w:jc w:val="center"/>
              <w:rPr>
                <w:color w:val="auto"/>
              </w:rPr>
            </w:pPr>
          </w:p>
        </w:tc>
        <w:tc>
          <w:tcPr>
            <w:tcW w:w="857" w:type="dxa"/>
            <w:vMerge w:val="continue"/>
            <w:tcBorders>
              <w:tl2br w:val="nil"/>
              <w:tr2bl w:val="nil"/>
            </w:tcBorders>
            <w:noWrap w:val="0"/>
            <w:vAlign w:val="center"/>
          </w:tcPr>
          <w:p>
            <w:pPr>
              <w:adjustRightInd w:val="0"/>
              <w:snapToGrid w:val="0"/>
              <w:jc w:val="center"/>
              <w:rPr>
                <w:color w:val="auto"/>
              </w:rPr>
            </w:pPr>
          </w:p>
        </w:tc>
        <w:tc>
          <w:tcPr>
            <w:tcW w:w="929" w:type="dxa"/>
            <w:vMerge w:val="continue"/>
            <w:tcBorders>
              <w:tl2br w:val="nil"/>
              <w:tr2bl w:val="nil"/>
            </w:tcBorders>
            <w:noWrap w:val="0"/>
            <w:vAlign w:val="center"/>
          </w:tcPr>
          <w:p>
            <w:pPr>
              <w:adjustRightInd w:val="0"/>
              <w:snapToGrid w:val="0"/>
              <w:jc w:val="center"/>
              <w:rPr>
                <w:color w:val="auto"/>
              </w:rPr>
            </w:pPr>
          </w:p>
        </w:tc>
        <w:tc>
          <w:tcPr>
            <w:tcW w:w="1117" w:type="dxa"/>
            <w:vMerge w:val="continue"/>
            <w:tcBorders>
              <w:tl2br w:val="nil"/>
              <w:tr2bl w:val="nil"/>
            </w:tcBorders>
            <w:noWrap w:val="0"/>
            <w:vAlign w:val="center"/>
          </w:tcPr>
          <w:p>
            <w:pPr>
              <w:adjustRightInd w:val="0"/>
              <w:snapToGrid w:val="0"/>
              <w:jc w:val="center"/>
              <w:rPr>
                <w:color w:val="auto"/>
              </w:rPr>
            </w:pPr>
          </w:p>
        </w:tc>
        <w:tc>
          <w:tcPr>
            <w:tcW w:w="939" w:type="dxa"/>
            <w:vMerge w:val="continue"/>
            <w:tcBorders>
              <w:tl2br w:val="nil"/>
              <w:tr2bl w:val="nil"/>
            </w:tcBorders>
            <w:noWrap w:val="0"/>
            <w:vAlign w:val="center"/>
          </w:tcPr>
          <w:p>
            <w:pPr>
              <w:adjustRightInd w:val="0"/>
              <w:snapToGrid w:val="0"/>
              <w:jc w:val="center"/>
              <w:rPr>
                <w:color w:val="auto"/>
              </w:rPr>
            </w:pPr>
          </w:p>
        </w:tc>
        <w:tc>
          <w:tcPr>
            <w:tcW w:w="752" w:type="dxa"/>
            <w:vMerge w:val="continue"/>
            <w:tcBorders>
              <w:tl2br w:val="nil"/>
              <w:tr2bl w:val="nil"/>
            </w:tcBorders>
            <w:noWrap w:val="0"/>
            <w:vAlign w:val="center"/>
          </w:tcPr>
          <w:p>
            <w:pPr>
              <w:adjustRightInd w:val="0"/>
              <w:snapToGrid w:val="0"/>
              <w:jc w:val="center"/>
              <w:rPr>
                <w:color w:val="auto"/>
              </w:rPr>
            </w:pPr>
          </w:p>
        </w:tc>
        <w:tc>
          <w:tcPr>
            <w:tcW w:w="685" w:type="dxa"/>
            <w:vMerge w:val="continue"/>
            <w:tcBorders>
              <w:tl2br w:val="nil"/>
              <w:tr2bl w:val="nil"/>
            </w:tcBorders>
            <w:noWrap w:val="0"/>
            <w:vAlign w:val="center"/>
          </w:tcPr>
          <w:p>
            <w:pPr>
              <w:adjustRightInd w:val="0"/>
              <w:snapToGrid w:val="0"/>
              <w:jc w:val="center"/>
              <w:rPr>
                <w:color w:val="auto"/>
              </w:rPr>
            </w:pPr>
          </w:p>
        </w:tc>
        <w:tc>
          <w:tcPr>
            <w:tcW w:w="425" w:type="dxa"/>
            <w:vMerge w:val="continue"/>
            <w:tcBorders>
              <w:tl2br w:val="nil"/>
              <w:tr2bl w:val="nil"/>
            </w:tcBorders>
            <w:noWrap w:val="0"/>
            <w:vAlign w:val="center"/>
          </w:tcPr>
          <w:p>
            <w:pPr>
              <w:adjustRightInd w:val="0"/>
              <w:snapToGrid w:val="0"/>
              <w:jc w:val="center"/>
              <w:rPr>
                <w:color w:val="auto"/>
              </w:rPr>
            </w:pPr>
          </w:p>
        </w:tc>
        <w:tc>
          <w:tcPr>
            <w:tcW w:w="650" w:type="dxa"/>
            <w:tcBorders>
              <w:tl2br w:val="nil"/>
              <w:tr2bl w:val="nil"/>
            </w:tcBorders>
            <w:noWrap w:val="0"/>
            <w:vAlign w:val="center"/>
          </w:tcPr>
          <w:p>
            <w:pPr>
              <w:adjustRightInd w:val="0"/>
              <w:snapToGrid w:val="0"/>
              <w:jc w:val="center"/>
              <w:rPr>
                <w:color w:val="auto"/>
              </w:rPr>
            </w:pPr>
            <w:r>
              <w:rPr>
                <w:rFonts w:hint="eastAsia" w:ascii="Times New Roman" w:hAnsi="Times New Roman" w:eastAsia="宋体" w:cs="Times New Roman"/>
                <w:color w:val="auto"/>
                <w:szCs w:val="21"/>
                <w:lang w:val="en-US" w:eastAsia="zh-CN"/>
              </w:rPr>
              <w:t>H</w:t>
            </w:r>
            <w:r>
              <w:rPr>
                <w:rFonts w:hint="eastAsia" w:ascii="Times New Roman" w:hAnsi="Times New Roman" w:eastAsia="宋体" w:cs="Times New Roman"/>
                <w:color w:val="auto"/>
                <w:szCs w:val="21"/>
                <w:vertAlign w:val="subscript"/>
                <w:lang w:val="en-US" w:eastAsia="zh-CN"/>
              </w:rPr>
              <w:t>2</w:t>
            </w:r>
            <w:r>
              <w:rPr>
                <w:rFonts w:hint="eastAsia" w:ascii="Times New Roman" w:hAnsi="Times New Roman" w:eastAsia="宋体" w:cs="Times New Roman"/>
                <w:color w:val="auto"/>
                <w:szCs w:val="21"/>
                <w:lang w:val="en-US" w:eastAsia="zh-CN"/>
              </w:rPr>
              <w:t>S</w:t>
            </w:r>
          </w:p>
        </w:tc>
        <w:tc>
          <w:tcPr>
            <w:tcW w:w="1088"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0.0004</w:t>
            </w:r>
          </w:p>
        </w:tc>
        <w:tc>
          <w:tcPr>
            <w:tcW w:w="838"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0.0001</w:t>
            </w:r>
          </w:p>
        </w:tc>
      </w:tr>
    </w:tbl>
    <w:p>
      <w:pPr>
        <w:spacing w:line="360" w:lineRule="auto"/>
        <w:ind w:firstLine="422" w:firstLineChars="200"/>
        <w:jc w:val="center"/>
        <w:rPr>
          <w:rFonts w:hint="eastAsia"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表5.2-4  本项目面源参数表</w:t>
      </w:r>
    </w:p>
    <w:tbl>
      <w:tblPr>
        <w:tblStyle w:val="35"/>
        <w:tblW w:w="869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19"/>
        <w:gridCol w:w="1111"/>
        <w:gridCol w:w="788"/>
        <w:gridCol w:w="750"/>
        <w:gridCol w:w="900"/>
        <w:gridCol w:w="896"/>
        <w:gridCol w:w="859"/>
        <w:gridCol w:w="655"/>
        <w:gridCol w:w="668"/>
        <w:gridCol w:w="809"/>
        <w:gridCol w:w="94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19" w:type="dxa"/>
            <w:tcBorders>
              <w:tl2br w:val="nil"/>
              <w:tr2bl w:val="nil"/>
            </w:tcBorders>
            <w:noWrap w:val="0"/>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default" w:ascii="Times New Roman" w:hAnsi="Times New Roman" w:eastAsia="宋体" w:cs="Times New Roman"/>
                <w:b/>
                <w:bCs/>
                <w:color w:val="auto"/>
                <w:szCs w:val="21"/>
                <w:lang w:val="en-US" w:eastAsia="zh-CN"/>
              </w:rPr>
              <w:t>编号</w:t>
            </w:r>
          </w:p>
        </w:tc>
        <w:tc>
          <w:tcPr>
            <w:tcW w:w="1111" w:type="dxa"/>
            <w:tcBorders>
              <w:tl2br w:val="nil"/>
              <w:tr2bl w:val="nil"/>
            </w:tcBorders>
            <w:noWrap w:val="0"/>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default" w:ascii="Times New Roman" w:hAnsi="Times New Roman" w:eastAsia="宋体" w:cs="Times New Roman"/>
                <w:b/>
                <w:bCs/>
                <w:color w:val="auto"/>
                <w:szCs w:val="21"/>
                <w:lang w:val="en-US" w:eastAsia="zh-CN"/>
              </w:rPr>
              <w:t>名称</w:t>
            </w:r>
          </w:p>
        </w:tc>
        <w:tc>
          <w:tcPr>
            <w:tcW w:w="788" w:type="dxa"/>
            <w:tcBorders>
              <w:tl2br w:val="nil"/>
              <w:tr2bl w:val="nil"/>
            </w:tcBorders>
            <w:noWrap w:val="0"/>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default" w:ascii="Times New Roman" w:hAnsi="Times New Roman" w:eastAsia="宋体" w:cs="Times New Roman"/>
                <w:b/>
                <w:bCs/>
                <w:color w:val="auto"/>
                <w:szCs w:val="21"/>
                <w:lang w:val="en-US" w:eastAsia="zh-CN"/>
              </w:rPr>
              <w:t>面源长度/m</w:t>
            </w:r>
          </w:p>
        </w:tc>
        <w:tc>
          <w:tcPr>
            <w:tcW w:w="750" w:type="dxa"/>
            <w:tcBorders>
              <w:tl2br w:val="nil"/>
              <w:tr2bl w:val="nil"/>
            </w:tcBorders>
            <w:noWrap w:val="0"/>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default" w:ascii="Times New Roman" w:hAnsi="Times New Roman" w:eastAsia="宋体" w:cs="Times New Roman"/>
                <w:b/>
                <w:bCs/>
                <w:color w:val="auto"/>
                <w:szCs w:val="21"/>
                <w:lang w:val="en-US" w:eastAsia="zh-CN"/>
              </w:rPr>
              <w:t>面源宽度/m</w:t>
            </w:r>
          </w:p>
        </w:tc>
        <w:tc>
          <w:tcPr>
            <w:tcW w:w="900" w:type="dxa"/>
            <w:tcBorders>
              <w:tl2br w:val="nil"/>
              <w:tr2bl w:val="nil"/>
            </w:tcBorders>
            <w:noWrap w:val="0"/>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default" w:ascii="Times New Roman" w:hAnsi="Times New Roman" w:eastAsia="宋体" w:cs="Times New Roman"/>
                <w:b/>
                <w:bCs/>
                <w:color w:val="auto"/>
                <w:szCs w:val="21"/>
                <w:lang w:val="en-US" w:eastAsia="zh-CN"/>
              </w:rPr>
              <w:t>与正北向夹角/°</w:t>
            </w:r>
          </w:p>
        </w:tc>
        <w:tc>
          <w:tcPr>
            <w:tcW w:w="896" w:type="dxa"/>
            <w:tcBorders>
              <w:tl2br w:val="nil"/>
              <w:tr2bl w:val="nil"/>
            </w:tcBorders>
            <w:noWrap w:val="0"/>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default" w:ascii="Times New Roman" w:hAnsi="Times New Roman" w:eastAsia="宋体" w:cs="Times New Roman"/>
                <w:b/>
                <w:bCs/>
                <w:color w:val="auto"/>
                <w:szCs w:val="21"/>
                <w:lang w:val="en-US" w:eastAsia="zh-CN"/>
              </w:rPr>
              <w:t>面源有效排放高度/m</w:t>
            </w:r>
          </w:p>
        </w:tc>
        <w:tc>
          <w:tcPr>
            <w:tcW w:w="859" w:type="dxa"/>
            <w:tcBorders>
              <w:tl2br w:val="nil"/>
              <w:tr2bl w:val="nil"/>
            </w:tcBorders>
            <w:noWrap w:val="0"/>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default" w:ascii="Times New Roman" w:hAnsi="Times New Roman" w:eastAsia="宋体" w:cs="Times New Roman"/>
                <w:b/>
                <w:bCs/>
                <w:color w:val="auto"/>
                <w:szCs w:val="21"/>
                <w:lang w:val="en-US" w:eastAsia="zh-CN"/>
              </w:rPr>
              <w:t>年排放小时数/h</w:t>
            </w:r>
          </w:p>
        </w:tc>
        <w:tc>
          <w:tcPr>
            <w:tcW w:w="655" w:type="dxa"/>
            <w:tcBorders>
              <w:tl2br w:val="nil"/>
              <w:tr2bl w:val="nil"/>
            </w:tcBorders>
            <w:noWrap w:val="0"/>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default" w:ascii="Times New Roman" w:hAnsi="Times New Roman" w:eastAsia="宋体" w:cs="Times New Roman"/>
                <w:b/>
                <w:bCs/>
                <w:color w:val="auto"/>
                <w:szCs w:val="21"/>
                <w:lang w:val="en-US" w:eastAsia="zh-CN"/>
              </w:rPr>
              <w:t>排放工况</w:t>
            </w:r>
          </w:p>
        </w:tc>
        <w:tc>
          <w:tcPr>
            <w:tcW w:w="668" w:type="dxa"/>
            <w:tcBorders>
              <w:tl2br w:val="nil"/>
              <w:tr2bl w:val="nil"/>
            </w:tcBorders>
            <w:noWrap w:val="0"/>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default" w:ascii="Times New Roman" w:hAnsi="Times New Roman" w:eastAsia="宋体" w:cs="Times New Roman"/>
                <w:b/>
                <w:bCs/>
                <w:color w:val="auto"/>
                <w:szCs w:val="21"/>
                <w:lang w:val="en-US" w:eastAsia="zh-CN"/>
              </w:rPr>
              <w:t>污染物名称</w:t>
            </w:r>
          </w:p>
        </w:tc>
        <w:tc>
          <w:tcPr>
            <w:tcW w:w="809" w:type="dxa"/>
            <w:tcBorders>
              <w:tl2br w:val="nil"/>
              <w:tr2bl w:val="nil"/>
            </w:tcBorders>
            <w:noWrap w:val="0"/>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default" w:ascii="Times New Roman" w:hAnsi="Times New Roman" w:eastAsia="宋体" w:cs="Times New Roman"/>
                <w:b/>
                <w:bCs/>
                <w:color w:val="auto"/>
                <w:szCs w:val="21"/>
                <w:lang w:val="en-US" w:eastAsia="zh-CN"/>
              </w:rPr>
              <w:t>排放速率（kg/h）</w:t>
            </w:r>
          </w:p>
        </w:tc>
        <w:tc>
          <w:tcPr>
            <w:tcW w:w="940" w:type="dxa"/>
            <w:tcBorders>
              <w:tl2br w:val="nil"/>
              <w:tr2bl w:val="nil"/>
            </w:tcBorders>
            <w:noWrap w:val="0"/>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default" w:ascii="Times New Roman" w:hAnsi="Times New Roman" w:eastAsia="宋体" w:cs="Times New Roman"/>
                <w:b/>
                <w:bCs/>
                <w:color w:val="auto"/>
                <w:szCs w:val="21"/>
                <w:lang w:val="en-US" w:eastAsia="zh-CN"/>
              </w:rPr>
              <w:t>污染物排放速率（g/s）</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319" w:type="dxa"/>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w:t>
            </w:r>
          </w:p>
        </w:tc>
        <w:tc>
          <w:tcPr>
            <w:tcW w:w="1111" w:type="dxa"/>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育肥舍1</w:t>
            </w:r>
          </w:p>
        </w:tc>
        <w:tc>
          <w:tcPr>
            <w:tcW w:w="788" w:type="dxa"/>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130</w:t>
            </w:r>
          </w:p>
        </w:tc>
        <w:tc>
          <w:tcPr>
            <w:tcW w:w="750" w:type="dxa"/>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48</w:t>
            </w:r>
          </w:p>
        </w:tc>
        <w:tc>
          <w:tcPr>
            <w:tcW w:w="900" w:type="dxa"/>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-45</w:t>
            </w:r>
          </w:p>
        </w:tc>
        <w:tc>
          <w:tcPr>
            <w:tcW w:w="896" w:type="dxa"/>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4.5</w:t>
            </w:r>
          </w:p>
        </w:tc>
        <w:tc>
          <w:tcPr>
            <w:tcW w:w="859" w:type="dxa"/>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8760</w:t>
            </w:r>
          </w:p>
        </w:tc>
        <w:tc>
          <w:tcPr>
            <w:tcW w:w="655" w:type="dxa"/>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正常</w:t>
            </w:r>
          </w:p>
        </w:tc>
        <w:tc>
          <w:tcPr>
            <w:tcW w:w="668"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NH</w:t>
            </w:r>
            <w:r>
              <w:rPr>
                <w:rFonts w:hint="default" w:ascii="Times New Roman" w:hAnsi="Times New Roman" w:eastAsia="宋体" w:cs="Times New Roman"/>
                <w:color w:val="auto"/>
                <w:szCs w:val="21"/>
                <w:vertAlign w:val="subscript"/>
                <w:lang w:val="en-US" w:eastAsia="zh-CN"/>
              </w:rPr>
              <w:t>3</w:t>
            </w:r>
          </w:p>
        </w:tc>
        <w:tc>
          <w:tcPr>
            <w:tcW w:w="809"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0.01</w:t>
            </w:r>
          </w:p>
        </w:tc>
        <w:tc>
          <w:tcPr>
            <w:tcW w:w="940"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0.00278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319" w:type="dxa"/>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1111" w:type="dxa"/>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788" w:type="dxa"/>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750" w:type="dxa"/>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900" w:type="dxa"/>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896" w:type="dxa"/>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p>
        </w:tc>
        <w:tc>
          <w:tcPr>
            <w:tcW w:w="859" w:type="dxa"/>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655" w:type="dxa"/>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668" w:type="dxa"/>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kern w:val="2"/>
                <w:sz w:val="21"/>
                <w:szCs w:val="22"/>
                <w:lang w:val="en-US" w:eastAsia="zh-CN" w:bidi="ar-SA"/>
              </w:rPr>
            </w:pPr>
            <w:r>
              <w:rPr>
                <w:rFonts w:hint="default" w:ascii="Times New Roman" w:hAnsi="Times New Roman" w:eastAsia="宋体" w:cs="Times New Roman"/>
                <w:color w:val="auto"/>
                <w:szCs w:val="21"/>
                <w:lang w:val="en-US" w:eastAsia="zh-CN"/>
              </w:rPr>
              <w:t>H</w:t>
            </w:r>
            <w:r>
              <w:rPr>
                <w:rFonts w:hint="default" w:ascii="Times New Roman" w:hAnsi="Times New Roman" w:eastAsia="宋体" w:cs="Times New Roman"/>
                <w:color w:val="auto"/>
                <w:szCs w:val="21"/>
                <w:vertAlign w:val="subscript"/>
                <w:lang w:val="en-US" w:eastAsia="zh-CN"/>
              </w:rPr>
              <w:t>2</w:t>
            </w:r>
            <w:r>
              <w:rPr>
                <w:rFonts w:hint="default" w:ascii="Times New Roman" w:hAnsi="Times New Roman" w:eastAsia="宋体" w:cs="Times New Roman"/>
                <w:color w:val="auto"/>
                <w:szCs w:val="21"/>
                <w:lang w:val="en-US" w:eastAsia="zh-CN"/>
              </w:rPr>
              <w:t>S</w:t>
            </w:r>
          </w:p>
        </w:tc>
        <w:tc>
          <w:tcPr>
            <w:tcW w:w="809"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0.0007</w:t>
            </w:r>
          </w:p>
        </w:tc>
        <w:tc>
          <w:tcPr>
            <w:tcW w:w="940"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319" w:type="dxa"/>
            <w:vMerge w:val="restart"/>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lang w:val="en-US" w:eastAsia="zh-CN"/>
              </w:rPr>
            </w:pPr>
            <w:r>
              <w:rPr>
                <w:rFonts w:hint="default" w:ascii="Times New Roman" w:hAnsi="Times New Roman" w:cs="Times New Roman"/>
                <w:color w:val="auto"/>
                <w:lang w:val="en-US" w:eastAsia="zh-CN"/>
              </w:rPr>
              <w:t>2</w:t>
            </w:r>
          </w:p>
        </w:tc>
        <w:tc>
          <w:tcPr>
            <w:tcW w:w="1111" w:type="dxa"/>
            <w:vMerge w:val="restart"/>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lang w:val="en-US" w:eastAsia="zh-CN"/>
              </w:rPr>
            </w:pPr>
            <w:r>
              <w:rPr>
                <w:rFonts w:hint="eastAsia" w:ascii="Times New Roman" w:hAnsi="Times New Roman" w:cs="Times New Roman"/>
                <w:color w:val="auto"/>
                <w:lang w:val="en-US" w:eastAsia="zh-CN"/>
              </w:rPr>
              <w:t>育肥舍2</w:t>
            </w:r>
          </w:p>
        </w:tc>
        <w:tc>
          <w:tcPr>
            <w:tcW w:w="788" w:type="dxa"/>
            <w:vMerge w:val="restart"/>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lang w:val="en-US" w:eastAsia="zh-CN"/>
              </w:rPr>
            </w:pPr>
            <w:r>
              <w:rPr>
                <w:rFonts w:hint="eastAsia" w:ascii="Times New Roman" w:hAnsi="Times New Roman" w:eastAsia="宋体" w:cs="Times New Roman"/>
                <w:color w:val="auto"/>
                <w:szCs w:val="21"/>
                <w:lang w:val="en-US" w:eastAsia="zh-CN"/>
              </w:rPr>
              <w:t>130</w:t>
            </w:r>
          </w:p>
        </w:tc>
        <w:tc>
          <w:tcPr>
            <w:tcW w:w="750" w:type="dxa"/>
            <w:vMerge w:val="restart"/>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lang w:val="en-US" w:eastAsia="zh-CN"/>
              </w:rPr>
            </w:pPr>
            <w:r>
              <w:rPr>
                <w:rFonts w:hint="eastAsia" w:ascii="Times New Roman" w:hAnsi="Times New Roman" w:eastAsia="宋体" w:cs="Times New Roman"/>
                <w:color w:val="auto"/>
                <w:szCs w:val="21"/>
                <w:lang w:val="en-US" w:eastAsia="zh-CN"/>
              </w:rPr>
              <w:t>48</w:t>
            </w:r>
          </w:p>
        </w:tc>
        <w:tc>
          <w:tcPr>
            <w:tcW w:w="900" w:type="dxa"/>
            <w:vMerge w:val="restart"/>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lang w:val="en-US" w:eastAsia="zh-CN"/>
              </w:rPr>
            </w:pPr>
            <w:r>
              <w:rPr>
                <w:rFonts w:hint="eastAsia" w:ascii="Times New Roman" w:hAnsi="Times New Roman" w:eastAsia="宋体" w:cs="Times New Roman"/>
                <w:color w:val="auto"/>
                <w:szCs w:val="21"/>
                <w:lang w:val="en-US" w:eastAsia="zh-CN"/>
              </w:rPr>
              <w:t>-45</w:t>
            </w:r>
          </w:p>
        </w:tc>
        <w:tc>
          <w:tcPr>
            <w:tcW w:w="896" w:type="dxa"/>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4.5</w:t>
            </w:r>
          </w:p>
        </w:tc>
        <w:tc>
          <w:tcPr>
            <w:tcW w:w="859" w:type="dxa"/>
            <w:vMerge w:val="restart"/>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lang w:val="en-US" w:eastAsia="zh-CN"/>
              </w:rPr>
            </w:pPr>
            <w:r>
              <w:rPr>
                <w:rFonts w:hint="default" w:ascii="Times New Roman" w:hAnsi="Times New Roman" w:eastAsia="宋体" w:cs="Times New Roman"/>
                <w:color w:val="auto"/>
                <w:szCs w:val="21"/>
                <w:lang w:val="en-US" w:eastAsia="zh-CN"/>
              </w:rPr>
              <w:t>8760</w:t>
            </w:r>
          </w:p>
        </w:tc>
        <w:tc>
          <w:tcPr>
            <w:tcW w:w="655" w:type="dxa"/>
            <w:vMerge w:val="restart"/>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lang w:eastAsia="zh-CN"/>
              </w:rPr>
            </w:pPr>
            <w:r>
              <w:rPr>
                <w:rFonts w:hint="default" w:ascii="Times New Roman" w:hAnsi="Times New Roman" w:cs="Times New Roman"/>
                <w:color w:val="auto"/>
                <w:lang w:eastAsia="zh-CN"/>
              </w:rPr>
              <w:t>正常</w:t>
            </w:r>
          </w:p>
        </w:tc>
        <w:tc>
          <w:tcPr>
            <w:tcW w:w="668"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NH</w:t>
            </w:r>
            <w:r>
              <w:rPr>
                <w:rFonts w:hint="default" w:ascii="Times New Roman" w:hAnsi="Times New Roman" w:eastAsia="宋体" w:cs="Times New Roman"/>
                <w:color w:val="auto"/>
                <w:szCs w:val="21"/>
                <w:vertAlign w:val="subscript"/>
                <w:lang w:val="en-US" w:eastAsia="zh-CN"/>
              </w:rPr>
              <w:t>3</w:t>
            </w:r>
          </w:p>
        </w:tc>
        <w:tc>
          <w:tcPr>
            <w:tcW w:w="809"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0.01</w:t>
            </w:r>
          </w:p>
        </w:tc>
        <w:tc>
          <w:tcPr>
            <w:tcW w:w="940"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0.00278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319" w:type="dxa"/>
            <w:vMerge w:val="continue"/>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lang w:val="en-US" w:eastAsia="zh-CN"/>
              </w:rPr>
            </w:pPr>
          </w:p>
        </w:tc>
        <w:tc>
          <w:tcPr>
            <w:tcW w:w="1111" w:type="dxa"/>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788" w:type="dxa"/>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750" w:type="dxa"/>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900" w:type="dxa"/>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896" w:type="dxa"/>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p>
        </w:tc>
        <w:tc>
          <w:tcPr>
            <w:tcW w:w="859" w:type="dxa"/>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655" w:type="dxa"/>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668" w:type="dxa"/>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kern w:val="2"/>
                <w:sz w:val="21"/>
                <w:szCs w:val="22"/>
                <w:lang w:val="en-US" w:eastAsia="zh-CN" w:bidi="ar-SA"/>
              </w:rPr>
            </w:pPr>
            <w:r>
              <w:rPr>
                <w:rFonts w:hint="default" w:ascii="Times New Roman" w:hAnsi="Times New Roman" w:eastAsia="宋体" w:cs="Times New Roman"/>
                <w:color w:val="auto"/>
                <w:szCs w:val="21"/>
                <w:lang w:val="en-US" w:eastAsia="zh-CN"/>
              </w:rPr>
              <w:t>H</w:t>
            </w:r>
            <w:r>
              <w:rPr>
                <w:rFonts w:hint="default" w:ascii="Times New Roman" w:hAnsi="Times New Roman" w:eastAsia="宋体" w:cs="Times New Roman"/>
                <w:color w:val="auto"/>
                <w:szCs w:val="21"/>
                <w:vertAlign w:val="subscript"/>
                <w:lang w:val="en-US" w:eastAsia="zh-CN"/>
              </w:rPr>
              <w:t>2</w:t>
            </w:r>
            <w:r>
              <w:rPr>
                <w:rFonts w:hint="default" w:ascii="Times New Roman" w:hAnsi="Times New Roman" w:eastAsia="宋体" w:cs="Times New Roman"/>
                <w:color w:val="auto"/>
                <w:szCs w:val="21"/>
                <w:lang w:val="en-US" w:eastAsia="zh-CN"/>
              </w:rPr>
              <w:t>S</w:t>
            </w:r>
          </w:p>
        </w:tc>
        <w:tc>
          <w:tcPr>
            <w:tcW w:w="809"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0.0007</w:t>
            </w:r>
          </w:p>
        </w:tc>
        <w:tc>
          <w:tcPr>
            <w:tcW w:w="940"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319" w:type="dxa"/>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w:t>
            </w:r>
          </w:p>
        </w:tc>
        <w:tc>
          <w:tcPr>
            <w:tcW w:w="1111" w:type="dxa"/>
            <w:vMerge w:val="restart"/>
            <w:tcBorders>
              <w:tl2br w:val="nil"/>
              <w:tr2bl w:val="nil"/>
            </w:tcBorders>
            <w:noWrap w:val="0"/>
            <w:vAlign w:val="center"/>
          </w:tcPr>
          <w:p>
            <w:pPr>
              <w:pStyle w:val="98"/>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污水处理区</w:t>
            </w:r>
            <w:r>
              <w:rPr>
                <w:rFonts w:hint="eastAsia" w:ascii="Times New Roman" w:hAnsi="Times New Roman" w:cs="Times New Roman"/>
                <w:color w:val="auto"/>
                <w:szCs w:val="21"/>
                <w:lang w:val="en-US" w:eastAsia="zh-CN"/>
              </w:rPr>
              <w:t>(沼液储蓄池)</w:t>
            </w:r>
          </w:p>
        </w:tc>
        <w:tc>
          <w:tcPr>
            <w:tcW w:w="788" w:type="dxa"/>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45</w:t>
            </w:r>
          </w:p>
        </w:tc>
        <w:tc>
          <w:tcPr>
            <w:tcW w:w="750" w:type="dxa"/>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26</w:t>
            </w:r>
          </w:p>
        </w:tc>
        <w:tc>
          <w:tcPr>
            <w:tcW w:w="900" w:type="dxa"/>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-45</w:t>
            </w:r>
          </w:p>
        </w:tc>
        <w:tc>
          <w:tcPr>
            <w:tcW w:w="896" w:type="dxa"/>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2</w:t>
            </w:r>
          </w:p>
        </w:tc>
        <w:tc>
          <w:tcPr>
            <w:tcW w:w="859" w:type="dxa"/>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8760</w:t>
            </w:r>
          </w:p>
        </w:tc>
        <w:tc>
          <w:tcPr>
            <w:tcW w:w="655" w:type="dxa"/>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正常</w:t>
            </w:r>
          </w:p>
        </w:tc>
        <w:tc>
          <w:tcPr>
            <w:tcW w:w="668"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NH</w:t>
            </w:r>
            <w:r>
              <w:rPr>
                <w:rFonts w:hint="default" w:ascii="Times New Roman" w:hAnsi="Times New Roman" w:eastAsia="宋体" w:cs="Times New Roman"/>
                <w:color w:val="auto"/>
                <w:szCs w:val="21"/>
                <w:vertAlign w:val="subscript"/>
                <w:lang w:val="en-US" w:eastAsia="zh-CN"/>
              </w:rPr>
              <w:t>3</w:t>
            </w:r>
          </w:p>
        </w:tc>
        <w:tc>
          <w:tcPr>
            <w:tcW w:w="809"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0.00552</w:t>
            </w:r>
          </w:p>
        </w:tc>
        <w:tc>
          <w:tcPr>
            <w:tcW w:w="940"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319" w:type="dxa"/>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1111" w:type="dxa"/>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788" w:type="dxa"/>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750" w:type="dxa"/>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900" w:type="dxa"/>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896" w:type="dxa"/>
            <w:vMerge w:val="continue"/>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p>
        </w:tc>
        <w:tc>
          <w:tcPr>
            <w:tcW w:w="859" w:type="dxa"/>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655" w:type="dxa"/>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668" w:type="dxa"/>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kern w:val="2"/>
                <w:sz w:val="21"/>
                <w:szCs w:val="22"/>
                <w:lang w:val="en-US" w:eastAsia="zh-CN" w:bidi="ar-SA"/>
              </w:rPr>
            </w:pPr>
            <w:r>
              <w:rPr>
                <w:rFonts w:hint="default" w:ascii="Times New Roman" w:hAnsi="Times New Roman" w:eastAsia="宋体" w:cs="Times New Roman"/>
                <w:color w:val="auto"/>
                <w:szCs w:val="21"/>
                <w:lang w:val="en-US" w:eastAsia="zh-CN"/>
              </w:rPr>
              <w:t>H</w:t>
            </w:r>
            <w:r>
              <w:rPr>
                <w:rFonts w:hint="default" w:ascii="Times New Roman" w:hAnsi="Times New Roman" w:eastAsia="宋体" w:cs="Times New Roman"/>
                <w:color w:val="auto"/>
                <w:szCs w:val="21"/>
                <w:vertAlign w:val="subscript"/>
                <w:lang w:val="en-US" w:eastAsia="zh-CN"/>
              </w:rPr>
              <w:t>2</w:t>
            </w:r>
            <w:r>
              <w:rPr>
                <w:rFonts w:hint="default" w:ascii="Times New Roman" w:hAnsi="Times New Roman" w:eastAsia="宋体" w:cs="Times New Roman"/>
                <w:color w:val="auto"/>
                <w:szCs w:val="21"/>
                <w:lang w:val="en-US" w:eastAsia="zh-CN"/>
              </w:rPr>
              <w:t>S</w:t>
            </w:r>
          </w:p>
        </w:tc>
        <w:tc>
          <w:tcPr>
            <w:tcW w:w="809"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0.000016</w:t>
            </w:r>
          </w:p>
        </w:tc>
        <w:tc>
          <w:tcPr>
            <w:tcW w:w="940"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0.000004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319" w:type="dxa"/>
            <w:vMerge w:val="restart"/>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lang w:val="en-US" w:eastAsia="zh-CN"/>
              </w:rPr>
            </w:pPr>
            <w:r>
              <w:rPr>
                <w:rFonts w:hint="eastAsia" w:ascii="Times New Roman" w:hAnsi="Times New Roman" w:cs="Times New Roman"/>
                <w:color w:val="auto"/>
                <w:lang w:val="en-US" w:eastAsia="zh-CN"/>
              </w:rPr>
              <w:t>4</w:t>
            </w:r>
          </w:p>
        </w:tc>
        <w:tc>
          <w:tcPr>
            <w:tcW w:w="1111" w:type="dxa"/>
            <w:vMerge w:val="restart"/>
            <w:tcBorders>
              <w:tl2br w:val="nil"/>
              <w:tr2bl w:val="nil"/>
            </w:tcBorders>
            <w:noWrap w:val="0"/>
            <w:vAlign w:val="center"/>
          </w:tcPr>
          <w:p>
            <w:pPr>
              <w:pStyle w:val="98"/>
              <w:jc w:val="center"/>
              <w:rPr>
                <w:rFonts w:hint="default" w:ascii="Times New Roman" w:hAnsi="Times New Roman" w:cs="Times New Roman" w:eastAsiaTheme="minorEastAsia"/>
                <w:color w:val="auto"/>
                <w:lang w:val="en-US" w:eastAsia="zh-CN"/>
              </w:rPr>
            </w:pPr>
            <w:r>
              <w:rPr>
                <w:rFonts w:hint="default" w:ascii="Times New Roman" w:hAnsi="Times New Roman" w:cs="Times New Roman"/>
                <w:color w:val="auto"/>
                <w:szCs w:val="21"/>
                <w:lang w:val="en-US" w:eastAsia="zh-CN"/>
              </w:rPr>
              <w:t>堆粪间</w:t>
            </w:r>
          </w:p>
        </w:tc>
        <w:tc>
          <w:tcPr>
            <w:tcW w:w="788" w:type="dxa"/>
            <w:vMerge w:val="restart"/>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lang w:val="en-US" w:eastAsia="zh-CN"/>
              </w:rPr>
            </w:pPr>
            <w:r>
              <w:rPr>
                <w:rFonts w:hint="eastAsia" w:ascii="Times New Roman" w:hAnsi="Times New Roman" w:cs="Times New Roman"/>
                <w:color w:val="auto"/>
                <w:lang w:val="en-US" w:eastAsia="zh-CN"/>
              </w:rPr>
              <w:t>20</w:t>
            </w:r>
          </w:p>
        </w:tc>
        <w:tc>
          <w:tcPr>
            <w:tcW w:w="750" w:type="dxa"/>
            <w:vMerge w:val="restart"/>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lang w:val="en-US" w:eastAsia="zh-CN"/>
              </w:rPr>
            </w:pPr>
            <w:r>
              <w:rPr>
                <w:rFonts w:hint="eastAsia" w:ascii="Times New Roman" w:hAnsi="Times New Roman" w:cs="Times New Roman"/>
                <w:color w:val="auto"/>
                <w:lang w:val="en-US" w:eastAsia="zh-CN"/>
              </w:rPr>
              <w:t>15</w:t>
            </w:r>
          </w:p>
        </w:tc>
        <w:tc>
          <w:tcPr>
            <w:tcW w:w="900" w:type="dxa"/>
            <w:vMerge w:val="restart"/>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lang w:val="en-US" w:eastAsia="zh-CN"/>
              </w:rPr>
            </w:pPr>
            <w:r>
              <w:rPr>
                <w:rFonts w:hint="eastAsia" w:ascii="Times New Roman" w:hAnsi="Times New Roman" w:eastAsia="宋体" w:cs="Times New Roman"/>
                <w:color w:val="auto"/>
                <w:szCs w:val="21"/>
                <w:lang w:val="en-US" w:eastAsia="zh-CN"/>
              </w:rPr>
              <w:t>-45</w:t>
            </w:r>
          </w:p>
        </w:tc>
        <w:tc>
          <w:tcPr>
            <w:tcW w:w="896" w:type="dxa"/>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w:t>
            </w:r>
          </w:p>
        </w:tc>
        <w:tc>
          <w:tcPr>
            <w:tcW w:w="859" w:type="dxa"/>
            <w:vMerge w:val="restart"/>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lang w:val="en-US" w:eastAsia="zh-CN"/>
              </w:rPr>
            </w:pPr>
            <w:r>
              <w:rPr>
                <w:rFonts w:hint="default" w:ascii="Times New Roman" w:hAnsi="Times New Roman" w:eastAsia="宋体" w:cs="Times New Roman"/>
                <w:color w:val="auto"/>
                <w:szCs w:val="21"/>
                <w:lang w:val="en-US" w:eastAsia="zh-CN"/>
              </w:rPr>
              <w:t>8760</w:t>
            </w:r>
          </w:p>
        </w:tc>
        <w:tc>
          <w:tcPr>
            <w:tcW w:w="655" w:type="dxa"/>
            <w:vMerge w:val="restart"/>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lang w:eastAsia="zh-CN"/>
              </w:rPr>
            </w:pPr>
            <w:r>
              <w:rPr>
                <w:rFonts w:hint="default" w:ascii="Times New Roman" w:hAnsi="Times New Roman" w:cs="Times New Roman"/>
                <w:color w:val="auto"/>
                <w:lang w:eastAsia="zh-CN"/>
              </w:rPr>
              <w:t>正常</w:t>
            </w:r>
          </w:p>
        </w:tc>
        <w:tc>
          <w:tcPr>
            <w:tcW w:w="668"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NH</w:t>
            </w:r>
            <w:r>
              <w:rPr>
                <w:rFonts w:hint="default" w:ascii="Times New Roman" w:hAnsi="Times New Roman" w:eastAsia="宋体" w:cs="Times New Roman"/>
                <w:color w:val="auto"/>
                <w:szCs w:val="21"/>
                <w:vertAlign w:val="subscript"/>
                <w:lang w:val="en-US" w:eastAsia="zh-CN"/>
              </w:rPr>
              <w:t>3</w:t>
            </w:r>
          </w:p>
        </w:tc>
        <w:tc>
          <w:tcPr>
            <w:tcW w:w="809"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0.0013</w:t>
            </w:r>
          </w:p>
        </w:tc>
        <w:tc>
          <w:tcPr>
            <w:tcW w:w="940"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0.00036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319" w:type="dxa"/>
            <w:vMerge w:val="continue"/>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lang w:val="en-US" w:eastAsia="zh-CN"/>
              </w:rPr>
            </w:pPr>
          </w:p>
        </w:tc>
        <w:tc>
          <w:tcPr>
            <w:tcW w:w="1111" w:type="dxa"/>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788" w:type="dxa"/>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750" w:type="dxa"/>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900" w:type="dxa"/>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896" w:type="dxa"/>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859" w:type="dxa"/>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655" w:type="dxa"/>
            <w:vMerge w:val="continue"/>
            <w:tcBorders>
              <w:tl2br w:val="nil"/>
              <w:tr2bl w:val="nil"/>
            </w:tcBorders>
            <w:noWrap w:val="0"/>
            <w:vAlign w:val="center"/>
          </w:tcPr>
          <w:p>
            <w:pPr>
              <w:adjustRightInd w:val="0"/>
              <w:snapToGrid w:val="0"/>
              <w:jc w:val="center"/>
              <w:rPr>
                <w:rFonts w:hint="default" w:ascii="Times New Roman" w:hAnsi="Times New Roman" w:cs="Times New Roman"/>
                <w:color w:val="auto"/>
              </w:rPr>
            </w:pPr>
          </w:p>
        </w:tc>
        <w:tc>
          <w:tcPr>
            <w:tcW w:w="668" w:type="dxa"/>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kern w:val="2"/>
                <w:sz w:val="21"/>
                <w:szCs w:val="22"/>
                <w:lang w:val="en-US" w:eastAsia="zh-CN" w:bidi="ar-SA"/>
              </w:rPr>
            </w:pPr>
            <w:r>
              <w:rPr>
                <w:rFonts w:hint="default" w:ascii="Times New Roman" w:hAnsi="Times New Roman" w:eastAsia="宋体" w:cs="Times New Roman"/>
                <w:color w:val="auto"/>
                <w:szCs w:val="21"/>
                <w:lang w:val="en-US" w:eastAsia="zh-CN"/>
              </w:rPr>
              <w:t>H</w:t>
            </w:r>
            <w:r>
              <w:rPr>
                <w:rFonts w:hint="default" w:ascii="Times New Roman" w:hAnsi="Times New Roman" w:eastAsia="宋体" w:cs="Times New Roman"/>
                <w:color w:val="auto"/>
                <w:szCs w:val="21"/>
                <w:vertAlign w:val="subscript"/>
                <w:lang w:val="en-US" w:eastAsia="zh-CN"/>
              </w:rPr>
              <w:t>2</w:t>
            </w:r>
            <w:r>
              <w:rPr>
                <w:rFonts w:hint="default" w:ascii="Times New Roman" w:hAnsi="Times New Roman" w:eastAsia="宋体" w:cs="Times New Roman"/>
                <w:color w:val="auto"/>
                <w:szCs w:val="21"/>
                <w:lang w:val="en-US" w:eastAsia="zh-CN"/>
              </w:rPr>
              <w:t>S</w:t>
            </w:r>
          </w:p>
        </w:tc>
        <w:tc>
          <w:tcPr>
            <w:tcW w:w="809"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0.00008</w:t>
            </w:r>
          </w:p>
        </w:tc>
        <w:tc>
          <w:tcPr>
            <w:tcW w:w="940"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0.00002</w:t>
            </w:r>
          </w:p>
        </w:tc>
      </w:tr>
    </w:tbl>
    <w:p>
      <w:pPr>
        <w:keepNext/>
        <w:keepLines/>
        <w:adjustRightInd w:val="0"/>
        <w:snapToGrid w:val="0"/>
        <w:spacing w:line="360" w:lineRule="auto"/>
        <w:outlineLvl w:val="3"/>
        <w:rPr>
          <w:rFonts w:hint="eastAsia" w:ascii="Times New Roman" w:hAnsi="Times New Roman" w:eastAsia="宋体"/>
          <w:b/>
          <w:bCs/>
          <w:color w:val="auto"/>
          <w:sz w:val="24"/>
          <w:szCs w:val="24"/>
          <w:lang w:val="en-US" w:eastAsia="zh-CN"/>
        </w:rPr>
      </w:pPr>
      <w:r>
        <w:rPr>
          <w:rFonts w:hint="eastAsia" w:ascii="Times New Roman" w:hAnsi="Times New Roman" w:eastAsia="宋体"/>
          <w:b/>
          <w:bCs/>
          <w:color w:val="auto"/>
          <w:sz w:val="24"/>
          <w:szCs w:val="24"/>
          <w:lang w:val="en-US" w:eastAsia="zh-CN"/>
        </w:rPr>
        <w:t>5.2.1.2预测结果及影响分析</w:t>
      </w:r>
    </w:p>
    <w:p>
      <w:pPr>
        <w:numPr>
          <w:ilvl w:val="0"/>
          <w:numId w:val="0"/>
        </w:numPr>
        <w:spacing w:line="360" w:lineRule="auto"/>
        <w:ind w:left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根据估算模式预测的污染物浓度计算结果见下表：</w:t>
      </w:r>
    </w:p>
    <w:p>
      <w:pPr>
        <w:spacing w:line="360" w:lineRule="auto"/>
        <w:ind w:firstLine="422" w:firstLineChars="200"/>
        <w:jc w:val="center"/>
        <w:rPr>
          <w:rFonts w:hint="eastAsia" w:ascii="Times New Roman" w:hAnsi="Times New Roman" w:eastAsia="宋体" w:cs="Times New Roman"/>
          <w:b/>
          <w:bCs/>
          <w:color w:val="auto"/>
          <w:sz w:val="21"/>
          <w:szCs w:val="21"/>
          <w:lang w:val="en-US" w:eastAsia="zh-CN"/>
        </w:rPr>
      </w:pPr>
      <w:bookmarkStart w:id="218" w:name="_Toc459118468"/>
      <w:r>
        <w:rPr>
          <w:rFonts w:hint="eastAsia" w:ascii="Times New Roman" w:hAnsi="Times New Roman" w:eastAsia="宋体" w:cs="Times New Roman"/>
          <w:b/>
          <w:bCs/>
          <w:color w:val="auto"/>
          <w:sz w:val="21"/>
          <w:szCs w:val="21"/>
          <w:lang w:val="en-US" w:eastAsia="zh-CN"/>
        </w:rPr>
        <w:t>表5.2-5 主要污染源估算模型计算结果表</w:t>
      </w:r>
    </w:p>
    <w:tbl>
      <w:tblPr>
        <w:tblStyle w:val="3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02"/>
        <w:gridCol w:w="454"/>
        <w:gridCol w:w="1444"/>
        <w:gridCol w:w="312"/>
        <w:gridCol w:w="1563"/>
        <w:gridCol w:w="193"/>
        <w:gridCol w:w="1756"/>
        <w:gridCol w:w="16"/>
        <w:gridCol w:w="174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8784" w:type="dxa"/>
            <w:gridSpan w:val="9"/>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面源，</w:t>
            </w:r>
            <w:r>
              <w:rPr>
                <w:rFonts w:hint="eastAsia" w:ascii="Times New Roman" w:hAnsi="Times New Roman" w:eastAsia="宋体" w:cs="Times New Roman"/>
                <w:b/>
                <w:bCs/>
                <w:i w:val="0"/>
                <w:color w:val="auto"/>
                <w:kern w:val="0"/>
                <w:sz w:val="21"/>
                <w:szCs w:val="21"/>
                <w:u w:val="none"/>
                <w:lang w:val="en-US" w:eastAsia="zh-CN" w:bidi="ar"/>
              </w:rPr>
              <w:t>育肥舍1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756" w:type="dxa"/>
            <w:gridSpan w:val="2"/>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cs="Times New Roman"/>
                <w:b/>
                <w:bCs/>
                <w:color w:val="auto"/>
                <w:kern w:val="0"/>
                <w:sz w:val="21"/>
                <w:szCs w:val="21"/>
                <w:lang w:val="en-US" w:eastAsia="zh-CN"/>
              </w:rPr>
              <w:t>下风向</w:t>
            </w:r>
            <w:r>
              <w:rPr>
                <w:rFonts w:hint="default" w:ascii="Times New Roman" w:hAnsi="Times New Roman" w:eastAsia="宋体" w:cs="Times New Roman"/>
                <w:b/>
                <w:bCs/>
                <w:color w:val="auto"/>
                <w:kern w:val="0"/>
                <w:sz w:val="21"/>
                <w:szCs w:val="21"/>
              </w:rPr>
              <w:t>距离</w:t>
            </w:r>
            <w:r>
              <w:rPr>
                <w:rFonts w:hint="default" w:ascii="Times New Roman" w:hAnsi="Times New Roman" w:cs="Times New Roman"/>
                <w:b/>
                <w:bCs/>
                <w:color w:val="auto"/>
                <w:kern w:val="0"/>
                <w:sz w:val="21"/>
                <w:szCs w:val="21"/>
                <w:lang w:val="en-US" w:eastAsia="zh-CN"/>
              </w:rPr>
              <w:t>/</w:t>
            </w:r>
            <w:r>
              <w:rPr>
                <w:rFonts w:hint="default" w:ascii="Times New Roman" w:hAnsi="Times New Roman" w:eastAsia="宋体" w:cs="Times New Roman"/>
                <w:b/>
                <w:bCs/>
                <w:color w:val="auto"/>
                <w:kern w:val="0"/>
                <w:sz w:val="21"/>
                <w:szCs w:val="21"/>
              </w:rPr>
              <w:t>m</w:t>
            </w:r>
          </w:p>
        </w:tc>
        <w:tc>
          <w:tcPr>
            <w:tcW w:w="3512" w:type="dxa"/>
            <w:gridSpan w:val="4"/>
            <w:tcBorders>
              <w:tl2br w:val="nil"/>
              <w:tr2bl w:val="nil"/>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eastAsiaTheme="minorEastAsia"/>
                <w:color w:val="auto"/>
                <w:kern w:val="2"/>
                <w:sz w:val="21"/>
                <w:szCs w:val="22"/>
                <w:lang w:val="en-US" w:eastAsia="zh-CN" w:bidi="ar-SA"/>
              </w:rPr>
            </w:pPr>
            <w:r>
              <w:rPr>
                <w:rFonts w:hint="default" w:ascii="Times New Roman" w:hAnsi="Times New Roman" w:cs="Times New Roman"/>
                <w:color w:val="auto"/>
                <w:lang w:val="en-US" w:eastAsia="zh-CN"/>
              </w:rPr>
              <w:t>NH</w:t>
            </w:r>
            <w:r>
              <w:rPr>
                <w:rFonts w:hint="default" w:ascii="Times New Roman" w:hAnsi="Times New Roman" w:cs="Times New Roman"/>
                <w:color w:val="auto"/>
                <w:vertAlign w:val="subscript"/>
                <w:lang w:val="en-US" w:eastAsia="zh-CN"/>
              </w:rPr>
              <w:t>3</w:t>
            </w:r>
          </w:p>
        </w:tc>
        <w:tc>
          <w:tcPr>
            <w:tcW w:w="3516" w:type="dxa"/>
            <w:gridSpan w:val="3"/>
            <w:tcBorders>
              <w:tl2br w:val="nil"/>
              <w:tr2bl w:val="nil"/>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cs="Times New Roman"/>
                <w:color w:val="auto"/>
                <w:lang w:val="en-US" w:eastAsia="zh-CN"/>
              </w:rPr>
              <w:t>H</w:t>
            </w:r>
            <w:r>
              <w:rPr>
                <w:rFonts w:hint="default" w:ascii="Times New Roman" w:hAnsi="Times New Roman" w:cs="Times New Roman"/>
                <w:color w:val="auto"/>
                <w:vertAlign w:val="subscript"/>
                <w:lang w:val="en-US" w:eastAsia="zh-CN"/>
              </w:rPr>
              <w:t>2</w:t>
            </w:r>
            <w:r>
              <w:rPr>
                <w:rFonts w:hint="default" w:ascii="Times New Roman" w:hAnsi="Times New Roman" w:cs="Times New Roman"/>
                <w:color w:val="auto"/>
                <w:lang w:val="en-US" w:eastAsia="zh-CN"/>
              </w:rPr>
              <w:t>S</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756" w:type="dxa"/>
            <w:gridSpan w:val="2"/>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bCs/>
                <w:i w:val="0"/>
                <w:color w:val="auto"/>
                <w:kern w:val="0"/>
                <w:sz w:val="21"/>
                <w:szCs w:val="21"/>
                <w:u w:val="none"/>
                <w:lang w:val="en-US" w:eastAsia="zh-CN" w:bidi="ar"/>
              </w:rPr>
            </w:pPr>
          </w:p>
        </w:tc>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b/>
                <w:bCs/>
                <w:color w:val="auto"/>
                <w:kern w:val="0"/>
                <w:sz w:val="21"/>
                <w:szCs w:val="21"/>
                <w:lang w:val="en-US" w:eastAsia="zh-CN"/>
              </w:rPr>
              <w:t>预测质量</w:t>
            </w:r>
            <w:r>
              <w:rPr>
                <w:rFonts w:hint="default" w:ascii="Times New Roman" w:hAnsi="Times New Roman" w:eastAsia="宋体" w:cs="Times New Roman"/>
                <w:b/>
                <w:bCs/>
                <w:color w:val="auto"/>
                <w:kern w:val="0"/>
                <w:sz w:val="21"/>
                <w:szCs w:val="21"/>
              </w:rPr>
              <w:t>浓度</w:t>
            </w:r>
            <w:r>
              <w:rPr>
                <w:rFonts w:hint="default" w:ascii="Times New Roman" w:hAnsi="Times New Roman" w:cs="Times New Roman"/>
                <w:b/>
                <w:bCs/>
                <w:color w:val="auto"/>
                <w:kern w:val="0"/>
                <w:sz w:val="21"/>
                <w:szCs w:val="21"/>
                <w:lang w:val="en-US" w:eastAsia="zh-CN"/>
              </w:rPr>
              <w:t>/（</w:t>
            </w:r>
            <w:r>
              <w:rPr>
                <w:rFonts w:hint="eastAsia" w:ascii="Times New Roman" w:hAnsi="Times New Roman" w:cs="Times New Roman"/>
                <w:b/>
                <w:bCs/>
                <w:color w:val="auto"/>
                <w:kern w:val="0"/>
                <w:sz w:val="21"/>
                <w:szCs w:val="21"/>
                <w:lang w:val="en-US" w:eastAsia="zh-CN"/>
              </w:rPr>
              <w:t>m</w:t>
            </w:r>
            <w:r>
              <w:rPr>
                <w:rFonts w:hint="default" w:ascii="Times New Roman" w:hAnsi="Times New Roman" w:eastAsia="宋体" w:cs="Times New Roman"/>
                <w:b/>
                <w:bCs/>
                <w:color w:val="auto"/>
                <w:kern w:val="0"/>
                <w:sz w:val="21"/>
                <w:szCs w:val="21"/>
              </w:rPr>
              <w:t>g/m</w:t>
            </w:r>
            <w:r>
              <w:rPr>
                <w:rFonts w:hint="default" w:ascii="Times New Roman" w:hAnsi="Times New Roman" w:eastAsia="宋体" w:cs="Times New Roman"/>
                <w:b/>
                <w:bCs/>
                <w:color w:val="auto"/>
                <w:kern w:val="0"/>
                <w:sz w:val="21"/>
                <w:szCs w:val="21"/>
                <w:vertAlign w:val="superscript"/>
              </w:rPr>
              <w:t>3</w:t>
            </w:r>
            <w:r>
              <w:rPr>
                <w:rFonts w:hint="default" w:ascii="Times New Roman" w:hAnsi="Times New Roman" w:cs="Times New Roman"/>
                <w:b/>
                <w:bCs/>
                <w:color w:val="auto"/>
                <w:kern w:val="0"/>
                <w:sz w:val="21"/>
                <w:szCs w:val="21"/>
                <w:lang w:val="en-US" w:eastAsia="zh-CN"/>
              </w:rPr>
              <w:t>）</w:t>
            </w:r>
          </w:p>
        </w:tc>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b/>
                <w:bCs/>
                <w:color w:val="auto"/>
                <w:kern w:val="0"/>
                <w:sz w:val="21"/>
                <w:szCs w:val="21"/>
                <w:lang w:val="en-US" w:eastAsia="zh-CN"/>
              </w:rPr>
              <w:t>占标率/%</w:t>
            </w:r>
          </w:p>
        </w:tc>
        <w:tc>
          <w:tcPr>
            <w:tcW w:w="17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b/>
                <w:bCs/>
                <w:color w:val="auto"/>
                <w:kern w:val="0"/>
                <w:sz w:val="21"/>
                <w:szCs w:val="21"/>
                <w:lang w:val="en-US" w:eastAsia="zh-CN"/>
              </w:rPr>
              <w:t>预测质量</w:t>
            </w:r>
            <w:r>
              <w:rPr>
                <w:rFonts w:hint="default" w:ascii="Times New Roman" w:hAnsi="Times New Roman" w:eastAsia="宋体" w:cs="Times New Roman"/>
                <w:b/>
                <w:bCs/>
                <w:color w:val="auto"/>
                <w:kern w:val="0"/>
                <w:sz w:val="21"/>
                <w:szCs w:val="21"/>
              </w:rPr>
              <w:t>浓度</w:t>
            </w:r>
            <w:r>
              <w:rPr>
                <w:rFonts w:hint="default" w:ascii="Times New Roman" w:hAnsi="Times New Roman" w:cs="Times New Roman"/>
                <w:b/>
                <w:bCs/>
                <w:color w:val="auto"/>
                <w:kern w:val="0"/>
                <w:sz w:val="21"/>
                <w:szCs w:val="21"/>
                <w:lang w:val="en-US" w:eastAsia="zh-CN"/>
              </w:rPr>
              <w:t>/（</w:t>
            </w:r>
            <w:r>
              <w:rPr>
                <w:rFonts w:hint="eastAsia" w:ascii="Times New Roman" w:hAnsi="Times New Roman" w:cs="Times New Roman"/>
                <w:b/>
                <w:bCs/>
                <w:color w:val="auto"/>
                <w:kern w:val="0"/>
                <w:sz w:val="21"/>
                <w:szCs w:val="21"/>
                <w:lang w:val="en-US" w:eastAsia="zh-CN"/>
              </w:rPr>
              <w:t>m</w:t>
            </w:r>
            <w:r>
              <w:rPr>
                <w:rFonts w:hint="default" w:ascii="Times New Roman" w:hAnsi="Times New Roman" w:eastAsia="宋体" w:cs="Times New Roman"/>
                <w:b/>
                <w:bCs/>
                <w:color w:val="auto"/>
                <w:kern w:val="0"/>
                <w:sz w:val="21"/>
                <w:szCs w:val="21"/>
              </w:rPr>
              <w:t>g/m</w:t>
            </w:r>
            <w:r>
              <w:rPr>
                <w:rFonts w:hint="default" w:ascii="Times New Roman" w:hAnsi="Times New Roman" w:eastAsia="宋体" w:cs="Times New Roman"/>
                <w:b/>
                <w:bCs/>
                <w:color w:val="auto"/>
                <w:kern w:val="0"/>
                <w:sz w:val="21"/>
                <w:szCs w:val="21"/>
                <w:vertAlign w:val="superscript"/>
              </w:rPr>
              <w:t>3</w:t>
            </w:r>
            <w:r>
              <w:rPr>
                <w:rFonts w:hint="default" w:ascii="Times New Roman" w:hAnsi="Times New Roman" w:cs="Times New Roman"/>
                <w:b/>
                <w:bCs/>
                <w:color w:val="auto"/>
                <w:kern w:val="0"/>
                <w:sz w:val="21"/>
                <w:szCs w:val="21"/>
                <w:lang w:val="en-US" w:eastAsia="zh-CN"/>
              </w:rPr>
              <w:t>）</w:t>
            </w:r>
          </w:p>
        </w:tc>
        <w:tc>
          <w:tcPr>
            <w:tcW w:w="1760"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b/>
                <w:bCs/>
                <w:color w:val="auto"/>
                <w:kern w:val="0"/>
                <w:sz w:val="21"/>
                <w:szCs w:val="21"/>
                <w:lang w:val="en-US" w:eastAsia="zh-CN"/>
              </w:rPr>
              <w:t>占标率/%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8" w:hRule="atLeast"/>
          <w:tblHeader/>
          <w:jc w:val="center"/>
        </w:trPr>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eastAsiaTheme="minorEastAsia"/>
                <w:b w:val="0"/>
                <w:bCs w:val="0"/>
                <w:i w:val="0"/>
                <w:color w:val="auto"/>
                <w:kern w:val="0"/>
                <w:sz w:val="21"/>
                <w:szCs w:val="21"/>
                <w:u w:val="none"/>
                <w:lang w:val="en-US" w:eastAsia="zh-CN" w:bidi="ar"/>
              </w:rPr>
            </w:pPr>
            <w:r>
              <w:rPr>
                <w:rFonts w:hint="default" w:ascii="Times New Roman" w:hAnsi="Times New Roman" w:cs="Times New Roman"/>
                <w:b w:val="0"/>
                <w:bCs w:val="0"/>
                <w:i w:val="0"/>
                <w:color w:val="auto"/>
                <w:kern w:val="0"/>
                <w:sz w:val="21"/>
                <w:szCs w:val="21"/>
                <w:u w:val="none"/>
                <w:lang w:val="en-US" w:eastAsia="zh-CN" w:bidi="ar"/>
              </w:rPr>
              <w:t>10</w:t>
            </w:r>
          </w:p>
        </w:tc>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0.00454</w:t>
            </w:r>
          </w:p>
        </w:tc>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2.27</w:t>
            </w:r>
          </w:p>
        </w:tc>
        <w:tc>
          <w:tcPr>
            <w:tcW w:w="17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0.000327</w:t>
            </w:r>
          </w:p>
        </w:tc>
        <w:tc>
          <w:tcPr>
            <w:tcW w:w="1760"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3.27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25</w:t>
            </w:r>
          </w:p>
        </w:tc>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0.00553</w:t>
            </w:r>
          </w:p>
        </w:tc>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2.77</w:t>
            </w:r>
          </w:p>
        </w:tc>
        <w:tc>
          <w:tcPr>
            <w:tcW w:w="17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0.000398</w:t>
            </w:r>
          </w:p>
        </w:tc>
        <w:tc>
          <w:tcPr>
            <w:tcW w:w="1760"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3.98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50</w:t>
            </w:r>
          </w:p>
        </w:tc>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0.00701</w:t>
            </w:r>
          </w:p>
        </w:tc>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3.50</w:t>
            </w:r>
          </w:p>
        </w:tc>
        <w:tc>
          <w:tcPr>
            <w:tcW w:w="17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0.0005</w:t>
            </w:r>
          </w:p>
        </w:tc>
        <w:tc>
          <w:tcPr>
            <w:tcW w:w="1760"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5.04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bCs/>
                <w:i w:val="0"/>
                <w:color w:val="auto"/>
                <w:kern w:val="0"/>
                <w:sz w:val="21"/>
                <w:szCs w:val="21"/>
                <w:u w:val="none"/>
                <w:lang w:val="en-US" w:eastAsia="zh-CN" w:bidi="ar"/>
              </w:rPr>
            </w:pPr>
            <w:r>
              <w:rPr>
                <w:rFonts w:hint="eastAsia" w:ascii="Times New Roman" w:hAnsi="Times New Roman" w:eastAsia="宋体" w:cs="Times New Roman"/>
                <w:b/>
                <w:bCs/>
                <w:i w:val="0"/>
                <w:color w:val="auto"/>
                <w:kern w:val="0"/>
                <w:sz w:val="21"/>
                <w:szCs w:val="21"/>
                <w:u w:val="none"/>
                <w:lang w:val="en-US" w:eastAsia="zh-CN" w:bidi="ar"/>
              </w:rPr>
              <w:t>74</w:t>
            </w:r>
          </w:p>
        </w:tc>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bCs/>
                <w:i w:val="0"/>
                <w:color w:val="auto"/>
                <w:kern w:val="0"/>
                <w:sz w:val="21"/>
                <w:szCs w:val="21"/>
                <w:u w:val="none"/>
                <w:lang w:val="en-US" w:eastAsia="zh-CN" w:bidi="ar"/>
              </w:rPr>
            </w:pPr>
            <w:r>
              <w:rPr>
                <w:rFonts w:hint="eastAsia" w:ascii="Times New Roman" w:hAnsi="Times New Roman" w:cs="Times New Roman"/>
                <w:b/>
                <w:bCs/>
                <w:i w:val="0"/>
                <w:color w:val="auto"/>
                <w:kern w:val="0"/>
                <w:sz w:val="21"/>
                <w:szCs w:val="21"/>
                <w:u w:val="none"/>
                <w:lang w:val="en-US" w:eastAsia="zh-CN" w:bidi="ar"/>
              </w:rPr>
              <w:t>0.00799</w:t>
            </w:r>
          </w:p>
        </w:tc>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bCs/>
                <w:i w:val="0"/>
                <w:color w:val="auto"/>
                <w:kern w:val="0"/>
                <w:sz w:val="21"/>
                <w:szCs w:val="21"/>
                <w:u w:val="none"/>
                <w:lang w:val="en-US" w:eastAsia="zh-CN" w:bidi="ar"/>
              </w:rPr>
            </w:pPr>
            <w:r>
              <w:rPr>
                <w:rFonts w:hint="eastAsia" w:ascii="Times New Roman" w:hAnsi="Times New Roman" w:cs="Times New Roman"/>
                <w:b/>
                <w:bCs/>
                <w:i w:val="0"/>
                <w:color w:val="auto"/>
                <w:kern w:val="0"/>
                <w:sz w:val="21"/>
                <w:szCs w:val="21"/>
                <w:u w:val="none"/>
                <w:lang w:val="en-US" w:eastAsia="zh-CN" w:bidi="ar"/>
              </w:rPr>
              <w:t>4</w:t>
            </w:r>
          </w:p>
        </w:tc>
        <w:tc>
          <w:tcPr>
            <w:tcW w:w="17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bCs/>
                <w:i w:val="0"/>
                <w:color w:val="auto"/>
                <w:kern w:val="0"/>
                <w:sz w:val="21"/>
                <w:szCs w:val="21"/>
                <w:u w:val="none"/>
                <w:lang w:val="en-US" w:eastAsia="zh-CN" w:bidi="ar"/>
              </w:rPr>
            </w:pPr>
            <w:r>
              <w:rPr>
                <w:rFonts w:hint="eastAsia" w:ascii="Times New Roman" w:hAnsi="Times New Roman" w:cs="Times New Roman"/>
                <w:b/>
                <w:bCs/>
                <w:i w:val="0"/>
                <w:color w:val="auto"/>
                <w:kern w:val="0"/>
                <w:sz w:val="21"/>
                <w:szCs w:val="21"/>
                <w:u w:val="none"/>
                <w:lang w:val="en-US" w:eastAsia="zh-CN" w:bidi="ar"/>
              </w:rPr>
              <w:t>0.000575</w:t>
            </w:r>
          </w:p>
        </w:tc>
        <w:tc>
          <w:tcPr>
            <w:tcW w:w="1760"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bCs/>
                <w:i w:val="0"/>
                <w:color w:val="auto"/>
                <w:kern w:val="0"/>
                <w:sz w:val="21"/>
                <w:szCs w:val="21"/>
                <w:u w:val="none"/>
                <w:lang w:val="en-US" w:eastAsia="zh-CN" w:bidi="ar"/>
              </w:rPr>
            </w:pPr>
            <w:r>
              <w:rPr>
                <w:rFonts w:hint="eastAsia" w:ascii="Times New Roman" w:hAnsi="Times New Roman" w:cs="Times New Roman"/>
                <w:b/>
                <w:bCs/>
                <w:i w:val="0"/>
                <w:color w:val="auto"/>
                <w:kern w:val="0"/>
                <w:sz w:val="21"/>
                <w:szCs w:val="21"/>
                <w:u w:val="none"/>
                <w:lang w:val="en-US" w:eastAsia="zh-CN" w:bidi="ar"/>
              </w:rPr>
              <w:t>5.75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100</w:t>
            </w:r>
          </w:p>
        </w:tc>
        <w:tc>
          <w:tcPr>
            <w:tcW w:w="1756" w:type="dxa"/>
            <w:gridSpan w:val="2"/>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0.00764</w:t>
            </w:r>
          </w:p>
        </w:tc>
        <w:tc>
          <w:tcPr>
            <w:tcW w:w="1756" w:type="dxa"/>
            <w:gridSpan w:val="2"/>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3.82</w:t>
            </w:r>
          </w:p>
        </w:tc>
        <w:tc>
          <w:tcPr>
            <w:tcW w:w="17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0.000573</w:t>
            </w:r>
          </w:p>
        </w:tc>
        <w:tc>
          <w:tcPr>
            <w:tcW w:w="1760"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5.50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150</w:t>
            </w:r>
          </w:p>
        </w:tc>
        <w:tc>
          <w:tcPr>
            <w:tcW w:w="1756" w:type="dxa"/>
            <w:gridSpan w:val="2"/>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0.00564</w:t>
            </w:r>
          </w:p>
        </w:tc>
        <w:tc>
          <w:tcPr>
            <w:tcW w:w="1756" w:type="dxa"/>
            <w:gridSpan w:val="2"/>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2.82</w:t>
            </w:r>
          </w:p>
        </w:tc>
        <w:tc>
          <w:tcPr>
            <w:tcW w:w="17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0.000406</w:t>
            </w:r>
          </w:p>
        </w:tc>
        <w:tc>
          <w:tcPr>
            <w:tcW w:w="1760"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4.06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200</w:t>
            </w:r>
          </w:p>
        </w:tc>
        <w:tc>
          <w:tcPr>
            <w:tcW w:w="1756" w:type="dxa"/>
            <w:gridSpan w:val="2"/>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0.00418</w:t>
            </w:r>
          </w:p>
        </w:tc>
        <w:tc>
          <w:tcPr>
            <w:tcW w:w="1756" w:type="dxa"/>
            <w:gridSpan w:val="2"/>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2.09</w:t>
            </w:r>
          </w:p>
        </w:tc>
        <w:tc>
          <w:tcPr>
            <w:tcW w:w="17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0.000348</w:t>
            </w:r>
          </w:p>
        </w:tc>
        <w:tc>
          <w:tcPr>
            <w:tcW w:w="1760"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300</w:t>
            </w:r>
          </w:p>
        </w:tc>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0.00259</w:t>
            </w:r>
          </w:p>
        </w:tc>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1.29</w:t>
            </w:r>
          </w:p>
        </w:tc>
        <w:tc>
          <w:tcPr>
            <w:tcW w:w="17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0.000186</w:t>
            </w:r>
          </w:p>
        </w:tc>
        <w:tc>
          <w:tcPr>
            <w:tcW w:w="1760"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1.86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400</w:t>
            </w:r>
          </w:p>
        </w:tc>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0.0018</w:t>
            </w:r>
          </w:p>
        </w:tc>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0.90</w:t>
            </w:r>
          </w:p>
        </w:tc>
        <w:tc>
          <w:tcPr>
            <w:tcW w:w="17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eastAsiaTheme="minorEastAsia"/>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0.00013</w:t>
            </w:r>
          </w:p>
        </w:tc>
        <w:tc>
          <w:tcPr>
            <w:tcW w:w="1760"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1.30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500</w:t>
            </w:r>
          </w:p>
        </w:tc>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0.00135</w:t>
            </w:r>
          </w:p>
        </w:tc>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0.68</w:t>
            </w:r>
          </w:p>
        </w:tc>
        <w:tc>
          <w:tcPr>
            <w:tcW w:w="17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eastAsiaTheme="minorEastAsia"/>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0.0000973</w:t>
            </w:r>
          </w:p>
        </w:tc>
        <w:tc>
          <w:tcPr>
            <w:tcW w:w="1760"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0.97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1000</w:t>
            </w:r>
          </w:p>
        </w:tc>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0.000541</w:t>
            </w:r>
          </w:p>
        </w:tc>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0.27</w:t>
            </w:r>
          </w:p>
        </w:tc>
        <w:tc>
          <w:tcPr>
            <w:tcW w:w="17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0.0000389</w:t>
            </w:r>
          </w:p>
        </w:tc>
        <w:tc>
          <w:tcPr>
            <w:tcW w:w="1760"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0.39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1250</w:t>
            </w:r>
          </w:p>
        </w:tc>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0.000402</w:t>
            </w:r>
          </w:p>
        </w:tc>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0.20</w:t>
            </w:r>
          </w:p>
        </w:tc>
        <w:tc>
          <w:tcPr>
            <w:tcW w:w="17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0.0000289</w:t>
            </w:r>
          </w:p>
        </w:tc>
        <w:tc>
          <w:tcPr>
            <w:tcW w:w="1760"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0.29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1500</w:t>
            </w:r>
          </w:p>
        </w:tc>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0.000317</w:t>
            </w:r>
          </w:p>
        </w:tc>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0.16</w:t>
            </w:r>
          </w:p>
        </w:tc>
        <w:tc>
          <w:tcPr>
            <w:tcW w:w="17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0.0000228</w:t>
            </w:r>
          </w:p>
        </w:tc>
        <w:tc>
          <w:tcPr>
            <w:tcW w:w="1760"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0.23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1750</w:t>
            </w:r>
          </w:p>
        </w:tc>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0.000259</w:t>
            </w:r>
          </w:p>
        </w:tc>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0.13</w:t>
            </w:r>
          </w:p>
        </w:tc>
        <w:tc>
          <w:tcPr>
            <w:tcW w:w="17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0.0000186</w:t>
            </w:r>
          </w:p>
        </w:tc>
        <w:tc>
          <w:tcPr>
            <w:tcW w:w="1760"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0.19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2000</w:t>
            </w:r>
          </w:p>
        </w:tc>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0.000216</w:t>
            </w:r>
          </w:p>
        </w:tc>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0.11</w:t>
            </w:r>
          </w:p>
        </w:tc>
        <w:tc>
          <w:tcPr>
            <w:tcW w:w="17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0.0000156</w:t>
            </w:r>
          </w:p>
        </w:tc>
        <w:tc>
          <w:tcPr>
            <w:tcW w:w="1760"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0.16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2250</w:t>
            </w:r>
          </w:p>
        </w:tc>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0.000185</w:t>
            </w:r>
          </w:p>
        </w:tc>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0.09</w:t>
            </w:r>
          </w:p>
        </w:tc>
        <w:tc>
          <w:tcPr>
            <w:tcW w:w="17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0.0000133</w:t>
            </w:r>
          </w:p>
        </w:tc>
        <w:tc>
          <w:tcPr>
            <w:tcW w:w="1760"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0.13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2500</w:t>
            </w:r>
          </w:p>
        </w:tc>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0.00016</w:t>
            </w:r>
          </w:p>
        </w:tc>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0.08</w:t>
            </w:r>
          </w:p>
        </w:tc>
        <w:tc>
          <w:tcPr>
            <w:tcW w:w="17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0.0000115</w:t>
            </w:r>
          </w:p>
        </w:tc>
        <w:tc>
          <w:tcPr>
            <w:tcW w:w="1760"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eastAsiaTheme="minorEastAsia"/>
                <w:i w:val="0"/>
                <w:color w:val="auto"/>
                <w:kern w:val="0"/>
                <w:sz w:val="21"/>
                <w:szCs w:val="21"/>
                <w:u w:val="none"/>
                <w:lang w:val="en-US" w:eastAsia="zh-CN" w:bidi="ar"/>
              </w:rPr>
            </w:pPr>
            <w:r>
              <w:rPr>
                <w:rFonts w:hint="default" w:ascii="Times New Roman" w:hAnsi="Times New Roman" w:cs="Times New Roman"/>
                <w:i w:val="0"/>
                <w:color w:val="auto"/>
                <w:kern w:val="0"/>
                <w:sz w:val="21"/>
                <w:szCs w:val="21"/>
                <w:u w:val="none"/>
                <w:lang w:val="en-US" w:eastAsia="zh-CN" w:bidi="ar"/>
              </w:rPr>
              <w:t>D10%最远距离/m</w:t>
            </w:r>
          </w:p>
        </w:tc>
        <w:tc>
          <w:tcPr>
            <w:tcW w:w="3512" w:type="dxa"/>
            <w:gridSpan w:val="4"/>
            <w:tcBorders>
              <w:tl2br w:val="nil"/>
              <w:tr2bl w:val="nil"/>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cs="Times New Roman"/>
                <w:b w:val="0"/>
                <w:bCs w:val="0"/>
                <w:i w:val="0"/>
                <w:color w:val="auto"/>
                <w:kern w:val="0"/>
                <w:sz w:val="21"/>
                <w:szCs w:val="21"/>
                <w:u w:val="none"/>
                <w:lang w:val="en-US" w:eastAsia="zh-CN" w:bidi="ar"/>
              </w:rPr>
              <w:t>0</w:t>
            </w:r>
          </w:p>
        </w:tc>
        <w:tc>
          <w:tcPr>
            <w:tcW w:w="3516" w:type="dxa"/>
            <w:gridSpan w:val="3"/>
            <w:tcBorders>
              <w:tl2br w:val="nil"/>
              <w:tr2bl w:val="nil"/>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cs="Times New Roman"/>
                <w:b w:val="0"/>
                <w:bCs w:val="0"/>
                <w:i w:val="0"/>
                <w:color w:val="auto"/>
                <w:kern w:val="0"/>
                <w:sz w:val="21"/>
                <w:szCs w:val="21"/>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756"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eastAsiaTheme="minorEastAsia"/>
                <w:i w:val="0"/>
                <w:color w:val="auto"/>
                <w:kern w:val="0"/>
                <w:sz w:val="21"/>
                <w:szCs w:val="21"/>
                <w:u w:val="none"/>
                <w:lang w:val="en-US" w:eastAsia="zh-CN" w:bidi="ar"/>
              </w:rPr>
            </w:pPr>
            <w:r>
              <w:rPr>
                <w:rFonts w:hint="default" w:ascii="Times New Roman" w:hAnsi="Times New Roman" w:cs="Times New Roman"/>
                <w:i w:val="0"/>
                <w:color w:val="auto"/>
                <w:kern w:val="0"/>
                <w:sz w:val="21"/>
                <w:szCs w:val="21"/>
                <w:u w:val="none"/>
                <w:lang w:val="en-US" w:eastAsia="zh-CN" w:bidi="ar"/>
              </w:rPr>
              <w:t>评价等级</w:t>
            </w:r>
          </w:p>
        </w:tc>
        <w:tc>
          <w:tcPr>
            <w:tcW w:w="3512" w:type="dxa"/>
            <w:gridSpan w:val="4"/>
            <w:tcBorders>
              <w:tl2br w:val="nil"/>
              <w:tr2bl w:val="nil"/>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bCs/>
                <w:i w:val="0"/>
                <w:color w:val="auto"/>
                <w:kern w:val="0"/>
                <w:sz w:val="21"/>
                <w:szCs w:val="21"/>
                <w:u w:val="none"/>
                <w:lang w:val="en-US" w:eastAsia="zh-CN" w:bidi="ar"/>
              </w:rPr>
            </w:pPr>
            <w:r>
              <w:rPr>
                <w:rFonts w:hint="default" w:ascii="Times New Roman" w:hAnsi="Times New Roman" w:cs="Times New Roman"/>
                <w:b/>
                <w:bCs/>
                <w:i w:val="0"/>
                <w:color w:val="auto"/>
                <w:kern w:val="0"/>
                <w:sz w:val="21"/>
                <w:szCs w:val="21"/>
                <w:u w:val="none"/>
                <w:lang w:val="en-US" w:eastAsia="zh-CN" w:bidi="ar"/>
              </w:rPr>
              <w:t>二级</w:t>
            </w:r>
          </w:p>
        </w:tc>
        <w:tc>
          <w:tcPr>
            <w:tcW w:w="3516" w:type="dxa"/>
            <w:gridSpan w:val="3"/>
            <w:tcBorders>
              <w:tl2br w:val="nil"/>
              <w:tr2bl w:val="nil"/>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bCs/>
                <w:i w:val="0"/>
                <w:color w:val="auto"/>
                <w:kern w:val="0"/>
                <w:sz w:val="21"/>
                <w:szCs w:val="21"/>
                <w:u w:val="none"/>
                <w:lang w:val="en-US" w:eastAsia="zh-CN" w:bidi="ar"/>
              </w:rPr>
            </w:pPr>
            <w:r>
              <w:rPr>
                <w:rFonts w:hint="default" w:ascii="Times New Roman" w:hAnsi="Times New Roman" w:cs="Times New Roman"/>
                <w:b/>
                <w:bCs/>
                <w:i w:val="0"/>
                <w:color w:val="auto"/>
                <w:kern w:val="0"/>
                <w:sz w:val="21"/>
                <w:szCs w:val="21"/>
                <w:u w:val="none"/>
                <w:lang w:val="en-US" w:eastAsia="zh-CN" w:bidi="ar"/>
              </w:rPr>
              <w:t>二级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8784" w:type="dxa"/>
            <w:gridSpan w:val="9"/>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cs="Times New Roman"/>
                <w:b/>
                <w:bCs/>
                <w:i w:val="0"/>
                <w:color w:val="auto"/>
                <w:kern w:val="0"/>
                <w:sz w:val="21"/>
                <w:szCs w:val="21"/>
                <w:u w:val="none"/>
                <w:lang w:val="en-US" w:eastAsia="zh-CN" w:bidi="ar"/>
              </w:rPr>
              <w:t>面源，</w:t>
            </w:r>
            <w:r>
              <w:rPr>
                <w:rFonts w:hint="eastAsia" w:ascii="Times New Roman" w:hAnsi="Times New Roman" w:cs="Times New Roman"/>
                <w:b/>
                <w:bCs/>
                <w:i w:val="0"/>
                <w:color w:val="auto"/>
                <w:kern w:val="0"/>
                <w:sz w:val="21"/>
                <w:szCs w:val="21"/>
                <w:u w:val="none"/>
                <w:lang w:val="en-US" w:eastAsia="zh-CN" w:bidi="ar"/>
              </w:rPr>
              <w:t>育肥舍2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cs="Times New Roman"/>
                <w:b/>
                <w:bCs/>
                <w:color w:val="auto"/>
                <w:kern w:val="0"/>
                <w:sz w:val="21"/>
                <w:szCs w:val="21"/>
                <w:lang w:val="en-US" w:eastAsia="zh-CN"/>
              </w:rPr>
              <w:t>下风向</w:t>
            </w:r>
            <w:r>
              <w:rPr>
                <w:rFonts w:hint="default" w:ascii="Times New Roman" w:hAnsi="Times New Roman" w:eastAsia="宋体" w:cs="Times New Roman"/>
                <w:b/>
                <w:bCs/>
                <w:color w:val="auto"/>
                <w:kern w:val="0"/>
                <w:sz w:val="21"/>
                <w:szCs w:val="21"/>
              </w:rPr>
              <w:t>距离</w:t>
            </w:r>
            <w:r>
              <w:rPr>
                <w:rFonts w:hint="default" w:ascii="Times New Roman" w:hAnsi="Times New Roman" w:cs="Times New Roman"/>
                <w:b/>
                <w:bCs/>
                <w:color w:val="auto"/>
                <w:kern w:val="0"/>
                <w:sz w:val="21"/>
                <w:szCs w:val="21"/>
                <w:lang w:val="en-US" w:eastAsia="zh-CN"/>
              </w:rPr>
              <w:t>/</w:t>
            </w:r>
            <w:r>
              <w:rPr>
                <w:rFonts w:hint="default" w:ascii="Times New Roman" w:hAnsi="Times New Roman" w:eastAsia="宋体" w:cs="Times New Roman"/>
                <w:b/>
                <w:bCs/>
                <w:color w:val="auto"/>
                <w:kern w:val="0"/>
                <w:sz w:val="21"/>
                <w:szCs w:val="21"/>
              </w:rPr>
              <w:t>m</w:t>
            </w:r>
          </w:p>
        </w:tc>
        <w:tc>
          <w:tcPr>
            <w:tcW w:w="3773" w:type="dxa"/>
            <w:gridSpan w:val="4"/>
            <w:tcBorders>
              <w:tl2br w:val="nil"/>
              <w:tr2bl w:val="nil"/>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NH</w:t>
            </w:r>
            <w:r>
              <w:rPr>
                <w:rFonts w:hint="default" w:ascii="Times New Roman" w:hAnsi="Times New Roman" w:cs="Times New Roman"/>
                <w:color w:val="auto"/>
                <w:vertAlign w:val="subscript"/>
                <w:lang w:val="en-US" w:eastAsia="zh-CN"/>
              </w:rPr>
              <w:t>3</w:t>
            </w:r>
          </w:p>
        </w:tc>
        <w:tc>
          <w:tcPr>
            <w:tcW w:w="3709" w:type="dxa"/>
            <w:gridSpan w:val="4"/>
            <w:tcBorders>
              <w:tl2br w:val="nil"/>
              <w:tr2bl w:val="nil"/>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cs="Times New Roman"/>
                <w:color w:val="auto"/>
                <w:lang w:val="en-US" w:eastAsia="zh-CN"/>
              </w:rPr>
              <w:t>H</w:t>
            </w:r>
            <w:r>
              <w:rPr>
                <w:rFonts w:hint="default" w:ascii="Times New Roman" w:hAnsi="Times New Roman" w:cs="Times New Roman"/>
                <w:color w:val="auto"/>
                <w:vertAlign w:val="subscript"/>
                <w:lang w:val="en-US" w:eastAsia="zh-CN"/>
              </w:rPr>
              <w:t>2</w:t>
            </w:r>
            <w:r>
              <w:rPr>
                <w:rFonts w:hint="default" w:ascii="Times New Roman" w:hAnsi="Times New Roman" w:cs="Times New Roman"/>
                <w:color w:val="auto"/>
                <w:lang w:val="en-US" w:eastAsia="zh-CN"/>
              </w:rPr>
              <w:t>S</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u w:val="none"/>
                <w:lang w:val="en-US" w:eastAsia="zh-CN" w:bidi="ar"/>
              </w:rPr>
            </w:pP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b/>
                <w:bCs/>
                <w:color w:val="auto"/>
                <w:kern w:val="0"/>
                <w:sz w:val="21"/>
                <w:szCs w:val="21"/>
                <w:lang w:val="en-US" w:eastAsia="zh-CN"/>
              </w:rPr>
              <w:t>预测质量</w:t>
            </w:r>
            <w:r>
              <w:rPr>
                <w:rFonts w:hint="default" w:ascii="Times New Roman" w:hAnsi="Times New Roman" w:eastAsia="宋体" w:cs="Times New Roman"/>
                <w:b/>
                <w:bCs/>
                <w:color w:val="auto"/>
                <w:kern w:val="0"/>
                <w:sz w:val="21"/>
                <w:szCs w:val="21"/>
              </w:rPr>
              <w:t>浓度</w:t>
            </w:r>
            <w:r>
              <w:rPr>
                <w:rFonts w:hint="default" w:ascii="Times New Roman" w:hAnsi="Times New Roman" w:cs="Times New Roman"/>
                <w:b/>
                <w:bCs/>
                <w:color w:val="auto"/>
                <w:kern w:val="0"/>
                <w:sz w:val="21"/>
                <w:szCs w:val="21"/>
                <w:lang w:val="en-US" w:eastAsia="zh-CN"/>
              </w:rPr>
              <w:t>/（</w:t>
            </w:r>
            <w:r>
              <w:rPr>
                <w:rFonts w:hint="eastAsia" w:ascii="Times New Roman" w:hAnsi="Times New Roman" w:cs="Times New Roman"/>
                <w:b/>
                <w:bCs/>
                <w:color w:val="auto"/>
                <w:kern w:val="0"/>
                <w:sz w:val="21"/>
                <w:szCs w:val="21"/>
                <w:lang w:val="en-US" w:eastAsia="zh-CN"/>
              </w:rPr>
              <w:t>m</w:t>
            </w:r>
            <w:r>
              <w:rPr>
                <w:rFonts w:hint="default" w:ascii="Times New Roman" w:hAnsi="Times New Roman" w:eastAsia="宋体" w:cs="Times New Roman"/>
                <w:b/>
                <w:bCs/>
                <w:color w:val="auto"/>
                <w:kern w:val="0"/>
                <w:sz w:val="21"/>
                <w:szCs w:val="21"/>
              </w:rPr>
              <w:t>g/m</w:t>
            </w:r>
            <w:r>
              <w:rPr>
                <w:rFonts w:hint="default" w:ascii="Times New Roman" w:hAnsi="Times New Roman" w:eastAsia="宋体" w:cs="Times New Roman"/>
                <w:b/>
                <w:bCs/>
                <w:color w:val="auto"/>
                <w:kern w:val="0"/>
                <w:sz w:val="21"/>
                <w:szCs w:val="21"/>
                <w:vertAlign w:val="superscript"/>
              </w:rPr>
              <w:t>3</w:t>
            </w:r>
            <w:r>
              <w:rPr>
                <w:rFonts w:hint="default" w:ascii="Times New Roman" w:hAnsi="Times New Roman" w:cs="Times New Roman"/>
                <w:b/>
                <w:bCs/>
                <w:color w:val="auto"/>
                <w:kern w:val="0"/>
                <w:sz w:val="21"/>
                <w:szCs w:val="21"/>
                <w:lang w:val="en-US" w:eastAsia="zh-CN"/>
              </w:rPr>
              <w:t>）</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b/>
                <w:bCs/>
                <w:color w:val="auto"/>
                <w:kern w:val="0"/>
                <w:sz w:val="21"/>
                <w:szCs w:val="21"/>
                <w:lang w:val="en-US" w:eastAsia="zh-CN"/>
              </w:rPr>
              <w:t>占标率/%</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b/>
                <w:bCs/>
                <w:color w:val="auto"/>
                <w:kern w:val="0"/>
                <w:sz w:val="21"/>
                <w:szCs w:val="21"/>
                <w:lang w:val="en-US" w:eastAsia="zh-CN"/>
              </w:rPr>
              <w:t>预测质量</w:t>
            </w:r>
            <w:r>
              <w:rPr>
                <w:rFonts w:hint="default" w:ascii="Times New Roman" w:hAnsi="Times New Roman" w:eastAsia="宋体" w:cs="Times New Roman"/>
                <w:b/>
                <w:bCs/>
                <w:color w:val="auto"/>
                <w:kern w:val="0"/>
                <w:sz w:val="21"/>
                <w:szCs w:val="21"/>
              </w:rPr>
              <w:t>浓度</w:t>
            </w:r>
            <w:r>
              <w:rPr>
                <w:rFonts w:hint="default" w:ascii="Times New Roman" w:hAnsi="Times New Roman" w:cs="Times New Roman"/>
                <w:b/>
                <w:bCs/>
                <w:color w:val="auto"/>
                <w:kern w:val="0"/>
                <w:sz w:val="21"/>
                <w:szCs w:val="21"/>
                <w:lang w:val="en-US" w:eastAsia="zh-CN"/>
              </w:rPr>
              <w:t>/（</w:t>
            </w:r>
            <w:r>
              <w:rPr>
                <w:rFonts w:hint="eastAsia" w:ascii="Times New Roman" w:hAnsi="Times New Roman" w:cs="Times New Roman"/>
                <w:b/>
                <w:bCs/>
                <w:color w:val="auto"/>
                <w:kern w:val="0"/>
                <w:sz w:val="21"/>
                <w:szCs w:val="21"/>
                <w:lang w:val="en-US" w:eastAsia="zh-CN"/>
              </w:rPr>
              <w:t>m</w:t>
            </w:r>
            <w:r>
              <w:rPr>
                <w:rFonts w:hint="default" w:ascii="Times New Roman" w:hAnsi="Times New Roman" w:eastAsia="宋体" w:cs="Times New Roman"/>
                <w:b/>
                <w:bCs/>
                <w:color w:val="auto"/>
                <w:kern w:val="0"/>
                <w:sz w:val="21"/>
                <w:szCs w:val="21"/>
              </w:rPr>
              <w:t>g/m</w:t>
            </w:r>
            <w:r>
              <w:rPr>
                <w:rFonts w:hint="default" w:ascii="Times New Roman" w:hAnsi="Times New Roman" w:eastAsia="宋体" w:cs="Times New Roman"/>
                <w:b/>
                <w:bCs/>
                <w:color w:val="auto"/>
                <w:kern w:val="0"/>
                <w:sz w:val="21"/>
                <w:szCs w:val="21"/>
                <w:vertAlign w:val="superscript"/>
              </w:rPr>
              <w:t>3</w:t>
            </w:r>
            <w:r>
              <w:rPr>
                <w:rFonts w:hint="default" w:ascii="Times New Roman" w:hAnsi="Times New Roman" w:cs="Times New Roman"/>
                <w:b/>
                <w:bCs/>
                <w:color w:val="auto"/>
                <w:kern w:val="0"/>
                <w:sz w:val="21"/>
                <w:szCs w:val="21"/>
                <w:lang w:val="en-US" w:eastAsia="zh-CN"/>
              </w:rPr>
              <w:t>）</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b/>
                <w:bCs/>
                <w:color w:val="auto"/>
                <w:kern w:val="0"/>
                <w:sz w:val="21"/>
                <w:szCs w:val="21"/>
                <w:lang w:val="en-US" w:eastAsia="zh-CN"/>
              </w:rPr>
              <w:t>占标率/%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cs="Times New Roman"/>
                <w:b w:val="0"/>
                <w:bCs w:val="0"/>
                <w:i w:val="0"/>
                <w:color w:val="auto"/>
                <w:kern w:val="0"/>
                <w:sz w:val="21"/>
                <w:szCs w:val="21"/>
                <w:u w:val="none"/>
                <w:lang w:val="en-US" w:eastAsia="zh-CN" w:bidi="ar"/>
              </w:rPr>
              <w:t>10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0.00454</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2.27</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0.000327</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3.27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25</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0.00553</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2.77</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0.000398</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3.98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bCs/>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50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bCs/>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0.00701</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bCs/>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3.50</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bCs/>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0.0005</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bCs/>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5.04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eastAsia="宋体" w:cs="Times New Roman"/>
                <w:b/>
                <w:bCs/>
                <w:i w:val="0"/>
                <w:color w:val="auto"/>
                <w:kern w:val="0"/>
                <w:sz w:val="21"/>
                <w:szCs w:val="21"/>
                <w:u w:val="none"/>
                <w:lang w:val="en-US" w:eastAsia="zh-CN" w:bidi="ar"/>
              </w:rPr>
              <w:t>74</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bCs/>
                <w:i w:val="0"/>
                <w:color w:val="auto"/>
                <w:kern w:val="0"/>
                <w:sz w:val="21"/>
                <w:szCs w:val="21"/>
                <w:u w:val="none"/>
                <w:lang w:val="en-US" w:eastAsia="zh-CN" w:bidi="ar"/>
              </w:rPr>
              <w:t>0.00799</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bCs/>
                <w:i w:val="0"/>
                <w:color w:val="auto"/>
                <w:kern w:val="0"/>
                <w:sz w:val="21"/>
                <w:szCs w:val="21"/>
                <w:u w:val="none"/>
                <w:lang w:val="en-US" w:eastAsia="zh-CN" w:bidi="ar"/>
              </w:rPr>
              <w:t>4</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bCs/>
                <w:i w:val="0"/>
                <w:color w:val="auto"/>
                <w:kern w:val="0"/>
                <w:sz w:val="21"/>
                <w:szCs w:val="21"/>
                <w:u w:val="none"/>
                <w:lang w:val="en-US" w:eastAsia="zh-CN" w:bidi="ar"/>
              </w:rPr>
              <w:t>0.000575</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bCs/>
                <w:i w:val="0"/>
                <w:color w:val="auto"/>
                <w:kern w:val="0"/>
                <w:sz w:val="21"/>
                <w:szCs w:val="21"/>
                <w:u w:val="none"/>
                <w:lang w:val="en-US" w:eastAsia="zh-CN" w:bidi="ar"/>
              </w:rPr>
              <w:t>5.75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100</w:t>
            </w:r>
          </w:p>
        </w:tc>
        <w:tc>
          <w:tcPr>
            <w:tcW w:w="1898" w:type="dxa"/>
            <w:gridSpan w:val="2"/>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0.00764</w:t>
            </w:r>
          </w:p>
        </w:tc>
        <w:tc>
          <w:tcPr>
            <w:tcW w:w="1875" w:type="dxa"/>
            <w:gridSpan w:val="2"/>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3.82</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0.000573</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5.50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150</w:t>
            </w:r>
          </w:p>
        </w:tc>
        <w:tc>
          <w:tcPr>
            <w:tcW w:w="1898" w:type="dxa"/>
            <w:gridSpan w:val="2"/>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0.00564</w:t>
            </w:r>
          </w:p>
        </w:tc>
        <w:tc>
          <w:tcPr>
            <w:tcW w:w="1875" w:type="dxa"/>
            <w:gridSpan w:val="2"/>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2.82</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0.000406</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4.06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200</w:t>
            </w:r>
          </w:p>
        </w:tc>
        <w:tc>
          <w:tcPr>
            <w:tcW w:w="1898" w:type="dxa"/>
            <w:gridSpan w:val="2"/>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0.00418</w:t>
            </w:r>
          </w:p>
        </w:tc>
        <w:tc>
          <w:tcPr>
            <w:tcW w:w="1875" w:type="dxa"/>
            <w:gridSpan w:val="2"/>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2.09</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0.000348</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300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0.00259</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1.29</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0.000186</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1.86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400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0.0018</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0.90</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0.00013</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1.30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500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0.00135</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0.68</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0.0000973</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0.97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1000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0.000541</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0.27</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0.0000389</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0.39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1250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0.000402</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0.20</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0.0000289</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0.29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1500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0.000317</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0.16</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0.0000228</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0.23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1750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0.000259</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0.13</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0.0000186</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0.19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2000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0.000216</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0.11</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0.0000156</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0.16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2250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0.000185</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0.09</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0.0000133</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0.13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2500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0.00016</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0.08</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0.0000115</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cs="Times New Roman"/>
                <w:b w:val="0"/>
                <w:bCs w:val="0"/>
                <w:i w:val="0"/>
                <w:color w:val="auto"/>
                <w:kern w:val="0"/>
                <w:sz w:val="21"/>
                <w:szCs w:val="21"/>
                <w:u w:val="none"/>
                <w:lang w:val="en-US" w:eastAsia="zh-CN" w:bidi="ar"/>
              </w:rPr>
              <w:t>10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0.00454</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2.27</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0.000327</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3.27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i w:val="0"/>
                <w:color w:val="auto"/>
                <w:kern w:val="0"/>
                <w:sz w:val="21"/>
                <w:szCs w:val="21"/>
                <w:u w:val="none"/>
                <w:lang w:val="en-US" w:eastAsia="zh-CN" w:bidi="ar"/>
              </w:rPr>
            </w:pPr>
            <w:r>
              <w:rPr>
                <w:rFonts w:hint="default" w:ascii="Times New Roman" w:hAnsi="Times New Roman" w:cs="Times New Roman"/>
                <w:i w:val="0"/>
                <w:color w:val="auto"/>
                <w:kern w:val="0"/>
                <w:sz w:val="21"/>
                <w:szCs w:val="21"/>
                <w:u w:val="none"/>
                <w:lang w:val="en-US" w:eastAsia="zh-CN" w:bidi="ar"/>
              </w:rPr>
              <w:t>D10%最远距离/m</w:t>
            </w:r>
          </w:p>
        </w:tc>
        <w:tc>
          <w:tcPr>
            <w:tcW w:w="3773" w:type="dxa"/>
            <w:gridSpan w:val="4"/>
            <w:tcBorders>
              <w:tl2br w:val="nil"/>
              <w:tr2bl w:val="nil"/>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i w:val="0"/>
                <w:color w:val="auto"/>
                <w:kern w:val="0"/>
                <w:sz w:val="21"/>
                <w:szCs w:val="21"/>
                <w:u w:val="none"/>
                <w:lang w:val="en-US" w:eastAsia="zh-CN" w:bidi="ar"/>
              </w:rPr>
              <w:t>0</w:t>
            </w:r>
          </w:p>
        </w:tc>
        <w:tc>
          <w:tcPr>
            <w:tcW w:w="3709" w:type="dxa"/>
            <w:gridSpan w:val="4"/>
            <w:tcBorders>
              <w:tl2br w:val="nil"/>
              <w:tr2bl w:val="nil"/>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i w:val="0"/>
                <w:color w:val="auto"/>
                <w:kern w:val="0"/>
                <w:sz w:val="21"/>
                <w:szCs w:val="21"/>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i w:val="0"/>
                <w:color w:val="auto"/>
                <w:kern w:val="0"/>
                <w:sz w:val="21"/>
                <w:szCs w:val="21"/>
                <w:u w:val="none"/>
                <w:lang w:val="en-US" w:eastAsia="zh-CN" w:bidi="ar"/>
              </w:rPr>
            </w:pPr>
            <w:r>
              <w:rPr>
                <w:rFonts w:hint="default" w:ascii="Times New Roman" w:hAnsi="Times New Roman" w:cs="Times New Roman"/>
                <w:i w:val="0"/>
                <w:color w:val="auto"/>
                <w:kern w:val="0"/>
                <w:sz w:val="21"/>
                <w:szCs w:val="21"/>
                <w:u w:val="none"/>
                <w:lang w:val="en-US" w:eastAsia="zh-CN" w:bidi="ar"/>
              </w:rPr>
              <w:t>评价等级</w:t>
            </w:r>
          </w:p>
        </w:tc>
        <w:tc>
          <w:tcPr>
            <w:tcW w:w="3773" w:type="dxa"/>
            <w:gridSpan w:val="4"/>
            <w:tcBorders>
              <w:tl2br w:val="nil"/>
              <w:tr2bl w:val="nil"/>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cs="Times New Roman"/>
                <w:b/>
                <w:bCs/>
                <w:i w:val="0"/>
                <w:color w:val="auto"/>
                <w:kern w:val="0"/>
                <w:sz w:val="21"/>
                <w:szCs w:val="21"/>
                <w:u w:val="none"/>
                <w:lang w:val="en-US" w:eastAsia="zh-CN" w:bidi="ar"/>
              </w:rPr>
              <w:t>二级</w:t>
            </w:r>
          </w:p>
        </w:tc>
        <w:tc>
          <w:tcPr>
            <w:tcW w:w="3709" w:type="dxa"/>
            <w:gridSpan w:val="4"/>
            <w:tcBorders>
              <w:tl2br w:val="nil"/>
              <w:tr2bl w:val="nil"/>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cs="Times New Roman"/>
                <w:b/>
                <w:bCs/>
                <w:i w:val="0"/>
                <w:color w:val="auto"/>
                <w:kern w:val="0"/>
                <w:sz w:val="21"/>
                <w:szCs w:val="21"/>
                <w:u w:val="none"/>
                <w:lang w:val="en-US" w:eastAsia="zh-CN" w:bidi="ar"/>
              </w:rPr>
              <w:t>二级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8784" w:type="dxa"/>
            <w:gridSpan w:val="9"/>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面源，污水处理区</w:t>
            </w:r>
            <w:r>
              <w:rPr>
                <w:rFonts w:hint="eastAsia" w:ascii="Times New Roman" w:hAnsi="Times New Roman" w:eastAsia="宋体" w:cs="Times New Roman"/>
                <w:b/>
                <w:bCs/>
                <w:i w:val="0"/>
                <w:color w:val="auto"/>
                <w:kern w:val="0"/>
                <w:sz w:val="21"/>
                <w:szCs w:val="21"/>
                <w:u w:val="none"/>
                <w:lang w:val="en-US" w:eastAsia="zh-CN" w:bidi="ar"/>
              </w:rPr>
              <w:t>（沼液储蓄池）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cs="Times New Roman"/>
                <w:b/>
                <w:bCs/>
                <w:color w:val="auto"/>
                <w:kern w:val="0"/>
                <w:sz w:val="21"/>
                <w:szCs w:val="21"/>
                <w:lang w:val="en-US" w:eastAsia="zh-CN"/>
              </w:rPr>
              <w:t>下风向</w:t>
            </w:r>
            <w:r>
              <w:rPr>
                <w:rFonts w:hint="default" w:ascii="Times New Roman" w:hAnsi="Times New Roman" w:eastAsia="宋体" w:cs="Times New Roman"/>
                <w:b/>
                <w:bCs/>
                <w:color w:val="auto"/>
                <w:kern w:val="0"/>
                <w:sz w:val="21"/>
                <w:szCs w:val="21"/>
              </w:rPr>
              <w:t>距离</w:t>
            </w:r>
            <w:r>
              <w:rPr>
                <w:rFonts w:hint="default" w:ascii="Times New Roman" w:hAnsi="Times New Roman" w:cs="Times New Roman"/>
                <w:b/>
                <w:bCs/>
                <w:color w:val="auto"/>
                <w:kern w:val="0"/>
                <w:sz w:val="21"/>
                <w:szCs w:val="21"/>
                <w:lang w:val="en-US" w:eastAsia="zh-CN"/>
              </w:rPr>
              <w:t>/</w:t>
            </w:r>
            <w:r>
              <w:rPr>
                <w:rFonts w:hint="default" w:ascii="Times New Roman" w:hAnsi="Times New Roman" w:eastAsia="宋体" w:cs="Times New Roman"/>
                <w:b/>
                <w:bCs/>
                <w:color w:val="auto"/>
                <w:kern w:val="0"/>
                <w:sz w:val="21"/>
                <w:szCs w:val="21"/>
              </w:rPr>
              <w:t>m</w:t>
            </w:r>
          </w:p>
        </w:tc>
        <w:tc>
          <w:tcPr>
            <w:tcW w:w="3773" w:type="dxa"/>
            <w:gridSpan w:val="4"/>
            <w:tcBorders>
              <w:tl2br w:val="nil"/>
              <w:tr2bl w:val="nil"/>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NH</w:t>
            </w:r>
            <w:r>
              <w:rPr>
                <w:rFonts w:hint="default" w:ascii="Times New Roman" w:hAnsi="Times New Roman" w:cs="Times New Roman"/>
                <w:color w:val="auto"/>
                <w:vertAlign w:val="subscript"/>
                <w:lang w:val="en-US" w:eastAsia="zh-CN"/>
              </w:rPr>
              <w:t>3</w:t>
            </w:r>
          </w:p>
        </w:tc>
        <w:tc>
          <w:tcPr>
            <w:tcW w:w="3709" w:type="dxa"/>
            <w:gridSpan w:val="4"/>
            <w:tcBorders>
              <w:tl2br w:val="nil"/>
              <w:tr2bl w:val="nil"/>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cs="Times New Roman"/>
                <w:color w:val="auto"/>
                <w:lang w:val="en-US" w:eastAsia="zh-CN"/>
              </w:rPr>
              <w:t>H</w:t>
            </w:r>
            <w:r>
              <w:rPr>
                <w:rFonts w:hint="default" w:ascii="Times New Roman" w:hAnsi="Times New Roman" w:cs="Times New Roman"/>
                <w:color w:val="auto"/>
                <w:vertAlign w:val="subscript"/>
                <w:lang w:val="en-US" w:eastAsia="zh-CN"/>
              </w:rPr>
              <w:t>2</w:t>
            </w:r>
            <w:r>
              <w:rPr>
                <w:rFonts w:hint="default" w:ascii="Times New Roman" w:hAnsi="Times New Roman" w:cs="Times New Roman"/>
                <w:color w:val="auto"/>
                <w:lang w:val="en-US" w:eastAsia="zh-CN"/>
              </w:rPr>
              <w:t>S</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u w:val="none"/>
                <w:lang w:val="en-US" w:eastAsia="zh-CN" w:bidi="ar"/>
              </w:rPr>
            </w:pP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b/>
                <w:bCs/>
                <w:color w:val="auto"/>
                <w:kern w:val="0"/>
                <w:sz w:val="21"/>
                <w:szCs w:val="21"/>
                <w:lang w:val="en-US" w:eastAsia="zh-CN"/>
              </w:rPr>
              <w:t>预测质量</w:t>
            </w:r>
            <w:r>
              <w:rPr>
                <w:rFonts w:hint="default" w:ascii="Times New Roman" w:hAnsi="Times New Roman" w:eastAsia="宋体" w:cs="Times New Roman"/>
                <w:b/>
                <w:bCs/>
                <w:color w:val="auto"/>
                <w:kern w:val="0"/>
                <w:sz w:val="21"/>
                <w:szCs w:val="21"/>
              </w:rPr>
              <w:t>浓度</w:t>
            </w:r>
            <w:r>
              <w:rPr>
                <w:rFonts w:hint="default" w:ascii="Times New Roman" w:hAnsi="Times New Roman" w:cs="Times New Roman"/>
                <w:b/>
                <w:bCs/>
                <w:color w:val="auto"/>
                <w:kern w:val="0"/>
                <w:sz w:val="21"/>
                <w:szCs w:val="21"/>
                <w:lang w:val="en-US" w:eastAsia="zh-CN"/>
              </w:rPr>
              <w:t>/（</w:t>
            </w:r>
            <w:r>
              <w:rPr>
                <w:rFonts w:hint="eastAsia" w:ascii="Times New Roman" w:hAnsi="Times New Roman" w:cs="Times New Roman"/>
                <w:b/>
                <w:bCs/>
                <w:color w:val="auto"/>
                <w:kern w:val="0"/>
                <w:sz w:val="21"/>
                <w:szCs w:val="21"/>
                <w:lang w:val="en-US" w:eastAsia="zh-CN"/>
              </w:rPr>
              <w:t>m</w:t>
            </w:r>
            <w:r>
              <w:rPr>
                <w:rFonts w:hint="default" w:ascii="Times New Roman" w:hAnsi="Times New Roman" w:eastAsia="宋体" w:cs="Times New Roman"/>
                <w:b/>
                <w:bCs/>
                <w:color w:val="auto"/>
                <w:kern w:val="0"/>
                <w:sz w:val="21"/>
                <w:szCs w:val="21"/>
              </w:rPr>
              <w:t>g/m</w:t>
            </w:r>
            <w:r>
              <w:rPr>
                <w:rFonts w:hint="default" w:ascii="Times New Roman" w:hAnsi="Times New Roman" w:eastAsia="宋体" w:cs="Times New Roman"/>
                <w:b/>
                <w:bCs/>
                <w:color w:val="auto"/>
                <w:kern w:val="0"/>
                <w:sz w:val="21"/>
                <w:szCs w:val="21"/>
                <w:vertAlign w:val="superscript"/>
              </w:rPr>
              <w:t>3</w:t>
            </w:r>
            <w:r>
              <w:rPr>
                <w:rFonts w:hint="default" w:ascii="Times New Roman" w:hAnsi="Times New Roman" w:cs="Times New Roman"/>
                <w:b/>
                <w:bCs/>
                <w:color w:val="auto"/>
                <w:kern w:val="0"/>
                <w:sz w:val="21"/>
                <w:szCs w:val="21"/>
                <w:lang w:val="en-US" w:eastAsia="zh-CN"/>
              </w:rPr>
              <w:t>）</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b/>
                <w:bCs/>
                <w:color w:val="auto"/>
                <w:kern w:val="0"/>
                <w:sz w:val="21"/>
                <w:szCs w:val="21"/>
                <w:lang w:val="en-US" w:eastAsia="zh-CN"/>
              </w:rPr>
              <w:t>占标率/%</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b/>
                <w:bCs/>
                <w:color w:val="auto"/>
                <w:kern w:val="0"/>
                <w:sz w:val="21"/>
                <w:szCs w:val="21"/>
                <w:lang w:val="en-US" w:eastAsia="zh-CN"/>
              </w:rPr>
              <w:t>预测质量</w:t>
            </w:r>
            <w:r>
              <w:rPr>
                <w:rFonts w:hint="default" w:ascii="Times New Roman" w:hAnsi="Times New Roman" w:eastAsia="宋体" w:cs="Times New Roman"/>
                <w:b/>
                <w:bCs/>
                <w:color w:val="auto"/>
                <w:kern w:val="0"/>
                <w:sz w:val="21"/>
                <w:szCs w:val="21"/>
              </w:rPr>
              <w:t>浓度</w:t>
            </w:r>
            <w:r>
              <w:rPr>
                <w:rFonts w:hint="default" w:ascii="Times New Roman" w:hAnsi="Times New Roman" w:cs="Times New Roman"/>
                <w:b/>
                <w:bCs/>
                <w:color w:val="auto"/>
                <w:kern w:val="0"/>
                <w:sz w:val="21"/>
                <w:szCs w:val="21"/>
                <w:lang w:val="en-US" w:eastAsia="zh-CN"/>
              </w:rPr>
              <w:t>/（</w:t>
            </w:r>
            <w:r>
              <w:rPr>
                <w:rFonts w:hint="eastAsia" w:ascii="Times New Roman" w:hAnsi="Times New Roman" w:cs="Times New Roman"/>
                <w:b/>
                <w:bCs/>
                <w:color w:val="auto"/>
                <w:kern w:val="0"/>
                <w:sz w:val="21"/>
                <w:szCs w:val="21"/>
                <w:lang w:val="en-US" w:eastAsia="zh-CN"/>
              </w:rPr>
              <w:t>m</w:t>
            </w:r>
            <w:r>
              <w:rPr>
                <w:rFonts w:hint="default" w:ascii="Times New Roman" w:hAnsi="Times New Roman" w:eastAsia="宋体" w:cs="Times New Roman"/>
                <w:b/>
                <w:bCs/>
                <w:color w:val="auto"/>
                <w:kern w:val="0"/>
                <w:sz w:val="21"/>
                <w:szCs w:val="21"/>
              </w:rPr>
              <w:t>g/m</w:t>
            </w:r>
            <w:r>
              <w:rPr>
                <w:rFonts w:hint="default" w:ascii="Times New Roman" w:hAnsi="Times New Roman" w:eastAsia="宋体" w:cs="Times New Roman"/>
                <w:b/>
                <w:bCs/>
                <w:color w:val="auto"/>
                <w:kern w:val="0"/>
                <w:sz w:val="21"/>
                <w:szCs w:val="21"/>
                <w:vertAlign w:val="superscript"/>
              </w:rPr>
              <w:t>3</w:t>
            </w:r>
            <w:r>
              <w:rPr>
                <w:rFonts w:hint="default" w:ascii="Times New Roman" w:hAnsi="Times New Roman" w:cs="Times New Roman"/>
                <w:b/>
                <w:bCs/>
                <w:color w:val="auto"/>
                <w:kern w:val="0"/>
                <w:sz w:val="21"/>
                <w:szCs w:val="21"/>
                <w:lang w:val="en-US" w:eastAsia="zh-CN"/>
              </w:rPr>
              <w:t>）</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b/>
                <w:bCs/>
                <w:color w:val="auto"/>
                <w:kern w:val="0"/>
                <w:sz w:val="21"/>
                <w:szCs w:val="21"/>
                <w:lang w:val="en-US" w:eastAsia="zh-CN"/>
              </w:rPr>
              <w:t>占标率/%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cs="Times New Roman"/>
                <w:b w:val="0"/>
                <w:bCs w:val="0"/>
                <w:i w:val="0"/>
                <w:color w:val="auto"/>
                <w:kern w:val="0"/>
                <w:sz w:val="21"/>
                <w:szCs w:val="21"/>
                <w:u w:val="none"/>
                <w:lang w:val="en-US" w:eastAsia="zh-CN" w:bidi="ar"/>
              </w:rPr>
              <w:t>10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0.0107</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5.34</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3.21</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5</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0.32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cs="Times New Roman"/>
                <w:b w:val="0"/>
                <w:bCs w:val="0"/>
                <w:i w:val="0"/>
                <w:color w:val="auto"/>
                <w:kern w:val="0"/>
                <w:sz w:val="21"/>
                <w:szCs w:val="21"/>
                <w:u w:val="none"/>
                <w:lang w:val="en-US" w:eastAsia="zh-CN" w:bidi="ar"/>
              </w:rPr>
              <w:t>25</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0.0163</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8.13</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4.88</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5</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0.49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bCs/>
                <w:i w:val="0"/>
                <w:color w:val="auto"/>
                <w:kern w:val="0"/>
                <w:sz w:val="21"/>
                <w:szCs w:val="21"/>
                <w:u w:val="none"/>
                <w:lang w:val="en-US" w:eastAsia="zh-CN" w:bidi="ar"/>
              </w:rPr>
            </w:pPr>
            <w:r>
              <w:rPr>
                <w:rFonts w:hint="eastAsia" w:ascii="Times New Roman" w:hAnsi="Times New Roman" w:cs="Times New Roman"/>
                <w:b/>
                <w:bCs/>
                <w:i w:val="0"/>
                <w:color w:val="auto"/>
                <w:kern w:val="0"/>
                <w:sz w:val="21"/>
                <w:szCs w:val="21"/>
                <w:u w:val="none"/>
                <w:lang w:val="en-US" w:eastAsia="zh-CN" w:bidi="ar"/>
              </w:rPr>
              <w:t>36</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bCs/>
                <w:i w:val="0"/>
                <w:color w:val="auto"/>
                <w:kern w:val="0"/>
                <w:sz w:val="21"/>
                <w:szCs w:val="21"/>
                <w:u w:val="none"/>
                <w:lang w:val="en-US" w:eastAsia="zh-CN" w:bidi="ar"/>
              </w:rPr>
            </w:pPr>
            <w:r>
              <w:rPr>
                <w:rFonts w:hint="eastAsia" w:ascii="Times New Roman" w:hAnsi="Times New Roman" w:cs="Times New Roman"/>
                <w:b/>
                <w:bCs/>
                <w:i w:val="0"/>
                <w:color w:val="auto"/>
                <w:kern w:val="0"/>
                <w:sz w:val="21"/>
                <w:szCs w:val="21"/>
                <w:u w:val="none"/>
                <w:lang w:val="en-US" w:eastAsia="zh-CN" w:bidi="ar"/>
              </w:rPr>
              <w:t>0.0174</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bCs/>
                <w:i w:val="0"/>
                <w:color w:val="auto"/>
                <w:kern w:val="0"/>
                <w:sz w:val="21"/>
                <w:szCs w:val="21"/>
                <w:u w:val="none"/>
                <w:lang w:val="en-US" w:eastAsia="zh-CN" w:bidi="ar"/>
              </w:rPr>
            </w:pPr>
            <w:r>
              <w:rPr>
                <w:rFonts w:hint="eastAsia" w:ascii="Times New Roman" w:hAnsi="Times New Roman" w:cs="Times New Roman"/>
                <w:b/>
                <w:bCs/>
                <w:i w:val="0"/>
                <w:color w:val="auto"/>
                <w:kern w:val="0"/>
                <w:sz w:val="21"/>
                <w:szCs w:val="21"/>
                <w:u w:val="none"/>
                <w:lang w:val="en-US" w:eastAsia="zh-CN" w:bidi="ar"/>
              </w:rPr>
              <w:t>8.69</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bCs/>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5.21</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5</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bCs/>
                <w:i w:val="0"/>
                <w:color w:val="auto"/>
                <w:kern w:val="0"/>
                <w:sz w:val="21"/>
                <w:szCs w:val="21"/>
                <w:u w:val="none"/>
                <w:lang w:val="en-US" w:eastAsia="zh-CN" w:bidi="ar"/>
              </w:rPr>
            </w:pPr>
            <w:r>
              <w:rPr>
                <w:rFonts w:hint="eastAsia" w:ascii="Times New Roman" w:hAnsi="Times New Roman" w:cs="Times New Roman"/>
                <w:b/>
                <w:bCs/>
                <w:i w:val="0"/>
                <w:color w:val="auto"/>
                <w:kern w:val="0"/>
                <w:sz w:val="21"/>
                <w:szCs w:val="21"/>
                <w:u w:val="none"/>
                <w:lang w:val="en-US" w:eastAsia="zh-CN" w:bidi="ar"/>
              </w:rPr>
              <w:t>0.52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50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0.0158</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7.92</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4.75</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5</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0.48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75</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0.0116</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5.80</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3.48</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5</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0.35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100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0.00862</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4.31</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2.59</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5</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0.26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150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0.00536</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2.68</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1.61</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5</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0.16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200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0.00374</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1.87</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1.12</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5</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0.11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300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0.00221</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1.10</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6.62</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-6</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400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0.00151</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0.75</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4.52</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-6</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500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0.00112</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0.56</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3.36</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-6</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1000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0.00044</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0.22</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1.32</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-6</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1250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0.000325</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0.16</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9.75</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7</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1500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0.000253</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0.13</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7.60</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7</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1750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0.000205</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0.10</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6.16</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7</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2000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0.000171</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0.09</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5.14</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7</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2250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0.000146</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0.07</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4.38</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7</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2500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0.000126</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0.06</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3.79</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7</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i w:val="0"/>
                <w:color w:val="auto"/>
                <w:kern w:val="0"/>
                <w:sz w:val="21"/>
                <w:szCs w:val="21"/>
                <w:u w:val="none"/>
                <w:lang w:val="en-US" w:eastAsia="zh-CN" w:bidi="ar"/>
              </w:rPr>
            </w:pPr>
            <w:r>
              <w:rPr>
                <w:rFonts w:hint="default" w:ascii="Times New Roman" w:hAnsi="Times New Roman" w:cs="Times New Roman"/>
                <w:i w:val="0"/>
                <w:color w:val="auto"/>
                <w:kern w:val="0"/>
                <w:sz w:val="21"/>
                <w:szCs w:val="21"/>
                <w:u w:val="none"/>
                <w:lang w:val="en-US" w:eastAsia="zh-CN" w:bidi="ar"/>
              </w:rPr>
              <w:t>D10%最远距离/m</w:t>
            </w:r>
          </w:p>
        </w:tc>
        <w:tc>
          <w:tcPr>
            <w:tcW w:w="3773" w:type="dxa"/>
            <w:gridSpan w:val="4"/>
            <w:tcBorders>
              <w:tl2br w:val="nil"/>
              <w:tr2bl w:val="nil"/>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i w:val="0"/>
                <w:color w:val="auto"/>
                <w:kern w:val="0"/>
                <w:sz w:val="21"/>
                <w:szCs w:val="21"/>
                <w:u w:val="none"/>
                <w:lang w:val="en-US" w:eastAsia="zh-CN" w:bidi="ar"/>
              </w:rPr>
              <w:t>0</w:t>
            </w:r>
          </w:p>
        </w:tc>
        <w:tc>
          <w:tcPr>
            <w:tcW w:w="3709" w:type="dxa"/>
            <w:gridSpan w:val="4"/>
            <w:tcBorders>
              <w:tl2br w:val="nil"/>
              <w:tr2bl w:val="nil"/>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i w:val="0"/>
                <w:color w:val="auto"/>
                <w:kern w:val="0"/>
                <w:sz w:val="21"/>
                <w:szCs w:val="21"/>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i w:val="0"/>
                <w:color w:val="auto"/>
                <w:kern w:val="0"/>
                <w:sz w:val="21"/>
                <w:szCs w:val="21"/>
                <w:u w:val="none"/>
                <w:lang w:val="en-US" w:eastAsia="zh-CN" w:bidi="ar"/>
              </w:rPr>
            </w:pPr>
            <w:r>
              <w:rPr>
                <w:rFonts w:hint="default" w:ascii="Times New Roman" w:hAnsi="Times New Roman" w:cs="Times New Roman"/>
                <w:i w:val="0"/>
                <w:color w:val="auto"/>
                <w:kern w:val="0"/>
                <w:sz w:val="21"/>
                <w:szCs w:val="21"/>
                <w:u w:val="none"/>
                <w:lang w:val="en-US" w:eastAsia="zh-CN" w:bidi="ar"/>
              </w:rPr>
              <w:t>评价等级</w:t>
            </w:r>
          </w:p>
        </w:tc>
        <w:tc>
          <w:tcPr>
            <w:tcW w:w="3773" w:type="dxa"/>
            <w:gridSpan w:val="4"/>
            <w:tcBorders>
              <w:tl2br w:val="nil"/>
              <w:tr2bl w:val="nil"/>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cs="Times New Roman"/>
                <w:b/>
                <w:bCs/>
                <w:i w:val="0"/>
                <w:color w:val="auto"/>
                <w:kern w:val="0"/>
                <w:sz w:val="21"/>
                <w:szCs w:val="21"/>
                <w:u w:val="none"/>
                <w:lang w:val="en-US" w:eastAsia="zh-CN" w:bidi="ar"/>
              </w:rPr>
              <w:t>二级</w:t>
            </w:r>
          </w:p>
        </w:tc>
        <w:tc>
          <w:tcPr>
            <w:tcW w:w="3709" w:type="dxa"/>
            <w:gridSpan w:val="4"/>
            <w:tcBorders>
              <w:tl2br w:val="nil"/>
              <w:tr2bl w:val="nil"/>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cs="Times New Roman"/>
                <w:b/>
                <w:bCs/>
                <w:i w:val="0"/>
                <w:color w:val="auto"/>
                <w:kern w:val="0"/>
                <w:sz w:val="21"/>
                <w:szCs w:val="21"/>
                <w:u w:val="none"/>
                <w:lang w:val="en-US" w:eastAsia="zh-CN" w:bidi="ar"/>
              </w:rPr>
              <w:t>二级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8784" w:type="dxa"/>
            <w:gridSpan w:val="9"/>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点源，</w:t>
            </w:r>
            <w:r>
              <w:rPr>
                <w:rFonts w:hint="eastAsia" w:ascii="Times New Roman" w:hAnsi="Times New Roman" w:eastAsia="宋体" w:cs="Times New Roman"/>
                <w:b/>
                <w:bCs/>
                <w:i w:val="0"/>
                <w:color w:val="auto"/>
                <w:kern w:val="0"/>
                <w:sz w:val="21"/>
                <w:szCs w:val="21"/>
                <w:u w:val="none"/>
                <w:lang w:val="en-US" w:eastAsia="zh-CN" w:bidi="ar"/>
              </w:rPr>
              <w:t>堆粪间</w:t>
            </w:r>
            <w:r>
              <w:rPr>
                <w:rFonts w:hint="default" w:ascii="Times New Roman" w:hAnsi="Times New Roman" w:eastAsia="宋体" w:cs="Times New Roman"/>
                <w:b/>
                <w:bCs/>
                <w:i w:val="0"/>
                <w:color w:val="auto"/>
                <w:kern w:val="0"/>
                <w:sz w:val="21"/>
                <w:szCs w:val="21"/>
                <w:u w:val="none"/>
                <w:lang w:val="en-US" w:eastAsia="zh-CN" w:bidi="ar"/>
              </w:rPr>
              <w:t>排气筒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cs="Times New Roman"/>
                <w:b/>
                <w:bCs/>
                <w:color w:val="auto"/>
                <w:kern w:val="0"/>
                <w:sz w:val="21"/>
                <w:szCs w:val="21"/>
                <w:lang w:val="en-US" w:eastAsia="zh-CN"/>
              </w:rPr>
              <w:t>下风向</w:t>
            </w:r>
            <w:r>
              <w:rPr>
                <w:rFonts w:hint="default" w:ascii="Times New Roman" w:hAnsi="Times New Roman" w:eastAsia="宋体" w:cs="Times New Roman"/>
                <w:b/>
                <w:bCs/>
                <w:color w:val="auto"/>
                <w:kern w:val="0"/>
                <w:sz w:val="21"/>
                <w:szCs w:val="21"/>
              </w:rPr>
              <w:t>距离</w:t>
            </w:r>
            <w:r>
              <w:rPr>
                <w:rFonts w:hint="default" w:ascii="Times New Roman" w:hAnsi="Times New Roman" w:cs="Times New Roman"/>
                <w:b/>
                <w:bCs/>
                <w:color w:val="auto"/>
                <w:kern w:val="0"/>
                <w:sz w:val="21"/>
                <w:szCs w:val="21"/>
                <w:lang w:val="en-US" w:eastAsia="zh-CN"/>
              </w:rPr>
              <w:t>/</w:t>
            </w:r>
            <w:r>
              <w:rPr>
                <w:rFonts w:hint="default" w:ascii="Times New Roman" w:hAnsi="Times New Roman" w:eastAsia="宋体" w:cs="Times New Roman"/>
                <w:b/>
                <w:bCs/>
                <w:color w:val="auto"/>
                <w:kern w:val="0"/>
                <w:sz w:val="21"/>
                <w:szCs w:val="21"/>
              </w:rPr>
              <w:t>m</w:t>
            </w:r>
          </w:p>
        </w:tc>
        <w:tc>
          <w:tcPr>
            <w:tcW w:w="3773" w:type="dxa"/>
            <w:gridSpan w:val="4"/>
            <w:tcBorders>
              <w:tl2br w:val="nil"/>
              <w:tr2bl w:val="nil"/>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NH</w:t>
            </w:r>
            <w:r>
              <w:rPr>
                <w:rFonts w:hint="default" w:ascii="Times New Roman" w:hAnsi="Times New Roman" w:cs="Times New Roman"/>
                <w:color w:val="auto"/>
                <w:vertAlign w:val="subscript"/>
                <w:lang w:val="en-US" w:eastAsia="zh-CN"/>
              </w:rPr>
              <w:t>3</w:t>
            </w:r>
          </w:p>
        </w:tc>
        <w:tc>
          <w:tcPr>
            <w:tcW w:w="3709" w:type="dxa"/>
            <w:gridSpan w:val="4"/>
            <w:tcBorders>
              <w:tl2br w:val="nil"/>
              <w:tr2bl w:val="nil"/>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cs="Times New Roman"/>
                <w:color w:val="auto"/>
                <w:lang w:val="en-US" w:eastAsia="zh-CN"/>
              </w:rPr>
              <w:t>H</w:t>
            </w:r>
            <w:r>
              <w:rPr>
                <w:rFonts w:hint="default" w:ascii="Times New Roman" w:hAnsi="Times New Roman" w:cs="Times New Roman"/>
                <w:color w:val="auto"/>
                <w:vertAlign w:val="subscript"/>
                <w:lang w:val="en-US" w:eastAsia="zh-CN"/>
              </w:rPr>
              <w:t>2</w:t>
            </w:r>
            <w:r>
              <w:rPr>
                <w:rFonts w:hint="default" w:ascii="Times New Roman" w:hAnsi="Times New Roman" w:cs="Times New Roman"/>
                <w:color w:val="auto"/>
                <w:lang w:val="en-US" w:eastAsia="zh-CN"/>
              </w:rPr>
              <w:t>S</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u w:val="none"/>
                <w:lang w:val="en-US" w:eastAsia="zh-CN" w:bidi="ar"/>
              </w:rPr>
            </w:pP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b/>
                <w:bCs/>
                <w:color w:val="auto"/>
                <w:kern w:val="0"/>
                <w:sz w:val="21"/>
                <w:szCs w:val="21"/>
                <w:lang w:val="en-US" w:eastAsia="zh-CN"/>
              </w:rPr>
              <w:t>预测质量</w:t>
            </w:r>
            <w:r>
              <w:rPr>
                <w:rFonts w:hint="default" w:ascii="Times New Roman" w:hAnsi="Times New Roman" w:eastAsia="宋体" w:cs="Times New Roman"/>
                <w:b/>
                <w:bCs/>
                <w:color w:val="auto"/>
                <w:kern w:val="0"/>
                <w:sz w:val="21"/>
                <w:szCs w:val="21"/>
              </w:rPr>
              <w:t>浓度</w:t>
            </w:r>
            <w:r>
              <w:rPr>
                <w:rFonts w:hint="default" w:ascii="Times New Roman" w:hAnsi="Times New Roman" w:cs="Times New Roman"/>
                <w:b/>
                <w:bCs/>
                <w:color w:val="auto"/>
                <w:kern w:val="0"/>
                <w:sz w:val="21"/>
                <w:szCs w:val="21"/>
                <w:lang w:val="en-US" w:eastAsia="zh-CN"/>
              </w:rPr>
              <w:t>/（</w:t>
            </w:r>
            <w:r>
              <w:rPr>
                <w:rFonts w:hint="eastAsia" w:ascii="Times New Roman" w:hAnsi="Times New Roman" w:cs="Times New Roman"/>
                <w:b/>
                <w:bCs/>
                <w:color w:val="auto"/>
                <w:kern w:val="0"/>
                <w:sz w:val="21"/>
                <w:szCs w:val="21"/>
                <w:lang w:val="en-US" w:eastAsia="zh-CN"/>
              </w:rPr>
              <w:t>m</w:t>
            </w:r>
            <w:r>
              <w:rPr>
                <w:rFonts w:hint="default" w:ascii="Times New Roman" w:hAnsi="Times New Roman" w:eastAsia="宋体" w:cs="Times New Roman"/>
                <w:b/>
                <w:bCs/>
                <w:color w:val="auto"/>
                <w:kern w:val="0"/>
                <w:sz w:val="21"/>
                <w:szCs w:val="21"/>
              </w:rPr>
              <w:t>g/m</w:t>
            </w:r>
            <w:r>
              <w:rPr>
                <w:rFonts w:hint="default" w:ascii="Times New Roman" w:hAnsi="Times New Roman" w:eastAsia="宋体" w:cs="Times New Roman"/>
                <w:b/>
                <w:bCs/>
                <w:color w:val="auto"/>
                <w:kern w:val="0"/>
                <w:sz w:val="21"/>
                <w:szCs w:val="21"/>
                <w:vertAlign w:val="superscript"/>
              </w:rPr>
              <w:t>3</w:t>
            </w:r>
            <w:r>
              <w:rPr>
                <w:rFonts w:hint="default" w:ascii="Times New Roman" w:hAnsi="Times New Roman" w:cs="Times New Roman"/>
                <w:b/>
                <w:bCs/>
                <w:color w:val="auto"/>
                <w:kern w:val="0"/>
                <w:sz w:val="21"/>
                <w:szCs w:val="21"/>
                <w:lang w:val="en-US" w:eastAsia="zh-CN"/>
              </w:rPr>
              <w:t>）</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b/>
                <w:bCs/>
                <w:color w:val="auto"/>
                <w:kern w:val="0"/>
                <w:sz w:val="21"/>
                <w:szCs w:val="21"/>
                <w:lang w:val="en-US" w:eastAsia="zh-CN"/>
              </w:rPr>
              <w:t>占标率/%</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b/>
                <w:bCs/>
                <w:color w:val="auto"/>
                <w:kern w:val="0"/>
                <w:sz w:val="21"/>
                <w:szCs w:val="21"/>
                <w:lang w:val="en-US" w:eastAsia="zh-CN"/>
              </w:rPr>
              <w:t>预测质量</w:t>
            </w:r>
            <w:r>
              <w:rPr>
                <w:rFonts w:hint="default" w:ascii="Times New Roman" w:hAnsi="Times New Roman" w:eastAsia="宋体" w:cs="Times New Roman"/>
                <w:b/>
                <w:bCs/>
                <w:color w:val="auto"/>
                <w:kern w:val="0"/>
                <w:sz w:val="21"/>
                <w:szCs w:val="21"/>
              </w:rPr>
              <w:t>浓度</w:t>
            </w:r>
            <w:r>
              <w:rPr>
                <w:rFonts w:hint="default" w:ascii="Times New Roman" w:hAnsi="Times New Roman" w:cs="Times New Roman"/>
                <w:b/>
                <w:bCs/>
                <w:color w:val="auto"/>
                <w:kern w:val="0"/>
                <w:sz w:val="21"/>
                <w:szCs w:val="21"/>
                <w:lang w:val="en-US" w:eastAsia="zh-CN"/>
              </w:rPr>
              <w:t>/（</w:t>
            </w:r>
            <w:r>
              <w:rPr>
                <w:rFonts w:hint="eastAsia" w:ascii="Times New Roman" w:hAnsi="Times New Roman" w:cs="Times New Roman"/>
                <w:b/>
                <w:bCs/>
                <w:color w:val="auto"/>
                <w:kern w:val="0"/>
                <w:sz w:val="21"/>
                <w:szCs w:val="21"/>
                <w:lang w:val="en-US" w:eastAsia="zh-CN"/>
              </w:rPr>
              <w:t>m</w:t>
            </w:r>
            <w:r>
              <w:rPr>
                <w:rFonts w:hint="default" w:ascii="Times New Roman" w:hAnsi="Times New Roman" w:eastAsia="宋体" w:cs="Times New Roman"/>
                <w:b/>
                <w:bCs/>
                <w:color w:val="auto"/>
                <w:kern w:val="0"/>
                <w:sz w:val="21"/>
                <w:szCs w:val="21"/>
              </w:rPr>
              <w:t>g/m</w:t>
            </w:r>
            <w:r>
              <w:rPr>
                <w:rFonts w:hint="default" w:ascii="Times New Roman" w:hAnsi="Times New Roman" w:eastAsia="宋体" w:cs="Times New Roman"/>
                <w:b/>
                <w:bCs/>
                <w:color w:val="auto"/>
                <w:kern w:val="0"/>
                <w:sz w:val="21"/>
                <w:szCs w:val="21"/>
                <w:vertAlign w:val="superscript"/>
              </w:rPr>
              <w:t>3</w:t>
            </w:r>
            <w:r>
              <w:rPr>
                <w:rFonts w:hint="default" w:ascii="Times New Roman" w:hAnsi="Times New Roman" w:cs="Times New Roman"/>
                <w:b/>
                <w:bCs/>
                <w:color w:val="auto"/>
                <w:kern w:val="0"/>
                <w:sz w:val="21"/>
                <w:szCs w:val="21"/>
                <w:lang w:val="en-US" w:eastAsia="zh-CN"/>
              </w:rPr>
              <w:t>）</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b/>
                <w:bCs/>
                <w:color w:val="auto"/>
                <w:kern w:val="0"/>
                <w:sz w:val="21"/>
                <w:szCs w:val="21"/>
                <w:lang w:val="en-US" w:eastAsia="zh-CN"/>
              </w:rPr>
              <w:t>占标率/%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cs="Times New Roman"/>
                <w:b w:val="0"/>
                <w:bCs w:val="0"/>
                <w:i w:val="0"/>
                <w:color w:val="auto"/>
                <w:kern w:val="0"/>
                <w:sz w:val="21"/>
                <w:szCs w:val="21"/>
                <w:u w:val="none"/>
                <w:lang w:val="en-US" w:eastAsia="zh-CN" w:bidi="ar"/>
              </w:rPr>
              <w:t>10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vertAlign w:val="superscript"/>
                <w:lang w:val="en-US" w:eastAsia="zh-CN" w:bidi="ar"/>
              </w:rPr>
            </w:pPr>
            <w:r>
              <w:rPr>
                <w:rFonts w:hint="eastAsia" w:ascii="Times New Roman" w:hAnsi="Times New Roman" w:cs="Times New Roman"/>
                <w:b w:val="0"/>
                <w:bCs w:val="0"/>
                <w:i w:val="0"/>
                <w:color w:val="auto"/>
                <w:kern w:val="0"/>
                <w:sz w:val="21"/>
                <w:szCs w:val="21"/>
                <w:u w:val="none"/>
                <w:lang w:val="en-US" w:eastAsia="zh-CN" w:bidi="ar"/>
              </w:rPr>
              <w:t>3.97</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-7</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2.09</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-8</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cs="Times New Roman"/>
                <w:b w:val="0"/>
                <w:bCs w:val="0"/>
                <w:i w:val="0"/>
                <w:color w:val="auto"/>
                <w:kern w:val="0"/>
                <w:sz w:val="21"/>
                <w:szCs w:val="21"/>
                <w:u w:val="none"/>
                <w:lang w:val="en-US" w:eastAsia="zh-CN" w:bidi="ar"/>
              </w:rPr>
              <w:t>25</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1.45</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5</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0.01</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7.62</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-7</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cs="Times New Roman"/>
                <w:b w:val="0"/>
                <w:bCs w:val="0"/>
                <w:i w:val="0"/>
                <w:color w:val="auto"/>
                <w:kern w:val="0"/>
                <w:sz w:val="21"/>
                <w:szCs w:val="21"/>
                <w:u w:val="none"/>
                <w:lang w:val="en-US" w:eastAsia="zh-CN" w:bidi="ar"/>
              </w:rPr>
              <w:t>50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8.25</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5</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0.04</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4.34</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-6</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cs="Times New Roman"/>
                <w:b w:val="0"/>
                <w:bCs w:val="0"/>
                <w:i w:val="0"/>
                <w:color w:val="auto"/>
                <w:kern w:val="0"/>
                <w:sz w:val="21"/>
                <w:szCs w:val="21"/>
                <w:u w:val="none"/>
                <w:lang w:val="en-US" w:eastAsia="zh-CN" w:bidi="ar"/>
              </w:rPr>
              <w:t>75</w:t>
            </w:r>
          </w:p>
        </w:tc>
        <w:tc>
          <w:tcPr>
            <w:tcW w:w="1898" w:type="dxa"/>
            <w:gridSpan w:val="2"/>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8.48</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5</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0.04</w:t>
            </w:r>
          </w:p>
        </w:tc>
        <w:tc>
          <w:tcPr>
            <w:tcW w:w="1965" w:type="dxa"/>
            <w:gridSpan w:val="3"/>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4.46</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-6</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bCs/>
                <w:i w:val="0"/>
                <w:color w:val="auto"/>
                <w:kern w:val="0"/>
                <w:sz w:val="21"/>
                <w:szCs w:val="21"/>
                <w:u w:val="none"/>
                <w:lang w:val="en-US" w:eastAsia="zh-CN" w:bidi="ar"/>
              </w:rPr>
            </w:pPr>
            <w:r>
              <w:rPr>
                <w:rFonts w:hint="eastAsia" w:ascii="Times New Roman" w:hAnsi="Times New Roman" w:cs="Times New Roman"/>
                <w:b/>
                <w:bCs/>
                <w:i w:val="0"/>
                <w:color w:val="auto"/>
                <w:kern w:val="0"/>
                <w:sz w:val="21"/>
                <w:szCs w:val="21"/>
                <w:u w:val="none"/>
                <w:lang w:val="en-US" w:eastAsia="zh-CN" w:bidi="ar"/>
              </w:rPr>
              <w:t>94</w:t>
            </w:r>
          </w:p>
        </w:tc>
        <w:tc>
          <w:tcPr>
            <w:tcW w:w="1898" w:type="dxa"/>
            <w:gridSpan w:val="2"/>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bCs/>
                <w:i w:val="0"/>
                <w:color w:val="auto"/>
                <w:kern w:val="0"/>
                <w:sz w:val="21"/>
                <w:szCs w:val="21"/>
                <w:u w:val="none"/>
                <w:lang w:val="en-US" w:eastAsia="zh-CN" w:bidi="ar"/>
              </w:rPr>
            </w:pPr>
            <w:r>
              <w:rPr>
                <w:rFonts w:hint="eastAsia" w:ascii="Times New Roman" w:hAnsi="Times New Roman" w:cs="Times New Roman"/>
                <w:b/>
                <w:bCs/>
                <w:i w:val="0"/>
                <w:color w:val="auto"/>
                <w:kern w:val="0"/>
                <w:sz w:val="21"/>
                <w:szCs w:val="21"/>
                <w:u w:val="none"/>
                <w:lang w:val="en-US" w:eastAsia="zh-CN" w:bidi="ar"/>
              </w:rPr>
              <w:t>9.23</w:t>
            </w:r>
            <w:r>
              <w:rPr>
                <w:rFonts w:hint="default" w:ascii="Times New Roman" w:hAnsi="Times New Roman" w:cs="Times New Roman"/>
                <w:b/>
                <w:bCs/>
                <w:i w:val="0"/>
                <w:color w:val="auto"/>
                <w:kern w:val="0"/>
                <w:sz w:val="21"/>
                <w:szCs w:val="21"/>
                <w:u w:val="none"/>
                <w:lang w:val="en-US" w:eastAsia="zh-CN" w:bidi="ar"/>
              </w:rPr>
              <w:t>×10</w:t>
            </w:r>
            <w:r>
              <w:rPr>
                <w:rFonts w:hint="default" w:ascii="Times New Roman" w:hAnsi="Times New Roman" w:cs="Times New Roman"/>
                <w:b/>
                <w:bCs/>
                <w:i w:val="0"/>
                <w:color w:val="auto"/>
                <w:kern w:val="0"/>
                <w:sz w:val="21"/>
                <w:szCs w:val="21"/>
                <w:u w:val="none"/>
                <w:vertAlign w:val="superscript"/>
                <w:lang w:val="en-US" w:eastAsia="zh-CN" w:bidi="ar"/>
              </w:rPr>
              <w:t>-</w:t>
            </w:r>
            <w:r>
              <w:rPr>
                <w:rFonts w:hint="eastAsia" w:ascii="Times New Roman" w:hAnsi="Times New Roman" w:cs="Times New Roman"/>
                <w:b/>
                <w:bCs/>
                <w:i w:val="0"/>
                <w:color w:val="auto"/>
                <w:kern w:val="0"/>
                <w:sz w:val="21"/>
                <w:szCs w:val="21"/>
                <w:u w:val="none"/>
                <w:vertAlign w:val="superscript"/>
                <w:lang w:val="en-US" w:eastAsia="zh-CN" w:bidi="ar"/>
              </w:rPr>
              <w:t>5</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bCs/>
                <w:i w:val="0"/>
                <w:color w:val="auto"/>
                <w:kern w:val="0"/>
                <w:sz w:val="21"/>
                <w:szCs w:val="21"/>
                <w:u w:val="none"/>
                <w:lang w:val="en-US" w:eastAsia="zh-CN" w:bidi="ar"/>
              </w:rPr>
            </w:pPr>
            <w:r>
              <w:rPr>
                <w:rFonts w:hint="eastAsia" w:ascii="Times New Roman" w:hAnsi="Times New Roman" w:cs="Times New Roman"/>
                <w:b/>
                <w:bCs/>
                <w:i w:val="0"/>
                <w:color w:val="auto"/>
                <w:kern w:val="0"/>
                <w:sz w:val="21"/>
                <w:szCs w:val="21"/>
                <w:u w:val="none"/>
                <w:lang w:val="en-US" w:eastAsia="zh-CN" w:bidi="ar"/>
              </w:rPr>
              <w:t>0.05</w:t>
            </w:r>
          </w:p>
        </w:tc>
        <w:tc>
          <w:tcPr>
            <w:tcW w:w="1965" w:type="dxa"/>
            <w:gridSpan w:val="3"/>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bCs/>
                <w:i w:val="0"/>
                <w:color w:val="auto"/>
                <w:kern w:val="0"/>
                <w:sz w:val="21"/>
                <w:szCs w:val="21"/>
                <w:u w:val="none"/>
                <w:lang w:val="en-US" w:eastAsia="zh-CN" w:bidi="ar"/>
              </w:rPr>
            </w:pPr>
            <w:r>
              <w:rPr>
                <w:rFonts w:hint="eastAsia" w:ascii="Times New Roman" w:hAnsi="Times New Roman" w:cs="Times New Roman"/>
                <w:b/>
                <w:bCs/>
                <w:i w:val="0"/>
                <w:color w:val="auto"/>
                <w:kern w:val="0"/>
                <w:sz w:val="21"/>
                <w:szCs w:val="21"/>
                <w:u w:val="none"/>
                <w:lang w:val="en-US" w:eastAsia="zh-CN" w:bidi="ar"/>
              </w:rPr>
              <w:t>4.86</w:t>
            </w:r>
            <w:r>
              <w:rPr>
                <w:rFonts w:hint="default" w:ascii="Times New Roman" w:hAnsi="Times New Roman" w:cs="Times New Roman"/>
                <w:b/>
                <w:bCs/>
                <w:i w:val="0"/>
                <w:color w:val="auto"/>
                <w:kern w:val="0"/>
                <w:sz w:val="21"/>
                <w:szCs w:val="21"/>
                <w:u w:val="none"/>
                <w:lang w:val="en-US" w:eastAsia="zh-CN" w:bidi="ar"/>
              </w:rPr>
              <w:t>×10</w:t>
            </w:r>
            <w:r>
              <w:rPr>
                <w:rFonts w:hint="default" w:ascii="Times New Roman" w:hAnsi="Times New Roman" w:cs="Times New Roman"/>
                <w:b/>
                <w:bCs/>
                <w:i w:val="0"/>
                <w:color w:val="auto"/>
                <w:kern w:val="0"/>
                <w:sz w:val="21"/>
                <w:szCs w:val="21"/>
                <w:u w:val="none"/>
                <w:vertAlign w:val="superscript"/>
                <w:lang w:val="en-US" w:eastAsia="zh-CN" w:bidi="ar"/>
              </w:rPr>
              <w:t>-6</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bCs/>
                <w:i w:val="0"/>
                <w:color w:val="auto"/>
                <w:kern w:val="0"/>
                <w:sz w:val="21"/>
                <w:szCs w:val="21"/>
                <w:u w:val="none"/>
                <w:lang w:val="en-US" w:eastAsia="zh-CN" w:bidi="ar"/>
              </w:rPr>
            </w:pPr>
            <w:r>
              <w:rPr>
                <w:rFonts w:hint="eastAsia" w:ascii="Times New Roman" w:hAnsi="Times New Roman" w:cs="Times New Roman"/>
                <w:b/>
                <w:bCs/>
                <w:i w:val="0"/>
                <w:color w:val="auto"/>
                <w:kern w:val="0"/>
                <w:sz w:val="21"/>
                <w:szCs w:val="21"/>
                <w:u w:val="none"/>
                <w:lang w:val="en-US" w:eastAsia="zh-CN" w:bidi="ar"/>
              </w:rPr>
              <w:t>0.05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100</w:t>
            </w:r>
          </w:p>
        </w:tc>
        <w:tc>
          <w:tcPr>
            <w:tcW w:w="1898" w:type="dxa"/>
            <w:gridSpan w:val="2"/>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9.21</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5</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0.04</w:t>
            </w:r>
          </w:p>
        </w:tc>
        <w:tc>
          <w:tcPr>
            <w:tcW w:w="1965" w:type="dxa"/>
            <w:gridSpan w:val="3"/>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4.85</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-6</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150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7.39</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5</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0.04</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3.89</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-6</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200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6.34</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5</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0.03</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3.34</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-6</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300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4.51</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5</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0.02</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2.37</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-6</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eastAsiaTheme="minorEastAsia"/>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400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3.45</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5</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0.02</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1.81</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-6</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eastAsiaTheme="minorEastAsia"/>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500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2.81</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5</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0.01</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1.48</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-6</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eastAsiaTheme="minorEastAsia"/>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1000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1.35</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5</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0.01</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7.12</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-7</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eastAsiaTheme="minorEastAsia"/>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1250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1.08</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5</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0.01</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5.67</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-7</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eastAsiaTheme="minorEastAsia"/>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1500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9.26</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-6</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4.87</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-7</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eastAsiaTheme="minorEastAsia"/>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1750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8.24</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-6</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4.33</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-7</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eastAsiaTheme="minorEastAsia"/>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2000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7.48</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-6</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3.94</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-7</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eastAsiaTheme="minorEastAsia"/>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2250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6.50</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-6</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3.42</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-7</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eastAsiaTheme="minorEastAsia"/>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2500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5.64</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-6</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2.97</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-7</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eastAsiaTheme="minorEastAsia"/>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i w:val="0"/>
                <w:color w:val="auto"/>
                <w:kern w:val="0"/>
                <w:sz w:val="21"/>
                <w:szCs w:val="21"/>
                <w:u w:val="none"/>
                <w:lang w:val="en-US" w:eastAsia="zh-CN" w:bidi="ar"/>
              </w:rPr>
            </w:pPr>
            <w:r>
              <w:rPr>
                <w:rFonts w:hint="default" w:ascii="Times New Roman" w:hAnsi="Times New Roman" w:cs="Times New Roman"/>
                <w:i w:val="0"/>
                <w:color w:val="auto"/>
                <w:kern w:val="0"/>
                <w:sz w:val="21"/>
                <w:szCs w:val="21"/>
                <w:u w:val="none"/>
                <w:lang w:val="en-US" w:eastAsia="zh-CN" w:bidi="ar"/>
              </w:rPr>
              <w:t>D10%最远距离/m</w:t>
            </w:r>
          </w:p>
        </w:tc>
        <w:tc>
          <w:tcPr>
            <w:tcW w:w="3773" w:type="dxa"/>
            <w:gridSpan w:val="4"/>
            <w:tcBorders>
              <w:tl2br w:val="nil"/>
              <w:tr2bl w:val="nil"/>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i w:val="0"/>
                <w:color w:val="auto"/>
                <w:kern w:val="0"/>
                <w:sz w:val="21"/>
                <w:szCs w:val="21"/>
                <w:u w:val="none"/>
                <w:lang w:val="en-US" w:eastAsia="zh-CN" w:bidi="ar"/>
              </w:rPr>
              <w:t>0</w:t>
            </w:r>
          </w:p>
        </w:tc>
        <w:tc>
          <w:tcPr>
            <w:tcW w:w="3709" w:type="dxa"/>
            <w:gridSpan w:val="4"/>
            <w:tcBorders>
              <w:tl2br w:val="nil"/>
              <w:tr2bl w:val="nil"/>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i w:val="0"/>
                <w:color w:val="auto"/>
                <w:kern w:val="0"/>
                <w:sz w:val="21"/>
                <w:szCs w:val="21"/>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i w:val="0"/>
                <w:color w:val="auto"/>
                <w:kern w:val="0"/>
                <w:sz w:val="21"/>
                <w:szCs w:val="21"/>
                <w:u w:val="none"/>
                <w:lang w:val="en-US" w:eastAsia="zh-CN" w:bidi="ar"/>
              </w:rPr>
            </w:pPr>
            <w:r>
              <w:rPr>
                <w:rFonts w:hint="default" w:ascii="Times New Roman" w:hAnsi="Times New Roman" w:cs="Times New Roman"/>
                <w:i w:val="0"/>
                <w:color w:val="auto"/>
                <w:kern w:val="0"/>
                <w:sz w:val="21"/>
                <w:szCs w:val="21"/>
                <w:u w:val="none"/>
                <w:lang w:val="en-US" w:eastAsia="zh-CN" w:bidi="ar"/>
              </w:rPr>
              <w:t>评价等级</w:t>
            </w:r>
          </w:p>
        </w:tc>
        <w:tc>
          <w:tcPr>
            <w:tcW w:w="3773" w:type="dxa"/>
            <w:gridSpan w:val="4"/>
            <w:tcBorders>
              <w:tl2br w:val="nil"/>
              <w:tr2bl w:val="nil"/>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cs="Times New Roman"/>
                <w:b/>
                <w:bCs/>
                <w:i w:val="0"/>
                <w:color w:val="auto"/>
                <w:kern w:val="0"/>
                <w:sz w:val="21"/>
                <w:szCs w:val="21"/>
                <w:u w:val="none"/>
                <w:lang w:val="en-US" w:eastAsia="zh-CN" w:bidi="ar"/>
              </w:rPr>
              <w:t>三级</w:t>
            </w:r>
          </w:p>
        </w:tc>
        <w:tc>
          <w:tcPr>
            <w:tcW w:w="3709" w:type="dxa"/>
            <w:gridSpan w:val="4"/>
            <w:tcBorders>
              <w:tl2br w:val="nil"/>
              <w:tr2bl w:val="nil"/>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cs="Times New Roman"/>
                <w:b/>
                <w:bCs/>
                <w:i w:val="0"/>
                <w:color w:val="auto"/>
                <w:kern w:val="0"/>
                <w:sz w:val="21"/>
                <w:szCs w:val="21"/>
                <w:u w:val="none"/>
                <w:lang w:val="en-US" w:eastAsia="zh-CN" w:bidi="ar"/>
              </w:rPr>
              <w:t>三级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8784" w:type="dxa"/>
            <w:gridSpan w:val="9"/>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bCs/>
                <w:i w:val="0"/>
                <w:color w:val="auto"/>
                <w:kern w:val="0"/>
                <w:sz w:val="21"/>
                <w:szCs w:val="21"/>
                <w:u w:val="none"/>
                <w:lang w:val="en-US" w:eastAsia="zh-CN" w:bidi="ar"/>
              </w:rPr>
            </w:pPr>
            <w:r>
              <w:rPr>
                <w:rFonts w:hint="eastAsia" w:ascii="Times New Roman" w:hAnsi="Times New Roman" w:eastAsia="宋体" w:cs="Times New Roman"/>
                <w:b/>
                <w:bCs/>
                <w:i w:val="0"/>
                <w:color w:val="auto"/>
                <w:kern w:val="0"/>
                <w:sz w:val="21"/>
                <w:szCs w:val="21"/>
                <w:u w:val="none"/>
                <w:lang w:val="en-US" w:eastAsia="zh-CN" w:bidi="ar"/>
              </w:rPr>
              <w:t>面源</w:t>
            </w:r>
            <w:r>
              <w:rPr>
                <w:rFonts w:hint="default" w:ascii="Times New Roman" w:hAnsi="Times New Roman" w:eastAsia="宋体" w:cs="Times New Roman"/>
                <w:b/>
                <w:bCs/>
                <w:i w:val="0"/>
                <w:color w:val="auto"/>
                <w:kern w:val="0"/>
                <w:sz w:val="21"/>
                <w:szCs w:val="21"/>
                <w:u w:val="none"/>
                <w:lang w:val="en-US" w:eastAsia="zh-CN" w:bidi="ar"/>
              </w:rPr>
              <w:t>，</w:t>
            </w:r>
            <w:r>
              <w:rPr>
                <w:rFonts w:hint="eastAsia" w:ascii="Times New Roman" w:hAnsi="Times New Roman" w:eastAsia="宋体" w:cs="Times New Roman"/>
                <w:b/>
                <w:bCs/>
                <w:i w:val="0"/>
                <w:color w:val="auto"/>
                <w:kern w:val="0"/>
                <w:sz w:val="21"/>
                <w:szCs w:val="21"/>
                <w:u w:val="none"/>
                <w:lang w:val="en-US" w:eastAsia="zh-CN" w:bidi="ar"/>
              </w:rPr>
              <w:t>堆粪间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cs="Times New Roman"/>
                <w:b/>
                <w:bCs/>
                <w:color w:val="auto"/>
                <w:kern w:val="0"/>
                <w:sz w:val="21"/>
                <w:szCs w:val="21"/>
                <w:lang w:val="en-US" w:eastAsia="zh-CN"/>
              </w:rPr>
              <w:t>下风向</w:t>
            </w:r>
            <w:r>
              <w:rPr>
                <w:rFonts w:hint="default" w:ascii="Times New Roman" w:hAnsi="Times New Roman" w:eastAsia="宋体" w:cs="Times New Roman"/>
                <w:b/>
                <w:bCs/>
                <w:color w:val="auto"/>
                <w:kern w:val="0"/>
                <w:sz w:val="21"/>
                <w:szCs w:val="21"/>
              </w:rPr>
              <w:t>距离</w:t>
            </w:r>
            <w:r>
              <w:rPr>
                <w:rFonts w:hint="default" w:ascii="Times New Roman" w:hAnsi="Times New Roman" w:cs="Times New Roman"/>
                <w:b/>
                <w:bCs/>
                <w:color w:val="auto"/>
                <w:kern w:val="0"/>
                <w:sz w:val="21"/>
                <w:szCs w:val="21"/>
                <w:lang w:val="en-US" w:eastAsia="zh-CN"/>
              </w:rPr>
              <w:t>/</w:t>
            </w:r>
            <w:r>
              <w:rPr>
                <w:rFonts w:hint="default" w:ascii="Times New Roman" w:hAnsi="Times New Roman" w:eastAsia="宋体" w:cs="Times New Roman"/>
                <w:b/>
                <w:bCs/>
                <w:color w:val="auto"/>
                <w:kern w:val="0"/>
                <w:sz w:val="21"/>
                <w:szCs w:val="21"/>
              </w:rPr>
              <w:t>m</w:t>
            </w:r>
          </w:p>
        </w:tc>
        <w:tc>
          <w:tcPr>
            <w:tcW w:w="3773" w:type="dxa"/>
            <w:gridSpan w:val="4"/>
            <w:tcBorders>
              <w:tl2br w:val="nil"/>
              <w:tr2bl w:val="nil"/>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NH</w:t>
            </w:r>
            <w:r>
              <w:rPr>
                <w:rFonts w:hint="default" w:ascii="Times New Roman" w:hAnsi="Times New Roman" w:cs="Times New Roman"/>
                <w:color w:val="auto"/>
                <w:vertAlign w:val="subscript"/>
                <w:lang w:val="en-US" w:eastAsia="zh-CN"/>
              </w:rPr>
              <w:t>3</w:t>
            </w:r>
          </w:p>
        </w:tc>
        <w:tc>
          <w:tcPr>
            <w:tcW w:w="3709" w:type="dxa"/>
            <w:gridSpan w:val="4"/>
            <w:tcBorders>
              <w:tl2br w:val="nil"/>
              <w:tr2bl w:val="nil"/>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cs="Times New Roman"/>
                <w:color w:val="auto"/>
                <w:lang w:val="en-US" w:eastAsia="zh-CN"/>
              </w:rPr>
              <w:t>H</w:t>
            </w:r>
            <w:r>
              <w:rPr>
                <w:rFonts w:hint="default" w:ascii="Times New Roman" w:hAnsi="Times New Roman" w:cs="Times New Roman"/>
                <w:color w:val="auto"/>
                <w:vertAlign w:val="subscript"/>
                <w:lang w:val="en-US" w:eastAsia="zh-CN"/>
              </w:rPr>
              <w:t>2</w:t>
            </w:r>
            <w:r>
              <w:rPr>
                <w:rFonts w:hint="default" w:ascii="Times New Roman" w:hAnsi="Times New Roman" w:cs="Times New Roman"/>
                <w:color w:val="auto"/>
                <w:lang w:val="en-US" w:eastAsia="zh-CN"/>
              </w:rPr>
              <w:t>S</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u w:val="none"/>
                <w:lang w:val="en-US" w:eastAsia="zh-CN" w:bidi="ar"/>
              </w:rPr>
            </w:pP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b/>
                <w:bCs/>
                <w:color w:val="auto"/>
                <w:kern w:val="0"/>
                <w:sz w:val="21"/>
                <w:szCs w:val="21"/>
                <w:lang w:val="en-US" w:eastAsia="zh-CN"/>
              </w:rPr>
              <w:t>预测质量</w:t>
            </w:r>
            <w:r>
              <w:rPr>
                <w:rFonts w:hint="default" w:ascii="Times New Roman" w:hAnsi="Times New Roman" w:eastAsia="宋体" w:cs="Times New Roman"/>
                <w:b/>
                <w:bCs/>
                <w:color w:val="auto"/>
                <w:kern w:val="0"/>
                <w:sz w:val="21"/>
                <w:szCs w:val="21"/>
              </w:rPr>
              <w:t>浓度</w:t>
            </w:r>
            <w:r>
              <w:rPr>
                <w:rFonts w:hint="default" w:ascii="Times New Roman" w:hAnsi="Times New Roman" w:cs="Times New Roman"/>
                <w:b/>
                <w:bCs/>
                <w:color w:val="auto"/>
                <w:kern w:val="0"/>
                <w:sz w:val="21"/>
                <w:szCs w:val="21"/>
                <w:lang w:val="en-US" w:eastAsia="zh-CN"/>
              </w:rPr>
              <w:t>/（</w:t>
            </w:r>
            <w:r>
              <w:rPr>
                <w:rFonts w:hint="eastAsia" w:ascii="Times New Roman" w:hAnsi="Times New Roman" w:cs="Times New Roman"/>
                <w:b/>
                <w:bCs/>
                <w:color w:val="auto"/>
                <w:kern w:val="0"/>
                <w:sz w:val="21"/>
                <w:szCs w:val="21"/>
                <w:lang w:val="en-US" w:eastAsia="zh-CN"/>
              </w:rPr>
              <w:t>m</w:t>
            </w:r>
            <w:r>
              <w:rPr>
                <w:rFonts w:hint="default" w:ascii="Times New Roman" w:hAnsi="Times New Roman" w:eastAsia="宋体" w:cs="Times New Roman"/>
                <w:b/>
                <w:bCs/>
                <w:color w:val="auto"/>
                <w:kern w:val="0"/>
                <w:sz w:val="21"/>
                <w:szCs w:val="21"/>
              </w:rPr>
              <w:t>g/m</w:t>
            </w:r>
            <w:r>
              <w:rPr>
                <w:rFonts w:hint="default" w:ascii="Times New Roman" w:hAnsi="Times New Roman" w:eastAsia="宋体" w:cs="Times New Roman"/>
                <w:b/>
                <w:bCs/>
                <w:color w:val="auto"/>
                <w:kern w:val="0"/>
                <w:sz w:val="21"/>
                <w:szCs w:val="21"/>
                <w:vertAlign w:val="superscript"/>
              </w:rPr>
              <w:t>3</w:t>
            </w:r>
            <w:r>
              <w:rPr>
                <w:rFonts w:hint="default" w:ascii="Times New Roman" w:hAnsi="Times New Roman" w:cs="Times New Roman"/>
                <w:b/>
                <w:bCs/>
                <w:color w:val="auto"/>
                <w:kern w:val="0"/>
                <w:sz w:val="21"/>
                <w:szCs w:val="21"/>
                <w:lang w:val="en-US" w:eastAsia="zh-CN"/>
              </w:rPr>
              <w:t>）</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b/>
                <w:bCs/>
                <w:color w:val="auto"/>
                <w:kern w:val="0"/>
                <w:sz w:val="21"/>
                <w:szCs w:val="21"/>
                <w:lang w:val="en-US" w:eastAsia="zh-CN"/>
              </w:rPr>
              <w:t>占标率/%</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b/>
                <w:bCs/>
                <w:color w:val="auto"/>
                <w:kern w:val="0"/>
                <w:sz w:val="21"/>
                <w:szCs w:val="21"/>
                <w:lang w:val="en-US" w:eastAsia="zh-CN"/>
              </w:rPr>
              <w:t>预测质量</w:t>
            </w:r>
            <w:r>
              <w:rPr>
                <w:rFonts w:hint="default" w:ascii="Times New Roman" w:hAnsi="Times New Roman" w:eastAsia="宋体" w:cs="Times New Roman"/>
                <w:b/>
                <w:bCs/>
                <w:color w:val="auto"/>
                <w:kern w:val="0"/>
                <w:sz w:val="21"/>
                <w:szCs w:val="21"/>
              </w:rPr>
              <w:t>浓度</w:t>
            </w:r>
            <w:r>
              <w:rPr>
                <w:rFonts w:hint="default" w:ascii="Times New Roman" w:hAnsi="Times New Roman" w:cs="Times New Roman"/>
                <w:b/>
                <w:bCs/>
                <w:color w:val="auto"/>
                <w:kern w:val="0"/>
                <w:sz w:val="21"/>
                <w:szCs w:val="21"/>
                <w:lang w:val="en-US" w:eastAsia="zh-CN"/>
              </w:rPr>
              <w:t>/（</w:t>
            </w:r>
            <w:r>
              <w:rPr>
                <w:rFonts w:hint="eastAsia" w:ascii="Times New Roman" w:hAnsi="Times New Roman" w:cs="Times New Roman"/>
                <w:b/>
                <w:bCs/>
                <w:color w:val="auto"/>
                <w:kern w:val="0"/>
                <w:sz w:val="21"/>
                <w:szCs w:val="21"/>
                <w:lang w:val="en-US" w:eastAsia="zh-CN"/>
              </w:rPr>
              <w:t>m</w:t>
            </w:r>
            <w:r>
              <w:rPr>
                <w:rFonts w:hint="default" w:ascii="Times New Roman" w:hAnsi="Times New Roman" w:eastAsia="宋体" w:cs="Times New Roman"/>
                <w:b/>
                <w:bCs/>
                <w:color w:val="auto"/>
                <w:kern w:val="0"/>
                <w:sz w:val="21"/>
                <w:szCs w:val="21"/>
              </w:rPr>
              <w:t>g/m</w:t>
            </w:r>
            <w:r>
              <w:rPr>
                <w:rFonts w:hint="default" w:ascii="Times New Roman" w:hAnsi="Times New Roman" w:eastAsia="宋体" w:cs="Times New Roman"/>
                <w:b/>
                <w:bCs/>
                <w:color w:val="auto"/>
                <w:kern w:val="0"/>
                <w:sz w:val="21"/>
                <w:szCs w:val="21"/>
                <w:vertAlign w:val="superscript"/>
              </w:rPr>
              <w:t>3</w:t>
            </w:r>
            <w:r>
              <w:rPr>
                <w:rFonts w:hint="default" w:ascii="Times New Roman" w:hAnsi="Times New Roman" w:cs="Times New Roman"/>
                <w:b/>
                <w:bCs/>
                <w:color w:val="auto"/>
                <w:kern w:val="0"/>
                <w:sz w:val="21"/>
                <w:szCs w:val="21"/>
                <w:lang w:val="en-US" w:eastAsia="zh-CN"/>
              </w:rPr>
              <w:t>）</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b/>
                <w:bCs/>
                <w:color w:val="auto"/>
                <w:kern w:val="0"/>
                <w:sz w:val="21"/>
                <w:szCs w:val="21"/>
                <w:lang w:val="en-US" w:eastAsia="zh-CN"/>
              </w:rPr>
              <w:t>占标率/%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cs="Times New Roman"/>
                <w:b w:val="0"/>
                <w:bCs w:val="0"/>
                <w:i w:val="0"/>
                <w:color w:val="auto"/>
                <w:kern w:val="0"/>
                <w:sz w:val="21"/>
                <w:szCs w:val="21"/>
                <w:u w:val="none"/>
                <w:lang w:val="en-US" w:eastAsia="zh-CN" w:bidi="ar"/>
              </w:rPr>
              <w:t>10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vertAlign w:val="superscript"/>
                <w:lang w:val="en-US" w:eastAsia="zh-CN" w:bidi="ar"/>
              </w:rPr>
            </w:pPr>
            <w:r>
              <w:rPr>
                <w:rFonts w:hint="eastAsia" w:ascii="Times New Roman" w:hAnsi="Times New Roman" w:cs="Times New Roman"/>
                <w:b w:val="0"/>
                <w:bCs w:val="0"/>
                <w:i w:val="0"/>
                <w:color w:val="auto"/>
                <w:kern w:val="0"/>
                <w:sz w:val="21"/>
                <w:szCs w:val="21"/>
                <w:u w:val="none"/>
                <w:lang w:val="en-US" w:eastAsia="zh-CN" w:bidi="ar"/>
              </w:rPr>
              <w:t>7.24</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5</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1.12</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5.57</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5</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1.24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bCs/>
                <w:i w:val="0"/>
                <w:color w:val="auto"/>
                <w:kern w:val="0"/>
                <w:sz w:val="21"/>
                <w:szCs w:val="21"/>
                <w:u w:val="none"/>
                <w:lang w:val="en-US" w:eastAsia="zh-CN" w:bidi="ar"/>
              </w:rPr>
            </w:pPr>
            <w:r>
              <w:rPr>
                <w:rFonts w:hint="default" w:ascii="Times New Roman" w:hAnsi="Times New Roman" w:cs="Times New Roman"/>
                <w:b/>
                <w:bCs/>
                <w:i w:val="0"/>
                <w:color w:val="auto"/>
                <w:kern w:val="0"/>
                <w:sz w:val="21"/>
                <w:szCs w:val="21"/>
                <w:u w:val="none"/>
                <w:lang w:val="en-US" w:eastAsia="zh-CN" w:bidi="ar"/>
              </w:rPr>
              <w:t>25</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bCs/>
                <w:i w:val="0"/>
                <w:color w:val="auto"/>
                <w:kern w:val="0"/>
                <w:sz w:val="21"/>
                <w:szCs w:val="21"/>
                <w:u w:val="none"/>
                <w:lang w:val="en-US" w:eastAsia="zh-CN" w:bidi="ar"/>
              </w:rPr>
            </w:pPr>
            <w:r>
              <w:rPr>
                <w:rFonts w:hint="eastAsia" w:ascii="Times New Roman" w:hAnsi="Times New Roman" w:cs="Times New Roman"/>
                <w:b/>
                <w:bCs/>
                <w:i w:val="0"/>
                <w:color w:val="auto"/>
                <w:kern w:val="0"/>
                <w:sz w:val="21"/>
                <w:szCs w:val="21"/>
                <w:u w:val="none"/>
                <w:lang w:val="en-US" w:eastAsia="zh-CN" w:bidi="ar"/>
              </w:rPr>
              <w:t>1.04</w:t>
            </w:r>
            <w:r>
              <w:rPr>
                <w:rFonts w:hint="default" w:ascii="Times New Roman" w:hAnsi="Times New Roman" w:cs="Times New Roman"/>
                <w:b/>
                <w:bCs/>
                <w:i w:val="0"/>
                <w:color w:val="auto"/>
                <w:kern w:val="0"/>
                <w:sz w:val="21"/>
                <w:szCs w:val="21"/>
                <w:u w:val="none"/>
                <w:lang w:val="en-US" w:eastAsia="zh-CN" w:bidi="ar"/>
              </w:rPr>
              <w:t>×10</w:t>
            </w:r>
            <w:r>
              <w:rPr>
                <w:rFonts w:hint="default" w:ascii="Times New Roman" w:hAnsi="Times New Roman" w:cs="Times New Roman"/>
                <w:b/>
                <w:bCs/>
                <w:i w:val="0"/>
                <w:color w:val="auto"/>
                <w:kern w:val="0"/>
                <w:sz w:val="21"/>
                <w:szCs w:val="21"/>
                <w:u w:val="none"/>
                <w:vertAlign w:val="superscript"/>
                <w:lang w:val="en-US" w:eastAsia="zh-CN" w:bidi="ar"/>
              </w:rPr>
              <w:t>-</w:t>
            </w:r>
            <w:r>
              <w:rPr>
                <w:rFonts w:hint="eastAsia" w:ascii="Times New Roman" w:hAnsi="Times New Roman" w:cs="Times New Roman"/>
                <w:b/>
                <w:bCs/>
                <w:i w:val="0"/>
                <w:color w:val="auto"/>
                <w:kern w:val="0"/>
                <w:sz w:val="21"/>
                <w:szCs w:val="21"/>
                <w:u w:val="none"/>
                <w:vertAlign w:val="superscript"/>
                <w:lang w:val="en-US" w:eastAsia="zh-CN" w:bidi="ar"/>
              </w:rPr>
              <w:t>4</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bCs/>
                <w:i w:val="0"/>
                <w:color w:val="auto"/>
                <w:kern w:val="0"/>
                <w:sz w:val="21"/>
                <w:szCs w:val="21"/>
                <w:u w:val="none"/>
                <w:lang w:val="en-US" w:eastAsia="zh-CN" w:bidi="ar"/>
              </w:rPr>
            </w:pPr>
            <w:r>
              <w:rPr>
                <w:rFonts w:hint="eastAsia" w:ascii="Times New Roman" w:hAnsi="Times New Roman" w:cs="Times New Roman"/>
                <w:b/>
                <w:bCs/>
                <w:i w:val="0"/>
                <w:color w:val="auto"/>
                <w:kern w:val="0"/>
                <w:sz w:val="21"/>
                <w:szCs w:val="21"/>
                <w:u w:val="none"/>
                <w:lang w:val="en-US" w:eastAsia="zh-CN" w:bidi="ar"/>
              </w:rPr>
              <w:t>1.44</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bCs/>
                <w:i w:val="0"/>
                <w:color w:val="auto"/>
                <w:kern w:val="0"/>
                <w:sz w:val="21"/>
                <w:szCs w:val="21"/>
                <w:u w:val="none"/>
                <w:lang w:val="en-US" w:eastAsia="zh-CN" w:bidi="ar"/>
              </w:rPr>
            </w:pPr>
            <w:r>
              <w:rPr>
                <w:rFonts w:hint="eastAsia" w:ascii="Times New Roman" w:hAnsi="Times New Roman" w:cs="Times New Roman"/>
                <w:b/>
                <w:bCs/>
                <w:i w:val="0"/>
                <w:color w:val="auto"/>
                <w:kern w:val="0"/>
                <w:sz w:val="21"/>
                <w:szCs w:val="21"/>
                <w:u w:val="none"/>
                <w:lang w:val="en-US" w:eastAsia="zh-CN" w:bidi="ar"/>
              </w:rPr>
              <w:t>8.01</w:t>
            </w:r>
            <w:r>
              <w:rPr>
                <w:rFonts w:hint="default" w:ascii="Times New Roman" w:hAnsi="Times New Roman" w:cs="Times New Roman"/>
                <w:b/>
                <w:bCs/>
                <w:i w:val="0"/>
                <w:color w:val="auto"/>
                <w:kern w:val="0"/>
                <w:sz w:val="21"/>
                <w:szCs w:val="21"/>
                <w:u w:val="none"/>
                <w:lang w:val="en-US" w:eastAsia="zh-CN" w:bidi="ar"/>
              </w:rPr>
              <w:t>×10</w:t>
            </w:r>
            <w:r>
              <w:rPr>
                <w:rFonts w:hint="default" w:ascii="Times New Roman" w:hAnsi="Times New Roman" w:cs="Times New Roman"/>
                <w:b/>
                <w:bCs/>
                <w:i w:val="0"/>
                <w:color w:val="auto"/>
                <w:kern w:val="0"/>
                <w:sz w:val="21"/>
                <w:szCs w:val="21"/>
                <w:u w:val="none"/>
                <w:vertAlign w:val="superscript"/>
                <w:lang w:val="en-US" w:eastAsia="zh-CN" w:bidi="ar"/>
              </w:rPr>
              <w:t>-</w:t>
            </w:r>
            <w:r>
              <w:rPr>
                <w:rFonts w:hint="eastAsia" w:ascii="Times New Roman" w:hAnsi="Times New Roman" w:cs="Times New Roman"/>
                <w:b/>
                <w:bCs/>
                <w:i w:val="0"/>
                <w:color w:val="auto"/>
                <w:kern w:val="0"/>
                <w:sz w:val="21"/>
                <w:szCs w:val="21"/>
                <w:u w:val="none"/>
                <w:vertAlign w:val="superscript"/>
                <w:lang w:val="en-US" w:eastAsia="zh-CN" w:bidi="ar"/>
              </w:rPr>
              <w:t>5</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bCs/>
                <w:i w:val="0"/>
                <w:color w:val="auto"/>
                <w:kern w:val="0"/>
                <w:sz w:val="21"/>
                <w:szCs w:val="21"/>
                <w:u w:val="none"/>
                <w:lang w:val="en-US" w:eastAsia="zh-CN" w:bidi="ar"/>
              </w:rPr>
            </w:pPr>
            <w:r>
              <w:rPr>
                <w:rFonts w:hint="eastAsia" w:ascii="Times New Roman" w:hAnsi="Times New Roman" w:cs="Times New Roman"/>
                <w:b/>
                <w:bCs/>
                <w:i w:val="0"/>
                <w:color w:val="auto"/>
                <w:kern w:val="0"/>
                <w:sz w:val="21"/>
                <w:szCs w:val="21"/>
                <w:u w:val="none"/>
                <w:lang w:val="en-US" w:eastAsia="zh-CN" w:bidi="ar"/>
              </w:rPr>
              <w:t>1.60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eastAsiaTheme="minorEastAsia"/>
                <w:b w:val="0"/>
                <w:bCs w:val="0"/>
                <w:i w:val="0"/>
                <w:color w:val="auto"/>
                <w:kern w:val="0"/>
                <w:sz w:val="21"/>
                <w:szCs w:val="21"/>
                <w:u w:val="none"/>
                <w:lang w:val="en-US" w:eastAsia="zh-CN" w:bidi="ar"/>
              </w:rPr>
            </w:pPr>
            <w:r>
              <w:rPr>
                <w:rFonts w:hint="default" w:ascii="Times New Roman" w:hAnsi="Times New Roman" w:cs="Times New Roman"/>
                <w:b w:val="0"/>
                <w:bCs w:val="0"/>
                <w:i w:val="0"/>
                <w:color w:val="auto"/>
                <w:kern w:val="0"/>
                <w:sz w:val="21"/>
                <w:szCs w:val="21"/>
                <w:u w:val="none"/>
                <w:lang w:val="en-US" w:eastAsia="zh-CN" w:bidi="ar"/>
              </w:rPr>
              <w:t>50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eastAsiaTheme="minorEastAsia"/>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1.03</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4</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eastAsiaTheme="minorEastAsia"/>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1.18</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eastAsiaTheme="minorEastAsia"/>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7.94</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5</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eastAsiaTheme="minorEastAsia"/>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1.31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eastAsiaTheme="minorEastAsia"/>
                <w:b w:val="0"/>
                <w:bCs w:val="0"/>
                <w:i w:val="0"/>
                <w:color w:val="auto"/>
                <w:kern w:val="0"/>
                <w:sz w:val="21"/>
                <w:szCs w:val="21"/>
                <w:u w:val="none"/>
                <w:lang w:val="en-US" w:eastAsia="zh-CN" w:bidi="ar"/>
              </w:rPr>
            </w:pPr>
            <w:r>
              <w:rPr>
                <w:rFonts w:hint="default" w:ascii="Times New Roman" w:hAnsi="Times New Roman" w:cs="Times New Roman"/>
                <w:b w:val="0"/>
                <w:bCs w:val="0"/>
                <w:i w:val="0"/>
                <w:color w:val="auto"/>
                <w:kern w:val="0"/>
                <w:sz w:val="21"/>
                <w:szCs w:val="21"/>
                <w:u w:val="none"/>
                <w:lang w:val="en-US" w:eastAsia="zh-CN" w:bidi="ar"/>
              </w:rPr>
              <w:t>75</w:t>
            </w:r>
          </w:p>
        </w:tc>
        <w:tc>
          <w:tcPr>
            <w:tcW w:w="1898" w:type="dxa"/>
            <w:gridSpan w:val="2"/>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eastAsiaTheme="minorEastAsia"/>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9.13</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-5</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eastAsiaTheme="minorEastAsia"/>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0.87</w:t>
            </w:r>
          </w:p>
        </w:tc>
        <w:tc>
          <w:tcPr>
            <w:tcW w:w="1965" w:type="dxa"/>
            <w:gridSpan w:val="3"/>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eastAsiaTheme="minorEastAsia"/>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7.03</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5</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eastAsiaTheme="minorEastAsia"/>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0.97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100</w:t>
            </w:r>
          </w:p>
        </w:tc>
        <w:tc>
          <w:tcPr>
            <w:tcW w:w="1898" w:type="dxa"/>
            <w:gridSpan w:val="2"/>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7.81</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-5</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0.66</w:t>
            </w:r>
          </w:p>
        </w:tc>
        <w:tc>
          <w:tcPr>
            <w:tcW w:w="1965" w:type="dxa"/>
            <w:gridSpan w:val="3"/>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6.01</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5</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0.74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150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5.70</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-5</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0.42</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4.38</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5</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0.47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200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4.32</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-5</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0.30</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3.32</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5</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0.33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300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2.77</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-5</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0.18</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2.13</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5</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400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1.97</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-5</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0.12</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1.51</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5</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0.14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500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1.49</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5</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0.09</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1.15</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w:t>
            </w:r>
            <w:r>
              <w:rPr>
                <w:rFonts w:hint="eastAsia" w:ascii="Times New Roman" w:hAnsi="Times New Roman" w:cs="Times New Roman"/>
                <w:b w:val="0"/>
                <w:bCs w:val="0"/>
                <w:i w:val="0"/>
                <w:color w:val="auto"/>
                <w:kern w:val="0"/>
                <w:sz w:val="21"/>
                <w:szCs w:val="21"/>
                <w:u w:val="none"/>
                <w:vertAlign w:val="superscript"/>
                <w:lang w:val="en-US" w:eastAsia="zh-CN" w:bidi="ar"/>
              </w:rPr>
              <w:t>5</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1000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6.13</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-6</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0.04</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4.72</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-6</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eastAsiaTheme="minorEastAsia"/>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1250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4.56</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-6</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0.03</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3.51</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-6</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eastAsiaTheme="minorEastAsia"/>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1500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3.57</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-6</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0.02</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2.75</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-6</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eastAsiaTheme="minorEastAsia"/>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1750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2.91</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-6</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0.02</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2.24</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-6</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eastAsiaTheme="minorEastAsia"/>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2000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2.43</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-6</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0.01</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1.87</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-6</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eastAsiaTheme="minorEastAsia"/>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2250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2.17</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-6</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0.01</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1.59</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-6</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eastAsiaTheme="minorEastAsia"/>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2500</w:t>
            </w:r>
          </w:p>
        </w:tc>
        <w:tc>
          <w:tcPr>
            <w:tcW w:w="1898"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1.80</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-6</w:t>
            </w:r>
          </w:p>
        </w:tc>
        <w:tc>
          <w:tcPr>
            <w:tcW w:w="1875"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0.01</w:t>
            </w:r>
          </w:p>
        </w:tc>
        <w:tc>
          <w:tcPr>
            <w:tcW w:w="1965"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1.38</w:t>
            </w:r>
            <w:r>
              <w:rPr>
                <w:rFonts w:hint="default" w:ascii="Times New Roman" w:hAnsi="Times New Roman" w:cs="Times New Roman"/>
                <w:b w:val="0"/>
                <w:bCs w:val="0"/>
                <w:i w:val="0"/>
                <w:color w:val="auto"/>
                <w:kern w:val="0"/>
                <w:sz w:val="21"/>
                <w:szCs w:val="21"/>
                <w:u w:val="none"/>
                <w:lang w:val="en-US" w:eastAsia="zh-CN" w:bidi="ar"/>
              </w:rPr>
              <w:t>×10</w:t>
            </w:r>
            <w:r>
              <w:rPr>
                <w:rFonts w:hint="default" w:ascii="Times New Roman" w:hAnsi="Times New Roman" w:cs="Times New Roman"/>
                <w:b w:val="0"/>
                <w:bCs w:val="0"/>
                <w:i w:val="0"/>
                <w:color w:val="auto"/>
                <w:kern w:val="0"/>
                <w:sz w:val="21"/>
                <w:szCs w:val="21"/>
                <w:u w:val="none"/>
                <w:vertAlign w:val="superscript"/>
                <w:lang w:val="en-US" w:eastAsia="zh-CN" w:bidi="ar"/>
              </w:rPr>
              <w:t>-6</w:t>
            </w:r>
          </w:p>
        </w:tc>
        <w:tc>
          <w:tcPr>
            <w:tcW w:w="174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eastAsiaTheme="minorEastAsia"/>
                <w:b w:val="0"/>
                <w:bCs w:val="0"/>
                <w:i w:val="0"/>
                <w:color w:val="auto"/>
                <w:kern w:val="0"/>
                <w:sz w:val="21"/>
                <w:szCs w:val="21"/>
                <w:u w:val="none"/>
                <w:lang w:val="en-US" w:eastAsia="zh-CN" w:bidi="ar"/>
              </w:rPr>
            </w:pPr>
            <w:r>
              <w:rPr>
                <w:rFonts w:hint="eastAsia" w:ascii="Times New Roman" w:hAnsi="Times New Roman" w:cs="Times New Roman"/>
                <w:b w:val="0"/>
                <w:bCs w:val="0"/>
                <w:i w:val="0"/>
                <w:color w:val="auto"/>
                <w:kern w:val="0"/>
                <w:sz w:val="21"/>
                <w:szCs w:val="21"/>
                <w:u w:val="none"/>
                <w:lang w:val="en-US" w:eastAsia="zh-CN" w:bidi="ar"/>
              </w:rPr>
              <w:t>0.01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i w:val="0"/>
                <w:color w:val="auto"/>
                <w:kern w:val="0"/>
                <w:sz w:val="21"/>
                <w:szCs w:val="21"/>
                <w:u w:val="none"/>
                <w:lang w:val="en-US" w:eastAsia="zh-CN" w:bidi="ar"/>
              </w:rPr>
            </w:pPr>
            <w:r>
              <w:rPr>
                <w:rFonts w:hint="default" w:ascii="Times New Roman" w:hAnsi="Times New Roman" w:cs="Times New Roman"/>
                <w:i w:val="0"/>
                <w:color w:val="auto"/>
                <w:kern w:val="0"/>
                <w:sz w:val="21"/>
                <w:szCs w:val="21"/>
                <w:u w:val="none"/>
                <w:lang w:val="en-US" w:eastAsia="zh-CN" w:bidi="ar"/>
              </w:rPr>
              <w:t>D10%最远距离/m</w:t>
            </w:r>
          </w:p>
        </w:tc>
        <w:tc>
          <w:tcPr>
            <w:tcW w:w="3773" w:type="dxa"/>
            <w:gridSpan w:val="4"/>
            <w:tcBorders>
              <w:tl2br w:val="nil"/>
              <w:tr2bl w:val="nil"/>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i w:val="0"/>
                <w:color w:val="auto"/>
                <w:kern w:val="0"/>
                <w:sz w:val="21"/>
                <w:szCs w:val="21"/>
                <w:u w:val="none"/>
                <w:lang w:val="en-US" w:eastAsia="zh-CN" w:bidi="ar"/>
              </w:rPr>
              <w:t>0</w:t>
            </w:r>
          </w:p>
        </w:tc>
        <w:tc>
          <w:tcPr>
            <w:tcW w:w="3709" w:type="dxa"/>
            <w:gridSpan w:val="4"/>
            <w:tcBorders>
              <w:tl2br w:val="nil"/>
              <w:tr2bl w:val="nil"/>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cs="Times New Roman"/>
                <w:i w:val="0"/>
                <w:color w:val="auto"/>
                <w:kern w:val="0"/>
                <w:sz w:val="21"/>
                <w:szCs w:val="21"/>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cs="Times New Roman"/>
                <w:i w:val="0"/>
                <w:color w:val="auto"/>
                <w:kern w:val="0"/>
                <w:sz w:val="21"/>
                <w:szCs w:val="21"/>
                <w:u w:val="none"/>
                <w:lang w:val="en-US" w:eastAsia="zh-CN" w:bidi="ar"/>
              </w:rPr>
            </w:pPr>
            <w:r>
              <w:rPr>
                <w:rFonts w:hint="default" w:ascii="Times New Roman" w:hAnsi="Times New Roman" w:cs="Times New Roman"/>
                <w:i w:val="0"/>
                <w:color w:val="auto"/>
                <w:kern w:val="0"/>
                <w:sz w:val="21"/>
                <w:szCs w:val="21"/>
                <w:u w:val="none"/>
                <w:lang w:val="en-US" w:eastAsia="zh-CN" w:bidi="ar"/>
              </w:rPr>
              <w:t>评价等级</w:t>
            </w:r>
          </w:p>
        </w:tc>
        <w:tc>
          <w:tcPr>
            <w:tcW w:w="3773" w:type="dxa"/>
            <w:gridSpan w:val="4"/>
            <w:tcBorders>
              <w:tl2br w:val="nil"/>
              <w:tr2bl w:val="nil"/>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bCs/>
                <w:i w:val="0"/>
                <w:color w:val="auto"/>
                <w:kern w:val="0"/>
                <w:sz w:val="21"/>
                <w:szCs w:val="21"/>
                <w:u w:val="none"/>
                <w:lang w:val="en-US" w:eastAsia="zh-CN" w:bidi="ar"/>
              </w:rPr>
            </w:pPr>
            <w:r>
              <w:rPr>
                <w:rFonts w:hint="eastAsia" w:ascii="Times New Roman" w:hAnsi="Times New Roman" w:eastAsia="宋体" w:cs="Times New Roman"/>
                <w:b/>
                <w:bCs/>
                <w:i w:val="0"/>
                <w:color w:val="auto"/>
                <w:kern w:val="0"/>
                <w:sz w:val="21"/>
                <w:szCs w:val="21"/>
                <w:u w:val="none"/>
                <w:lang w:val="en-US" w:eastAsia="zh-CN" w:bidi="ar"/>
              </w:rPr>
              <w:t>二级</w:t>
            </w:r>
          </w:p>
        </w:tc>
        <w:tc>
          <w:tcPr>
            <w:tcW w:w="3709" w:type="dxa"/>
            <w:gridSpan w:val="4"/>
            <w:tcBorders>
              <w:tl2br w:val="nil"/>
              <w:tr2bl w:val="nil"/>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outlineLvl w:val="9"/>
              <w:rPr>
                <w:rFonts w:hint="default" w:ascii="Times New Roman" w:hAnsi="Times New Roman" w:eastAsia="宋体" w:cs="Times New Roman"/>
                <w:b/>
                <w:bCs/>
                <w:i w:val="0"/>
                <w:color w:val="auto"/>
                <w:kern w:val="0"/>
                <w:sz w:val="21"/>
                <w:szCs w:val="21"/>
                <w:u w:val="none"/>
                <w:lang w:val="en-US" w:eastAsia="zh-CN" w:bidi="ar"/>
              </w:rPr>
            </w:pPr>
            <w:r>
              <w:rPr>
                <w:rFonts w:hint="eastAsia" w:ascii="Times New Roman" w:hAnsi="Times New Roman" w:eastAsia="宋体" w:cs="Times New Roman"/>
                <w:b/>
                <w:bCs/>
                <w:i w:val="0"/>
                <w:color w:val="auto"/>
                <w:kern w:val="0"/>
                <w:sz w:val="21"/>
                <w:szCs w:val="21"/>
                <w:u w:val="none"/>
                <w:lang w:val="en-US" w:eastAsia="zh-CN" w:bidi="ar"/>
              </w:rPr>
              <w:t>二级</w:t>
            </w:r>
          </w:p>
        </w:tc>
      </w:tr>
    </w:tbl>
    <w:p>
      <w:pPr>
        <w:pStyle w:val="48"/>
        <w:rPr>
          <w:rFonts w:hint="eastAsia"/>
          <w:color w:val="auto"/>
          <w:lang w:val="en-US" w:eastAsia="zh-CN"/>
        </w:rPr>
      </w:pPr>
    </w:p>
    <w:p>
      <w:pPr>
        <w:pStyle w:val="112"/>
        <w:spacing w:line="360" w:lineRule="auto"/>
        <w:ind w:firstLine="480"/>
        <w:rPr>
          <w:rFonts w:hint="eastAsia"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根据估算模式计算结果，本项目最大</w:t>
      </w:r>
      <w:r>
        <w:rPr>
          <w:rFonts w:hint="eastAsia" w:ascii="Times New Roman" w:hAnsi="Times New Roman" w:eastAsia="宋体" w:cs="Times New Roman"/>
          <w:color w:val="auto"/>
          <w:sz w:val="24"/>
          <w:szCs w:val="24"/>
          <w:lang w:eastAsia="zh-CN"/>
        </w:rPr>
        <w:t>Pmax=8.69%</w:t>
      </w:r>
      <w:r>
        <w:rPr>
          <w:rFonts w:hint="default" w:ascii="Times New Roman" w:hAnsi="Times New Roman" w:eastAsia="宋体" w:cs="Times New Roman"/>
          <w:color w:val="auto"/>
          <w:sz w:val="24"/>
          <w:szCs w:val="24"/>
        </w:rPr>
        <w:t>，小于10%，因此，大气环境影响评价等级为</w:t>
      </w:r>
      <w:r>
        <w:rPr>
          <w:rFonts w:hint="eastAsia" w:ascii="Times New Roman" w:hAnsi="Times New Roman" w:eastAsia="宋体" w:cs="Times New Roman"/>
          <w:color w:val="auto"/>
          <w:sz w:val="24"/>
          <w:szCs w:val="24"/>
        </w:rPr>
        <w:t>二</w:t>
      </w:r>
      <w:r>
        <w:rPr>
          <w:rFonts w:hint="default" w:ascii="Times New Roman" w:hAnsi="Times New Roman" w:eastAsia="宋体" w:cs="Times New Roman"/>
          <w:color w:val="auto"/>
          <w:sz w:val="24"/>
          <w:szCs w:val="24"/>
        </w:rPr>
        <w:t>级</w:t>
      </w:r>
      <w:r>
        <w:rPr>
          <w:rFonts w:hint="eastAsia" w:ascii="Times New Roman" w:hAnsi="Times New Roman" w:eastAsia="宋体" w:cs="Times New Roman"/>
          <w:color w:val="auto"/>
          <w:sz w:val="24"/>
          <w:szCs w:val="24"/>
          <w:lang w:eastAsia="zh-CN"/>
        </w:rPr>
        <w:t>，选择推荐模式中的估算模式对本项目的大气环境影响评价工作进行分析和预测。</w:t>
      </w:r>
    </w:p>
    <w:p>
      <w:pPr>
        <w:pStyle w:val="112"/>
        <w:spacing w:line="360" w:lineRule="auto"/>
        <w:ind w:firstLine="48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由上表估算模式计算得知，点源氨排放的最大一次浓度浓度为9.23×10</w:t>
      </w:r>
      <w:r>
        <w:rPr>
          <w:rFonts w:hint="eastAsia" w:ascii="Times New Roman" w:hAnsi="Times New Roman" w:eastAsia="宋体" w:cs="Times New Roman"/>
          <w:color w:val="auto"/>
          <w:sz w:val="24"/>
          <w:szCs w:val="24"/>
          <w:vertAlign w:val="superscript"/>
          <w:lang w:val="en-US" w:eastAsia="zh-CN"/>
        </w:rPr>
        <w:t>-5</w:t>
      </w:r>
      <w:r>
        <w:rPr>
          <w:rFonts w:hint="eastAsia" w:ascii="Times New Roman" w:hAnsi="Times New Roman" w:eastAsia="宋体" w:cs="Times New Roman"/>
          <w:color w:val="auto"/>
          <w:sz w:val="24"/>
          <w:szCs w:val="24"/>
          <w:lang w:val="en-US" w:eastAsia="zh-CN"/>
        </w:rPr>
        <w:t>mg/m</w:t>
      </w:r>
      <w:r>
        <w:rPr>
          <w:rFonts w:hint="eastAsia" w:ascii="Times New Roman" w:hAnsi="Times New Roman" w:eastAsia="宋体" w:cs="Times New Roman"/>
          <w:color w:val="auto"/>
          <w:sz w:val="24"/>
          <w:szCs w:val="24"/>
          <w:vertAlign w:val="superscript"/>
          <w:lang w:val="en-US" w:eastAsia="zh-CN"/>
        </w:rPr>
        <w:t>3</w:t>
      </w:r>
      <w:r>
        <w:rPr>
          <w:rFonts w:hint="eastAsia" w:ascii="Times New Roman" w:hAnsi="Times New Roman" w:eastAsia="宋体" w:cs="Times New Roman"/>
          <w:color w:val="auto"/>
          <w:sz w:val="24"/>
          <w:szCs w:val="24"/>
          <w:lang w:val="en-US" w:eastAsia="zh-CN"/>
        </w:rPr>
        <w:t>，占标率为0.05%；点源硫化氢排放的最大一次浓度浓度为4.86×10</w:t>
      </w:r>
      <w:r>
        <w:rPr>
          <w:rFonts w:hint="eastAsia" w:ascii="Times New Roman" w:hAnsi="Times New Roman" w:eastAsia="宋体" w:cs="Times New Roman"/>
          <w:color w:val="auto"/>
          <w:sz w:val="24"/>
          <w:szCs w:val="24"/>
          <w:vertAlign w:val="superscript"/>
          <w:lang w:val="en-US" w:eastAsia="zh-CN"/>
        </w:rPr>
        <w:t>-6</w:t>
      </w:r>
      <w:r>
        <w:rPr>
          <w:rFonts w:hint="eastAsia" w:ascii="Times New Roman" w:hAnsi="Times New Roman" w:eastAsia="宋体" w:cs="Times New Roman"/>
          <w:color w:val="auto"/>
          <w:sz w:val="24"/>
          <w:szCs w:val="24"/>
          <w:lang w:val="en-US" w:eastAsia="zh-CN"/>
        </w:rPr>
        <w:t>mg/m</w:t>
      </w:r>
      <w:r>
        <w:rPr>
          <w:rFonts w:hint="eastAsia" w:ascii="Times New Roman" w:hAnsi="Times New Roman" w:eastAsia="宋体" w:cs="Times New Roman"/>
          <w:color w:val="auto"/>
          <w:sz w:val="24"/>
          <w:szCs w:val="24"/>
          <w:vertAlign w:val="superscript"/>
          <w:lang w:val="en-US" w:eastAsia="zh-CN"/>
        </w:rPr>
        <w:t>3</w:t>
      </w:r>
      <w:r>
        <w:rPr>
          <w:rFonts w:hint="eastAsia" w:ascii="Times New Roman" w:hAnsi="Times New Roman" w:eastAsia="宋体" w:cs="Times New Roman"/>
          <w:color w:val="auto"/>
          <w:sz w:val="24"/>
          <w:szCs w:val="24"/>
          <w:lang w:val="en-US" w:eastAsia="zh-CN"/>
        </w:rPr>
        <w:t>，占标率为0.05 %；面源氨排放的最大一次浓度浓度为0.0174g/m</w:t>
      </w:r>
      <w:r>
        <w:rPr>
          <w:rFonts w:hint="eastAsia" w:ascii="Times New Roman" w:hAnsi="Times New Roman" w:eastAsia="宋体" w:cs="Times New Roman"/>
          <w:color w:val="auto"/>
          <w:sz w:val="24"/>
          <w:szCs w:val="24"/>
          <w:vertAlign w:val="superscript"/>
          <w:lang w:val="en-US" w:eastAsia="zh-CN"/>
        </w:rPr>
        <w:t>3</w:t>
      </w:r>
      <w:r>
        <w:rPr>
          <w:rFonts w:hint="eastAsia" w:ascii="Times New Roman" w:hAnsi="Times New Roman" w:eastAsia="宋体" w:cs="Times New Roman"/>
          <w:color w:val="auto"/>
          <w:sz w:val="24"/>
          <w:szCs w:val="24"/>
          <w:lang w:val="en-US" w:eastAsia="zh-CN"/>
        </w:rPr>
        <w:t>，占标率为8.69%；面源硫化氢排放的最大一次浓度为0.0000521mg/m</w:t>
      </w:r>
      <w:r>
        <w:rPr>
          <w:rFonts w:hint="eastAsia" w:ascii="Times New Roman" w:hAnsi="Times New Roman" w:eastAsia="宋体" w:cs="Times New Roman"/>
          <w:color w:val="auto"/>
          <w:sz w:val="24"/>
          <w:szCs w:val="24"/>
          <w:vertAlign w:val="superscript"/>
          <w:lang w:val="en-US" w:eastAsia="zh-CN"/>
        </w:rPr>
        <w:t>3</w:t>
      </w:r>
      <w:r>
        <w:rPr>
          <w:rFonts w:hint="eastAsia" w:ascii="Times New Roman" w:hAnsi="Times New Roman" w:eastAsia="宋体" w:cs="Times New Roman"/>
          <w:color w:val="auto"/>
          <w:sz w:val="24"/>
          <w:szCs w:val="24"/>
          <w:lang w:val="en-US" w:eastAsia="zh-CN"/>
        </w:rPr>
        <w:t>，占标率为0.52%，满足《建设项目环境影响评价技术导则 大气环境》（HJ2.2-2018）中附录 D 其他污染物空气质量浓度参考限值；因此项目运营后对周围大气环境影响较小。</w:t>
      </w:r>
    </w:p>
    <w:p>
      <w:pPr>
        <w:pStyle w:val="112"/>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outlineLvl w:val="9"/>
        <w:rPr>
          <w:rFonts w:hint="default" w:ascii="Times New Roman" w:hAnsi="Times New Roman" w:eastAsia="宋体" w:cs="Times New Roman"/>
          <w:b/>
          <w:bCs/>
          <w:color w:val="auto"/>
          <w:sz w:val="24"/>
          <w:szCs w:val="24"/>
        </w:rPr>
      </w:pPr>
      <w:bookmarkStart w:id="219" w:name="_Toc501597880"/>
      <w:r>
        <w:rPr>
          <w:rFonts w:hint="default" w:ascii="Times New Roman" w:hAnsi="Times New Roman" w:eastAsia="宋体" w:cs="Times New Roman"/>
          <w:b/>
          <w:bCs/>
          <w:color w:val="auto"/>
          <w:sz w:val="24"/>
          <w:szCs w:val="24"/>
        </w:rPr>
        <w:t>预测内容</w:t>
      </w:r>
    </w:p>
    <w:bookmarkEnd w:id="219"/>
    <w:p>
      <w:pPr>
        <w:pStyle w:val="112"/>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outlineLvl w:val="9"/>
        <w:rPr>
          <w:rFonts w:hint="eastAsia"/>
          <w:color w:val="auto"/>
          <w:lang w:val="en-US" w:eastAsia="zh-CN"/>
        </w:rPr>
      </w:pPr>
      <w:r>
        <w:rPr>
          <w:rFonts w:hint="default" w:ascii="Times New Roman" w:hAnsi="Times New Roman" w:eastAsia="宋体" w:cs="Times New Roman"/>
          <w:color w:val="auto"/>
          <w:sz w:val="24"/>
          <w:szCs w:val="24"/>
        </w:rPr>
        <w:t>经估算模型计算，本项目各污染源排放的大气污染物中，最大落地浓度占标率大于1%，但小于10%，根据《环境影响评价技术导则 大气环境》（HJ2.2-2018），确定大气环境影响评价等级为二级。根据《环境影响评价技术导则 大气环境》 （HJ2.2-2018）的有关规定：二级评价项目不进行进一步预测与评价，只对污染物排放量进行核算。</w:t>
      </w:r>
    </w:p>
    <w:p>
      <w:pPr>
        <w:keepNext/>
        <w:keepLines/>
        <w:adjustRightInd w:val="0"/>
        <w:snapToGrid w:val="0"/>
        <w:spacing w:line="360" w:lineRule="auto"/>
        <w:outlineLvl w:val="3"/>
        <w:rPr>
          <w:rFonts w:hint="default" w:ascii="Times New Roman" w:hAnsi="Times New Roman" w:eastAsia="宋体"/>
          <w:b/>
          <w:bCs/>
          <w:color w:val="auto"/>
          <w:sz w:val="24"/>
          <w:szCs w:val="24"/>
          <w:lang w:val="en-US" w:eastAsia="zh-CN"/>
        </w:rPr>
      </w:pPr>
      <w:bookmarkStart w:id="220" w:name="_Toc501597881"/>
      <w:r>
        <w:rPr>
          <w:rFonts w:hint="default" w:ascii="Times New Roman" w:hAnsi="Times New Roman" w:eastAsia="宋体"/>
          <w:b/>
          <w:bCs/>
          <w:color w:val="auto"/>
          <w:sz w:val="24"/>
          <w:szCs w:val="24"/>
          <w:lang w:val="en-US" w:eastAsia="zh-CN"/>
        </w:rPr>
        <w:t>5.2.</w:t>
      </w:r>
      <w:r>
        <w:rPr>
          <w:rFonts w:hint="eastAsia" w:ascii="Times New Roman" w:hAnsi="Times New Roman" w:eastAsia="宋体"/>
          <w:b/>
          <w:bCs/>
          <w:color w:val="auto"/>
          <w:sz w:val="24"/>
          <w:szCs w:val="24"/>
          <w:lang w:val="en-US" w:eastAsia="zh-CN"/>
        </w:rPr>
        <w:t>1</w:t>
      </w:r>
      <w:r>
        <w:rPr>
          <w:rFonts w:hint="default" w:ascii="Times New Roman" w:hAnsi="Times New Roman" w:eastAsia="宋体"/>
          <w:b/>
          <w:bCs/>
          <w:color w:val="auto"/>
          <w:sz w:val="24"/>
          <w:szCs w:val="24"/>
          <w:lang w:val="en-US" w:eastAsia="zh-CN"/>
        </w:rPr>
        <w:t>.</w:t>
      </w:r>
      <w:bookmarkEnd w:id="220"/>
      <w:bookmarkStart w:id="221" w:name="_Toc501597882"/>
      <w:r>
        <w:rPr>
          <w:rFonts w:hint="default" w:ascii="Times New Roman" w:hAnsi="Times New Roman" w:eastAsia="宋体"/>
          <w:b/>
          <w:bCs/>
          <w:color w:val="auto"/>
          <w:sz w:val="24"/>
          <w:szCs w:val="24"/>
          <w:lang w:val="en-US" w:eastAsia="zh-CN"/>
        </w:rPr>
        <w:t>3</w:t>
      </w:r>
      <w:bookmarkEnd w:id="221"/>
      <w:r>
        <w:rPr>
          <w:rFonts w:hint="eastAsia" w:ascii="Times New Roman" w:hAnsi="Times New Roman" w:eastAsia="宋体"/>
          <w:b/>
          <w:bCs/>
          <w:color w:val="auto"/>
          <w:sz w:val="24"/>
          <w:szCs w:val="24"/>
          <w:lang w:val="en-US" w:eastAsia="zh-CN"/>
        </w:rPr>
        <w:t>污染物排放量核算</w:t>
      </w:r>
    </w:p>
    <w:p>
      <w:pPr>
        <w:pStyle w:val="112"/>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outlineLvl w:val="9"/>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①有组织排放量核算</w:t>
      </w:r>
    </w:p>
    <w:p>
      <w:pPr>
        <w:pStyle w:val="112"/>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outlineLvl w:val="9"/>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rPr>
        <w:t>项目大气污染物有组织排放量核算详见</w:t>
      </w:r>
      <w:r>
        <w:rPr>
          <w:rFonts w:hint="eastAsia" w:ascii="Times New Roman" w:hAnsi="Times New Roman" w:eastAsia="宋体" w:cs="Times New Roman"/>
          <w:color w:val="auto"/>
          <w:sz w:val="24"/>
          <w:szCs w:val="24"/>
          <w:lang w:val="en-US" w:eastAsia="zh-CN"/>
        </w:rPr>
        <w:t>下</w:t>
      </w:r>
      <w:r>
        <w:rPr>
          <w:rFonts w:hint="eastAsia" w:ascii="Times New Roman" w:hAnsi="Times New Roman" w:eastAsia="宋体" w:cs="Times New Roman"/>
          <w:color w:val="auto"/>
          <w:sz w:val="24"/>
          <w:szCs w:val="24"/>
        </w:rPr>
        <w:t>表</w:t>
      </w:r>
      <w:r>
        <w:rPr>
          <w:rFonts w:hint="eastAsia" w:ascii="Times New Roman" w:hAnsi="Times New Roman" w:eastAsia="宋体" w:cs="Times New Roman"/>
          <w:color w:val="auto"/>
          <w:sz w:val="24"/>
          <w:szCs w:val="24"/>
          <w:lang w:eastAsia="zh-CN"/>
        </w:rPr>
        <w:t>：</w:t>
      </w:r>
    </w:p>
    <w:p>
      <w:pPr>
        <w:pStyle w:val="16"/>
        <w:spacing w:line="240" w:lineRule="auto"/>
        <w:ind w:left="0" w:leftChars="0" w:firstLine="0" w:firstLineChars="0"/>
        <w:jc w:val="center"/>
        <w:rPr>
          <w:rFonts w:hint="default" w:ascii="Times New Roman" w:hAnsi="Times New Roman" w:eastAsia="宋体" w:cs="Times New Roman"/>
          <w:b/>
          <w:bCs/>
          <w:caps w:val="0"/>
          <w:color w:val="auto"/>
          <w:sz w:val="21"/>
          <w:szCs w:val="21"/>
          <w:lang w:val="en-US" w:eastAsia="zh-CN"/>
        </w:rPr>
      </w:pPr>
      <w:r>
        <w:rPr>
          <w:rFonts w:hint="eastAsia" w:ascii="Times New Roman" w:hAnsi="Times New Roman" w:eastAsia="宋体" w:cs="Times New Roman"/>
          <w:b/>
          <w:bCs/>
          <w:caps w:val="0"/>
          <w:color w:val="auto"/>
          <w:sz w:val="21"/>
          <w:szCs w:val="21"/>
          <w:lang w:val="en-US" w:eastAsia="zh-CN"/>
        </w:rPr>
        <w:t>表5.2-6</w:t>
      </w:r>
      <w:r>
        <w:rPr>
          <w:rFonts w:hint="default" w:ascii="Times New Roman" w:hAnsi="Times New Roman" w:eastAsia="宋体" w:cs="Times New Roman"/>
          <w:b/>
          <w:bCs/>
          <w:caps w:val="0"/>
          <w:color w:val="auto"/>
          <w:sz w:val="21"/>
          <w:szCs w:val="21"/>
          <w:lang w:val="en-US" w:eastAsia="zh-CN"/>
        </w:rPr>
        <w:t xml:space="preserve">  </w:t>
      </w:r>
      <w:r>
        <w:rPr>
          <w:rFonts w:hint="eastAsia" w:ascii="Times New Roman" w:hAnsi="Times New Roman" w:eastAsia="宋体" w:cs="Times New Roman"/>
          <w:b/>
          <w:bCs/>
          <w:caps w:val="0"/>
          <w:color w:val="auto"/>
          <w:sz w:val="21"/>
          <w:szCs w:val="21"/>
          <w:lang w:val="en-US" w:eastAsia="zh-CN"/>
        </w:rPr>
        <w:t>大气污染物有组织排放量核算表</w:t>
      </w:r>
    </w:p>
    <w:tbl>
      <w:tblPr>
        <w:tblStyle w:val="3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41"/>
        <w:gridCol w:w="1234"/>
        <w:gridCol w:w="1405"/>
        <w:gridCol w:w="1926"/>
        <w:gridCol w:w="1903"/>
        <w:gridCol w:w="187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r>
              <w:rPr>
                <w:rFonts w:hint="eastAsia" w:ascii="Times New Roman" w:hAnsi="Times New Roman" w:cs="Times New Roman" w:eastAsiaTheme="minorEastAsia"/>
                <w:color w:val="auto"/>
                <w:sz w:val="21"/>
                <w:szCs w:val="21"/>
                <w:vertAlign w:val="baseline"/>
              </w:rPr>
              <w:t>序号</w:t>
            </w:r>
          </w:p>
        </w:tc>
        <w:tc>
          <w:tcPr>
            <w:tcW w:w="123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r>
              <w:rPr>
                <w:rFonts w:hint="eastAsia" w:ascii="Times New Roman" w:hAnsi="Times New Roman" w:cs="Times New Roman" w:eastAsiaTheme="minorEastAsia"/>
                <w:color w:val="auto"/>
                <w:sz w:val="21"/>
                <w:szCs w:val="21"/>
                <w:vertAlign w:val="baseline"/>
              </w:rPr>
              <w:t>排放口编号</w:t>
            </w:r>
          </w:p>
        </w:tc>
        <w:tc>
          <w:tcPr>
            <w:tcW w:w="140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r>
              <w:rPr>
                <w:rFonts w:hint="eastAsia" w:ascii="Times New Roman" w:hAnsi="Times New Roman" w:cs="Times New Roman" w:eastAsiaTheme="minorEastAsia"/>
                <w:color w:val="auto"/>
                <w:sz w:val="21"/>
                <w:szCs w:val="21"/>
                <w:vertAlign w:val="baseline"/>
              </w:rPr>
              <w:t>污染物</w:t>
            </w:r>
          </w:p>
        </w:tc>
        <w:tc>
          <w:tcPr>
            <w:tcW w:w="192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r>
              <w:rPr>
                <w:rFonts w:hint="eastAsia" w:ascii="Times New Roman" w:hAnsi="Times New Roman" w:cs="Times New Roman" w:eastAsiaTheme="minorEastAsia"/>
                <w:color w:val="auto"/>
                <w:sz w:val="21"/>
                <w:szCs w:val="21"/>
                <w:vertAlign w:val="baseline"/>
              </w:rPr>
              <w:t>核算排放浓度/（</w:t>
            </w:r>
            <w:r>
              <w:rPr>
                <w:rFonts w:hint="eastAsia" w:ascii="Times New Roman" w:hAnsi="Times New Roman" w:cs="Times New Roman"/>
                <w:color w:val="auto"/>
                <w:sz w:val="21"/>
                <w:szCs w:val="21"/>
                <w:vertAlign w:val="baseline"/>
                <w:lang w:val="en-US" w:eastAsia="zh-CN"/>
              </w:rPr>
              <w:t>m</w:t>
            </w:r>
            <w:r>
              <w:rPr>
                <w:rFonts w:hint="default" w:ascii="Times New Roman" w:hAnsi="Times New Roman" w:cs="Times New Roman" w:eastAsiaTheme="minorEastAsia"/>
                <w:color w:val="auto"/>
                <w:sz w:val="21"/>
                <w:szCs w:val="21"/>
                <w:vertAlign w:val="baseline"/>
              </w:rPr>
              <w:t>g/m</w:t>
            </w:r>
            <w:r>
              <w:rPr>
                <w:rFonts w:hint="default" w:ascii="Times New Roman" w:hAnsi="Times New Roman" w:cs="Times New Roman" w:eastAsiaTheme="minorEastAsia"/>
                <w:color w:val="auto"/>
                <w:sz w:val="21"/>
                <w:szCs w:val="21"/>
                <w:vertAlign w:val="superscript"/>
              </w:rPr>
              <w:t>3</w:t>
            </w:r>
            <w:r>
              <w:rPr>
                <w:rFonts w:hint="eastAsia" w:ascii="Times New Roman" w:hAnsi="Times New Roman" w:cs="Times New Roman" w:eastAsiaTheme="minorEastAsia"/>
                <w:color w:val="auto"/>
                <w:sz w:val="21"/>
                <w:szCs w:val="21"/>
                <w:vertAlign w:val="baseline"/>
              </w:rPr>
              <w:t>）</w:t>
            </w:r>
          </w:p>
        </w:tc>
        <w:tc>
          <w:tcPr>
            <w:tcW w:w="190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r>
              <w:rPr>
                <w:rFonts w:hint="eastAsia" w:ascii="Times New Roman" w:hAnsi="Times New Roman" w:cs="Times New Roman" w:eastAsiaTheme="minorEastAsia"/>
                <w:color w:val="auto"/>
                <w:sz w:val="21"/>
                <w:szCs w:val="21"/>
                <w:vertAlign w:val="baseline"/>
              </w:rPr>
              <w:t>核算排放速率/（kg</w:t>
            </w:r>
            <w:r>
              <w:rPr>
                <w:rFonts w:hint="default" w:ascii="Times New Roman" w:hAnsi="Times New Roman" w:cs="Times New Roman" w:eastAsiaTheme="minorEastAsia"/>
                <w:color w:val="auto"/>
                <w:sz w:val="21"/>
                <w:szCs w:val="21"/>
                <w:vertAlign w:val="baseline"/>
              </w:rPr>
              <w:t>/</w:t>
            </w:r>
            <w:r>
              <w:rPr>
                <w:rFonts w:hint="eastAsia" w:ascii="Times New Roman" w:hAnsi="Times New Roman" w:cs="Times New Roman" w:eastAsiaTheme="minorEastAsia"/>
                <w:color w:val="auto"/>
                <w:sz w:val="21"/>
                <w:szCs w:val="21"/>
                <w:vertAlign w:val="baseline"/>
              </w:rPr>
              <w:t>h）</w:t>
            </w:r>
          </w:p>
        </w:tc>
        <w:tc>
          <w:tcPr>
            <w:tcW w:w="187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r>
              <w:rPr>
                <w:rFonts w:hint="eastAsia" w:ascii="Times New Roman" w:hAnsi="Times New Roman" w:cs="Times New Roman" w:eastAsiaTheme="minorEastAsia"/>
                <w:color w:val="auto"/>
                <w:sz w:val="21"/>
                <w:szCs w:val="21"/>
                <w:vertAlign w:val="baseline"/>
              </w:rPr>
              <w:t>核算年排放量/（t</w:t>
            </w:r>
            <w:r>
              <w:rPr>
                <w:rFonts w:hint="default" w:ascii="Times New Roman" w:hAnsi="Times New Roman" w:cs="Times New Roman" w:eastAsiaTheme="minorEastAsia"/>
                <w:color w:val="auto"/>
                <w:sz w:val="21"/>
                <w:szCs w:val="21"/>
                <w:vertAlign w:val="baseline"/>
              </w:rPr>
              <w:t>/</w:t>
            </w:r>
            <w:r>
              <w:rPr>
                <w:rFonts w:hint="eastAsia" w:ascii="Times New Roman" w:hAnsi="Times New Roman" w:cs="Times New Roman" w:eastAsiaTheme="minorEastAsia"/>
                <w:color w:val="auto"/>
                <w:sz w:val="21"/>
                <w:szCs w:val="21"/>
                <w:vertAlign w:val="baseline"/>
              </w:rPr>
              <w: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84" w:type="dxa"/>
            <w:gridSpan w:val="6"/>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r>
              <w:rPr>
                <w:rFonts w:hint="eastAsia" w:ascii="Times New Roman" w:hAnsi="Times New Roman" w:cs="Times New Roman" w:eastAsiaTheme="minorEastAsia"/>
                <w:color w:val="auto"/>
                <w:sz w:val="21"/>
                <w:szCs w:val="21"/>
                <w:vertAlign w:val="baseline"/>
              </w:rPr>
              <w:t>一般排放口</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w:t>
            </w:r>
          </w:p>
        </w:tc>
        <w:tc>
          <w:tcPr>
            <w:tcW w:w="1234"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r>
              <w:rPr>
                <w:rFonts w:hint="eastAsia" w:ascii="Times New Roman" w:hAnsi="Times New Roman" w:cs="Times New Roman"/>
                <w:color w:val="auto"/>
                <w:sz w:val="21"/>
                <w:szCs w:val="21"/>
                <w:vertAlign w:val="baseline"/>
                <w:lang w:val="en-US" w:eastAsia="zh-CN"/>
              </w:rPr>
              <w:t>1</w:t>
            </w:r>
            <w:r>
              <w:rPr>
                <w:rFonts w:hint="eastAsia" w:ascii="Times New Roman" w:hAnsi="Times New Roman" w:cs="Times New Roman" w:eastAsiaTheme="minorEastAsia"/>
                <w:color w:val="auto"/>
                <w:sz w:val="21"/>
                <w:szCs w:val="21"/>
                <w:vertAlign w:val="baseline"/>
                <w:lang w:val="en-US" w:eastAsia="zh-CN"/>
              </w:rPr>
              <w:t>#排气筒</w:t>
            </w:r>
          </w:p>
        </w:tc>
        <w:tc>
          <w:tcPr>
            <w:tcW w:w="140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NH</w:t>
            </w:r>
            <w:r>
              <w:rPr>
                <w:rFonts w:hint="eastAsia" w:ascii="Times New Roman" w:hAnsi="Times New Roman" w:cs="Times New Roman"/>
                <w:color w:val="auto"/>
                <w:sz w:val="21"/>
                <w:szCs w:val="21"/>
                <w:vertAlign w:val="subscript"/>
                <w:lang w:val="en-US" w:eastAsia="zh-CN"/>
              </w:rPr>
              <w:t>3</w:t>
            </w:r>
          </w:p>
        </w:tc>
        <w:tc>
          <w:tcPr>
            <w:tcW w:w="1926" w:type="dxa"/>
            <w:tcBorders>
              <w:tl2br w:val="nil"/>
              <w:tr2bl w:val="nil"/>
            </w:tcBorders>
            <w:noWrap w:val="0"/>
            <w:vAlign w:val="center"/>
          </w:tcPr>
          <w:p>
            <w:pPr>
              <w:pStyle w:val="98"/>
              <w:jc w:val="center"/>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color w:val="auto"/>
                <w:szCs w:val="21"/>
                <w:lang w:val="en-US" w:eastAsia="zh-CN"/>
              </w:rPr>
              <w:t>0.637</w:t>
            </w:r>
          </w:p>
        </w:tc>
        <w:tc>
          <w:tcPr>
            <w:tcW w:w="1903" w:type="dxa"/>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color w:val="auto"/>
                <w:szCs w:val="21"/>
                <w:lang w:val="en-US" w:eastAsia="zh-CN"/>
              </w:rPr>
              <w:t>0.00673</w:t>
            </w:r>
          </w:p>
        </w:tc>
        <w:tc>
          <w:tcPr>
            <w:tcW w:w="1875" w:type="dxa"/>
            <w:tcBorders>
              <w:tl2br w:val="nil"/>
              <w:tr2bl w:val="nil"/>
            </w:tcBorders>
            <w:noWrap w:val="0"/>
            <w:vAlign w:val="center"/>
          </w:tcPr>
          <w:p>
            <w:pPr>
              <w:pStyle w:val="98"/>
              <w:jc w:val="center"/>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color w:val="auto"/>
                <w:szCs w:val="21"/>
                <w:lang w:val="en-US" w:eastAsia="zh-CN"/>
              </w:rPr>
              <w:t>0.002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p>
        </w:tc>
        <w:tc>
          <w:tcPr>
            <w:tcW w:w="123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p>
        </w:tc>
        <w:tc>
          <w:tcPr>
            <w:tcW w:w="140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H</w:t>
            </w:r>
            <w:r>
              <w:rPr>
                <w:rFonts w:hint="eastAsia" w:ascii="Times New Roman" w:hAnsi="Times New Roman" w:cs="Times New Roman"/>
                <w:color w:val="auto"/>
                <w:sz w:val="21"/>
                <w:szCs w:val="21"/>
                <w:vertAlign w:val="subscript"/>
                <w:lang w:val="en-US" w:eastAsia="zh-CN"/>
              </w:rPr>
              <w:t>2</w:t>
            </w:r>
            <w:r>
              <w:rPr>
                <w:rFonts w:hint="eastAsia" w:ascii="Times New Roman" w:hAnsi="Times New Roman" w:cs="Times New Roman"/>
                <w:color w:val="auto"/>
                <w:sz w:val="21"/>
                <w:szCs w:val="21"/>
                <w:vertAlign w:val="baseline"/>
                <w:lang w:val="en-US" w:eastAsia="zh-CN"/>
              </w:rPr>
              <w:t>S</w:t>
            </w:r>
          </w:p>
        </w:tc>
        <w:tc>
          <w:tcPr>
            <w:tcW w:w="1926" w:type="dxa"/>
            <w:tcBorders>
              <w:tl2br w:val="nil"/>
              <w:tr2bl w:val="nil"/>
            </w:tcBorders>
            <w:noWrap w:val="0"/>
            <w:vAlign w:val="center"/>
          </w:tcPr>
          <w:p>
            <w:pPr>
              <w:pStyle w:val="98"/>
              <w:jc w:val="center"/>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color w:val="auto"/>
                <w:szCs w:val="21"/>
                <w:lang w:val="en-US" w:eastAsia="zh-CN"/>
              </w:rPr>
              <w:t>0.04</w:t>
            </w:r>
          </w:p>
        </w:tc>
        <w:tc>
          <w:tcPr>
            <w:tcW w:w="1903" w:type="dxa"/>
            <w:tcBorders>
              <w:tl2br w:val="nil"/>
              <w:tr2bl w:val="nil"/>
            </w:tcBorders>
            <w:noWrap w:val="0"/>
            <w:vAlign w:val="center"/>
          </w:tcPr>
          <w:p>
            <w:pPr>
              <w:adjustRightInd w:val="0"/>
              <w:snapToGrid w:val="0"/>
              <w:jc w:val="center"/>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0.0004</w:t>
            </w:r>
          </w:p>
        </w:tc>
        <w:tc>
          <w:tcPr>
            <w:tcW w:w="1875" w:type="dxa"/>
            <w:tcBorders>
              <w:tl2br w:val="nil"/>
              <w:tr2bl w:val="nil"/>
            </w:tcBorders>
            <w:noWrap w:val="0"/>
            <w:vAlign w:val="center"/>
          </w:tcPr>
          <w:p>
            <w:pPr>
              <w:pStyle w:val="98"/>
              <w:jc w:val="center"/>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color w:val="auto"/>
                <w:szCs w:val="21"/>
                <w:lang w:val="en-US" w:eastAsia="zh-CN"/>
              </w:rPr>
              <w:t>0.0001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75" w:type="dxa"/>
            <w:gridSpan w:val="2"/>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r>
              <w:rPr>
                <w:rFonts w:hint="eastAsia" w:ascii="Times New Roman" w:hAnsi="Times New Roman" w:cs="Times New Roman" w:eastAsiaTheme="minorEastAsia"/>
                <w:color w:val="auto"/>
                <w:sz w:val="21"/>
                <w:szCs w:val="21"/>
                <w:vertAlign w:val="baseline"/>
              </w:rPr>
              <w:t>一般排放口合计</w:t>
            </w:r>
          </w:p>
        </w:tc>
        <w:tc>
          <w:tcPr>
            <w:tcW w:w="5234"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eastAsiaTheme="minorEastAsia"/>
                <w:b/>
                <w:bCs/>
                <w:color w:val="auto"/>
                <w:sz w:val="21"/>
                <w:szCs w:val="21"/>
                <w:vertAlign w:val="baseline"/>
                <w:lang w:eastAsia="zh-CN"/>
              </w:rPr>
            </w:pPr>
            <w:r>
              <w:rPr>
                <w:rFonts w:hint="eastAsia" w:ascii="Times New Roman" w:hAnsi="Times New Roman" w:cs="Times New Roman"/>
                <w:color w:val="auto"/>
                <w:sz w:val="21"/>
                <w:szCs w:val="21"/>
                <w:vertAlign w:val="baseline"/>
                <w:lang w:val="en-US" w:eastAsia="zh-CN"/>
              </w:rPr>
              <w:t>NH</w:t>
            </w:r>
            <w:r>
              <w:rPr>
                <w:rFonts w:hint="eastAsia" w:ascii="Times New Roman" w:hAnsi="Times New Roman" w:cs="Times New Roman"/>
                <w:color w:val="auto"/>
                <w:sz w:val="21"/>
                <w:szCs w:val="21"/>
                <w:vertAlign w:val="subscript"/>
                <w:lang w:val="en-US" w:eastAsia="zh-CN"/>
              </w:rPr>
              <w:t>3</w:t>
            </w:r>
          </w:p>
        </w:tc>
        <w:tc>
          <w:tcPr>
            <w:tcW w:w="1875" w:type="dxa"/>
            <w:tcBorders>
              <w:tl2br w:val="nil"/>
              <w:tr2bl w:val="nil"/>
            </w:tcBorders>
            <w:noWrap w:val="0"/>
            <w:vAlign w:val="center"/>
          </w:tcPr>
          <w:p>
            <w:pPr>
              <w:pStyle w:val="98"/>
              <w:jc w:val="center"/>
              <w:rPr>
                <w:rFonts w:hint="default" w:ascii="Times New Roman" w:hAnsi="Times New Roman" w:cs="Times New Roman" w:eastAsiaTheme="minorEastAsia"/>
                <w:color w:val="auto"/>
                <w:kern w:val="2"/>
                <w:sz w:val="21"/>
                <w:szCs w:val="21"/>
                <w:vertAlign w:val="baseline"/>
                <w:lang w:val="en-US" w:eastAsia="zh-CN" w:bidi="ar-SA"/>
              </w:rPr>
            </w:pPr>
            <w:r>
              <w:rPr>
                <w:rFonts w:hint="eastAsia" w:ascii="Times New Roman" w:hAnsi="Times New Roman" w:cs="Times New Roman"/>
                <w:color w:val="auto"/>
                <w:szCs w:val="21"/>
                <w:lang w:val="en-US" w:eastAsia="zh-CN"/>
              </w:rPr>
              <w:t>0.002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675" w:type="dxa"/>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p>
        </w:tc>
        <w:tc>
          <w:tcPr>
            <w:tcW w:w="5234"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eastAsiaTheme="minorEastAsia"/>
                <w:b/>
                <w:bCs/>
                <w:color w:val="auto"/>
                <w:sz w:val="21"/>
                <w:szCs w:val="21"/>
                <w:vertAlign w:val="baseline"/>
                <w:lang w:eastAsia="zh-CN"/>
              </w:rPr>
            </w:pPr>
            <w:r>
              <w:rPr>
                <w:rFonts w:hint="eastAsia" w:ascii="Times New Roman" w:hAnsi="Times New Roman" w:cs="Times New Roman"/>
                <w:color w:val="auto"/>
                <w:sz w:val="21"/>
                <w:szCs w:val="21"/>
                <w:vertAlign w:val="baseline"/>
                <w:lang w:val="en-US" w:eastAsia="zh-CN"/>
              </w:rPr>
              <w:t>H</w:t>
            </w:r>
            <w:r>
              <w:rPr>
                <w:rFonts w:hint="eastAsia" w:ascii="Times New Roman" w:hAnsi="Times New Roman" w:cs="Times New Roman"/>
                <w:color w:val="auto"/>
                <w:sz w:val="21"/>
                <w:szCs w:val="21"/>
                <w:vertAlign w:val="subscript"/>
                <w:lang w:val="en-US" w:eastAsia="zh-CN"/>
              </w:rPr>
              <w:t>2</w:t>
            </w:r>
            <w:r>
              <w:rPr>
                <w:rFonts w:hint="eastAsia" w:ascii="Times New Roman" w:hAnsi="Times New Roman" w:cs="Times New Roman"/>
                <w:color w:val="auto"/>
                <w:sz w:val="21"/>
                <w:szCs w:val="21"/>
                <w:vertAlign w:val="baseline"/>
                <w:lang w:val="en-US" w:eastAsia="zh-CN"/>
              </w:rPr>
              <w:t>S</w:t>
            </w:r>
          </w:p>
        </w:tc>
        <w:tc>
          <w:tcPr>
            <w:tcW w:w="1875" w:type="dxa"/>
            <w:tcBorders>
              <w:tl2br w:val="nil"/>
              <w:tr2bl w:val="nil"/>
            </w:tcBorders>
            <w:noWrap w:val="0"/>
            <w:vAlign w:val="center"/>
          </w:tcPr>
          <w:p>
            <w:pPr>
              <w:pStyle w:val="98"/>
              <w:jc w:val="center"/>
              <w:rPr>
                <w:rFonts w:hint="default" w:ascii="Times New Roman" w:hAnsi="Times New Roman" w:cs="Times New Roman" w:eastAsiaTheme="minorEastAsia"/>
                <w:color w:val="auto"/>
                <w:kern w:val="2"/>
                <w:sz w:val="21"/>
                <w:szCs w:val="21"/>
                <w:vertAlign w:val="baseline"/>
                <w:lang w:val="en-US" w:eastAsia="zh-CN" w:bidi="ar-SA"/>
              </w:rPr>
            </w:pPr>
            <w:r>
              <w:rPr>
                <w:rFonts w:hint="eastAsia" w:ascii="Times New Roman" w:hAnsi="Times New Roman" w:cs="Times New Roman"/>
                <w:color w:val="auto"/>
                <w:szCs w:val="21"/>
                <w:lang w:val="en-US" w:eastAsia="zh-CN"/>
              </w:rPr>
              <w:t>0.0001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84" w:type="dxa"/>
            <w:gridSpan w:val="6"/>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eastAsiaTheme="minorEastAsia"/>
                <w:color w:val="auto"/>
                <w:sz w:val="21"/>
                <w:szCs w:val="21"/>
                <w:vertAlign w:val="baseline"/>
                <w:lang w:eastAsia="zh-CN"/>
              </w:rPr>
            </w:pPr>
            <w:r>
              <w:rPr>
                <w:rFonts w:hint="eastAsia" w:ascii="Times New Roman" w:hAnsi="Times New Roman" w:cs="Times New Roman"/>
                <w:color w:val="auto"/>
                <w:sz w:val="21"/>
                <w:szCs w:val="21"/>
                <w:vertAlign w:val="baseline"/>
                <w:lang w:eastAsia="zh-CN"/>
              </w:rPr>
              <w:t>合计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75" w:type="dxa"/>
            <w:gridSpan w:val="2"/>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r>
              <w:rPr>
                <w:rFonts w:hint="eastAsia" w:ascii="Times New Roman" w:hAnsi="Times New Roman" w:cs="Times New Roman" w:eastAsiaTheme="minorEastAsia"/>
                <w:color w:val="auto"/>
                <w:sz w:val="21"/>
                <w:szCs w:val="21"/>
                <w:vertAlign w:val="baseline"/>
              </w:rPr>
              <w:t>有组织排放总计</w:t>
            </w:r>
          </w:p>
        </w:tc>
        <w:tc>
          <w:tcPr>
            <w:tcW w:w="5234"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eastAsiaTheme="minorEastAsia"/>
                <w:color w:val="auto"/>
                <w:sz w:val="21"/>
                <w:szCs w:val="21"/>
                <w:vertAlign w:val="baseline"/>
                <w:lang w:eastAsia="zh-CN"/>
              </w:rPr>
            </w:pPr>
            <w:r>
              <w:rPr>
                <w:rFonts w:hint="eastAsia" w:ascii="Times New Roman" w:hAnsi="Times New Roman" w:cs="Times New Roman"/>
                <w:color w:val="auto"/>
                <w:sz w:val="21"/>
                <w:szCs w:val="21"/>
                <w:vertAlign w:val="baseline"/>
                <w:lang w:val="en-US" w:eastAsia="zh-CN"/>
              </w:rPr>
              <w:t>NH</w:t>
            </w:r>
            <w:r>
              <w:rPr>
                <w:rFonts w:hint="eastAsia" w:ascii="Times New Roman" w:hAnsi="Times New Roman" w:cs="Times New Roman"/>
                <w:color w:val="auto"/>
                <w:sz w:val="21"/>
                <w:szCs w:val="21"/>
                <w:vertAlign w:val="subscript"/>
                <w:lang w:val="en-US" w:eastAsia="zh-CN"/>
              </w:rPr>
              <w:t>3</w:t>
            </w:r>
          </w:p>
        </w:tc>
        <w:tc>
          <w:tcPr>
            <w:tcW w:w="1875" w:type="dxa"/>
            <w:tcBorders>
              <w:tl2br w:val="nil"/>
              <w:tr2bl w:val="nil"/>
            </w:tcBorders>
            <w:noWrap w:val="0"/>
            <w:vAlign w:val="center"/>
          </w:tcPr>
          <w:p>
            <w:pPr>
              <w:pStyle w:val="98"/>
              <w:jc w:val="center"/>
              <w:rPr>
                <w:rFonts w:hint="eastAsia" w:ascii="Times New Roman" w:hAnsi="Times New Roman" w:cs="Times New Roman" w:eastAsiaTheme="minorEastAsia"/>
                <w:color w:val="auto"/>
                <w:kern w:val="2"/>
                <w:sz w:val="21"/>
                <w:szCs w:val="21"/>
                <w:vertAlign w:val="baseline"/>
                <w:lang w:val="en-US" w:eastAsia="zh-CN" w:bidi="ar-SA"/>
              </w:rPr>
            </w:pPr>
            <w:r>
              <w:rPr>
                <w:rFonts w:hint="eastAsia" w:ascii="Times New Roman" w:hAnsi="Times New Roman" w:cs="Times New Roman"/>
                <w:color w:val="auto"/>
                <w:szCs w:val="21"/>
                <w:lang w:val="en-US" w:eastAsia="zh-CN"/>
              </w:rPr>
              <w:t>0.002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675" w:type="dxa"/>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p>
        </w:tc>
        <w:tc>
          <w:tcPr>
            <w:tcW w:w="5234"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eastAsiaTheme="minorEastAsia"/>
                <w:color w:val="auto"/>
                <w:sz w:val="21"/>
                <w:szCs w:val="21"/>
                <w:vertAlign w:val="baseline"/>
                <w:lang w:eastAsia="zh-CN"/>
              </w:rPr>
            </w:pPr>
            <w:r>
              <w:rPr>
                <w:rFonts w:hint="eastAsia" w:ascii="Times New Roman" w:hAnsi="Times New Roman" w:cs="Times New Roman"/>
                <w:color w:val="auto"/>
                <w:sz w:val="21"/>
                <w:szCs w:val="21"/>
                <w:vertAlign w:val="baseline"/>
                <w:lang w:val="en-US" w:eastAsia="zh-CN"/>
              </w:rPr>
              <w:t>H</w:t>
            </w:r>
            <w:r>
              <w:rPr>
                <w:rFonts w:hint="eastAsia" w:ascii="Times New Roman" w:hAnsi="Times New Roman" w:cs="Times New Roman"/>
                <w:color w:val="auto"/>
                <w:sz w:val="21"/>
                <w:szCs w:val="21"/>
                <w:vertAlign w:val="subscript"/>
                <w:lang w:val="en-US" w:eastAsia="zh-CN"/>
              </w:rPr>
              <w:t>2</w:t>
            </w:r>
            <w:r>
              <w:rPr>
                <w:rFonts w:hint="eastAsia" w:ascii="Times New Roman" w:hAnsi="Times New Roman" w:cs="Times New Roman"/>
                <w:color w:val="auto"/>
                <w:sz w:val="21"/>
                <w:szCs w:val="21"/>
                <w:vertAlign w:val="baseline"/>
                <w:lang w:val="en-US" w:eastAsia="zh-CN"/>
              </w:rPr>
              <w:t>S</w:t>
            </w:r>
          </w:p>
        </w:tc>
        <w:tc>
          <w:tcPr>
            <w:tcW w:w="1875" w:type="dxa"/>
            <w:tcBorders>
              <w:tl2br w:val="nil"/>
              <w:tr2bl w:val="nil"/>
            </w:tcBorders>
            <w:noWrap w:val="0"/>
            <w:vAlign w:val="center"/>
          </w:tcPr>
          <w:p>
            <w:pPr>
              <w:pStyle w:val="98"/>
              <w:jc w:val="center"/>
              <w:rPr>
                <w:rFonts w:hint="eastAsia" w:ascii="Times New Roman" w:hAnsi="Times New Roman" w:cs="Times New Roman" w:eastAsiaTheme="minorEastAsia"/>
                <w:color w:val="auto"/>
                <w:kern w:val="2"/>
                <w:sz w:val="21"/>
                <w:szCs w:val="21"/>
                <w:vertAlign w:val="baseline"/>
                <w:lang w:val="en-US" w:eastAsia="zh-CN" w:bidi="ar-SA"/>
              </w:rPr>
            </w:pPr>
            <w:r>
              <w:rPr>
                <w:rFonts w:hint="eastAsia" w:ascii="Times New Roman" w:hAnsi="Times New Roman" w:cs="Times New Roman"/>
                <w:color w:val="auto"/>
                <w:szCs w:val="21"/>
                <w:lang w:val="en-US" w:eastAsia="zh-CN"/>
              </w:rPr>
              <w:t>0.0001</w:t>
            </w:r>
          </w:p>
        </w:tc>
      </w:tr>
    </w:tbl>
    <w:p>
      <w:pPr>
        <w:pStyle w:val="112"/>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outlineLvl w:val="9"/>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rPr>
        <w:t>②无组织排放量核算</w:t>
      </w:r>
    </w:p>
    <w:p>
      <w:pPr>
        <w:pStyle w:val="112"/>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outlineLvl w:val="9"/>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rPr>
        <w:t>项目大气污染物无组织排放量核算详见</w:t>
      </w:r>
      <w:r>
        <w:rPr>
          <w:rFonts w:hint="eastAsia" w:ascii="Times New Roman" w:hAnsi="Times New Roman" w:eastAsia="宋体" w:cs="Times New Roman"/>
          <w:color w:val="auto"/>
          <w:sz w:val="24"/>
          <w:szCs w:val="24"/>
          <w:lang w:val="en-US" w:eastAsia="zh-CN"/>
        </w:rPr>
        <w:t>下</w:t>
      </w:r>
      <w:r>
        <w:rPr>
          <w:rFonts w:hint="eastAsia" w:ascii="Times New Roman" w:hAnsi="Times New Roman" w:eastAsia="宋体" w:cs="Times New Roman"/>
          <w:color w:val="auto"/>
          <w:sz w:val="24"/>
          <w:szCs w:val="24"/>
        </w:rPr>
        <w:t>表</w:t>
      </w:r>
      <w:r>
        <w:rPr>
          <w:rFonts w:hint="eastAsia" w:ascii="Times New Roman" w:hAnsi="Times New Roman" w:eastAsia="宋体" w:cs="Times New Roman"/>
          <w:color w:val="auto"/>
          <w:sz w:val="24"/>
          <w:szCs w:val="24"/>
          <w:lang w:eastAsia="zh-CN"/>
        </w:rPr>
        <w:t>：</w:t>
      </w:r>
    </w:p>
    <w:p>
      <w:pPr>
        <w:pStyle w:val="16"/>
        <w:spacing w:line="240" w:lineRule="auto"/>
        <w:ind w:left="0" w:leftChars="0" w:firstLine="0" w:firstLineChars="0"/>
        <w:jc w:val="center"/>
        <w:rPr>
          <w:rFonts w:hint="default" w:ascii="Times New Roman" w:hAnsi="Times New Roman" w:eastAsia="宋体" w:cs="Times New Roman"/>
          <w:b/>
          <w:bCs/>
          <w:caps w:val="0"/>
          <w:color w:val="auto"/>
          <w:sz w:val="21"/>
          <w:szCs w:val="21"/>
          <w:lang w:val="en-US" w:eastAsia="zh-CN"/>
        </w:rPr>
      </w:pPr>
      <w:r>
        <w:rPr>
          <w:rFonts w:hint="eastAsia" w:ascii="Times New Roman" w:hAnsi="Times New Roman" w:eastAsia="宋体" w:cs="Times New Roman"/>
          <w:b/>
          <w:bCs/>
          <w:caps w:val="0"/>
          <w:color w:val="auto"/>
          <w:sz w:val="21"/>
          <w:szCs w:val="21"/>
          <w:lang w:val="en-US" w:eastAsia="zh-CN"/>
        </w:rPr>
        <w:t>表5.2-7</w:t>
      </w:r>
      <w:r>
        <w:rPr>
          <w:rFonts w:hint="default" w:ascii="Times New Roman" w:hAnsi="Times New Roman" w:eastAsia="宋体" w:cs="Times New Roman"/>
          <w:b/>
          <w:bCs/>
          <w:caps w:val="0"/>
          <w:color w:val="auto"/>
          <w:sz w:val="21"/>
          <w:szCs w:val="21"/>
          <w:lang w:val="en-US" w:eastAsia="zh-CN"/>
        </w:rPr>
        <w:t xml:space="preserve">  </w:t>
      </w:r>
      <w:r>
        <w:rPr>
          <w:rFonts w:hint="eastAsia" w:ascii="Times New Roman" w:hAnsi="Times New Roman" w:eastAsia="宋体" w:cs="Times New Roman"/>
          <w:b/>
          <w:bCs/>
          <w:caps w:val="0"/>
          <w:color w:val="auto"/>
          <w:sz w:val="21"/>
          <w:szCs w:val="21"/>
          <w:lang w:val="en-US" w:eastAsia="zh-CN"/>
        </w:rPr>
        <w:t>大气污染物无组织排放量核算表</w:t>
      </w:r>
    </w:p>
    <w:tbl>
      <w:tblPr>
        <w:tblStyle w:val="3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97"/>
        <w:gridCol w:w="1663"/>
        <w:gridCol w:w="737"/>
        <w:gridCol w:w="127"/>
        <w:gridCol w:w="573"/>
        <w:gridCol w:w="953"/>
        <w:gridCol w:w="2234"/>
        <w:gridCol w:w="1167"/>
        <w:gridCol w:w="92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397"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r>
              <w:rPr>
                <w:rFonts w:hint="eastAsia" w:ascii="Times New Roman" w:hAnsi="Times New Roman" w:cs="Times New Roman" w:eastAsiaTheme="minorEastAsia"/>
                <w:color w:val="auto"/>
                <w:sz w:val="21"/>
                <w:szCs w:val="21"/>
                <w:vertAlign w:val="baseline"/>
              </w:rPr>
              <w:t>序号</w:t>
            </w:r>
          </w:p>
        </w:tc>
        <w:tc>
          <w:tcPr>
            <w:tcW w:w="1663"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r>
              <w:rPr>
                <w:rFonts w:hint="eastAsia" w:ascii="Times New Roman" w:hAnsi="Times New Roman" w:cs="Times New Roman" w:eastAsiaTheme="minorEastAsia"/>
                <w:color w:val="auto"/>
                <w:sz w:val="21"/>
                <w:szCs w:val="21"/>
                <w:vertAlign w:val="baseline"/>
              </w:rPr>
              <w:t>排放口编号</w:t>
            </w:r>
          </w:p>
        </w:tc>
        <w:tc>
          <w:tcPr>
            <w:tcW w:w="737"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r>
              <w:rPr>
                <w:rFonts w:hint="eastAsia" w:ascii="Times New Roman" w:hAnsi="Times New Roman" w:cs="Times New Roman" w:eastAsiaTheme="minorEastAsia"/>
                <w:color w:val="auto"/>
                <w:sz w:val="21"/>
                <w:szCs w:val="21"/>
                <w:vertAlign w:val="baseline"/>
              </w:rPr>
              <w:t>产污环节</w:t>
            </w:r>
          </w:p>
        </w:tc>
        <w:tc>
          <w:tcPr>
            <w:tcW w:w="700" w:type="dxa"/>
            <w:gridSpan w:val="2"/>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r>
              <w:rPr>
                <w:rFonts w:hint="eastAsia" w:ascii="Times New Roman" w:hAnsi="Times New Roman" w:cs="Times New Roman" w:eastAsiaTheme="minorEastAsia"/>
                <w:color w:val="auto"/>
                <w:sz w:val="21"/>
                <w:szCs w:val="21"/>
                <w:vertAlign w:val="baseline"/>
              </w:rPr>
              <w:t>污染物</w:t>
            </w:r>
          </w:p>
        </w:tc>
        <w:tc>
          <w:tcPr>
            <w:tcW w:w="953"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r>
              <w:rPr>
                <w:rFonts w:hint="eastAsia" w:ascii="Times New Roman" w:hAnsi="Times New Roman" w:cs="Times New Roman" w:eastAsiaTheme="minorEastAsia"/>
                <w:color w:val="auto"/>
                <w:sz w:val="21"/>
                <w:szCs w:val="21"/>
                <w:vertAlign w:val="baseline"/>
              </w:rPr>
              <w:t>主要污染防治措施</w:t>
            </w:r>
          </w:p>
        </w:tc>
        <w:tc>
          <w:tcPr>
            <w:tcW w:w="340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r>
              <w:rPr>
                <w:rFonts w:hint="eastAsia" w:ascii="Times New Roman" w:hAnsi="Times New Roman" w:cs="Times New Roman" w:eastAsiaTheme="minorEastAsia"/>
                <w:color w:val="auto"/>
                <w:sz w:val="21"/>
                <w:szCs w:val="21"/>
                <w:vertAlign w:val="baseline"/>
              </w:rPr>
              <w:t>国家或地方污染物排放标准</w:t>
            </w:r>
          </w:p>
        </w:tc>
        <w:tc>
          <w:tcPr>
            <w:tcW w:w="929"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r>
              <w:rPr>
                <w:rFonts w:hint="eastAsia" w:ascii="Times New Roman" w:hAnsi="Times New Roman" w:cs="Times New Roman" w:eastAsiaTheme="minorEastAsia"/>
                <w:color w:val="auto"/>
                <w:sz w:val="21"/>
                <w:szCs w:val="21"/>
                <w:vertAlign w:val="baseline"/>
              </w:rPr>
              <w:t>年排放量（t</w:t>
            </w:r>
            <w:r>
              <w:rPr>
                <w:rFonts w:hint="default" w:ascii="Times New Roman" w:hAnsi="Times New Roman" w:cs="Times New Roman" w:eastAsiaTheme="minorEastAsia"/>
                <w:color w:val="auto"/>
                <w:sz w:val="21"/>
                <w:szCs w:val="21"/>
                <w:vertAlign w:val="baseline"/>
              </w:rPr>
              <w:t>/</w:t>
            </w:r>
            <w:r>
              <w:rPr>
                <w:rFonts w:hint="eastAsia" w:ascii="Times New Roman" w:hAnsi="Times New Roman" w:cs="Times New Roman" w:eastAsiaTheme="minorEastAsia"/>
                <w:color w:val="auto"/>
                <w:sz w:val="21"/>
                <w:szCs w:val="21"/>
                <w:vertAlign w:val="baseline"/>
              </w:rPr>
              <w: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397"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p>
        </w:tc>
        <w:tc>
          <w:tcPr>
            <w:tcW w:w="166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p>
        </w:tc>
        <w:tc>
          <w:tcPr>
            <w:tcW w:w="737"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p>
        </w:tc>
        <w:tc>
          <w:tcPr>
            <w:tcW w:w="700" w:type="dxa"/>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p>
        </w:tc>
        <w:tc>
          <w:tcPr>
            <w:tcW w:w="95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p>
        </w:tc>
        <w:tc>
          <w:tcPr>
            <w:tcW w:w="223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r>
              <w:rPr>
                <w:rFonts w:hint="eastAsia" w:ascii="Times New Roman" w:hAnsi="Times New Roman" w:cs="Times New Roman" w:eastAsiaTheme="minorEastAsia"/>
                <w:color w:val="auto"/>
                <w:sz w:val="21"/>
                <w:szCs w:val="21"/>
                <w:vertAlign w:val="baseline"/>
              </w:rPr>
              <w:t>标准名称</w:t>
            </w:r>
          </w:p>
        </w:tc>
        <w:tc>
          <w:tcPr>
            <w:tcW w:w="11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r>
              <w:rPr>
                <w:rFonts w:hint="eastAsia" w:ascii="Times New Roman" w:hAnsi="Times New Roman" w:cs="Times New Roman" w:eastAsiaTheme="minorEastAsia"/>
                <w:color w:val="auto"/>
                <w:sz w:val="21"/>
                <w:szCs w:val="21"/>
                <w:vertAlign w:val="baseline"/>
              </w:rPr>
              <w:t>浓度限值/（</w:t>
            </w:r>
            <w:r>
              <w:rPr>
                <w:rFonts w:hint="default" w:ascii="Times New Roman" w:hAnsi="Times New Roman" w:cs="Times New Roman" w:eastAsiaTheme="minorEastAsia"/>
                <w:color w:val="auto"/>
                <w:sz w:val="21"/>
                <w:szCs w:val="21"/>
                <w:vertAlign w:val="baseline"/>
              </w:rPr>
              <w:t>μg/m</w:t>
            </w:r>
            <w:r>
              <w:rPr>
                <w:rFonts w:hint="default" w:ascii="Times New Roman" w:hAnsi="Times New Roman" w:cs="Times New Roman" w:eastAsiaTheme="minorEastAsia"/>
                <w:color w:val="auto"/>
                <w:sz w:val="21"/>
                <w:szCs w:val="21"/>
                <w:vertAlign w:val="superscript"/>
              </w:rPr>
              <w:t>3</w:t>
            </w:r>
            <w:r>
              <w:rPr>
                <w:rFonts w:hint="eastAsia" w:ascii="Times New Roman" w:hAnsi="Times New Roman" w:cs="Times New Roman" w:eastAsiaTheme="minorEastAsia"/>
                <w:color w:val="auto"/>
                <w:sz w:val="21"/>
                <w:szCs w:val="21"/>
                <w:vertAlign w:val="baseline"/>
              </w:rPr>
              <w:t>）</w:t>
            </w:r>
          </w:p>
        </w:tc>
        <w:tc>
          <w:tcPr>
            <w:tcW w:w="929"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7"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1</w:t>
            </w:r>
          </w:p>
        </w:tc>
        <w:tc>
          <w:tcPr>
            <w:tcW w:w="1663" w:type="dxa"/>
            <w:vMerge w:val="restart"/>
            <w:tcBorders>
              <w:tl2br w:val="nil"/>
              <w:tr2bl w:val="nil"/>
            </w:tcBorders>
            <w:noWrap w:val="0"/>
            <w:vAlign w:val="center"/>
          </w:tcPr>
          <w:p>
            <w:pPr>
              <w:jc w:val="center"/>
              <w:rPr>
                <w:rFonts w:hint="eastAsia" w:ascii="Times New Roman" w:hAnsi="Times New Roman" w:cs="Times New Roman" w:eastAsiaTheme="minorEastAsia"/>
                <w:color w:val="auto"/>
                <w:sz w:val="21"/>
                <w:szCs w:val="21"/>
                <w:vertAlign w:val="baseline"/>
                <w:lang w:eastAsia="zh-CN"/>
              </w:rPr>
            </w:pPr>
            <w:r>
              <w:rPr>
                <w:rFonts w:hint="eastAsia" w:ascii="Times New Roman" w:hAnsi="Times New Roman" w:eastAsia="宋体"/>
                <w:color w:val="auto"/>
                <w:szCs w:val="21"/>
                <w:lang w:eastAsia="zh-CN"/>
              </w:rPr>
              <w:t>育肥舍1</w:t>
            </w:r>
          </w:p>
        </w:tc>
        <w:tc>
          <w:tcPr>
            <w:tcW w:w="737"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eastAsiaTheme="minorEastAsia"/>
                <w:color w:val="auto"/>
                <w:sz w:val="21"/>
                <w:szCs w:val="21"/>
                <w:vertAlign w:val="baseline"/>
                <w:lang w:eastAsia="zh-CN"/>
              </w:rPr>
            </w:pPr>
            <w:r>
              <w:rPr>
                <w:rFonts w:hint="eastAsia" w:ascii="Times New Roman" w:hAnsi="Times New Roman" w:cs="Times New Roman"/>
                <w:color w:val="auto"/>
                <w:sz w:val="21"/>
                <w:szCs w:val="21"/>
                <w:vertAlign w:val="baseline"/>
                <w:lang w:eastAsia="zh-CN"/>
              </w:rPr>
              <w:t>恶臭</w:t>
            </w:r>
          </w:p>
        </w:tc>
        <w:tc>
          <w:tcPr>
            <w:tcW w:w="70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eastAsiaTheme="minorEastAsia"/>
                <w:color w:val="auto"/>
                <w:sz w:val="21"/>
                <w:szCs w:val="21"/>
                <w:vertAlign w:val="baseline"/>
                <w:lang w:eastAsia="zh-CN"/>
              </w:rPr>
            </w:pPr>
            <w:r>
              <w:rPr>
                <w:rFonts w:hint="eastAsia" w:ascii="Times New Roman" w:hAnsi="Times New Roman" w:cs="Times New Roman"/>
                <w:color w:val="auto"/>
                <w:sz w:val="21"/>
                <w:szCs w:val="21"/>
                <w:vertAlign w:val="baseline"/>
                <w:lang w:val="en-US" w:eastAsia="zh-CN"/>
              </w:rPr>
              <w:t>NH</w:t>
            </w:r>
            <w:r>
              <w:rPr>
                <w:rFonts w:hint="eastAsia" w:ascii="Times New Roman" w:hAnsi="Times New Roman" w:cs="Times New Roman"/>
                <w:color w:val="auto"/>
                <w:sz w:val="21"/>
                <w:szCs w:val="21"/>
                <w:vertAlign w:val="subscript"/>
                <w:lang w:val="en-US" w:eastAsia="zh-CN"/>
              </w:rPr>
              <w:t>3</w:t>
            </w:r>
          </w:p>
        </w:tc>
        <w:tc>
          <w:tcPr>
            <w:tcW w:w="953"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r>
              <w:rPr>
                <w:rFonts w:hint="default" w:ascii="Times New Roman" w:hAnsi="Times New Roman" w:cs="Times New Roman" w:eastAsiaTheme="minorEastAsia"/>
                <w:color w:val="auto"/>
                <w:sz w:val="21"/>
                <w:szCs w:val="21"/>
                <w:vertAlign w:val="baseline"/>
              </w:rPr>
              <w:t>封闭式猪舍，加强绿化、除臭剂、绿化、无组织排放</w:t>
            </w:r>
          </w:p>
        </w:tc>
        <w:tc>
          <w:tcPr>
            <w:tcW w:w="2234"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r>
              <w:rPr>
                <w:rFonts w:hint="default" w:ascii="Times New Roman" w:hAnsi="Times New Roman" w:cs="Times New Roman" w:eastAsiaTheme="minorEastAsia"/>
                <w:color w:val="auto"/>
                <w:sz w:val="21"/>
                <w:szCs w:val="21"/>
                <w:vertAlign w:val="baseline"/>
              </w:rPr>
              <w:t>《恶臭污染物排放标准》 （GB14554-93）</w:t>
            </w:r>
          </w:p>
        </w:tc>
        <w:tc>
          <w:tcPr>
            <w:tcW w:w="11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1500</w:t>
            </w:r>
          </w:p>
        </w:tc>
        <w:tc>
          <w:tcPr>
            <w:tcW w:w="929" w:type="dxa"/>
            <w:tcBorders>
              <w:tl2br w:val="nil"/>
              <w:tr2bl w:val="nil"/>
            </w:tcBorders>
            <w:noWrap w:val="0"/>
            <w:vAlign w:val="center"/>
          </w:tcPr>
          <w:p>
            <w:pPr>
              <w:pStyle w:val="98"/>
              <w:jc w:val="center"/>
              <w:rPr>
                <w:rFonts w:hint="default"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0.10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7"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p>
        </w:tc>
        <w:tc>
          <w:tcPr>
            <w:tcW w:w="166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eastAsiaTheme="minorEastAsia"/>
                <w:color w:val="auto"/>
                <w:sz w:val="21"/>
                <w:szCs w:val="21"/>
                <w:vertAlign w:val="baseline"/>
                <w:lang w:val="en-US" w:eastAsia="zh-CN"/>
              </w:rPr>
            </w:pPr>
          </w:p>
        </w:tc>
        <w:tc>
          <w:tcPr>
            <w:tcW w:w="737"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eastAsiaTheme="minorEastAsia"/>
                <w:color w:val="auto"/>
                <w:sz w:val="21"/>
                <w:szCs w:val="21"/>
                <w:vertAlign w:val="baseline"/>
                <w:lang w:eastAsia="zh-CN"/>
              </w:rPr>
            </w:pPr>
          </w:p>
        </w:tc>
        <w:tc>
          <w:tcPr>
            <w:tcW w:w="70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eastAsiaTheme="minorEastAsia"/>
                <w:color w:val="auto"/>
                <w:sz w:val="21"/>
                <w:szCs w:val="21"/>
                <w:vertAlign w:val="baseline"/>
                <w:lang w:eastAsia="zh-CN"/>
              </w:rPr>
            </w:pPr>
            <w:r>
              <w:rPr>
                <w:rFonts w:hint="eastAsia" w:ascii="Times New Roman" w:hAnsi="Times New Roman" w:cs="Times New Roman"/>
                <w:color w:val="auto"/>
                <w:sz w:val="21"/>
                <w:szCs w:val="21"/>
                <w:vertAlign w:val="baseline"/>
                <w:lang w:val="en-US" w:eastAsia="zh-CN"/>
              </w:rPr>
              <w:t>H</w:t>
            </w:r>
            <w:r>
              <w:rPr>
                <w:rFonts w:hint="eastAsia" w:ascii="Times New Roman" w:hAnsi="Times New Roman" w:cs="Times New Roman"/>
                <w:color w:val="auto"/>
                <w:sz w:val="21"/>
                <w:szCs w:val="21"/>
                <w:vertAlign w:val="subscript"/>
                <w:lang w:val="en-US" w:eastAsia="zh-CN"/>
              </w:rPr>
              <w:t>2</w:t>
            </w:r>
            <w:r>
              <w:rPr>
                <w:rFonts w:hint="eastAsia" w:ascii="Times New Roman" w:hAnsi="Times New Roman" w:cs="Times New Roman"/>
                <w:color w:val="auto"/>
                <w:sz w:val="21"/>
                <w:szCs w:val="21"/>
                <w:vertAlign w:val="baseline"/>
                <w:lang w:val="en-US" w:eastAsia="zh-CN"/>
              </w:rPr>
              <w:t>S</w:t>
            </w:r>
          </w:p>
        </w:tc>
        <w:tc>
          <w:tcPr>
            <w:tcW w:w="95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eastAsiaTheme="minorEastAsia"/>
                <w:color w:val="auto"/>
                <w:sz w:val="21"/>
                <w:szCs w:val="21"/>
                <w:vertAlign w:val="baseline"/>
                <w:lang w:val="en-US" w:eastAsia="zh-CN"/>
              </w:rPr>
            </w:pPr>
          </w:p>
        </w:tc>
        <w:tc>
          <w:tcPr>
            <w:tcW w:w="223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p>
        </w:tc>
        <w:tc>
          <w:tcPr>
            <w:tcW w:w="11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60</w:t>
            </w:r>
          </w:p>
        </w:tc>
        <w:tc>
          <w:tcPr>
            <w:tcW w:w="929" w:type="dxa"/>
            <w:tcBorders>
              <w:tl2br w:val="nil"/>
              <w:tr2bl w:val="nil"/>
            </w:tcBorders>
            <w:noWrap w:val="0"/>
            <w:vAlign w:val="center"/>
          </w:tcPr>
          <w:p>
            <w:pPr>
              <w:pStyle w:val="98"/>
              <w:jc w:val="center"/>
              <w:rPr>
                <w:rFonts w:hint="default"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0.02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7"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2</w:t>
            </w:r>
          </w:p>
        </w:tc>
        <w:tc>
          <w:tcPr>
            <w:tcW w:w="1663" w:type="dxa"/>
            <w:vMerge w:val="restart"/>
            <w:tcBorders>
              <w:tl2br w:val="nil"/>
              <w:tr2bl w:val="nil"/>
            </w:tcBorders>
            <w:noWrap w:val="0"/>
            <w:vAlign w:val="center"/>
          </w:tcPr>
          <w:p>
            <w:pPr>
              <w:jc w:val="center"/>
              <w:rPr>
                <w:rFonts w:hint="eastAsia" w:ascii="Times New Roman" w:hAnsi="Times New Roman" w:cs="Times New Roman" w:eastAsiaTheme="minorEastAsia"/>
                <w:color w:val="auto"/>
                <w:sz w:val="21"/>
                <w:szCs w:val="21"/>
                <w:vertAlign w:val="baseline"/>
                <w:lang w:val="en-US" w:eastAsia="zh-CN"/>
              </w:rPr>
            </w:pPr>
            <w:r>
              <w:rPr>
                <w:rFonts w:hint="eastAsia" w:ascii="Times New Roman" w:hAnsi="Times New Roman" w:eastAsia="宋体"/>
                <w:color w:val="auto"/>
                <w:szCs w:val="21"/>
                <w:lang w:eastAsia="zh-CN"/>
              </w:rPr>
              <w:t>育肥舍2</w:t>
            </w:r>
          </w:p>
        </w:tc>
        <w:tc>
          <w:tcPr>
            <w:tcW w:w="737"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eastAsiaTheme="minorEastAsia"/>
                <w:color w:val="auto"/>
                <w:sz w:val="21"/>
                <w:szCs w:val="21"/>
                <w:vertAlign w:val="baseline"/>
                <w:lang w:eastAsia="zh-CN"/>
              </w:rPr>
            </w:pPr>
            <w:r>
              <w:rPr>
                <w:rFonts w:hint="eastAsia" w:ascii="Times New Roman" w:hAnsi="Times New Roman" w:cs="Times New Roman"/>
                <w:color w:val="auto"/>
                <w:sz w:val="21"/>
                <w:szCs w:val="21"/>
                <w:vertAlign w:val="baseline"/>
                <w:lang w:eastAsia="zh-CN"/>
              </w:rPr>
              <w:t>恶臭</w:t>
            </w:r>
          </w:p>
        </w:tc>
        <w:tc>
          <w:tcPr>
            <w:tcW w:w="70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NH</w:t>
            </w:r>
            <w:r>
              <w:rPr>
                <w:rFonts w:hint="eastAsia" w:ascii="Times New Roman" w:hAnsi="Times New Roman" w:cs="Times New Roman"/>
                <w:color w:val="auto"/>
                <w:sz w:val="21"/>
                <w:szCs w:val="21"/>
                <w:vertAlign w:val="subscript"/>
                <w:lang w:val="en-US" w:eastAsia="zh-CN"/>
              </w:rPr>
              <w:t>3</w:t>
            </w:r>
          </w:p>
        </w:tc>
        <w:tc>
          <w:tcPr>
            <w:tcW w:w="95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eastAsiaTheme="minorEastAsia"/>
                <w:color w:val="auto"/>
                <w:sz w:val="21"/>
                <w:szCs w:val="21"/>
                <w:vertAlign w:val="baseline"/>
                <w:lang w:val="en-US" w:eastAsia="zh-CN"/>
              </w:rPr>
            </w:pPr>
          </w:p>
        </w:tc>
        <w:tc>
          <w:tcPr>
            <w:tcW w:w="223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p>
        </w:tc>
        <w:tc>
          <w:tcPr>
            <w:tcW w:w="11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1500</w:t>
            </w:r>
          </w:p>
        </w:tc>
        <w:tc>
          <w:tcPr>
            <w:tcW w:w="929" w:type="dxa"/>
            <w:tcBorders>
              <w:tl2br w:val="nil"/>
              <w:tr2bl w:val="nil"/>
            </w:tcBorders>
            <w:noWrap w:val="0"/>
            <w:vAlign w:val="center"/>
          </w:tcPr>
          <w:p>
            <w:pPr>
              <w:pStyle w:val="98"/>
              <w:jc w:val="center"/>
              <w:rPr>
                <w:rFonts w:hint="eastAsia"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0.10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7"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p>
        </w:tc>
        <w:tc>
          <w:tcPr>
            <w:tcW w:w="166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eastAsiaTheme="minorEastAsia"/>
                <w:color w:val="auto"/>
                <w:sz w:val="21"/>
                <w:szCs w:val="21"/>
                <w:vertAlign w:val="baseline"/>
                <w:lang w:val="en-US" w:eastAsia="zh-CN"/>
              </w:rPr>
            </w:pPr>
          </w:p>
        </w:tc>
        <w:tc>
          <w:tcPr>
            <w:tcW w:w="737"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eastAsiaTheme="minorEastAsia"/>
                <w:color w:val="auto"/>
                <w:sz w:val="21"/>
                <w:szCs w:val="21"/>
                <w:vertAlign w:val="baseline"/>
                <w:lang w:eastAsia="zh-CN"/>
              </w:rPr>
            </w:pPr>
          </w:p>
        </w:tc>
        <w:tc>
          <w:tcPr>
            <w:tcW w:w="70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H</w:t>
            </w:r>
            <w:r>
              <w:rPr>
                <w:rFonts w:hint="eastAsia" w:ascii="Times New Roman" w:hAnsi="Times New Roman" w:cs="Times New Roman"/>
                <w:color w:val="auto"/>
                <w:sz w:val="21"/>
                <w:szCs w:val="21"/>
                <w:vertAlign w:val="subscript"/>
                <w:lang w:val="en-US" w:eastAsia="zh-CN"/>
              </w:rPr>
              <w:t>2</w:t>
            </w:r>
            <w:r>
              <w:rPr>
                <w:rFonts w:hint="eastAsia" w:ascii="Times New Roman" w:hAnsi="Times New Roman" w:cs="Times New Roman"/>
                <w:color w:val="auto"/>
                <w:sz w:val="21"/>
                <w:szCs w:val="21"/>
                <w:vertAlign w:val="baseline"/>
                <w:lang w:val="en-US" w:eastAsia="zh-CN"/>
              </w:rPr>
              <w:t>S</w:t>
            </w:r>
          </w:p>
        </w:tc>
        <w:tc>
          <w:tcPr>
            <w:tcW w:w="95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eastAsiaTheme="minorEastAsia"/>
                <w:color w:val="auto"/>
                <w:sz w:val="21"/>
                <w:szCs w:val="21"/>
                <w:vertAlign w:val="baseline"/>
                <w:lang w:val="en-US" w:eastAsia="zh-CN"/>
              </w:rPr>
            </w:pPr>
          </w:p>
        </w:tc>
        <w:tc>
          <w:tcPr>
            <w:tcW w:w="223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p>
        </w:tc>
        <w:tc>
          <w:tcPr>
            <w:tcW w:w="11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60</w:t>
            </w:r>
          </w:p>
        </w:tc>
        <w:tc>
          <w:tcPr>
            <w:tcW w:w="929" w:type="dxa"/>
            <w:tcBorders>
              <w:tl2br w:val="nil"/>
              <w:tr2bl w:val="nil"/>
            </w:tcBorders>
            <w:noWrap w:val="0"/>
            <w:vAlign w:val="center"/>
          </w:tcPr>
          <w:p>
            <w:pPr>
              <w:pStyle w:val="98"/>
              <w:jc w:val="center"/>
              <w:rPr>
                <w:rFonts w:hint="eastAsia"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0.02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7"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3</w:t>
            </w:r>
          </w:p>
        </w:tc>
        <w:tc>
          <w:tcPr>
            <w:tcW w:w="1663" w:type="dxa"/>
            <w:vMerge w:val="restart"/>
            <w:tcBorders>
              <w:tl2br w:val="nil"/>
              <w:tr2bl w:val="nil"/>
            </w:tcBorders>
            <w:noWrap w:val="0"/>
            <w:vAlign w:val="center"/>
          </w:tcPr>
          <w:p>
            <w:pPr>
              <w:jc w:val="center"/>
              <w:rPr>
                <w:rFonts w:hint="eastAsia" w:ascii="Times New Roman" w:hAnsi="Times New Roman" w:cs="Times New Roman" w:eastAsiaTheme="minorEastAsia"/>
                <w:color w:val="auto"/>
                <w:sz w:val="21"/>
                <w:szCs w:val="21"/>
                <w:vertAlign w:val="baseline"/>
                <w:lang w:val="en-US" w:eastAsia="zh-CN"/>
              </w:rPr>
            </w:pPr>
            <w:r>
              <w:rPr>
                <w:rFonts w:hint="eastAsia" w:ascii="Times New Roman" w:hAnsi="Times New Roman" w:eastAsia="宋体"/>
                <w:color w:val="auto"/>
                <w:szCs w:val="21"/>
                <w:lang w:eastAsia="zh-CN"/>
              </w:rPr>
              <w:t>污水处理区（</w:t>
            </w:r>
            <w:r>
              <w:rPr>
                <w:rFonts w:hint="eastAsia" w:ascii="Times New Roman" w:hAnsi="Times New Roman" w:eastAsia="宋体"/>
                <w:color w:val="auto"/>
                <w:szCs w:val="21"/>
                <w:lang w:val="en-US" w:eastAsia="zh-CN"/>
              </w:rPr>
              <w:t>沼液储蓄池</w:t>
            </w:r>
            <w:r>
              <w:rPr>
                <w:rFonts w:hint="eastAsia" w:ascii="Times New Roman" w:hAnsi="Times New Roman" w:eastAsia="宋体"/>
                <w:color w:val="auto"/>
                <w:szCs w:val="21"/>
                <w:lang w:eastAsia="zh-CN"/>
              </w:rPr>
              <w:t>）</w:t>
            </w:r>
          </w:p>
        </w:tc>
        <w:tc>
          <w:tcPr>
            <w:tcW w:w="737"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eastAsiaTheme="minorEastAsia"/>
                <w:color w:val="auto"/>
                <w:sz w:val="21"/>
                <w:szCs w:val="21"/>
                <w:vertAlign w:val="baseline"/>
                <w:lang w:eastAsia="zh-CN"/>
              </w:rPr>
            </w:pPr>
            <w:r>
              <w:rPr>
                <w:rFonts w:hint="eastAsia" w:ascii="Times New Roman" w:hAnsi="Times New Roman" w:cs="Times New Roman"/>
                <w:color w:val="auto"/>
                <w:sz w:val="21"/>
                <w:szCs w:val="21"/>
                <w:vertAlign w:val="baseline"/>
                <w:lang w:eastAsia="zh-CN"/>
              </w:rPr>
              <w:t>恶臭</w:t>
            </w:r>
          </w:p>
        </w:tc>
        <w:tc>
          <w:tcPr>
            <w:tcW w:w="70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NH</w:t>
            </w:r>
            <w:r>
              <w:rPr>
                <w:rFonts w:hint="eastAsia" w:ascii="Times New Roman" w:hAnsi="Times New Roman" w:cs="Times New Roman"/>
                <w:color w:val="auto"/>
                <w:sz w:val="21"/>
                <w:szCs w:val="21"/>
                <w:vertAlign w:val="subscript"/>
                <w:lang w:val="en-US" w:eastAsia="zh-CN"/>
              </w:rPr>
              <w:t>3</w:t>
            </w:r>
          </w:p>
        </w:tc>
        <w:tc>
          <w:tcPr>
            <w:tcW w:w="95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eastAsiaTheme="minorEastAsia"/>
                <w:color w:val="auto"/>
                <w:sz w:val="21"/>
                <w:szCs w:val="21"/>
                <w:vertAlign w:val="baseline"/>
                <w:lang w:val="en-US" w:eastAsia="zh-CN"/>
              </w:rPr>
            </w:pPr>
          </w:p>
        </w:tc>
        <w:tc>
          <w:tcPr>
            <w:tcW w:w="223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p>
        </w:tc>
        <w:tc>
          <w:tcPr>
            <w:tcW w:w="11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1500</w:t>
            </w:r>
          </w:p>
        </w:tc>
        <w:tc>
          <w:tcPr>
            <w:tcW w:w="929" w:type="dxa"/>
            <w:tcBorders>
              <w:tl2br w:val="nil"/>
              <w:tr2bl w:val="nil"/>
            </w:tcBorders>
            <w:noWrap w:val="0"/>
            <w:vAlign w:val="center"/>
          </w:tcPr>
          <w:p>
            <w:pPr>
              <w:pStyle w:val="98"/>
              <w:jc w:val="center"/>
              <w:rPr>
                <w:rFonts w:hint="eastAsia"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0.06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7"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p>
        </w:tc>
        <w:tc>
          <w:tcPr>
            <w:tcW w:w="166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eastAsiaTheme="minorEastAsia"/>
                <w:color w:val="auto"/>
                <w:sz w:val="21"/>
                <w:szCs w:val="21"/>
                <w:vertAlign w:val="baseline"/>
                <w:lang w:val="en-US" w:eastAsia="zh-CN"/>
              </w:rPr>
            </w:pPr>
          </w:p>
        </w:tc>
        <w:tc>
          <w:tcPr>
            <w:tcW w:w="737"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eastAsiaTheme="minorEastAsia"/>
                <w:color w:val="auto"/>
                <w:sz w:val="21"/>
                <w:szCs w:val="21"/>
                <w:vertAlign w:val="baseline"/>
                <w:lang w:eastAsia="zh-CN"/>
              </w:rPr>
            </w:pPr>
          </w:p>
        </w:tc>
        <w:tc>
          <w:tcPr>
            <w:tcW w:w="70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H</w:t>
            </w:r>
            <w:r>
              <w:rPr>
                <w:rFonts w:hint="eastAsia" w:ascii="Times New Roman" w:hAnsi="Times New Roman" w:cs="Times New Roman"/>
                <w:color w:val="auto"/>
                <w:sz w:val="21"/>
                <w:szCs w:val="21"/>
                <w:vertAlign w:val="subscript"/>
                <w:lang w:val="en-US" w:eastAsia="zh-CN"/>
              </w:rPr>
              <w:t>2</w:t>
            </w:r>
            <w:r>
              <w:rPr>
                <w:rFonts w:hint="eastAsia" w:ascii="Times New Roman" w:hAnsi="Times New Roman" w:cs="Times New Roman"/>
                <w:color w:val="auto"/>
                <w:sz w:val="21"/>
                <w:szCs w:val="21"/>
                <w:vertAlign w:val="baseline"/>
                <w:lang w:val="en-US" w:eastAsia="zh-CN"/>
              </w:rPr>
              <w:t>S</w:t>
            </w:r>
          </w:p>
        </w:tc>
        <w:tc>
          <w:tcPr>
            <w:tcW w:w="95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eastAsiaTheme="minorEastAsia"/>
                <w:color w:val="auto"/>
                <w:sz w:val="21"/>
                <w:szCs w:val="21"/>
                <w:vertAlign w:val="baseline"/>
                <w:lang w:val="en-US" w:eastAsia="zh-CN"/>
              </w:rPr>
            </w:pPr>
          </w:p>
        </w:tc>
        <w:tc>
          <w:tcPr>
            <w:tcW w:w="223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p>
        </w:tc>
        <w:tc>
          <w:tcPr>
            <w:tcW w:w="11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60</w:t>
            </w:r>
          </w:p>
        </w:tc>
        <w:tc>
          <w:tcPr>
            <w:tcW w:w="929" w:type="dxa"/>
            <w:tcBorders>
              <w:tl2br w:val="nil"/>
              <w:tr2bl w:val="nil"/>
            </w:tcBorders>
            <w:noWrap w:val="0"/>
            <w:vAlign w:val="center"/>
          </w:tcPr>
          <w:p>
            <w:pPr>
              <w:pStyle w:val="98"/>
              <w:jc w:val="center"/>
              <w:rPr>
                <w:rFonts w:hint="eastAsia"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0.00018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7"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4</w:t>
            </w:r>
          </w:p>
        </w:tc>
        <w:tc>
          <w:tcPr>
            <w:tcW w:w="1663" w:type="dxa"/>
            <w:vMerge w:val="restart"/>
            <w:tcBorders>
              <w:tl2br w:val="nil"/>
              <w:tr2bl w:val="nil"/>
            </w:tcBorders>
            <w:noWrap w:val="0"/>
            <w:vAlign w:val="center"/>
          </w:tcPr>
          <w:p>
            <w:pPr>
              <w:jc w:val="center"/>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eastAsia="宋体"/>
                <w:color w:val="auto"/>
                <w:szCs w:val="21"/>
                <w:lang w:eastAsia="zh-CN"/>
              </w:rPr>
              <w:t>堆粪间</w:t>
            </w:r>
          </w:p>
        </w:tc>
        <w:tc>
          <w:tcPr>
            <w:tcW w:w="737"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eastAsiaTheme="minorEastAsia"/>
                <w:color w:val="auto"/>
                <w:sz w:val="21"/>
                <w:szCs w:val="21"/>
                <w:vertAlign w:val="baseline"/>
                <w:lang w:eastAsia="zh-CN"/>
              </w:rPr>
            </w:pPr>
            <w:r>
              <w:rPr>
                <w:rFonts w:hint="eastAsia" w:ascii="Times New Roman" w:hAnsi="Times New Roman" w:cs="Times New Roman"/>
                <w:color w:val="auto"/>
                <w:sz w:val="21"/>
                <w:szCs w:val="21"/>
                <w:vertAlign w:val="baseline"/>
                <w:lang w:eastAsia="zh-CN"/>
              </w:rPr>
              <w:t>恶臭</w:t>
            </w:r>
          </w:p>
        </w:tc>
        <w:tc>
          <w:tcPr>
            <w:tcW w:w="70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eastAsiaTheme="minorEastAsia"/>
                <w:color w:val="auto"/>
                <w:kern w:val="2"/>
                <w:sz w:val="21"/>
                <w:szCs w:val="21"/>
                <w:vertAlign w:val="baseline"/>
                <w:lang w:val="en-US" w:eastAsia="zh-CN" w:bidi="ar-SA"/>
              </w:rPr>
            </w:pPr>
            <w:r>
              <w:rPr>
                <w:rFonts w:hint="eastAsia" w:ascii="Times New Roman" w:hAnsi="Times New Roman" w:cs="Times New Roman"/>
                <w:color w:val="auto"/>
                <w:sz w:val="21"/>
                <w:szCs w:val="21"/>
                <w:vertAlign w:val="baseline"/>
                <w:lang w:val="en-US" w:eastAsia="zh-CN"/>
              </w:rPr>
              <w:t>NH</w:t>
            </w:r>
            <w:r>
              <w:rPr>
                <w:rFonts w:hint="eastAsia" w:ascii="Times New Roman" w:hAnsi="Times New Roman" w:cs="Times New Roman"/>
                <w:color w:val="auto"/>
                <w:sz w:val="21"/>
                <w:szCs w:val="21"/>
                <w:vertAlign w:val="subscript"/>
                <w:lang w:val="en-US" w:eastAsia="zh-CN"/>
              </w:rPr>
              <w:t>3</w:t>
            </w:r>
          </w:p>
        </w:tc>
        <w:tc>
          <w:tcPr>
            <w:tcW w:w="95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eastAsiaTheme="minorEastAsia"/>
                <w:color w:val="auto"/>
                <w:sz w:val="21"/>
                <w:szCs w:val="21"/>
                <w:vertAlign w:val="baseline"/>
                <w:lang w:val="en-US" w:eastAsia="zh-CN"/>
              </w:rPr>
            </w:pPr>
          </w:p>
        </w:tc>
        <w:tc>
          <w:tcPr>
            <w:tcW w:w="223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p>
        </w:tc>
        <w:tc>
          <w:tcPr>
            <w:tcW w:w="11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eastAsiaTheme="minorEastAsia"/>
                <w:color w:val="auto"/>
                <w:kern w:val="2"/>
                <w:sz w:val="21"/>
                <w:szCs w:val="21"/>
                <w:vertAlign w:val="baseline"/>
                <w:lang w:val="en-US" w:eastAsia="zh-CN" w:bidi="ar-SA"/>
              </w:rPr>
            </w:pPr>
            <w:r>
              <w:rPr>
                <w:rFonts w:hint="eastAsia" w:ascii="Times New Roman" w:hAnsi="Times New Roman" w:cs="Times New Roman"/>
                <w:color w:val="auto"/>
                <w:sz w:val="21"/>
                <w:szCs w:val="21"/>
                <w:vertAlign w:val="baseline"/>
                <w:lang w:val="en-US" w:eastAsia="zh-CN"/>
              </w:rPr>
              <w:t>1500</w:t>
            </w:r>
          </w:p>
        </w:tc>
        <w:tc>
          <w:tcPr>
            <w:tcW w:w="929" w:type="dxa"/>
            <w:tcBorders>
              <w:tl2br w:val="nil"/>
              <w:tr2bl w:val="nil"/>
            </w:tcBorders>
            <w:noWrap w:val="0"/>
            <w:vAlign w:val="center"/>
          </w:tcPr>
          <w:p>
            <w:pPr>
              <w:pStyle w:val="98"/>
              <w:jc w:val="center"/>
              <w:rPr>
                <w:rFonts w:hint="default"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0.0013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7"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p>
        </w:tc>
        <w:tc>
          <w:tcPr>
            <w:tcW w:w="166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eastAsiaTheme="minorEastAsia"/>
                <w:color w:val="auto"/>
                <w:sz w:val="21"/>
                <w:szCs w:val="21"/>
                <w:vertAlign w:val="baseline"/>
                <w:lang w:val="en-US" w:eastAsia="zh-CN"/>
              </w:rPr>
            </w:pPr>
          </w:p>
        </w:tc>
        <w:tc>
          <w:tcPr>
            <w:tcW w:w="737"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eastAsiaTheme="minorEastAsia"/>
                <w:color w:val="auto"/>
                <w:sz w:val="21"/>
                <w:szCs w:val="21"/>
                <w:vertAlign w:val="baseline"/>
                <w:lang w:eastAsia="zh-CN"/>
              </w:rPr>
            </w:pPr>
          </w:p>
        </w:tc>
        <w:tc>
          <w:tcPr>
            <w:tcW w:w="70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eastAsiaTheme="minorEastAsia"/>
                <w:color w:val="auto"/>
                <w:kern w:val="2"/>
                <w:sz w:val="21"/>
                <w:szCs w:val="21"/>
                <w:vertAlign w:val="baseline"/>
                <w:lang w:val="en-US" w:eastAsia="zh-CN" w:bidi="ar-SA"/>
              </w:rPr>
            </w:pPr>
            <w:r>
              <w:rPr>
                <w:rFonts w:hint="eastAsia" w:ascii="Times New Roman" w:hAnsi="Times New Roman" w:cs="Times New Roman"/>
                <w:color w:val="auto"/>
                <w:sz w:val="21"/>
                <w:szCs w:val="21"/>
                <w:vertAlign w:val="baseline"/>
                <w:lang w:val="en-US" w:eastAsia="zh-CN"/>
              </w:rPr>
              <w:t>H</w:t>
            </w:r>
            <w:r>
              <w:rPr>
                <w:rFonts w:hint="eastAsia" w:ascii="Times New Roman" w:hAnsi="Times New Roman" w:cs="Times New Roman"/>
                <w:color w:val="auto"/>
                <w:sz w:val="21"/>
                <w:szCs w:val="21"/>
                <w:vertAlign w:val="subscript"/>
                <w:lang w:val="en-US" w:eastAsia="zh-CN"/>
              </w:rPr>
              <w:t>2</w:t>
            </w:r>
            <w:r>
              <w:rPr>
                <w:rFonts w:hint="eastAsia" w:ascii="Times New Roman" w:hAnsi="Times New Roman" w:cs="Times New Roman"/>
                <w:color w:val="auto"/>
                <w:sz w:val="21"/>
                <w:szCs w:val="21"/>
                <w:vertAlign w:val="baseline"/>
                <w:lang w:val="en-US" w:eastAsia="zh-CN"/>
              </w:rPr>
              <w:t>S</w:t>
            </w:r>
          </w:p>
        </w:tc>
        <w:tc>
          <w:tcPr>
            <w:tcW w:w="95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eastAsiaTheme="minorEastAsia"/>
                <w:color w:val="auto"/>
                <w:sz w:val="21"/>
                <w:szCs w:val="21"/>
                <w:vertAlign w:val="baseline"/>
                <w:lang w:val="en-US" w:eastAsia="zh-CN"/>
              </w:rPr>
            </w:pPr>
          </w:p>
        </w:tc>
        <w:tc>
          <w:tcPr>
            <w:tcW w:w="223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p>
        </w:tc>
        <w:tc>
          <w:tcPr>
            <w:tcW w:w="11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eastAsiaTheme="minorEastAsia"/>
                <w:color w:val="auto"/>
                <w:kern w:val="2"/>
                <w:sz w:val="21"/>
                <w:szCs w:val="21"/>
                <w:vertAlign w:val="baseline"/>
                <w:lang w:val="en-US" w:eastAsia="zh-CN" w:bidi="ar-SA"/>
              </w:rPr>
            </w:pPr>
            <w:r>
              <w:rPr>
                <w:rFonts w:hint="eastAsia" w:ascii="Times New Roman" w:hAnsi="Times New Roman" w:cs="Times New Roman"/>
                <w:color w:val="auto"/>
                <w:sz w:val="21"/>
                <w:szCs w:val="21"/>
                <w:vertAlign w:val="baseline"/>
                <w:lang w:val="en-US" w:eastAsia="zh-CN"/>
              </w:rPr>
              <w:t>60</w:t>
            </w:r>
          </w:p>
        </w:tc>
        <w:tc>
          <w:tcPr>
            <w:tcW w:w="929" w:type="dxa"/>
            <w:tcBorders>
              <w:tl2br w:val="nil"/>
              <w:tr2bl w:val="nil"/>
            </w:tcBorders>
            <w:noWrap w:val="0"/>
            <w:vAlign w:val="center"/>
          </w:tcPr>
          <w:p>
            <w:pPr>
              <w:pStyle w:val="98"/>
              <w:jc w:val="center"/>
              <w:rPr>
                <w:rFonts w:hint="default"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0.00008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80" w:type="dxa"/>
            <w:gridSpan w:val="9"/>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r>
              <w:rPr>
                <w:rFonts w:hint="eastAsia" w:ascii="Times New Roman" w:hAnsi="Times New Roman" w:cs="Times New Roman" w:eastAsiaTheme="minorEastAsia"/>
                <w:color w:val="auto"/>
                <w:sz w:val="21"/>
                <w:szCs w:val="21"/>
                <w:vertAlign w:val="baseline"/>
              </w:rPr>
              <w:t>无组织排放总计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924" w:type="dxa"/>
            <w:gridSpan w:val="4"/>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r>
              <w:rPr>
                <w:rFonts w:hint="eastAsia" w:ascii="Times New Roman" w:hAnsi="Times New Roman" w:cs="Times New Roman" w:eastAsiaTheme="minorEastAsia"/>
                <w:color w:val="auto"/>
                <w:sz w:val="21"/>
                <w:szCs w:val="21"/>
                <w:vertAlign w:val="baseline"/>
              </w:rPr>
              <w:t>无组织排放总计</w:t>
            </w:r>
          </w:p>
        </w:tc>
        <w:tc>
          <w:tcPr>
            <w:tcW w:w="4927" w:type="dxa"/>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eastAsiaTheme="minorEastAsia"/>
                <w:color w:val="auto"/>
                <w:sz w:val="21"/>
                <w:szCs w:val="21"/>
                <w:vertAlign w:val="baseline"/>
                <w:lang w:eastAsia="zh-CN"/>
              </w:rPr>
            </w:pPr>
            <w:r>
              <w:rPr>
                <w:rFonts w:hint="eastAsia" w:ascii="Times New Roman" w:hAnsi="Times New Roman" w:cs="Times New Roman"/>
                <w:color w:val="auto"/>
                <w:sz w:val="21"/>
                <w:szCs w:val="21"/>
                <w:vertAlign w:val="baseline"/>
                <w:lang w:val="en-US" w:eastAsia="zh-CN"/>
              </w:rPr>
              <w:t>NH</w:t>
            </w:r>
            <w:r>
              <w:rPr>
                <w:rFonts w:hint="eastAsia" w:ascii="Times New Roman" w:hAnsi="Times New Roman" w:cs="Times New Roman"/>
                <w:color w:val="auto"/>
                <w:sz w:val="21"/>
                <w:szCs w:val="21"/>
                <w:vertAlign w:val="subscript"/>
                <w:lang w:val="en-US" w:eastAsia="zh-CN"/>
              </w:rPr>
              <w:t>3</w:t>
            </w:r>
          </w:p>
        </w:tc>
        <w:tc>
          <w:tcPr>
            <w:tcW w:w="929" w:type="dxa"/>
            <w:tcBorders>
              <w:tl2br w:val="nil"/>
              <w:tr2bl w:val="nil"/>
            </w:tcBorders>
            <w:noWrap w:val="0"/>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0.2613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924" w:type="dxa"/>
            <w:gridSpan w:val="4"/>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eastAsiaTheme="minorEastAsia"/>
                <w:color w:val="auto"/>
                <w:sz w:val="21"/>
                <w:szCs w:val="21"/>
                <w:vertAlign w:val="baseline"/>
              </w:rPr>
            </w:pPr>
          </w:p>
        </w:tc>
        <w:tc>
          <w:tcPr>
            <w:tcW w:w="4927" w:type="dxa"/>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H</w:t>
            </w:r>
            <w:r>
              <w:rPr>
                <w:rFonts w:hint="eastAsia" w:ascii="Times New Roman" w:hAnsi="Times New Roman" w:cs="Times New Roman"/>
                <w:color w:val="auto"/>
                <w:sz w:val="21"/>
                <w:szCs w:val="21"/>
                <w:vertAlign w:val="subscript"/>
                <w:lang w:val="en-US" w:eastAsia="zh-CN"/>
              </w:rPr>
              <w:t>2</w:t>
            </w:r>
            <w:r>
              <w:rPr>
                <w:rFonts w:hint="eastAsia" w:ascii="Times New Roman" w:hAnsi="Times New Roman" w:cs="Times New Roman"/>
                <w:color w:val="auto"/>
                <w:sz w:val="21"/>
                <w:szCs w:val="21"/>
                <w:vertAlign w:val="baseline"/>
                <w:lang w:val="en-US" w:eastAsia="zh-CN"/>
              </w:rPr>
              <w:t>S</w:t>
            </w:r>
          </w:p>
        </w:tc>
        <w:tc>
          <w:tcPr>
            <w:tcW w:w="929" w:type="dxa"/>
            <w:tcBorders>
              <w:tl2br w:val="nil"/>
              <w:tr2bl w:val="nil"/>
            </w:tcBorders>
            <w:noWrap w:val="0"/>
            <w:vAlign w:val="center"/>
          </w:tcPr>
          <w:p>
            <w:pPr>
              <w:pStyle w:val="98"/>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0.04026</w:t>
            </w:r>
          </w:p>
        </w:tc>
      </w:tr>
    </w:tbl>
    <w:p>
      <w:pPr>
        <w:pStyle w:val="112"/>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outlineLvl w:val="9"/>
        <w:rPr>
          <w:rFonts w:hint="eastAsia" w:ascii="Times New Roman" w:hAnsi="Times New Roman" w:eastAsia="宋体" w:cs="Times New Roman"/>
          <w:color w:val="auto"/>
          <w:sz w:val="24"/>
          <w:szCs w:val="24"/>
        </w:rPr>
      </w:pPr>
    </w:p>
    <w:p>
      <w:pPr>
        <w:pStyle w:val="112"/>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outlineLvl w:val="9"/>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③大气污染物年排放量核算</w:t>
      </w:r>
    </w:p>
    <w:p>
      <w:pPr>
        <w:pStyle w:val="112"/>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outlineLvl w:val="9"/>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rPr>
        <w:t>项目大气污染物年排放量核算详见</w:t>
      </w:r>
      <w:r>
        <w:rPr>
          <w:rFonts w:hint="eastAsia" w:ascii="Times New Roman" w:hAnsi="Times New Roman" w:eastAsia="宋体" w:cs="Times New Roman"/>
          <w:color w:val="auto"/>
          <w:sz w:val="24"/>
          <w:szCs w:val="24"/>
          <w:lang w:val="en-US" w:eastAsia="zh-CN"/>
        </w:rPr>
        <w:t>下</w:t>
      </w:r>
      <w:r>
        <w:rPr>
          <w:rFonts w:hint="eastAsia" w:ascii="Times New Roman" w:hAnsi="Times New Roman" w:eastAsia="宋体" w:cs="Times New Roman"/>
          <w:color w:val="auto"/>
          <w:sz w:val="24"/>
          <w:szCs w:val="24"/>
        </w:rPr>
        <w:t>表</w:t>
      </w:r>
      <w:r>
        <w:rPr>
          <w:rFonts w:hint="eastAsia" w:ascii="Times New Roman" w:hAnsi="Times New Roman" w:eastAsia="宋体" w:cs="Times New Roman"/>
          <w:color w:val="auto"/>
          <w:sz w:val="24"/>
          <w:szCs w:val="24"/>
          <w:lang w:eastAsia="zh-CN"/>
        </w:rPr>
        <w:t>：</w:t>
      </w:r>
    </w:p>
    <w:p>
      <w:pPr>
        <w:pStyle w:val="16"/>
        <w:spacing w:line="240" w:lineRule="auto"/>
        <w:ind w:left="0" w:leftChars="0" w:firstLine="0" w:firstLineChars="0"/>
        <w:jc w:val="center"/>
        <w:rPr>
          <w:rFonts w:hint="default" w:ascii="Times New Roman" w:hAnsi="Times New Roman" w:eastAsia="宋体" w:cs="Times New Roman"/>
          <w:b/>
          <w:bCs/>
          <w:caps w:val="0"/>
          <w:color w:val="auto"/>
          <w:sz w:val="21"/>
          <w:szCs w:val="21"/>
          <w:lang w:val="en-US" w:eastAsia="zh-CN"/>
        </w:rPr>
      </w:pPr>
      <w:r>
        <w:rPr>
          <w:rFonts w:hint="eastAsia" w:ascii="Times New Roman" w:hAnsi="Times New Roman" w:eastAsia="宋体" w:cs="Times New Roman"/>
          <w:b/>
          <w:bCs/>
          <w:caps w:val="0"/>
          <w:color w:val="auto"/>
          <w:sz w:val="21"/>
          <w:szCs w:val="21"/>
          <w:lang w:val="en-US" w:eastAsia="zh-CN"/>
        </w:rPr>
        <w:t>表5.2-8</w:t>
      </w:r>
      <w:r>
        <w:rPr>
          <w:rFonts w:hint="default" w:ascii="Times New Roman" w:hAnsi="Times New Roman" w:eastAsia="宋体" w:cs="Times New Roman"/>
          <w:b/>
          <w:bCs/>
          <w:caps w:val="0"/>
          <w:color w:val="auto"/>
          <w:sz w:val="21"/>
          <w:szCs w:val="21"/>
          <w:lang w:val="en-US" w:eastAsia="zh-CN"/>
        </w:rPr>
        <w:t xml:space="preserve">  </w:t>
      </w:r>
      <w:r>
        <w:rPr>
          <w:rFonts w:hint="eastAsia" w:ascii="Times New Roman" w:hAnsi="Times New Roman" w:eastAsia="宋体" w:cs="Times New Roman"/>
          <w:b/>
          <w:bCs/>
          <w:caps w:val="0"/>
          <w:color w:val="auto"/>
          <w:sz w:val="21"/>
          <w:szCs w:val="21"/>
          <w:lang w:val="en-US" w:eastAsia="zh-CN"/>
        </w:rPr>
        <w:t>大气污染物年排放量核算表</w:t>
      </w:r>
    </w:p>
    <w:tbl>
      <w:tblPr>
        <w:tblStyle w:val="3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896"/>
        <w:gridCol w:w="2936"/>
        <w:gridCol w:w="295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b/>
                <w:bCs/>
                <w:color w:val="auto"/>
                <w:sz w:val="21"/>
                <w:szCs w:val="21"/>
                <w:vertAlign w:val="baseline"/>
              </w:rPr>
            </w:pPr>
            <w:r>
              <w:rPr>
                <w:rFonts w:hint="eastAsia" w:ascii="Times New Roman" w:hAnsi="Times New Roman" w:cs="Times New Roman" w:eastAsiaTheme="minorEastAsia"/>
                <w:b/>
                <w:bCs/>
                <w:color w:val="auto"/>
                <w:sz w:val="21"/>
                <w:szCs w:val="21"/>
                <w:vertAlign w:val="baseline"/>
              </w:rPr>
              <w:t>序号</w:t>
            </w:r>
          </w:p>
        </w:tc>
        <w:tc>
          <w:tcPr>
            <w:tcW w:w="293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b/>
                <w:bCs/>
                <w:color w:val="auto"/>
                <w:sz w:val="21"/>
                <w:szCs w:val="21"/>
                <w:vertAlign w:val="baseline"/>
              </w:rPr>
            </w:pPr>
            <w:r>
              <w:rPr>
                <w:rFonts w:hint="eastAsia" w:ascii="Times New Roman" w:hAnsi="Times New Roman" w:cs="Times New Roman" w:eastAsiaTheme="minorEastAsia"/>
                <w:b/>
                <w:bCs/>
                <w:color w:val="auto"/>
                <w:sz w:val="21"/>
                <w:szCs w:val="21"/>
                <w:vertAlign w:val="baseline"/>
              </w:rPr>
              <w:t>污染物</w:t>
            </w:r>
          </w:p>
        </w:tc>
        <w:tc>
          <w:tcPr>
            <w:tcW w:w="2952"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b/>
                <w:bCs/>
                <w:color w:val="auto"/>
                <w:sz w:val="21"/>
                <w:szCs w:val="21"/>
                <w:vertAlign w:val="baseline"/>
              </w:rPr>
            </w:pPr>
            <w:r>
              <w:rPr>
                <w:rFonts w:hint="eastAsia" w:ascii="Times New Roman" w:hAnsi="Times New Roman" w:cs="Times New Roman" w:eastAsiaTheme="minorEastAsia"/>
                <w:b/>
                <w:bCs/>
                <w:color w:val="auto"/>
                <w:sz w:val="21"/>
                <w:szCs w:val="21"/>
                <w:vertAlign w:val="baseline"/>
              </w:rPr>
              <w:t>年排放量（t</w:t>
            </w:r>
            <w:r>
              <w:rPr>
                <w:rFonts w:hint="default" w:ascii="Times New Roman" w:hAnsi="Times New Roman" w:cs="Times New Roman" w:eastAsiaTheme="minorEastAsia"/>
                <w:b/>
                <w:bCs/>
                <w:color w:val="auto"/>
                <w:sz w:val="21"/>
                <w:szCs w:val="21"/>
                <w:vertAlign w:val="baseline"/>
              </w:rPr>
              <w:t>/</w:t>
            </w:r>
            <w:r>
              <w:rPr>
                <w:rFonts w:hint="eastAsia" w:ascii="Times New Roman" w:hAnsi="Times New Roman" w:cs="Times New Roman" w:eastAsiaTheme="minorEastAsia"/>
                <w:b/>
                <w:bCs/>
                <w:color w:val="auto"/>
                <w:sz w:val="21"/>
                <w:szCs w:val="21"/>
                <w:vertAlign w:val="baseline"/>
              </w:rPr>
              <w: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r>
              <w:rPr>
                <w:rFonts w:hint="eastAsia" w:ascii="Times New Roman" w:hAnsi="Times New Roman" w:cs="Times New Roman" w:eastAsiaTheme="minorEastAsia"/>
                <w:color w:val="auto"/>
                <w:sz w:val="21"/>
                <w:szCs w:val="21"/>
                <w:vertAlign w:val="baseline"/>
              </w:rPr>
              <w:t>1</w:t>
            </w:r>
          </w:p>
        </w:tc>
        <w:tc>
          <w:tcPr>
            <w:tcW w:w="293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eastAsiaTheme="minorEastAsia"/>
                <w:color w:val="auto"/>
                <w:sz w:val="21"/>
                <w:szCs w:val="21"/>
                <w:vertAlign w:val="baseline"/>
                <w:lang w:eastAsia="zh-CN"/>
              </w:rPr>
            </w:pPr>
            <w:r>
              <w:rPr>
                <w:rFonts w:hint="eastAsia" w:ascii="Times New Roman" w:hAnsi="Times New Roman" w:cs="Times New Roman"/>
                <w:color w:val="auto"/>
                <w:sz w:val="21"/>
                <w:szCs w:val="21"/>
                <w:vertAlign w:val="baseline"/>
                <w:lang w:val="en-US" w:eastAsia="zh-CN"/>
              </w:rPr>
              <w:t>NH</w:t>
            </w:r>
            <w:r>
              <w:rPr>
                <w:rFonts w:hint="eastAsia" w:ascii="Times New Roman" w:hAnsi="Times New Roman" w:cs="Times New Roman"/>
                <w:color w:val="auto"/>
                <w:sz w:val="21"/>
                <w:szCs w:val="21"/>
                <w:vertAlign w:val="subscript"/>
                <w:lang w:val="en-US" w:eastAsia="zh-CN"/>
              </w:rPr>
              <w:t>3</w:t>
            </w:r>
          </w:p>
        </w:tc>
        <w:tc>
          <w:tcPr>
            <w:tcW w:w="295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0.2633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eastAsiaTheme="minorEastAsia"/>
                <w:color w:val="auto"/>
                <w:sz w:val="21"/>
                <w:szCs w:val="21"/>
                <w:vertAlign w:val="baseline"/>
              </w:rPr>
            </w:pPr>
            <w:r>
              <w:rPr>
                <w:rFonts w:hint="eastAsia" w:ascii="Times New Roman" w:hAnsi="Times New Roman" w:cs="Times New Roman" w:eastAsiaTheme="minorEastAsia"/>
                <w:color w:val="auto"/>
                <w:sz w:val="21"/>
                <w:szCs w:val="21"/>
                <w:vertAlign w:val="baseline"/>
              </w:rPr>
              <w:t>2</w:t>
            </w:r>
          </w:p>
        </w:tc>
        <w:tc>
          <w:tcPr>
            <w:tcW w:w="293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cs="Times New Roman" w:eastAsiaTheme="minorEastAsia"/>
                <w:color w:val="auto"/>
                <w:sz w:val="21"/>
                <w:szCs w:val="21"/>
                <w:vertAlign w:val="baseline"/>
                <w:lang w:eastAsia="zh-CN"/>
              </w:rPr>
            </w:pPr>
            <w:r>
              <w:rPr>
                <w:rFonts w:hint="eastAsia" w:ascii="Times New Roman" w:hAnsi="Times New Roman" w:cs="Times New Roman"/>
                <w:color w:val="auto"/>
                <w:sz w:val="21"/>
                <w:szCs w:val="21"/>
                <w:vertAlign w:val="baseline"/>
                <w:lang w:val="en-US" w:eastAsia="zh-CN"/>
              </w:rPr>
              <w:t>H</w:t>
            </w:r>
            <w:r>
              <w:rPr>
                <w:rFonts w:hint="eastAsia" w:ascii="Times New Roman" w:hAnsi="Times New Roman" w:cs="Times New Roman"/>
                <w:color w:val="auto"/>
                <w:sz w:val="21"/>
                <w:szCs w:val="21"/>
                <w:vertAlign w:val="subscript"/>
                <w:lang w:val="en-US" w:eastAsia="zh-CN"/>
              </w:rPr>
              <w:t>2</w:t>
            </w:r>
            <w:r>
              <w:rPr>
                <w:rFonts w:hint="eastAsia" w:ascii="Times New Roman" w:hAnsi="Times New Roman" w:cs="Times New Roman"/>
                <w:color w:val="auto"/>
                <w:sz w:val="21"/>
                <w:szCs w:val="21"/>
                <w:vertAlign w:val="baseline"/>
                <w:lang w:val="en-US" w:eastAsia="zh-CN"/>
              </w:rPr>
              <w:t>S</w:t>
            </w:r>
          </w:p>
        </w:tc>
        <w:tc>
          <w:tcPr>
            <w:tcW w:w="295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0.04036</w:t>
            </w:r>
          </w:p>
        </w:tc>
      </w:tr>
    </w:tbl>
    <w:p>
      <w:pPr>
        <w:pStyle w:val="113"/>
        <w:pageBreakBefore w:val="0"/>
        <w:widowControl w:val="0"/>
        <w:kinsoku/>
        <w:wordWrap/>
        <w:overflowPunct/>
        <w:topLinePunct w:val="0"/>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szCs w:val="24"/>
        </w:rPr>
      </w:pPr>
    </w:p>
    <w:p>
      <w:pPr>
        <w:keepNext/>
        <w:keepLines/>
        <w:adjustRightInd w:val="0"/>
        <w:snapToGrid w:val="0"/>
        <w:spacing w:line="360" w:lineRule="auto"/>
        <w:outlineLvl w:val="3"/>
        <w:rPr>
          <w:rFonts w:hint="default" w:ascii="Times New Roman" w:hAnsi="Times New Roman" w:eastAsia="宋体"/>
          <w:b/>
          <w:bCs/>
          <w:color w:val="auto"/>
          <w:sz w:val="24"/>
          <w:szCs w:val="24"/>
          <w:lang w:val="en-US" w:eastAsia="zh-CN"/>
        </w:rPr>
      </w:pPr>
      <w:r>
        <w:rPr>
          <w:rFonts w:hint="default" w:ascii="Times New Roman" w:hAnsi="Times New Roman" w:eastAsia="宋体"/>
          <w:b/>
          <w:bCs/>
          <w:color w:val="auto"/>
          <w:sz w:val="24"/>
          <w:szCs w:val="24"/>
          <w:lang w:val="en-US" w:eastAsia="zh-CN"/>
        </w:rPr>
        <w:t>5.2.</w:t>
      </w:r>
      <w:r>
        <w:rPr>
          <w:rFonts w:hint="eastAsia" w:ascii="Times New Roman" w:hAnsi="Times New Roman" w:eastAsia="宋体"/>
          <w:b/>
          <w:bCs/>
          <w:color w:val="auto"/>
          <w:sz w:val="24"/>
          <w:szCs w:val="24"/>
          <w:lang w:val="en-US" w:eastAsia="zh-CN"/>
        </w:rPr>
        <w:t>1</w:t>
      </w:r>
      <w:r>
        <w:rPr>
          <w:rFonts w:hint="default" w:ascii="Times New Roman" w:hAnsi="Times New Roman" w:eastAsia="宋体"/>
          <w:b/>
          <w:bCs/>
          <w:color w:val="auto"/>
          <w:sz w:val="24"/>
          <w:szCs w:val="24"/>
          <w:lang w:val="en-US" w:eastAsia="zh-CN"/>
        </w:rPr>
        <w:t>.</w:t>
      </w:r>
      <w:r>
        <w:rPr>
          <w:rFonts w:hint="eastAsia" w:ascii="Times New Roman" w:hAnsi="Times New Roman" w:eastAsia="宋体"/>
          <w:b/>
          <w:bCs/>
          <w:color w:val="auto"/>
          <w:sz w:val="24"/>
          <w:szCs w:val="24"/>
          <w:lang w:val="en-US" w:eastAsia="zh-CN"/>
        </w:rPr>
        <w:t>4厂界达标分析</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b w:val="0"/>
          <w:bCs w:val="0"/>
          <w:caps w:val="0"/>
          <w:color w:val="auto"/>
          <w:sz w:val="24"/>
          <w:szCs w:val="24"/>
          <w:lang w:val="en-US" w:eastAsia="zh-CN"/>
        </w:rPr>
      </w:pPr>
      <w:r>
        <w:rPr>
          <w:rFonts w:hint="default" w:ascii="Times New Roman" w:hAnsi="Times New Roman" w:eastAsia="宋体" w:cs="Times New Roman"/>
          <w:color w:val="auto"/>
          <w:sz w:val="24"/>
          <w:lang w:val="zh-CN"/>
        </w:rPr>
        <w:t>由表 5</w:t>
      </w:r>
      <w:r>
        <w:rPr>
          <w:rFonts w:hint="eastAsia" w:ascii="Times New Roman" w:hAnsi="Times New Roman" w:eastAsia="宋体" w:cs="Times New Roman"/>
          <w:color w:val="auto"/>
          <w:sz w:val="24"/>
          <w:lang w:val="en-US" w:eastAsia="zh-CN"/>
        </w:rPr>
        <w:t>.2</w:t>
      </w:r>
      <w:r>
        <w:rPr>
          <w:rFonts w:hint="default" w:ascii="Times New Roman" w:hAnsi="Times New Roman" w:eastAsia="宋体" w:cs="Times New Roman"/>
          <w:color w:val="auto"/>
          <w:sz w:val="24"/>
          <w:lang w:val="zh-CN"/>
        </w:rPr>
        <w:t>-</w:t>
      </w:r>
      <w:r>
        <w:rPr>
          <w:rFonts w:hint="eastAsia" w:ascii="Times New Roman" w:hAnsi="Times New Roman" w:eastAsia="宋体" w:cs="Times New Roman"/>
          <w:color w:val="auto"/>
          <w:sz w:val="24"/>
          <w:lang w:val="en-US" w:eastAsia="zh-CN"/>
        </w:rPr>
        <w:t>5</w:t>
      </w:r>
      <w:r>
        <w:rPr>
          <w:rFonts w:hint="default" w:ascii="Times New Roman" w:hAnsi="Times New Roman" w:eastAsia="宋体" w:cs="Times New Roman"/>
          <w:color w:val="auto"/>
          <w:sz w:val="24"/>
          <w:lang w:val="zh-CN"/>
        </w:rPr>
        <w:t xml:space="preserve"> 得知，项目无组织排放的恶臭气体 NH</w:t>
      </w:r>
      <w:r>
        <w:rPr>
          <w:rFonts w:hint="default" w:ascii="Times New Roman" w:hAnsi="Times New Roman" w:eastAsia="宋体" w:cs="Times New Roman"/>
          <w:color w:val="auto"/>
          <w:sz w:val="24"/>
          <w:vertAlign w:val="subscript"/>
          <w:lang w:val="zh-CN"/>
        </w:rPr>
        <w:t>3</w:t>
      </w:r>
      <w:r>
        <w:rPr>
          <w:rFonts w:hint="default" w:ascii="Times New Roman" w:hAnsi="Times New Roman" w:eastAsia="宋体" w:cs="Times New Roman"/>
          <w:color w:val="auto"/>
          <w:sz w:val="24"/>
          <w:lang w:val="zh-CN"/>
        </w:rPr>
        <w:t>、H</w:t>
      </w:r>
      <w:r>
        <w:rPr>
          <w:rFonts w:hint="default" w:ascii="Times New Roman" w:hAnsi="Times New Roman" w:eastAsia="宋体" w:cs="Times New Roman"/>
          <w:color w:val="auto"/>
          <w:sz w:val="24"/>
          <w:vertAlign w:val="subscript"/>
          <w:lang w:val="zh-CN"/>
        </w:rPr>
        <w:t>2</w:t>
      </w:r>
      <w:r>
        <w:rPr>
          <w:rFonts w:hint="default" w:ascii="Times New Roman" w:hAnsi="Times New Roman" w:eastAsia="宋体" w:cs="Times New Roman"/>
          <w:color w:val="auto"/>
          <w:sz w:val="24"/>
          <w:lang w:val="zh-CN"/>
        </w:rPr>
        <w:t>S最大落地浓度值均低于《环境影响评价技术导则--大气环境》（HJ2.2-2018）附录 D 其他污染物空气质量浓度参考限值，外排污染物对大气环境贡献值较低，不会改变评价范围内大气环境功能，不会对评价范围内环境保护目标造成明显影响。</w:t>
      </w:r>
    </w:p>
    <w:p>
      <w:pPr>
        <w:keepNext/>
        <w:keepLines/>
        <w:adjustRightInd w:val="0"/>
        <w:snapToGrid w:val="0"/>
        <w:spacing w:line="360" w:lineRule="auto"/>
        <w:outlineLvl w:val="3"/>
        <w:rPr>
          <w:rFonts w:hint="default" w:ascii="Times New Roman" w:hAnsi="Times New Roman" w:eastAsia="宋体"/>
          <w:b/>
          <w:bCs/>
          <w:color w:val="auto"/>
          <w:sz w:val="24"/>
          <w:szCs w:val="24"/>
          <w:lang w:val="en-US" w:eastAsia="zh-CN"/>
        </w:rPr>
      </w:pPr>
      <w:r>
        <w:rPr>
          <w:rFonts w:hint="default" w:ascii="Times New Roman" w:hAnsi="Times New Roman" w:eastAsia="宋体"/>
          <w:b/>
          <w:bCs/>
          <w:color w:val="auto"/>
          <w:sz w:val="24"/>
          <w:szCs w:val="24"/>
          <w:lang w:val="en-US" w:eastAsia="zh-CN"/>
        </w:rPr>
        <w:t>5.2.</w:t>
      </w:r>
      <w:r>
        <w:rPr>
          <w:rFonts w:hint="eastAsia" w:ascii="Times New Roman" w:hAnsi="Times New Roman" w:eastAsia="宋体"/>
          <w:b/>
          <w:bCs/>
          <w:color w:val="auto"/>
          <w:sz w:val="24"/>
          <w:szCs w:val="24"/>
          <w:lang w:val="en-US" w:eastAsia="zh-CN"/>
        </w:rPr>
        <w:t>1</w:t>
      </w:r>
      <w:r>
        <w:rPr>
          <w:rFonts w:hint="default" w:ascii="Times New Roman" w:hAnsi="Times New Roman" w:eastAsia="宋体"/>
          <w:b/>
          <w:bCs/>
          <w:color w:val="auto"/>
          <w:sz w:val="24"/>
          <w:szCs w:val="24"/>
          <w:lang w:val="en-US" w:eastAsia="zh-CN"/>
        </w:rPr>
        <w:t>.</w:t>
      </w:r>
      <w:r>
        <w:rPr>
          <w:rFonts w:hint="eastAsia" w:ascii="Times New Roman" w:hAnsi="Times New Roman" w:eastAsia="宋体"/>
          <w:b/>
          <w:bCs/>
          <w:color w:val="auto"/>
          <w:sz w:val="24"/>
          <w:szCs w:val="24"/>
          <w:lang w:val="en-US" w:eastAsia="zh-CN"/>
        </w:rPr>
        <w:t>5</w:t>
      </w:r>
      <w:r>
        <w:rPr>
          <w:rFonts w:hint="eastAsia" w:ascii="Times New Roman" w:hAnsi="Times New Roman" w:eastAsia="宋体" w:cs="Times New Roman"/>
          <w:b/>
          <w:bCs/>
          <w:color w:val="auto"/>
          <w:sz w:val="24"/>
          <w:szCs w:val="24"/>
          <w:lang w:val="en-US" w:eastAsia="zh-CN"/>
        </w:rPr>
        <w:t>臭气浓度环境分析</w:t>
      </w:r>
    </w:p>
    <w:p>
      <w:pPr>
        <w:pStyle w:val="113"/>
        <w:pageBreakBefore w:val="0"/>
        <w:widowControl w:val="0"/>
        <w:kinsoku/>
        <w:wordWrap/>
        <w:overflowPunct/>
        <w:topLinePunct w:val="0"/>
        <w:bidi w:val="0"/>
        <w:adjustRightInd w:val="0"/>
        <w:snapToGrid w:val="0"/>
        <w:spacing w:line="360" w:lineRule="auto"/>
        <w:ind w:firstLine="480" w:firstLineChars="200"/>
        <w:jc w:val="both"/>
        <w:textAlignment w:val="auto"/>
        <w:rPr>
          <w:rFonts w:hint="default" w:ascii="Times New Roman" w:hAnsi="Times New Roman" w:eastAsia="宋体" w:cs="黑体"/>
          <w:color w:val="auto"/>
          <w:kern w:val="0"/>
          <w:sz w:val="24"/>
          <w:szCs w:val="24"/>
          <w:lang w:val="en-US" w:eastAsia="zh-CN"/>
        </w:rPr>
      </w:pPr>
      <w:r>
        <w:rPr>
          <w:rFonts w:hint="default" w:ascii="Times New Roman" w:hAnsi="Times New Roman" w:eastAsia="宋体" w:cs="黑体"/>
          <w:color w:val="auto"/>
          <w:kern w:val="0"/>
          <w:sz w:val="24"/>
          <w:szCs w:val="24"/>
          <w:lang w:val="en-US" w:eastAsia="zh-CN"/>
        </w:rPr>
        <w:t>嗅觉是人的一种感观体验，不是严格的科学特性，嗅味概念的定量尚难做到。恶臭学科还处于试验科学阶段，难以用模式计算办法来制定标准。国家环境保护科技标准司编制的《大气环境标准手册》（1996.7）“恶臭污染物排放标准编制说明”中推荐臭气强度</w:t>
      </w:r>
      <w:r>
        <w:rPr>
          <w:rFonts w:hint="eastAsia" w:hAnsi="Times New Roman" w:eastAsia="宋体" w:cs="黑体"/>
          <w:color w:val="auto"/>
          <w:kern w:val="0"/>
          <w:sz w:val="24"/>
          <w:szCs w:val="24"/>
          <w:lang w:val="en-US" w:eastAsia="zh-CN"/>
        </w:rPr>
        <w:t>6</w:t>
      </w:r>
      <w:r>
        <w:rPr>
          <w:rFonts w:hint="default" w:ascii="Times New Roman" w:hAnsi="Times New Roman" w:eastAsia="宋体" w:cs="黑体"/>
          <w:color w:val="auto"/>
          <w:kern w:val="0"/>
          <w:sz w:val="24"/>
          <w:szCs w:val="24"/>
          <w:lang w:val="en-US" w:eastAsia="zh-CN"/>
        </w:rPr>
        <w:t>级，分级标准如表 5</w:t>
      </w:r>
      <w:r>
        <w:rPr>
          <w:rFonts w:hint="eastAsia" w:hAnsi="Times New Roman" w:eastAsia="宋体" w:cs="黑体"/>
          <w:color w:val="auto"/>
          <w:kern w:val="0"/>
          <w:sz w:val="24"/>
          <w:szCs w:val="24"/>
          <w:lang w:val="en-US" w:eastAsia="zh-CN"/>
        </w:rPr>
        <w:t>.2-9</w:t>
      </w:r>
      <w:r>
        <w:rPr>
          <w:rFonts w:hint="default" w:ascii="Times New Roman" w:hAnsi="Times New Roman" w:eastAsia="宋体" w:cs="黑体"/>
          <w:color w:val="auto"/>
          <w:kern w:val="0"/>
          <w:sz w:val="24"/>
          <w:szCs w:val="24"/>
          <w:lang w:val="en-US" w:eastAsia="zh-CN"/>
        </w:rPr>
        <w:t>。</w:t>
      </w:r>
    </w:p>
    <w:p>
      <w:pPr>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lang w:eastAsia="zh-CN"/>
        </w:rPr>
        <w:t>表</w:t>
      </w:r>
      <w:r>
        <w:rPr>
          <w:rFonts w:hint="default" w:ascii="Times New Roman" w:hAnsi="Times New Roman" w:eastAsia="宋体" w:cs="Times New Roman"/>
          <w:b/>
          <w:bCs/>
          <w:color w:val="auto"/>
          <w:sz w:val="21"/>
          <w:szCs w:val="21"/>
          <w:lang w:val="en-US" w:eastAsia="zh-CN"/>
        </w:rPr>
        <w:t>5.2-</w:t>
      </w:r>
      <w:r>
        <w:rPr>
          <w:rFonts w:hint="eastAsia" w:ascii="Times New Roman" w:hAnsi="Times New Roman" w:eastAsia="宋体" w:cs="Times New Roman"/>
          <w:b/>
          <w:bCs/>
          <w:color w:val="auto"/>
          <w:sz w:val="21"/>
          <w:szCs w:val="21"/>
          <w:lang w:val="en-US" w:eastAsia="zh-CN"/>
        </w:rPr>
        <w:t xml:space="preserve">9  </w:t>
      </w:r>
      <w:r>
        <w:rPr>
          <w:rFonts w:hint="default" w:ascii="Times New Roman" w:hAnsi="Times New Roman" w:eastAsia="宋体" w:cs="Times New Roman"/>
          <w:b/>
          <w:bCs/>
          <w:color w:val="auto"/>
          <w:sz w:val="21"/>
          <w:szCs w:val="21"/>
        </w:rPr>
        <w:t>臭气强度六级分级法</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10"/>
        <w:gridCol w:w="46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0" w:type="dxa"/>
          </w:tcPr>
          <w:p>
            <w:pPr>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臭气浓度（级）</w:t>
            </w:r>
          </w:p>
        </w:tc>
        <w:tc>
          <w:tcPr>
            <w:tcW w:w="4610" w:type="dxa"/>
          </w:tcPr>
          <w:p>
            <w:pPr>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感觉强度描述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0" w:type="dxa"/>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w:t>
            </w:r>
          </w:p>
        </w:tc>
        <w:tc>
          <w:tcPr>
            <w:tcW w:w="4610" w:type="dxa"/>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无臭味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0" w:type="dxa"/>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c>
          <w:tcPr>
            <w:tcW w:w="4610" w:type="dxa"/>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勉强感觉气味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0" w:type="dxa"/>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p>
        </w:tc>
        <w:tc>
          <w:tcPr>
            <w:tcW w:w="4610" w:type="dxa"/>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感觉到微弱气味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0" w:type="dxa"/>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w:t>
            </w:r>
          </w:p>
        </w:tc>
        <w:tc>
          <w:tcPr>
            <w:tcW w:w="4610" w:type="dxa"/>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感觉到明显气味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0" w:type="dxa"/>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w:t>
            </w:r>
          </w:p>
        </w:tc>
        <w:tc>
          <w:tcPr>
            <w:tcW w:w="4610" w:type="dxa"/>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较强的气味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0" w:type="dxa"/>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w:t>
            </w:r>
          </w:p>
        </w:tc>
        <w:tc>
          <w:tcPr>
            <w:tcW w:w="4610" w:type="dxa"/>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强烈的气味</w:t>
            </w:r>
          </w:p>
        </w:tc>
      </w:tr>
    </w:tbl>
    <w:p>
      <w:pPr>
        <w:pStyle w:val="113"/>
        <w:pageBreakBefore w:val="0"/>
        <w:widowControl w:val="0"/>
        <w:kinsoku/>
        <w:wordWrap/>
        <w:overflowPunct/>
        <w:topLinePunct w:val="0"/>
        <w:bidi w:val="0"/>
        <w:adjustRightInd w:val="0"/>
        <w:snapToGrid w:val="0"/>
        <w:spacing w:line="360" w:lineRule="auto"/>
        <w:ind w:firstLine="480" w:firstLineChars="200"/>
        <w:jc w:val="both"/>
        <w:textAlignment w:val="auto"/>
        <w:rPr>
          <w:rFonts w:hint="default" w:ascii="Times New Roman" w:hAnsi="Times New Roman" w:eastAsia="宋体" w:cs="黑体"/>
          <w:color w:val="auto"/>
          <w:kern w:val="0"/>
          <w:sz w:val="24"/>
          <w:szCs w:val="24"/>
          <w:lang w:val="en-US" w:eastAsia="zh-CN"/>
        </w:rPr>
      </w:pPr>
      <w:r>
        <w:rPr>
          <w:rFonts w:hint="default" w:ascii="Times New Roman" w:hAnsi="Times New Roman" w:eastAsia="宋体" w:cs="黑体"/>
          <w:color w:val="auto"/>
          <w:kern w:val="0"/>
          <w:sz w:val="24"/>
          <w:szCs w:val="24"/>
          <w:lang w:val="en-US" w:eastAsia="zh-CN"/>
        </w:rPr>
        <w:t>各类区域臭气强度级别限值为：一类区执行一级控制标准，臭气强度 2.5 级；二类区执行二级控制标准，臭气强度限值为</w:t>
      </w:r>
      <w:r>
        <w:rPr>
          <w:rFonts w:hint="eastAsia" w:hAnsi="Times New Roman" w:eastAsia="宋体" w:cs="黑体"/>
          <w:color w:val="auto"/>
          <w:kern w:val="0"/>
          <w:sz w:val="24"/>
          <w:szCs w:val="24"/>
          <w:lang w:val="en-US" w:eastAsia="zh-CN"/>
        </w:rPr>
        <w:t>3</w:t>
      </w:r>
      <w:r>
        <w:rPr>
          <w:rFonts w:hint="default" w:ascii="Times New Roman" w:hAnsi="Times New Roman" w:eastAsia="宋体" w:cs="黑体"/>
          <w:color w:val="auto"/>
          <w:kern w:val="0"/>
          <w:sz w:val="24"/>
          <w:szCs w:val="24"/>
          <w:lang w:val="en-US" w:eastAsia="zh-CN"/>
        </w:rPr>
        <w:t>级。</w:t>
      </w:r>
      <w:r>
        <w:rPr>
          <w:rFonts w:hint="eastAsia" w:asciiTheme="minorEastAsia" w:hAnsiTheme="minorEastAsia" w:eastAsiaTheme="minorEastAsia" w:cstheme="minorEastAsia"/>
          <w:color w:val="auto"/>
          <w:kern w:val="0"/>
          <w:sz w:val="24"/>
          <w:szCs w:val="24"/>
          <w:lang w:val="en-US" w:eastAsia="zh-CN"/>
        </w:rPr>
        <w:t>“恶臭污染物排放标准编制说明”强</w:t>
      </w:r>
      <w:r>
        <w:rPr>
          <w:rFonts w:hint="default" w:ascii="Times New Roman" w:hAnsi="Times New Roman" w:eastAsia="宋体" w:cs="黑体"/>
          <w:color w:val="auto"/>
          <w:kern w:val="0"/>
          <w:sz w:val="24"/>
          <w:szCs w:val="24"/>
          <w:lang w:val="en-US" w:eastAsia="zh-CN"/>
        </w:rPr>
        <w:t>调指出：</w:t>
      </w:r>
      <w:r>
        <w:rPr>
          <w:rFonts w:hint="eastAsia" w:asciiTheme="minorEastAsia" w:hAnsiTheme="minorEastAsia" w:eastAsiaTheme="minorEastAsia" w:cstheme="minorEastAsia"/>
          <w:color w:val="auto"/>
          <w:kern w:val="0"/>
          <w:sz w:val="24"/>
          <w:szCs w:val="24"/>
          <w:lang w:val="en-US" w:eastAsia="zh-CN"/>
        </w:rPr>
        <w:t>“将厂边界环境臭气</w:t>
      </w:r>
      <w:r>
        <w:rPr>
          <w:rFonts w:hint="default" w:ascii="Times New Roman" w:hAnsi="Times New Roman" w:eastAsia="宋体" w:cs="黑体"/>
          <w:color w:val="auto"/>
          <w:kern w:val="0"/>
          <w:sz w:val="24"/>
          <w:szCs w:val="24"/>
          <w:lang w:val="en-US" w:eastAsia="zh-CN"/>
        </w:rPr>
        <w:t>强度控制在</w:t>
      </w:r>
      <w:r>
        <w:rPr>
          <w:rFonts w:hint="eastAsia" w:hAnsi="Times New Roman" w:eastAsia="宋体" w:cs="黑体"/>
          <w:color w:val="auto"/>
          <w:kern w:val="0"/>
          <w:sz w:val="24"/>
          <w:szCs w:val="24"/>
          <w:lang w:val="en-US" w:eastAsia="zh-CN"/>
        </w:rPr>
        <w:t>3</w:t>
      </w:r>
      <w:r>
        <w:rPr>
          <w:rFonts w:hint="default" w:ascii="Times New Roman" w:hAnsi="Times New Roman" w:eastAsia="宋体" w:cs="黑体"/>
          <w:color w:val="auto"/>
          <w:kern w:val="0"/>
          <w:sz w:val="24"/>
          <w:szCs w:val="24"/>
          <w:lang w:val="en-US" w:eastAsia="zh-CN"/>
        </w:rPr>
        <w:t>级左右，是人们可以接受</w:t>
      </w:r>
      <w:r>
        <w:rPr>
          <w:rFonts w:hint="eastAsia" w:asciiTheme="minorEastAsia" w:hAnsiTheme="minorEastAsia" w:eastAsiaTheme="minorEastAsia" w:cstheme="minorEastAsia"/>
          <w:color w:val="auto"/>
          <w:kern w:val="0"/>
          <w:sz w:val="24"/>
          <w:szCs w:val="24"/>
          <w:lang w:val="en-US" w:eastAsia="zh-CN"/>
        </w:rPr>
        <w:t>的水平”</w:t>
      </w:r>
      <w:r>
        <w:rPr>
          <w:rFonts w:hint="default" w:ascii="Times New Roman" w:hAnsi="Times New Roman" w:eastAsia="宋体" w:cs="黑体"/>
          <w:color w:val="auto"/>
          <w:kern w:val="0"/>
          <w:sz w:val="24"/>
          <w:szCs w:val="24"/>
          <w:lang w:val="en-US" w:eastAsia="zh-CN"/>
        </w:rPr>
        <w:t>。适合我国经济技术水平，能够达到。</w:t>
      </w:r>
    </w:p>
    <w:p>
      <w:pPr>
        <w:pStyle w:val="113"/>
        <w:pageBreakBefore w:val="0"/>
        <w:widowControl w:val="0"/>
        <w:numPr>
          <w:ilvl w:val="0"/>
          <w:numId w:val="25"/>
        </w:numPr>
        <w:kinsoku/>
        <w:wordWrap/>
        <w:overflowPunct/>
        <w:topLinePunct w:val="0"/>
        <w:bidi w:val="0"/>
        <w:adjustRightInd w:val="0"/>
        <w:snapToGrid w:val="0"/>
        <w:spacing w:line="360" w:lineRule="auto"/>
        <w:ind w:firstLine="480" w:firstLineChars="200"/>
        <w:jc w:val="both"/>
        <w:textAlignment w:val="auto"/>
        <w:rPr>
          <w:rFonts w:hint="default" w:ascii="Times New Roman" w:hAnsi="Times New Roman" w:eastAsia="宋体" w:cs="黑体"/>
          <w:color w:val="auto"/>
          <w:kern w:val="0"/>
          <w:sz w:val="24"/>
          <w:szCs w:val="24"/>
          <w:lang w:val="en-US" w:eastAsia="zh-CN"/>
        </w:rPr>
      </w:pPr>
      <w:r>
        <w:rPr>
          <w:rFonts w:hint="default" w:ascii="Times New Roman" w:hAnsi="Times New Roman" w:eastAsia="宋体" w:cs="黑体"/>
          <w:color w:val="auto"/>
          <w:kern w:val="0"/>
          <w:sz w:val="24"/>
          <w:szCs w:val="24"/>
          <w:lang w:val="en-US" w:eastAsia="zh-CN"/>
        </w:rPr>
        <w:t>臭气浓度影响分析</w:t>
      </w:r>
    </w:p>
    <w:p>
      <w:pPr>
        <w:pStyle w:val="113"/>
        <w:pageBreakBefore w:val="0"/>
        <w:widowControl w:val="0"/>
        <w:kinsoku/>
        <w:wordWrap/>
        <w:overflowPunct/>
        <w:topLinePunct w:val="0"/>
        <w:bidi w:val="0"/>
        <w:adjustRightInd w:val="0"/>
        <w:snapToGrid w:val="0"/>
        <w:spacing w:line="360" w:lineRule="auto"/>
        <w:ind w:firstLine="480" w:firstLineChars="200"/>
        <w:jc w:val="both"/>
        <w:textAlignment w:val="auto"/>
        <w:rPr>
          <w:rFonts w:hint="default" w:ascii="Times New Roman" w:hAnsi="Times New Roman" w:eastAsia="宋体" w:cs="黑体"/>
          <w:color w:val="auto"/>
          <w:kern w:val="0"/>
          <w:sz w:val="24"/>
          <w:szCs w:val="24"/>
          <w:lang w:val="en-US" w:eastAsia="zh-CN"/>
        </w:rPr>
      </w:pPr>
      <w:r>
        <w:rPr>
          <w:rFonts w:hint="default" w:ascii="Times New Roman" w:hAnsi="Times New Roman" w:eastAsia="宋体" w:cs="黑体"/>
          <w:color w:val="auto"/>
          <w:kern w:val="0"/>
          <w:sz w:val="24"/>
          <w:szCs w:val="24"/>
          <w:lang w:val="en-US" w:eastAsia="zh-CN"/>
        </w:rPr>
        <w:t>日本环境卫生中心研究发现，臭味强度级与嗅阈值为对数关系，并得出恶臭污染物浓度与其臭气强度和臭气浓度三者之间有一定的关系。兹将有关数据摘录如表 5</w:t>
      </w:r>
      <w:r>
        <w:rPr>
          <w:rFonts w:hint="eastAsia" w:hAnsi="Times New Roman" w:eastAsia="宋体" w:cs="黑体"/>
          <w:color w:val="auto"/>
          <w:kern w:val="0"/>
          <w:sz w:val="24"/>
          <w:szCs w:val="24"/>
          <w:lang w:val="en-US" w:eastAsia="zh-CN"/>
        </w:rPr>
        <w:t>.2-10</w:t>
      </w:r>
      <w:r>
        <w:rPr>
          <w:rFonts w:hint="default" w:ascii="Times New Roman" w:hAnsi="Times New Roman" w:eastAsia="宋体" w:cs="黑体"/>
          <w:color w:val="auto"/>
          <w:kern w:val="0"/>
          <w:sz w:val="24"/>
          <w:szCs w:val="24"/>
          <w:lang w:val="en-US" w:eastAsia="zh-CN"/>
        </w:rPr>
        <w:t>。</w:t>
      </w:r>
    </w:p>
    <w:p>
      <w:pPr>
        <w:jc w:val="center"/>
        <w:rPr>
          <w:rFonts w:hint="default" w:ascii="Times New Roman" w:hAnsi="Times New Roman" w:eastAsia="宋体" w:cs="Times New Roman"/>
          <w:b/>
          <w:bCs/>
          <w:color w:val="auto"/>
          <w:sz w:val="21"/>
          <w:szCs w:val="21"/>
          <w:lang w:eastAsia="zh-CN"/>
        </w:rPr>
      </w:pPr>
    </w:p>
    <w:p>
      <w:pPr>
        <w:jc w:val="center"/>
        <w:rPr>
          <w:rFonts w:hint="default" w:ascii="Times New Roman" w:hAnsi="Times New Roman" w:eastAsia="宋体" w:cs="Times New Roman"/>
          <w:b/>
          <w:bCs/>
          <w:color w:val="auto"/>
          <w:sz w:val="21"/>
          <w:szCs w:val="21"/>
          <w:lang w:eastAsia="zh-CN"/>
        </w:rPr>
      </w:pPr>
    </w:p>
    <w:p>
      <w:pPr>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lang w:eastAsia="zh-CN"/>
        </w:rPr>
        <w:t>表</w:t>
      </w:r>
      <w:r>
        <w:rPr>
          <w:rFonts w:hint="default" w:ascii="Times New Roman" w:hAnsi="Times New Roman" w:eastAsia="宋体" w:cs="Times New Roman"/>
          <w:b/>
          <w:bCs/>
          <w:color w:val="auto"/>
          <w:sz w:val="21"/>
          <w:szCs w:val="21"/>
          <w:lang w:val="en-US" w:eastAsia="zh-CN"/>
        </w:rPr>
        <w:t>5.2-</w:t>
      </w:r>
      <w:r>
        <w:rPr>
          <w:rFonts w:hint="eastAsia" w:ascii="Times New Roman" w:hAnsi="Times New Roman" w:eastAsia="宋体" w:cs="Times New Roman"/>
          <w:b/>
          <w:bCs/>
          <w:color w:val="auto"/>
          <w:sz w:val="21"/>
          <w:szCs w:val="21"/>
          <w:lang w:val="en-US" w:eastAsia="zh-CN"/>
        </w:rPr>
        <w:t xml:space="preserve">10  </w:t>
      </w:r>
      <w:r>
        <w:rPr>
          <w:rFonts w:hint="default" w:ascii="Times New Roman" w:hAnsi="Times New Roman" w:eastAsia="宋体" w:cs="Times New Roman"/>
          <w:b/>
          <w:bCs/>
          <w:color w:val="auto"/>
          <w:sz w:val="21"/>
          <w:szCs w:val="21"/>
        </w:rPr>
        <w:t>恶臭污染物浓度、臭气强度、臭气浓度关系表</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6"/>
        <w:gridCol w:w="1536"/>
        <w:gridCol w:w="1537"/>
        <w:gridCol w:w="1537"/>
        <w:gridCol w:w="1537"/>
        <w:gridCol w:w="15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46" w:type="dxa"/>
            <w:gridSpan w:val="4"/>
            <w:vAlign w:val="center"/>
          </w:tcPr>
          <w:p>
            <w:pPr>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恶臭物质浓度</w:t>
            </w:r>
          </w:p>
        </w:tc>
        <w:tc>
          <w:tcPr>
            <w:tcW w:w="1537" w:type="dxa"/>
            <w:vMerge w:val="restart"/>
            <w:vAlign w:val="center"/>
          </w:tcPr>
          <w:p>
            <w:pPr>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臭气强度（级）</w:t>
            </w:r>
          </w:p>
        </w:tc>
        <w:tc>
          <w:tcPr>
            <w:tcW w:w="1537" w:type="dxa"/>
            <w:vMerge w:val="restart"/>
            <w:vAlign w:val="center"/>
          </w:tcPr>
          <w:p>
            <w:pPr>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臭气浓度（稀释倍数）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2" w:type="dxa"/>
            <w:gridSpan w:val="2"/>
            <w:vAlign w:val="center"/>
          </w:tcPr>
          <w:p>
            <w:pPr>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NH</w:t>
            </w:r>
            <w:r>
              <w:rPr>
                <w:rFonts w:hint="eastAsia" w:ascii="Times New Roman" w:hAnsi="Times New Roman" w:eastAsia="宋体" w:cs="Times New Roman"/>
                <w:b/>
                <w:bCs/>
                <w:color w:val="auto"/>
                <w:sz w:val="21"/>
                <w:szCs w:val="21"/>
                <w:vertAlign w:val="subscript"/>
                <w:lang w:val="en-US" w:eastAsia="zh-CN"/>
              </w:rPr>
              <w:t>3</w:t>
            </w:r>
          </w:p>
        </w:tc>
        <w:tc>
          <w:tcPr>
            <w:tcW w:w="3074" w:type="dxa"/>
            <w:gridSpan w:val="2"/>
            <w:vAlign w:val="center"/>
          </w:tcPr>
          <w:p>
            <w:pPr>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H</w:t>
            </w:r>
            <w:r>
              <w:rPr>
                <w:rFonts w:hint="eastAsia" w:ascii="Times New Roman" w:hAnsi="Times New Roman" w:eastAsia="宋体" w:cs="Times New Roman"/>
                <w:b/>
                <w:bCs/>
                <w:color w:val="auto"/>
                <w:sz w:val="21"/>
                <w:szCs w:val="21"/>
                <w:vertAlign w:val="subscript"/>
                <w:lang w:val="en-US" w:eastAsia="zh-CN"/>
              </w:rPr>
              <w:t>2</w:t>
            </w:r>
            <w:r>
              <w:rPr>
                <w:rFonts w:hint="eastAsia" w:ascii="Times New Roman" w:hAnsi="Times New Roman" w:eastAsia="宋体" w:cs="Times New Roman"/>
                <w:b/>
                <w:bCs/>
                <w:color w:val="auto"/>
                <w:sz w:val="21"/>
                <w:szCs w:val="21"/>
                <w:lang w:val="en-US" w:eastAsia="zh-CN"/>
              </w:rPr>
              <w:t>S</w:t>
            </w:r>
          </w:p>
        </w:tc>
        <w:tc>
          <w:tcPr>
            <w:tcW w:w="1537" w:type="dxa"/>
            <w:vMerge w:val="continue"/>
            <w:vAlign w:val="center"/>
          </w:tcPr>
          <w:p>
            <w:pPr>
              <w:jc w:val="center"/>
              <w:rPr>
                <w:rFonts w:hint="default" w:ascii="Times New Roman" w:hAnsi="Times New Roman" w:eastAsia="宋体" w:cs="Times New Roman"/>
                <w:color w:val="auto"/>
                <w:sz w:val="21"/>
                <w:szCs w:val="21"/>
                <w:lang w:val="en-US" w:eastAsia="zh-CN"/>
              </w:rPr>
            </w:pPr>
          </w:p>
        </w:tc>
        <w:tc>
          <w:tcPr>
            <w:tcW w:w="1537" w:type="dxa"/>
            <w:vMerge w:val="continue"/>
            <w:vAlign w:val="center"/>
          </w:tcPr>
          <w:p>
            <w:pPr>
              <w:jc w:val="center"/>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vAlign w:val="center"/>
          </w:tcPr>
          <w:p>
            <w:pPr>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ppm</w:t>
            </w:r>
          </w:p>
        </w:tc>
        <w:tc>
          <w:tcPr>
            <w:tcW w:w="1536" w:type="dxa"/>
            <w:vAlign w:val="center"/>
          </w:tcPr>
          <w:p>
            <w:pPr>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mg/m</w:t>
            </w:r>
            <w:r>
              <w:rPr>
                <w:rFonts w:hint="eastAsia" w:ascii="Times New Roman" w:hAnsi="Times New Roman" w:eastAsia="宋体" w:cs="Times New Roman"/>
                <w:b/>
                <w:bCs/>
                <w:color w:val="auto"/>
                <w:sz w:val="21"/>
                <w:szCs w:val="21"/>
                <w:vertAlign w:val="superscript"/>
                <w:lang w:val="en-US" w:eastAsia="zh-CN"/>
              </w:rPr>
              <w:t>3</w:t>
            </w:r>
          </w:p>
        </w:tc>
        <w:tc>
          <w:tcPr>
            <w:tcW w:w="1537" w:type="dxa"/>
            <w:vAlign w:val="center"/>
          </w:tcPr>
          <w:p>
            <w:pPr>
              <w:jc w:val="center"/>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sz w:val="21"/>
                <w:szCs w:val="21"/>
                <w:lang w:val="en-US" w:eastAsia="zh-CN"/>
              </w:rPr>
              <w:t>ppm</w:t>
            </w:r>
          </w:p>
        </w:tc>
        <w:tc>
          <w:tcPr>
            <w:tcW w:w="1537" w:type="dxa"/>
            <w:vAlign w:val="center"/>
          </w:tcPr>
          <w:p>
            <w:pPr>
              <w:jc w:val="center"/>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sz w:val="21"/>
                <w:szCs w:val="21"/>
                <w:lang w:val="en-US" w:eastAsia="zh-CN"/>
              </w:rPr>
              <w:t>mg/m</w:t>
            </w:r>
            <w:r>
              <w:rPr>
                <w:rFonts w:hint="eastAsia" w:ascii="Times New Roman" w:hAnsi="Times New Roman" w:eastAsia="宋体" w:cs="Times New Roman"/>
                <w:b/>
                <w:bCs/>
                <w:color w:val="auto"/>
                <w:sz w:val="21"/>
                <w:szCs w:val="21"/>
                <w:vertAlign w:val="superscript"/>
                <w:lang w:val="en-US" w:eastAsia="zh-CN"/>
              </w:rPr>
              <w:t>3</w:t>
            </w:r>
          </w:p>
        </w:tc>
        <w:tc>
          <w:tcPr>
            <w:tcW w:w="1537" w:type="dxa"/>
            <w:vMerge w:val="continue"/>
            <w:vAlign w:val="center"/>
          </w:tcPr>
          <w:p>
            <w:pPr>
              <w:jc w:val="center"/>
              <w:rPr>
                <w:rFonts w:hint="default" w:ascii="Times New Roman" w:hAnsi="Times New Roman" w:eastAsia="宋体" w:cs="Times New Roman"/>
                <w:color w:val="auto"/>
                <w:sz w:val="21"/>
                <w:szCs w:val="21"/>
                <w:lang w:val="en-US" w:eastAsia="zh-CN"/>
              </w:rPr>
            </w:pPr>
          </w:p>
        </w:tc>
        <w:tc>
          <w:tcPr>
            <w:tcW w:w="1537" w:type="dxa"/>
            <w:vMerge w:val="continue"/>
            <w:vAlign w:val="center"/>
          </w:tcPr>
          <w:p>
            <w:pPr>
              <w:jc w:val="center"/>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0.1</w:t>
            </w:r>
          </w:p>
        </w:tc>
        <w:tc>
          <w:tcPr>
            <w:tcW w:w="1536"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0.760</w:t>
            </w:r>
          </w:p>
        </w:tc>
        <w:tc>
          <w:tcPr>
            <w:tcW w:w="1537"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0.0005</w:t>
            </w:r>
          </w:p>
        </w:tc>
        <w:tc>
          <w:tcPr>
            <w:tcW w:w="1537"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0.00076</w:t>
            </w:r>
          </w:p>
        </w:tc>
        <w:tc>
          <w:tcPr>
            <w:tcW w:w="1537"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c>
          <w:tcPr>
            <w:tcW w:w="1537"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0.6</w:t>
            </w:r>
          </w:p>
        </w:tc>
        <w:tc>
          <w:tcPr>
            <w:tcW w:w="1536"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0.4562</w:t>
            </w:r>
          </w:p>
        </w:tc>
        <w:tc>
          <w:tcPr>
            <w:tcW w:w="1537"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0.006</w:t>
            </w:r>
          </w:p>
        </w:tc>
        <w:tc>
          <w:tcPr>
            <w:tcW w:w="1537"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0.00912</w:t>
            </w:r>
          </w:p>
        </w:tc>
        <w:tc>
          <w:tcPr>
            <w:tcW w:w="1537"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p>
        </w:tc>
        <w:tc>
          <w:tcPr>
            <w:tcW w:w="1537"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c>
          <w:tcPr>
            <w:tcW w:w="1536"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0.7603</w:t>
            </w:r>
          </w:p>
        </w:tc>
        <w:tc>
          <w:tcPr>
            <w:tcW w:w="1537"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0.02</w:t>
            </w:r>
          </w:p>
        </w:tc>
        <w:tc>
          <w:tcPr>
            <w:tcW w:w="1537"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0.03042</w:t>
            </w:r>
          </w:p>
        </w:tc>
        <w:tc>
          <w:tcPr>
            <w:tcW w:w="1537"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2.5</w:t>
            </w:r>
          </w:p>
        </w:tc>
        <w:tc>
          <w:tcPr>
            <w:tcW w:w="1537"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约为10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p>
        </w:tc>
        <w:tc>
          <w:tcPr>
            <w:tcW w:w="1536"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1.5206</w:t>
            </w:r>
          </w:p>
        </w:tc>
        <w:tc>
          <w:tcPr>
            <w:tcW w:w="1537"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0.06</w:t>
            </w:r>
          </w:p>
        </w:tc>
        <w:tc>
          <w:tcPr>
            <w:tcW w:w="1537"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0.09127</w:t>
            </w:r>
          </w:p>
        </w:tc>
        <w:tc>
          <w:tcPr>
            <w:tcW w:w="1537"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w:t>
            </w:r>
          </w:p>
        </w:tc>
        <w:tc>
          <w:tcPr>
            <w:tcW w:w="1537"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约为30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w:t>
            </w:r>
          </w:p>
        </w:tc>
        <w:tc>
          <w:tcPr>
            <w:tcW w:w="1536"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3.8014</w:t>
            </w:r>
          </w:p>
        </w:tc>
        <w:tc>
          <w:tcPr>
            <w:tcW w:w="1537"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w:t>
            </w:r>
          </w:p>
        </w:tc>
        <w:tc>
          <w:tcPr>
            <w:tcW w:w="1537"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0.30424</w:t>
            </w:r>
          </w:p>
        </w:tc>
        <w:tc>
          <w:tcPr>
            <w:tcW w:w="1537"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3.5</w:t>
            </w:r>
          </w:p>
        </w:tc>
        <w:tc>
          <w:tcPr>
            <w:tcW w:w="1537"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约为70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w:t>
            </w:r>
          </w:p>
        </w:tc>
        <w:tc>
          <w:tcPr>
            <w:tcW w:w="1536"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7.6029</w:t>
            </w:r>
          </w:p>
        </w:tc>
        <w:tc>
          <w:tcPr>
            <w:tcW w:w="1537"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0.7</w:t>
            </w:r>
          </w:p>
        </w:tc>
        <w:tc>
          <w:tcPr>
            <w:tcW w:w="1537"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1.6487</w:t>
            </w:r>
          </w:p>
        </w:tc>
        <w:tc>
          <w:tcPr>
            <w:tcW w:w="1537"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w:t>
            </w:r>
          </w:p>
        </w:tc>
        <w:tc>
          <w:tcPr>
            <w:tcW w:w="1537" w:type="dxa"/>
            <w:vAlign w:val="center"/>
          </w:tcPr>
          <w:p>
            <w:pPr>
              <w:pStyle w:val="16"/>
              <w:rPr>
                <w:rFonts w:hint="default"/>
                <w:color w:val="auto"/>
                <w:lang w:val="en-US" w:eastAsia="zh-CN"/>
              </w:rPr>
            </w:pPr>
            <w:r>
              <w:rPr>
                <w:rFonts w:hint="eastAsia" w:ascii="Times New Roman" w:hAnsi="Times New Roman" w:eastAsia="宋体" w:cs="Times New Roman"/>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40</w:t>
            </w:r>
          </w:p>
        </w:tc>
        <w:tc>
          <w:tcPr>
            <w:tcW w:w="1536"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30.414</w:t>
            </w:r>
          </w:p>
        </w:tc>
        <w:tc>
          <w:tcPr>
            <w:tcW w:w="1537"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w:t>
            </w:r>
          </w:p>
        </w:tc>
        <w:tc>
          <w:tcPr>
            <w:tcW w:w="1537"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12.16993</w:t>
            </w:r>
          </w:p>
        </w:tc>
        <w:tc>
          <w:tcPr>
            <w:tcW w:w="1537"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w:t>
            </w:r>
          </w:p>
        </w:tc>
        <w:tc>
          <w:tcPr>
            <w:tcW w:w="1537"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标准限值</w:t>
            </w:r>
          </w:p>
        </w:tc>
        <w:tc>
          <w:tcPr>
            <w:tcW w:w="1536"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1537"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c>
          <w:tcPr>
            <w:tcW w:w="1537"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0.06</w:t>
            </w:r>
          </w:p>
        </w:tc>
        <w:tc>
          <w:tcPr>
            <w:tcW w:w="1537"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c>
          <w:tcPr>
            <w:tcW w:w="1537"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30</w:t>
            </w:r>
          </w:p>
        </w:tc>
      </w:tr>
    </w:tbl>
    <w:p>
      <w:pPr>
        <w:pStyle w:val="113"/>
        <w:pageBreakBefore w:val="0"/>
        <w:widowControl w:val="0"/>
        <w:kinsoku/>
        <w:wordWrap/>
        <w:overflowPunct/>
        <w:topLinePunct w:val="0"/>
        <w:bidi w:val="0"/>
        <w:adjustRightInd w:val="0"/>
        <w:snapToGrid w:val="0"/>
        <w:spacing w:line="360" w:lineRule="auto"/>
        <w:ind w:firstLine="480" w:firstLineChars="200"/>
        <w:jc w:val="both"/>
        <w:textAlignment w:val="auto"/>
        <w:rPr>
          <w:rFonts w:hint="default" w:ascii="Times New Roman" w:hAnsi="Times New Roman" w:eastAsia="宋体" w:cs="黑体"/>
          <w:color w:val="auto"/>
          <w:kern w:val="0"/>
          <w:sz w:val="24"/>
          <w:szCs w:val="24"/>
          <w:lang w:val="en-US" w:eastAsia="zh-CN"/>
        </w:rPr>
      </w:pPr>
      <w:r>
        <w:rPr>
          <w:rFonts w:hint="default" w:ascii="Times New Roman" w:hAnsi="Times New Roman" w:eastAsia="宋体" w:cs="黑体"/>
          <w:color w:val="auto"/>
          <w:kern w:val="0"/>
          <w:sz w:val="24"/>
          <w:szCs w:val="24"/>
          <w:lang w:val="en-US" w:eastAsia="zh-CN"/>
        </w:rPr>
        <w:t>根据表 5</w:t>
      </w:r>
      <w:r>
        <w:rPr>
          <w:rFonts w:hint="eastAsia" w:hAnsi="Times New Roman" w:eastAsia="宋体" w:cs="黑体"/>
          <w:color w:val="auto"/>
          <w:kern w:val="0"/>
          <w:sz w:val="24"/>
          <w:szCs w:val="24"/>
          <w:lang w:val="en-US" w:eastAsia="zh-CN"/>
        </w:rPr>
        <w:t>.2-5</w:t>
      </w:r>
      <w:r>
        <w:rPr>
          <w:rFonts w:hint="default" w:ascii="Times New Roman" w:hAnsi="Times New Roman" w:eastAsia="宋体" w:cs="黑体"/>
          <w:color w:val="auto"/>
          <w:kern w:val="0"/>
          <w:sz w:val="24"/>
          <w:szCs w:val="24"/>
          <w:lang w:val="en-US" w:eastAsia="zh-CN"/>
        </w:rPr>
        <w:t xml:space="preserve"> 预测结果，对比表 5</w:t>
      </w:r>
      <w:r>
        <w:rPr>
          <w:rFonts w:hint="eastAsia" w:hAnsi="Times New Roman" w:eastAsia="宋体" w:cs="黑体"/>
          <w:color w:val="auto"/>
          <w:kern w:val="0"/>
          <w:sz w:val="24"/>
          <w:szCs w:val="24"/>
          <w:lang w:val="en-US" w:eastAsia="zh-CN"/>
        </w:rPr>
        <w:t>.2</w:t>
      </w:r>
      <w:r>
        <w:rPr>
          <w:rFonts w:hint="default" w:ascii="Times New Roman" w:hAnsi="Times New Roman" w:eastAsia="宋体" w:cs="黑体"/>
          <w:color w:val="auto"/>
          <w:kern w:val="0"/>
          <w:sz w:val="24"/>
          <w:szCs w:val="24"/>
          <w:lang w:val="en-US" w:eastAsia="zh-CN"/>
        </w:rPr>
        <w:t>-</w:t>
      </w:r>
      <w:r>
        <w:rPr>
          <w:rFonts w:hint="eastAsia" w:hAnsi="Times New Roman" w:eastAsia="宋体" w:cs="黑体"/>
          <w:color w:val="auto"/>
          <w:kern w:val="0"/>
          <w:sz w:val="24"/>
          <w:szCs w:val="24"/>
          <w:lang w:val="en-US" w:eastAsia="zh-CN"/>
        </w:rPr>
        <w:t>10</w:t>
      </w:r>
      <w:r>
        <w:rPr>
          <w:rFonts w:hint="default" w:ascii="Times New Roman" w:hAnsi="Times New Roman" w:eastAsia="宋体" w:cs="黑体"/>
          <w:color w:val="auto"/>
          <w:kern w:val="0"/>
          <w:sz w:val="24"/>
          <w:szCs w:val="24"/>
          <w:lang w:val="en-US" w:eastAsia="zh-CN"/>
        </w:rPr>
        <w:t>可见，厂界 NH</w:t>
      </w:r>
      <w:r>
        <w:rPr>
          <w:rFonts w:hint="default" w:ascii="Times New Roman" w:hAnsi="Times New Roman" w:eastAsia="宋体" w:cs="黑体"/>
          <w:color w:val="auto"/>
          <w:kern w:val="0"/>
          <w:sz w:val="24"/>
          <w:szCs w:val="24"/>
          <w:vertAlign w:val="subscript"/>
          <w:lang w:val="en-US" w:eastAsia="zh-CN"/>
        </w:rPr>
        <w:t>3</w:t>
      </w:r>
      <w:r>
        <w:rPr>
          <w:rFonts w:hint="default" w:ascii="Times New Roman" w:hAnsi="Times New Roman" w:eastAsia="宋体" w:cs="黑体"/>
          <w:color w:val="auto"/>
          <w:kern w:val="0"/>
          <w:sz w:val="24"/>
          <w:szCs w:val="24"/>
          <w:lang w:val="en-US" w:eastAsia="zh-CN"/>
        </w:rPr>
        <w:t>和 H</w:t>
      </w:r>
      <w:r>
        <w:rPr>
          <w:rFonts w:hint="default" w:ascii="Times New Roman" w:hAnsi="Times New Roman" w:eastAsia="宋体" w:cs="黑体"/>
          <w:color w:val="auto"/>
          <w:kern w:val="0"/>
          <w:sz w:val="24"/>
          <w:szCs w:val="24"/>
          <w:vertAlign w:val="subscript"/>
          <w:lang w:val="en-US" w:eastAsia="zh-CN"/>
        </w:rPr>
        <w:t>2</w:t>
      </w:r>
      <w:r>
        <w:rPr>
          <w:rFonts w:hint="default" w:ascii="Times New Roman" w:hAnsi="Times New Roman" w:eastAsia="宋体" w:cs="黑体"/>
          <w:color w:val="auto"/>
          <w:kern w:val="0"/>
          <w:sz w:val="24"/>
          <w:szCs w:val="24"/>
          <w:lang w:val="en-US" w:eastAsia="zh-CN"/>
        </w:rPr>
        <w:t>S 均</w:t>
      </w:r>
      <w:r>
        <w:rPr>
          <w:rFonts w:hint="eastAsia" w:hAnsi="Times New Roman" w:eastAsia="宋体" w:cs="黑体"/>
          <w:color w:val="auto"/>
          <w:kern w:val="0"/>
          <w:sz w:val="24"/>
          <w:szCs w:val="24"/>
          <w:lang w:val="en-US" w:eastAsia="zh-CN"/>
        </w:rPr>
        <w:t>未</w:t>
      </w:r>
      <w:r>
        <w:rPr>
          <w:rFonts w:hint="default" w:ascii="Times New Roman" w:hAnsi="Times New Roman" w:eastAsia="宋体" w:cs="黑体"/>
          <w:color w:val="auto"/>
          <w:kern w:val="0"/>
          <w:sz w:val="24"/>
          <w:szCs w:val="24"/>
          <w:lang w:val="en-US" w:eastAsia="zh-CN"/>
        </w:rPr>
        <w:t>达</w:t>
      </w:r>
      <w:r>
        <w:rPr>
          <w:rFonts w:hint="eastAsia" w:hAnsi="Times New Roman" w:eastAsia="宋体" w:cs="黑体"/>
          <w:color w:val="auto"/>
          <w:kern w:val="0"/>
          <w:sz w:val="24"/>
          <w:szCs w:val="24"/>
          <w:lang w:val="en-US" w:eastAsia="zh-CN"/>
        </w:rPr>
        <w:t>到1</w:t>
      </w:r>
      <w:r>
        <w:rPr>
          <w:rFonts w:hint="default" w:ascii="Times New Roman" w:hAnsi="Times New Roman" w:eastAsia="宋体" w:cs="黑体"/>
          <w:color w:val="auto"/>
          <w:kern w:val="0"/>
          <w:sz w:val="24"/>
          <w:szCs w:val="24"/>
          <w:lang w:val="en-US" w:eastAsia="zh-CN"/>
        </w:rPr>
        <w:t>级臭气强度标准，根</w:t>
      </w:r>
      <w:r>
        <w:rPr>
          <w:rFonts w:hint="eastAsia" w:asciiTheme="minorEastAsia" w:hAnsiTheme="minorEastAsia" w:eastAsiaTheme="minorEastAsia" w:cstheme="minorEastAsia"/>
          <w:color w:val="auto"/>
          <w:kern w:val="0"/>
          <w:sz w:val="24"/>
          <w:szCs w:val="24"/>
          <w:lang w:val="en-US" w:eastAsia="zh-CN"/>
        </w:rPr>
        <w:t>据“恶臭污染物排放标准编制说明”强调指出的：“将</w:t>
      </w:r>
      <w:r>
        <w:rPr>
          <w:rFonts w:hint="default" w:ascii="Times New Roman" w:hAnsi="Times New Roman" w:eastAsia="宋体" w:cs="黑体"/>
          <w:color w:val="auto"/>
          <w:kern w:val="0"/>
          <w:sz w:val="24"/>
          <w:szCs w:val="24"/>
          <w:lang w:val="en-US" w:eastAsia="zh-CN"/>
        </w:rPr>
        <w:t>厂边界环境臭气强度控制在</w:t>
      </w:r>
      <w:r>
        <w:rPr>
          <w:rFonts w:hint="eastAsia" w:hAnsi="Times New Roman" w:eastAsia="宋体" w:cs="黑体"/>
          <w:color w:val="auto"/>
          <w:kern w:val="0"/>
          <w:sz w:val="24"/>
          <w:szCs w:val="24"/>
          <w:lang w:val="en-US" w:eastAsia="zh-CN"/>
        </w:rPr>
        <w:t>3</w:t>
      </w:r>
      <w:r>
        <w:rPr>
          <w:rFonts w:hint="default" w:ascii="Times New Roman" w:hAnsi="Times New Roman" w:eastAsia="宋体" w:cs="黑体"/>
          <w:color w:val="auto"/>
          <w:kern w:val="0"/>
          <w:sz w:val="24"/>
          <w:szCs w:val="24"/>
          <w:lang w:val="en-US" w:eastAsia="zh-CN"/>
        </w:rPr>
        <w:t>级左右，是人们可以接受</w:t>
      </w:r>
      <w:r>
        <w:rPr>
          <w:rFonts w:hint="eastAsia" w:asciiTheme="minorEastAsia" w:hAnsiTheme="minorEastAsia" w:eastAsiaTheme="minorEastAsia" w:cstheme="minorEastAsia"/>
          <w:color w:val="auto"/>
          <w:kern w:val="0"/>
          <w:sz w:val="24"/>
          <w:szCs w:val="24"/>
          <w:lang w:val="en-US" w:eastAsia="zh-CN"/>
        </w:rPr>
        <w:t>的水平”</w:t>
      </w:r>
      <w:r>
        <w:rPr>
          <w:rFonts w:hint="default" w:ascii="Times New Roman" w:hAnsi="Times New Roman" w:eastAsia="宋体" w:cs="黑体"/>
          <w:color w:val="auto"/>
          <w:kern w:val="0"/>
          <w:sz w:val="24"/>
          <w:szCs w:val="24"/>
          <w:lang w:val="en-US" w:eastAsia="zh-CN"/>
        </w:rPr>
        <w:t>，所以本项目厂界环境臭气强度是人们可以接受的水平。</w:t>
      </w:r>
    </w:p>
    <w:p>
      <w:pPr>
        <w:pStyle w:val="113"/>
        <w:pageBreakBefore w:val="0"/>
        <w:widowControl w:val="0"/>
        <w:kinsoku/>
        <w:wordWrap/>
        <w:overflowPunct/>
        <w:topLinePunct w:val="0"/>
        <w:bidi w:val="0"/>
        <w:adjustRightInd w:val="0"/>
        <w:snapToGrid w:val="0"/>
        <w:spacing w:line="360" w:lineRule="auto"/>
        <w:ind w:firstLine="480" w:firstLineChars="200"/>
        <w:jc w:val="both"/>
        <w:textAlignment w:val="auto"/>
        <w:rPr>
          <w:rFonts w:hint="default" w:ascii="Times New Roman" w:hAnsi="Times New Roman" w:eastAsia="宋体" w:cs="黑体"/>
          <w:color w:val="auto"/>
          <w:kern w:val="0"/>
          <w:sz w:val="24"/>
          <w:szCs w:val="24"/>
          <w:lang w:val="en-US" w:eastAsia="zh-CN"/>
        </w:rPr>
      </w:pPr>
      <w:r>
        <w:rPr>
          <w:rFonts w:hint="default" w:ascii="Times New Roman" w:hAnsi="Times New Roman" w:eastAsia="宋体" w:cs="黑体"/>
          <w:color w:val="auto"/>
          <w:kern w:val="0"/>
          <w:sz w:val="24"/>
          <w:szCs w:val="24"/>
          <w:lang w:val="en-US" w:eastAsia="zh-CN"/>
        </w:rPr>
        <w:t>本项目周边居住点主要为</w:t>
      </w:r>
      <w:r>
        <w:rPr>
          <w:rFonts w:hint="eastAsia" w:hAnsi="Times New Roman" w:eastAsia="宋体" w:cs="黑体"/>
          <w:color w:val="auto"/>
          <w:kern w:val="0"/>
          <w:sz w:val="24"/>
          <w:szCs w:val="24"/>
          <w:lang w:val="en-US" w:eastAsia="zh-CN"/>
        </w:rPr>
        <w:t>雄义村村民</w:t>
      </w:r>
      <w:r>
        <w:rPr>
          <w:rFonts w:hint="default" w:ascii="Times New Roman" w:hAnsi="Times New Roman" w:eastAsia="宋体" w:cs="黑体"/>
          <w:color w:val="auto"/>
          <w:kern w:val="0"/>
          <w:sz w:val="24"/>
          <w:szCs w:val="24"/>
          <w:lang w:val="en-US" w:eastAsia="zh-CN"/>
        </w:rPr>
        <w:t>，由于厂边界环境臭气强度低于</w:t>
      </w:r>
      <w:r>
        <w:rPr>
          <w:rFonts w:hint="eastAsia" w:hAnsi="Times New Roman" w:eastAsia="宋体" w:cs="黑体"/>
          <w:color w:val="auto"/>
          <w:kern w:val="0"/>
          <w:sz w:val="24"/>
          <w:szCs w:val="24"/>
          <w:lang w:val="en-US" w:eastAsia="zh-CN"/>
        </w:rPr>
        <w:t>1</w:t>
      </w:r>
      <w:r>
        <w:rPr>
          <w:rFonts w:hint="default" w:ascii="Times New Roman" w:hAnsi="Times New Roman" w:eastAsia="宋体" w:cs="黑体"/>
          <w:color w:val="auto"/>
          <w:kern w:val="0"/>
          <w:sz w:val="24"/>
          <w:szCs w:val="24"/>
          <w:lang w:val="en-US" w:eastAsia="zh-CN"/>
        </w:rPr>
        <w:t>级，预断对附近居住区的影响甚微。</w:t>
      </w:r>
    </w:p>
    <w:p>
      <w:pPr>
        <w:pStyle w:val="113"/>
        <w:pageBreakBefore w:val="0"/>
        <w:widowControl w:val="0"/>
        <w:numPr>
          <w:ilvl w:val="0"/>
          <w:numId w:val="25"/>
        </w:numPr>
        <w:kinsoku/>
        <w:wordWrap/>
        <w:overflowPunct/>
        <w:topLinePunct w:val="0"/>
        <w:bidi w:val="0"/>
        <w:adjustRightInd w:val="0"/>
        <w:snapToGrid w:val="0"/>
        <w:spacing w:line="360" w:lineRule="auto"/>
        <w:ind w:left="0" w:leftChars="0" w:firstLine="480" w:firstLineChars="200"/>
        <w:jc w:val="both"/>
        <w:textAlignment w:val="auto"/>
        <w:rPr>
          <w:rFonts w:hint="default" w:ascii="Times New Roman" w:hAnsi="Times New Roman" w:eastAsia="宋体" w:cs="黑体"/>
          <w:color w:val="auto"/>
          <w:kern w:val="0"/>
          <w:sz w:val="24"/>
          <w:szCs w:val="24"/>
          <w:lang w:val="en-US" w:eastAsia="zh-CN"/>
        </w:rPr>
      </w:pPr>
      <w:r>
        <w:rPr>
          <w:rFonts w:hint="default" w:ascii="Times New Roman" w:hAnsi="Times New Roman" w:eastAsia="宋体" w:cs="黑体"/>
          <w:color w:val="auto"/>
          <w:kern w:val="0"/>
          <w:sz w:val="24"/>
          <w:szCs w:val="24"/>
          <w:lang w:val="en-US" w:eastAsia="zh-CN"/>
        </w:rPr>
        <w:t>臭气影响范围类比调查</w:t>
      </w:r>
    </w:p>
    <w:p>
      <w:pPr>
        <w:pStyle w:val="113"/>
        <w:pageBreakBefore w:val="0"/>
        <w:widowControl w:val="0"/>
        <w:kinsoku/>
        <w:wordWrap/>
        <w:overflowPunct/>
        <w:topLinePunct w:val="0"/>
        <w:bidi w:val="0"/>
        <w:adjustRightInd w:val="0"/>
        <w:snapToGrid w:val="0"/>
        <w:spacing w:line="360" w:lineRule="auto"/>
        <w:ind w:firstLine="480" w:firstLineChars="200"/>
        <w:jc w:val="both"/>
        <w:textAlignment w:val="auto"/>
        <w:rPr>
          <w:rFonts w:hint="default" w:ascii="Times New Roman" w:hAnsi="Times New Roman" w:eastAsia="宋体" w:cs="黑体"/>
          <w:color w:val="auto"/>
          <w:kern w:val="0"/>
          <w:sz w:val="24"/>
          <w:szCs w:val="24"/>
          <w:lang w:val="en-US" w:eastAsia="zh-CN"/>
        </w:rPr>
      </w:pPr>
      <w:r>
        <w:rPr>
          <w:rFonts w:hint="default" w:ascii="Times New Roman" w:hAnsi="Times New Roman" w:eastAsia="宋体" w:cs="黑体"/>
          <w:color w:val="auto"/>
          <w:kern w:val="0"/>
          <w:sz w:val="24"/>
          <w:szCs w:val="24"/>
          <w:lang w:val="en-US" w:eastAsia="zh-CN"/>
        </w:rPr>
        <w:t>本次评价采用类比调查的方式，利用《广汉绿松养殖有限公司生猪繁育产业化示范基地环境影响报告书》中对遂宁高金母猪场专门进行的现状调查。据调查，遂宁高金母猪场占地面积</w:t>
      </w:r>
      <w:r>
        <w:rPr>
          <w:rFonts w:hint="eastAsia" w:hAnsi="Times New Roman" w:eastAsia="宋体" w:cs="黑体"/>
          <w:color w:val="auto"/>
          <w:kern w:val="0"/>
          <w:sz w:val="24"/>
          <w:szCs w:val="24"/>
          <w:lang w:val="en-US" w:eastAsia="zh-CN"/>
        </w:rPr>
        <w:t>380</w:t>
      </w:r>
      <w:r>
        <w:rPr>
          <w:rFonts w:hint="default" w:ascii="Times New Roman" w:hAnsi="Times New Roman" w:eastAsia="宋体" w:cs="黑体"/>
          <w:color w:val="auto"/>
          <w:kern w:val="0"/>
          <w:sz w:val="24"/>
          <w:szCs w:val="24"/>
          <w:lang w:val="en-US" w:eastAsia="zh-CN"/>
        </w:rPr>
        <w:t>亩，年存栏公猪约 150 头、母猪 12000 头，其规模相比较于本项目</w:t>
      </w:r>
      <w:r>
        <w:rPr>
          <w:rFonts w:hint="eastAsia" w:hAnsi="Times New Roman" w:eastAsia="宋体" w:cs="黑体"/>
          <w:color w:val="auto"/>
          <w:kern w:val="0"/>
          <w:sz w:val="24"/>
          <w:szCs w:val="24"/>
          <w:lang w:val="en-US" w:eastAsia="zh-CN"/>
        </w:rPr>
        <w:t>稍小</w:t>
      </w:r>
      <w:r>
        <w:rPr>
          <w:rFonts w:hint="default" w:ascii="Times New Roman" w:hAnsi="Times New Roman" w:eastAsia="宋体" w:cs="黑体"/>
          <w:color w:val="auto"/>
          <w:kern w:val="0"/>
          <w:sz w:val="24"/>
          <w:szCs w:val="24"/>
          <w:lang w:val="en-US" w:eastAsia="zh-CN"/>
        </w:rPr>
        <w:t>。在高金母猪场周围共调查人员共 20 人，其中男性 12 人，女性 8 人；从年龄结构来看，18－34 岁 5 人，35—50 岁 13 人，50 岁以上 2 人。调查人员分别在污染源下风向 5m、30m、50m、70m、100m、150m、200m、300m 等距离取样嗅闻，并以上风向作为对照点。嗅闻结果如表 5</w:t>
      </w:r>
      <w:r>
        <w:rPr>
          <w:rFonts w:hint="eastAsia" w:hAnsi="Times New Roman" w:eastAsia="宋体" w:cs="黑体"/>
          <w:color w:val="auto"/>
          <w:kern w:val="0"/>
          <w:sz w:val="24"/>
          <w:szCs w:val="24"/>
          <w:lang w:val="en-US" w:eastAsia="zh-CN"/>
        </w:rPr>
        <w:t>.2</w:t>
      </w:r>
      <w:r>
        <w:rPr>
          <w:rFonts w:hint="default" w:ascii="Times New Roman" w:hAnsi="Times New Roman" w:eastAsia="宋体" w:cs="黑体"/>
          <w:color w:val="auto"/>
          <w:kern w:val="0"/>
          <w:sz w:val="24"/>
          <w:szCs w:val="24"/>
          <w:lang w:val="en-US" w:eastAsia="zh-CN"/>
        </w:rPr>
        <w:t>-1</w:t>
      </w:r>
      <w:r>
        <w:rPr>
          <w:rFonts w:hint="eastAsia" w:hAnsi="Times New Roman" w:eastAsia="宋体" w:cs="黑体"/>
          <w:color w:val="auto"/>
          <w:kern w:val="0"/>
          <w:sz w:val="24"/>
          <w:szCs w:val="24"/>
          <w:lang w:val="en-US" w:eastAsia="zh-CN"/>
        </w:rPr>
        <w:t>1</w:t>
      </w:r>
      <w:r>
        <w:rPr>
          <w:rFonts w:hint="default" w:ascii="Times New Roman" w:hAnsi="Times New Roman" w:eastAsia="宋体" w:cs="黑体"/>
          <w:color w:val="auto"/>
          <w:kern w:val="0"/>
          <w:sz w:val="24"/>
          <w:szCs w:val="24"/>
          <w:lang w:val="en-US" w:eastAsia="zh-CN"/>
        </w:rPr>
        <w:t xml:space="preserve"> 所示。</w:t>
      </w:r>
    </w:p>
    <w:p>
      <w:pPr>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lang w:eastAsia="zh-CN"/>
        </w:rPr>
        <w:t>表</w:t>
      </w:r>
      <w:r>
        <w:rPr>
          <w:rFonts w:hint="default" w:ascii="Times New Roman" w:hAnsi="Times New Roman" w:eastAsia="宋体" w:cs="Times New Roman"/>
          <w:b/>
          <w:bCs/>
          <w:color w:val="auto"/>
          <w:sz w:val="21"/>
          <w:szCs w:val="21"/>
          <w:lang w:val="en-US" w:eastAsia="zh-CN"/>
        </w:rPr>
        <w:t>5.2-</w:t>
      </w:r>
      <w:r>
        <w:rPr>
          <w:rFonts w:hint="eastAsia" w:ascii="Times New Roman" w:hAnsi="Times New Roman" w:eastAsia="宋体" w:cs="Times New Roman"/>
          <w:b/>
          <w:bCs/>
          <w:color w:val="auto"/>
          <w:sz w:val="21"/>
          <w:szCs w:val="21"/>
          <w:lang w:val="en-US" w:eastAsia="zh-CN"/>
        </w:rPr>
        <w:t xml:space="preserve">11  </w:t>
      </w:r>
      <w:r>
        <w:rPr>
          <w:rFonts w:hint="default" w:ascii="Times New Roman" w:hAnsi="Times New Roman" w:eastAsia="宋体" w:cs="Times New Roman"/>
          <w:b/>
          <w:bCs/>
          <w:color w:val="auto"/>
          <w:sz w:val="21"/>
          <w:szCs w:val="21"/>
        </w:rPr>
        <w:t>嗅闻调查结果表</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2"/>
        <w:gridCol w:w="1152"/>
        <w:gridCol w:w="1152"/>
        <w:gridCol w:w="1152"/>
        <w:gridCol w:w="1153"/>
        <w:gridCol w:w="1153"/>
        <w:gridCol w:w="1153"/>
        <w:gridCol w:w="1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2" w:type="dxa"/>
            <w:vMerge w:val="restart"/>
            <w:vAlign w:val="center"/>
          </w:tcPr>
          <w:p>
            <w:pPr>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风向</w:t>
            </w:r>
          </w:p>
        </w:tc>
        <w:tc>
          <w:tcPr>
            <w:tcW w:w="1152" w:type="dxa"/>
            <w:vMerge w:val="restart"/>
            <w:vAlign w:val="center"/>
          </w:tcPr>
          <w:p>
            <w:pPr>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距离</w:t>
            </w:r>
          </w:p>
        </w:tc>
        <w:tc>
          <w:tcPr>
            <w:tcW w:w="6916" w:type="dxa"/>
            <w:gridSpan w:val="6"/>
            <w:vAlign w:val="center"/>
          </w:tcPr>
          <w:p>
            <w:pPr>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嗅闻调查结果表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2" w:type="dxa"/>
            <w:vMerge w:val="continue"/>
            <w:vAlign w:val="center"/>
          </w:tcPr>
          <w:p>
            <w:pPr>
              <w:jc w:val="center"/>
              <w:rPr>
                <w:rFonts w:hint="default" w:ascii="Times New Roman" w:hAnsi="Times New Roman" w:eastAsia="宋体" w:cs="Times New Roman"/>
                <w:b/>
                <w:bCs/>
                <w:color w:val="auto"/>
                <w:sz w:val="21"/>
                <w:szCs w:val="21"/>
                <w:lang w:val="en-US" w:eastAsia="zh-CN"/>
              </w:rPr>
            </w:pPr>
          </w:p>
        </w:tc>
        <w:tc>
          <w:tcPr>
            <w:tcW w:w="1152" w:type="dxa"/>
            <w:vMerge w:val="continue"/>
            <w:vAlign w:val="center"/>
          </w:tcPr>
          <w:p>
            <w:pPr>
              <w:jc w:val="center"/>
              <w:rPr>
                <w:rFonts w:hint="default" w:ascii="Times New Roman" w:hAnsi="Times New Roman" w:eastAsia="宋体" w:cs="Times New Roman"/>
                <w:b/>
                <w:bCs/>
                <w:color w:val="auto"/>
                <w:sz w:val="21"/>
                <w:szCs w:val="21"/>
                <w:lang w:val="en-US" w:eastAsia="zh-CN"/>
              </w:rPr>
            </w:pPr>
          </w:p>
        </w:tc>
        <w:tc>
          <w:tcPr>
            <w:tcW w:w="1152" w:type="dxa"/>
            <w:vAlign w:val="center"/>
          </w:tcPr>
          <w:p>
            <w:pPr>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0</w:t>
            </w:r>
          </w:p>
        </w:tc>
        <w:tc>
          <w:tcPr>
            <w:tcW w:w="1152" w:type="dxa"/>
            <w:vAlign w:val="center"/>
          </w:tcPr>
          <w:p>
            <w:pPr>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1</w:t>
            </w:r>
          </w:p>
        </w:tc>
        <w:tc>
          <w:tcPr>
            <w:tcW w:w="1153" w:type="dxa"/>
            <w:vAlign w:val="center"/>
          </w:tcPr>
          <w:p>
            <w:pPr>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2</w:t>
            </w:r>
          </w:p>
        </w:tc>
        <w:tc>
          <w:tcPr>
            <w:tcW w:w="1153" w:type="dxa"/>
            <w:vAlign w:val="center"/>
          </w:tcPr>
          <w:p>
            <w:pPr>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3</w:t>
            </w:r>
          </w:p>
        </w:tc>
        <w:tc>
          <w:tcPr>
            <w:tcW w:w="1153" w:type="dxa"/>
            <w:vAlign w:val="center"/>
          </w:tcPr>
          <w:p>
            <w:pPr>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4</w:t>
            </w:r>
          </w:p>
        </w:tc>
        <w:tc>
          <w:tcPr>
            <w:tcW w:w="1153" w:type="dxa"/>
            <w:vAlign w:val="center"/>
          </w:tcPr>
          <w:p>
            <w:pPr>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2" w:type="dxa"/>
            <w:vMerge w:val="restart"/>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上风向</w:t>
            </w:r>
          </w:p>
        </w:tc>
        <w:tc>
          <w:tcPr>
            <w:tcW w:w="1152"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w:t>
            </w:r>
          </w:p>
        </w:tc>
        <w:tc>
          <w:tcPr>
            <w:tcW w:w="1152" w:type="dxa"/>
            <w:vAlign w:val="center"/>
          </w:tcPr>
          <w:p>
            <w:pPr>
              <w:jc w:val="center"/>
              <w:rPr>
                <w:rFonts w:hint="default" w:ascii="Times New Roman" w:hAnsi="Times New Roman" w:eastAsia="宋体" w:cs="Times New Roman"/>
                <w:color w:val="auto"/>
                <w:sz w:val="21"/>
                <w:szCs w:val="21"/>
                <w:lang w:val="en-US" w:eastAsia="zh-CN"/>
              </w:rPr>
            </w:pPr>
          </w:p>
        </w:tc>
        <w:tc>
          <w:tcPr>
            <w:tcW w:w="1152" w:type="dxa"/>
            <w:vAlign w:val="center"/>
          </w:tcPr>
          <w:p>
            <w:pPr>
              <w:jc w:val="center"/>
              <w:rPr>
                <w:rFonts w:hint="default" w:ascii="Times New Roman" w:hAnsi="Times New Roman" w:eastAsia="宋体" w:cs="Times New Roman"/>
                <w:color w:val="auto"/>
                <w:sz w:val="21"/>
                <w:szCs w:val="21"/>
                <w:lang w:val="en-US" w:eastAsia="zh-CN"/>
              </w:rPr>
            </w:pPr>
          </w:p>
        </w:tc>
        <w:tc>
          <w:tcPr>
            <w:tcW w:w="1153" w:type="dxa"/>
            <w:vAlign w:val="center"/>
          </w:tcPr>
          <w:p>
            <w:pPr>
              <w:jc w:val="center"/>
              <w:rPr>
                <w:rFonts w:hint="default" w:ascii="Times New Roman" w:hAnsi="Times New Roman" w:eastAsia="宋体" w:cs="Times New Roman"/>
                <w:color w:val="auto"/>
                <w:sz w:val="21"/>
                <w:szCs w:val="21"/>
                <w:lang w:val="en-US" w:eastAsia="zh-CN"/>
              </w:rPr>
            </w:pPr>
          </w:p>
        </w:tc>
        <w:tc>
          <w:tcPr>
            <w:tcW w:w="1153"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100</w:t>
            </w:r>
          </w:p>
        </w:tc>
        <w:tc>
          <w:tcPr>
            <w:tcW w:w="1153" w:type="dxa"/>
            <w:vAlign w:val="center"/>
          </w:tcPr>
          <w:p>
            <w:pPr>
              <w:jc w:val="center"/>
              <w:rPr>
                <w:rFonts w:hint="default" w:ascii="Times New Roman" w:hAnsi="Times New Roman" w:eastAsia="宋体" w:cs="Times New Roman"/>
                <w:color w:val="auto"/>
                <w:sz w:val="21"/>
                <w:szCs w:val="21"/>
                <w:lang w:val="en-US" w:eastAsia="zh-CN"/>
              </w:rPr>
            </w:pPr>
          </w:p>
        </w:tc>
        <w:tc>
          <w:tcPr>
            <w:tcW w:w="1153" w:type="dxa"/>
            <w:vAlign w:val="center"/>
          </w:tcPr>
          <w:p>
            <w:pPr>
              <w:jc w:val="center"/>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2" w:type="dxa"/>
            <w:vMerge w:val="continue"/>
            <w:vAlign w:val="center"/>
          </w:tcPr>
          <w:p>
            <w:pPr>
              <w:jc w:val="center"/>
              <w:rPr>
                <w:rFonts w:hint="default" w:ascii="Times New Roman" w:hAnsi="Times New Roman" w:eastAsia="宋体" w:cs="Times New Roman"/>
                <w:color w:val="auto"/>
                <w:sz w:val="21"/>
                <w:szCs w:val="21"/>
                <w:lang w:val="en-US" w:eastAsia="zh-CN"/>
              </w:rPr>
            </w:pPr>
          </w:p>
        </w:tc>
        <w:tc>
          <w:tcPr>
            <w:tcW w:w="1152"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w:t>
            </w:r>
          </w:p>
        </w:tc>
        <w:tc>
          <w:tcPr>
            <w:tcW w:w="1152" w:type="dxa"/>
            <w:vAlign w:val="center"/>
          </w:tcPr>
          <w:p>
            <w:pPr>
              <w:jc w:val="center"/>
              <w:rPr>
                <w:rFonts w:hint="default" w:ascii="Times New Roman" w:hAnsi="Times New Roman" w:eastAsia="宋体" w:cs="Times New Roman"/>
                <w:color w:val="auto"/>
                <w:sz w:val="21"/>
                <w:szCs w:val="21"/>
                <w:lang w:val="en-US" w:eastAsia="zh-CN"/>
              </w:rPr>
            </w:pPr>
          </w:p>
        </w:tc>
        <w:tc>
          <w:tcPr>
            <w:tcW w:w="1152"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100</w:t>
            </w:r>
          </w:p>
        </w:tc>
        <w:tc>
          <w:tcPr>
            <w:tcW w:w="1153" w:type="dxa"/>
            <w:vAlign w:val="center"/>
          </w:tcPr>
          <w:p>
            <w:pPr>
              <w:jc w:val="center"/>
              <w:rPr>
                <w:rFonts w:hint="default" w:ascii="Times New Roman" w:hAnsi="Times New Roman" w:eastAsia="宋体" w:cs="Times New Roman"/>
                <w:color w:val="auto"/>
                <w:sz w:val="21"/>
                <w:szCs w:val="21"/>
                <w:lang w:val="en-US" w:eastAsia="zh-CN"/>
              </w:rPr>
            </w:pPr>
          </w:p>
        </w:tc>
        <w:tc>
          <w:tcPr>
            <w:tcW w:w="1153" w:type="dxa"/>
            <w:vAlign w:val="center"/>
          </w:tcPr>
          <w:p>
            <w:pPr>
              <w:jc w:val="center"/>
              <w:rPr>
                <w:rFonts w:hint="default" w:ascii="Times New Roman" w:hAnsi="Times New Roman" w:eastAsia="宋体" w:cs="Times New Roman"/>
                <w:color w:val="auto"/>
                <w:sz w:val="21"/>
                <w:szCs w:val="21"/>
                <w:lang w:val="en-US" w:eastAsia="zh-CN"/>
              </w:rPr>
            </w:pPr>
          </w:p>
        </w:tc>
        <w:tc>
          <w:tcPr>
            <w:tcW w:w="1153" w:type="dxa"/>
            <w:vAlign w:val="center"/>
          </w:tcPr>
          <w:p>
            <w:pPr>
              <w:jc w:val="center"/>
              <w:rPr>
                <w:rFonts w:hint="default" w:ascii="Times New Roman" w:hAnsi="Times New Roman" w:eastAsia="宋体" w:cs="Times New Roman"/>
                <w:color w:val="auto"/>
                <w:sz w:val="21"/>
                <w:szCs w:val="21"/>
                <w:lang w:val="en-US" w:eastAsia="zh-CN"/>
              </w:rPr>
            </w:pPr>
          </w:p>
        </w:tc>
        <w:tc>
          <w:tcPr>
            <w:tcW w:w="1153" w:type="dxa"/>
            <w:vAlign w:val="center"/>
          </w:tcPr>
          <w:p>
            <w:pPr>
              <w:jc w:val="center"/>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2" w:type="dxa"/>
            <w:vMerge w:val="restart"/>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下风向</w:t>
            </w:r>
          </w:p>
        </w:tc>
        <w:tc>
          <w:tcPr>
            <w:tcW w:w="1152"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w:t>
            </w:r>
          </w:p>
        </w:tc>
        <w:tc>
          <w:tcPr>
            <w:tcW w:w="1152" w:type="dxa"/>
            <w:vAlign w:val="center"/>
          </w:tcPr>
          <w:p>
            <w:pPr>
              <w:jc w:val="center"/>
              <w:rPr>
                <w:rFonts w:hint="default" w:ascii="Times New Roman" w:hAnsi="Times New Roman" w:eastAsia="宋体" w:cs="Times New Roman"/>
                <w:color w:val="auto"/>
                <w:sz w:val="21"/>
                <w:szCs w:val="21"/>
                <w:lang w:val="en-US" w:eastAsia="zh-CN"/>
              </w:rPr>
            </w:pPr>
          </w:p>
        </w:tc>
        <w:tc>
          <w:tcPr>
            <w:tcW w:w="1152" w:type="dxa"/>
            <w:vAlign w:val="center"/>
          </w:tcPr>
          <w:p>
            <w:pPr>
              <w:jc w:val="center"/>
              <w:rPr>
                <w:rFonts w:hint="default" w:ascii="Times New Roman" w:hAnsi="Times New Roman" w:eastAsia="宋体" w:cs="Times New Roman"/>
                <w:color w:val="auto"/>
                <w:sz w:val="21"/>
                <w:szCs w:val="21"/>
                <w:lang w:val="en-US" w:eastAsia="zh-CN"/>
              </w:rPr>
            </w:pPr>
          </w:p>
        </w:tc>
        <w:tc>
          <w:tcPr>
            <w:tcW w:w="1153" w:type="dxa"/>
            <w:vAlign w:val="center"/>
          </w:tcPr>
          <w:p>
            <w:pPr>
              <w:jc w:val="center"/>
              <w:rPr>
                <w:rFonts w:hint="default" w:ascii="Times New Roman" w:hAnsi="Times New Roman" w:eastAsia="宋体" w:cs="Times New Roman"/>
                <w:color w:val="auto"/>
                <w:sz w:val="21"/>
                <w:szCs w:val="21"/>
                <w:lang w:val="en-US" w:eastAsia="zh-CN"/>
              </w:rPr>
            </w:pPr>
          </w:p>
        </w:tc>
        <w:tc>
          <w:tcPr>
            <w:tcW w:w="1153" w:type="dxa"/>
            <w:vAlign w:val="center"/>
          </w:tcPr>
          <w:p>
            <w:pPr>
              <w:jc w:val="center"/>
              <w:rPr>
                <w:rFonts w:hint="default" w:ascii="Times New Roman" w:hAnsi="Times New Roman" w:eastAsia="宋体" w:cs="Times New Roman"/>
                <w:color w:val="auto"/>
                <w:sz w:val="21"/>
                <w:szCs w:val="21"/>
                <w:lang w:val="en-US" w:eastAsia="zh-CN"/>
              </w:rPr>
            </w:pPr>
          </w:p>
        </w:tc>
        <w:tc>
          <w:tcPr>
            <w:tcW w:w="1153"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100</w:t>
            </w:r>
          </w:p>
        </w:tc>
        <w:tc>
          <w:tcPr>
            <w:tcW w:w="1153" w:type="dxa"/>
            <w:vAlign w:val="center"/>
          </w:tcPr>
          <w:p>
            <w:pPr>
              <w:jc w:val="center"/>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2" w:type="dxa"/>
            <w:vMerge w:val="continue"/>
            <w:vAlign w:val="center"/>
          </w:tcPr>
          <w:p>
            <w:pPr>
              <w:jc w:val="center"/>
              <w:rPr>
                <w:rFonts w:hint="default" w:ascii="Times New Roman" w:hAnsi="Times New Roman" w:eastAsia="宋体" w:cs="Times New Roman"/>
                <w:color w:val="auto"/>
                <w:sz w:val="21"/>
                <w:szCs w:val="21"/>
                <w:lang w:val="en-US" w:eastAsia="zh-CN"/>
              </w:rPr>
            </w:pPr>
          </w:p>
        </w:tc>
        <w:tc>
          <w:tcPr>
            <w:tcW w:w="1152"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30</w:t>
            </w:r>
          </w:p>
        </w:tc>
        <w:tc>
          <w:tcPr>
            <w:tcW w:w="1152" w:type="dxa"/>
            <w:vAlign w:val="center"/>
          </w:tcPr>
          <w:p>
            <w:pPr>
              <w:jc w:val="center"/>
              <w:rPr>
                <w:rFonts w:hint="default" w:ascii="Times New Roman" w:hAnsi="Times New Roman" w:eastAsia="宋体" w:cs="Times New Roman"/>
                <w:color w:val="auto"/>
                <w:sz w:val="21"/>
                <w:szCs w:val="21"/>
                <w:lang w:val="en-US" w:eastAsia="zh-CN"/>
              </w:rPr>
            </w:pPr>
          </w:p>
        </w:tc>
        <w:tc>
          <w:tcPr>
            <w:tcW w:w="1152" w:type="dxa"/>
            <w:vAlign w:val="center"/>
          </w:tcPr>
          <w:p>
            <w:pPr>
              <w:jc w:val="center"/>
              <w:rPr>
                <w:rFonts w:hint="default" w:ascii="Times New Roman" w:hAnsi="Times New Roman" w:eastAsia="宋体" w:cs="Times New Roman"/>
                <w:color w:val="auto"/>
                <w:sz w:val="21"/>
                <w:szCs w:val="21"/>
                <w:lang w:val="en-US" w:eastAsia="zh-CN"/>
              </w:rPr>
            </w:pPr>
          </w:p>
        </w:tc>
        <w:tc>
          <w:tcPr>
            <w:tcW w:w="1153" w:type="dxa"/>
            <w:vAlign w:val="center"/>
          </w:tcPr>
          <w:p>
            <w:pPr>
              <w:jc w:val="center"/>
              <w:rPr>
                <w:rFonts w:hint="default" w:ascii="Times New Roman" w:hAnsi="Times New Roman" w:eastAsia="宋体" w:cs="Times New Roman"/>
                <w:color w:val="auto"/>
                <w:sz w:val="21"/>
                <w:szCs w:val="21"/>
                <w:lang w:val="en-US" w:eastAsia="zh-CN"/>
              </w:rPr>
            </w:pPr>
          </w:p>
        </w:tc>
        <w:tc>
          <w:tcPr>
            <w:tcW w:w="1153"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w:t>
            </w:r>
          </w:p>
        </w:tc>
        <w:tc>
          <w:tcPr>
            <w:tcW w:w="1153"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80</w:t>
            </w:r>
          </w:p>
        </w:tc>
        <w:tc>
          <w:tcPr>
            <w:tcW w:w="1153" w:type="dxa"/>
            <w:vAlign w:val="center"/>
          </w:tcPr>
          <w:p>
            <w:pPr>
              <w:jc w:val="center"/>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2" w:type="dxa"/>
            <w:vMerge w:val="continue"/>
            <w:vAlign w:val="center"/>
          </w:tcPr>
          <w:p>
            <w:pPr>
              <w:jc w:val="center"/>
              <w:rPr>
                <w:rFonts w:hint="default" w:ascii="Times New Roman" w:hAnsi="Times New Roman" w:eastAsia="宋体" w:cs="Times New Roman"/>
                <w:color w:val="auto"/>
                <w:sz w:val="21"/>
                <w:szCs w:val="21"/>
                <w:lang w:val="en-US" w:eastAsia="zh-CN"/>
              </w:rPr>
            </w:pPr>
          </w:p>
        </w:tc>
        <w:tc>
          <w:tcPr>
            <w:tcW w:w="1152"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50</w:t>
            </w:r>
          </w:p>
        </w:tc>
        <w:tc>
          <w:tcPr>
            <w:tcW w:w="1152" w:type="dxa"/>
            <w:vAlign w:val="center"/>
          </w:tcPr>
          <w:p>
            <w:pPr>
              <w:jc w:val="center"/>
              <w:rPr>
                <w:rFonts w:hint="default" w:ascii="Times New Roman" w:hAnsi="Times New Roman" w:eastAsia="宋体" w:cs="Times New Roman"/>
                <w:color w:val="auto"/>
                <w:sz w:val="21"/>
                <w:szCs w:val="21"/>
                <w:lang w:val="en-US" w:eastAsia="zh-CN"/>
              </w:rPr>
            </w:pPr>
          </w:p>
        </w:tc>
        <w:tc>
          <w:tcPr>
            <w:tcW w:w="1152" w:type="dxa"/>
            <w:vAlign w:val="center"/>
          </w:tcPr>
          <w:p>
            <w:pPr>
              <w:jc w:val="center"/>
              <w:rPr>
                <w:rFonts w:hint="default" w:ascii="Times New Roman" w:hAnsi="Times New Roman" w:eastAsia="宋体" w:cs="Times New Roman"/>
                <w:color w:val="auto"/>
                <w:sz w:val="21"/>
                <w:szCs w:val="21"/>
                <w:lang w:val="en-US" w:eastAsia="zh-CN"/>
              </w:rPr>
            </w:pPr>
          </w:p>
        </w:tc>
        <w:tc>
          <w:tcPr>
            <w:tcW w:w="1153" w:type="dxa"/>
            <w:vAlign w:val="center"/>
          </w:tcPr>
          <w:p>
            <w:pPr>
              <w:jc w:val="center"/>
              <w:rPr>
                <w:rFonts w:hint="default" w:ascii="Times New Roman" w:hAnsi="Times New Roman" w:eastAsia="宋体" w:cs="Times New Roman"/>
                <w:color w:val="auto"/>
                <w:sz w:val="21"/>
                <w:szCs w:val="21"/>
                <w:lang w:val="en-US" w:eastAsia="zh-CN"/>
              </w:rPr>
            </w:pPr>
          </w:p>
        </w:tc>
        <w:tc>
          <w:tcPr>
            <w:tcW w:w="1153"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w:t>
            </w:r>
          </w:p>
        </w:tc>
        <w:tc>
          <w:tcPr>
            <w:tcW w:w="1153"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60</w:t>
            </w:r>
          </w:p>
        </w:tc>
        <w:tc>
          <w:tcPr>
            <w:tcW w:w="1153" w:type="dxa"/>
            <w:vAlign w:val="center"/>
          </w:tcPr>
          <w:p>
            <w:pPr>
              <w:jc w:val="center"/>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2" w:type="dxa"/>
            <w:vMerge w:val="continue"/>
            <w:vAlign w:val="center"/>
          </w:tcPr>
          <w:p>
            <w:pPr>
              <w:jc w:val="center"/>
              <w:rPr>
                <w:rFonts w:hint="default" w:ascii="Times New Roman" w:hAnsi="Times New Roman" w:eastAsia="宋体" w:cs="Times New Roman"/>
                <w:color w:val="auto"/>
                <w:sz w:val="21"/>
                <w:szCs w:val="21"/>
                <w:lang w:val="en-US" w:eastAsia="zh-CN"/>
              </w:rPr>
            </w:pPr>
          </w:p>
        </w:tc>
        <w:tc>
          <w:tcPr>
            <w:tcW w:w="1152"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70</w:t>
            </w:r>
          </w:p>
        </w:tc>
        <w:tc>
          <w:tcPr>
            <w:tcW w:w="1152" w:type="dxa"/>
            <w:vAlign w:val="center"/>
          </w:tcPr>
          <w:p>
            <w:pPr>
              <w:jc w:val="center"/>
              <w:rPr>
                <w:rFonts w:hint="default" w:ascii="Times New Roman" w:hAnsi="Times New Roman" w:eastAsia="宋体" w:cs="Times New Roman"/>
                <w:color w:val="auto"/>
                <w:sz w:val="21"/>
                <w:szCs w:val="21"/>
                <w:lang w:val="en-US" w:eastAsia="zh-CN"/>
              </w:rPr>
            </w:pPr>
          </w:p>
        </w:tc>
        <w:tc>
          <w:tcPr>
            <w:tcW w:w="1152"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w:t>
            </w:r>
          </w:p>
        </w:tc>
        <w:tc>
          <w:tcPr>
            <w:tcW w:w="1153"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w:t>
            </w:r>
          </w:p>
        </w:tc>
        <w:tc>
          <w:tcPr>
            <w:tcW w:w="1153"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70</w:t>
            </w:r>
          </w:p>
        </w:tc>
        <w:tc>
          <w:tcPr>
            <w:tcW w:w="1153"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w:t>
            </w:r>
          </w:p>
        </w:tc>
        <w:tc>
          <w:tcPr>
            <w:tcW w:w="1153" w:type="dxa"/>
            <w:vAlign w:val="center"/>
          </w:tcPr>
          <w:p>
            <w:pPr>
              <w:jc w:val="center"/>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2" w:type="dxa"/>
            <w:vMerge w:val="continue"/>
            <w:vAlign w:val="center"/>
          </w:tcPr>
          <w:p>
            <w:pPr>
              <w:jc w:val="center"/>
              <w:rPr>
                <w:rFonts w:hint="default" w:ascii="Times New Roman" w:hAnsi="Times New Roman" w:eastAsia="宋体" w:cs="Times New Roman"/>
                <w:color w:val="auto"/>
                <w:sz w:val="21"/>
                <w:szCs w:val="21"/>
                <w:lang w:val="en-US" w:eastAsia="zh-CN"/>
              </w:rPr>
            </w:pPr>
          </w:p>
        </w:tc>
        <w:tc>
          <w:tcPr>
            <w:tcW w:w="1152"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100</w:t>
            </w:r>
          </w:p>
        </w:tc>
        <w:tc>
          <w:tcPr>
            <w:tcW w:w="1152" w:type="dxa"/>
            <w:vAlign w:val="center"/>
          </w:tcPr>
          <w:p>
            <w:pPr>
              <w:jc w:val="center"/>
              <w:rPr>
                <w:rFonts w:hint="default" w:ascii="Times New Roman" w:hAnsi="Times New Roman" w:eastAsia="宋体" w:cs="Times New Roman"/>
                <w:color w:val="auto"/>
                <w:sz w:val="21"/>
                <w:szCs w:val="21"/>
                <w:lang w:val="en-US" w:eastAsia="zh-CN"/>
              </w:rPr>
            </w:pPr>
          </w:p>
        </w:tc>
        <w:tc>
          <w:tcPr>
            <w:tcW w:w="1152"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w:t>
            </w:r>
          </w:p>
        </w:tc>
        <w:tc>
          <w:tcPr>
            <w:tcW w:w="1153"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30</w:t>
            </w:r>
          </w:p>
        </w:tc>
        <w:tc>
          <w:tcPr>
            <w:tcW w:w="1153"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50</w:t>
            </w:r>
          </w:p>
        </w:tc>
        <w:tc>
          <w:tcPr>
            <w:tcW w:w="1153" w:type="dxa"/>
            <w:vAlign w:val="center"/>
          </w:tcPr>
          <w:p>
            <w:pPr>
              <w:jc w:val="center"/>
              <w:rPr>
                <w:rFonts w:hint="default" w:ascii="Times New Roman" w:hAnsi="Times New Roman" w:eastAsia="宋体" w:cs="Times New Roman"/>
                <w:color w:val="auto"/>
                <w:sz w:val="21"/>
                <w:szCs w:val="21"/>
                <w:lang w:val="en-US" w:eastAsia="zh-CN"/>
              </w:rPr>
            </w:pPr>
          </w:p>
        </w:tc>
        <w:tc>
          <w:tcPr>
            <w:tcW w:w="1153" w:type="dxa"/>
            <w:vAlign w:val="center"/>
          </w:tcPr>
          <w:p>
            <w:pPr>
              <w:jc w:val="center"/>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2" w:type="dxa"/>
            <w:vMerge w:val="continue"/>
            <w:vAlign w:val="center"/>
          </w:tcPr>
          <w:p>
            <w:pPr>
              <w:jc w:val="center"/>
              <w:rPr>
                <w:rFonts w:hint="default" w:ascii="Times New Roman" w:hAnsi="Times New Roman" w:eastAsia="宋体" w:cs="Times New Roman"/>
                <w:color w:val="auto"/>
                <w:sz w:val="21"/>
                <w:szCs w:val="21"/>
                <w:lang w:val="en-US" w:eastAsia="zh-CN"/>
              </w:rPr>
            </w:pPr>
          </w:p>
        </w:tc>
        <w:tc>
          <w:tcPr>
            <w:tcW w:w="1152"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150</w:t>
            </w:r>
          </w:p>
        </w:tc>
        <w:tc>
          <w:tcPr>
            <w:tcW w:w="1152"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w:t>
            </w:r>
          </w:p>
        </w:tc>
        <w:tc>
          <w:tcPr>
            <w:tcW w:w="1152"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30</w:t>
            </w:r>
          </w:p>
        </w:tc>
        <w:tc>
          <w:tcPr>
            <w:tcW w:w="1153"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50</w:t>
            </w:r>
          </w:p>
        </w:tc>
        <w:tc>
          <w:tcPr>
            <w:tcW w:w="1153"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w:t>
            </w:r>
          </w:p>
        </w:tc>
        <w:tc>
          <w:tcPr>
            <w:tcW w:w="1153" w:type="dxa"/>
            <w:vAlign w:val="center"/>
          </w:tcPr>
          <w:p>
            <w:pPr>
              <w:jc w:val="center"/>
              <w:rPr>
                <w:rFonts w:hint="default" w:ascii="Times New Roman" w:hAnsi="Times New Roman" w:eastAsia="宋体" w:cs="Times New Roman"/>
                <w:color w:val="auto"/>
                <w:sz w:val="21"/>
                <w:szCs w:val="21"/>
                <w:lang w:val="en-US" w:eastAsia="zh-CN"/>
              </w:rPr>
            </w:pPr>
          </w:p>
        </w:tc>
        <w:tc>
          <w:tcPr>
            <w:tcW w:w="1153" w:type="dxa"/>
            <w:vAlign w:val="center"/>
          </w:tcPr>
          <w:p>
            <w:pPr>
              <w:jc w:val="center"/>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2" w:type="dxa"/>
            <w:vMerge w:val="continue"/>
            <w:vAlign w:val="center"/>
          </w:tcPr>
          <w:p>
            <w:pPr>
              <w:jc w:val="center"/>
              <w:rPr>
                <w:rFonts w:hint="default" w:ascii="Times New Roman" w:hAnsi="Times New Roman" w:eastAsia="宋体" w:cs="Times New Roman"/>
                <w:color w:val="auto"/>
                <w:sz w:val="21"/>
                <w:szCs w:val="21"/>
                <w:lang w:val="en-US" w:eastAsia="zh-CN"/>
              </w:rPr>
            </w:pPr>
          </w:p>
        </w:tc>
        <w:tc>
          <w:tcPr>
            <w:tcW w:w="1152"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200</w:t>
            </w:r>
          </w:p>
        </w:tc>
        <w:tc>
          <w:tcPr>
            <w:tcW w:w="1152"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40</w:t>
            </w:r>
          </w:p>
        </w:tc>
        <w:tc>
          <w:tcPr>
            <w:tcW w:w="1152"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40</w:t>
            </w:r>
          </w:p>
        </w:tc>
        <w:tc>
          <w:tcPr>
            <w:tcW w:w="1153"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w:t>
            </w:r>
          </w:p>
        </w:tc>
        <w:tc>
          <w:tcPr>
            <w:tcW w:w="1153" w:type="dxa"/>
            <w:vAlign w:val="center"/>
          </w:tcPr>
          <w:p>
            <w:pPr>
              <w:jc w:val="center"/>
              <w:rPr>
                <w:rFonts w:hint="default" w:ascii="Times New Roman" w:hAnsi="Times New Roman" w:eastAsia="宋体" w:cs="Times New Roman"/>
                <w:color w:val="auto"/>
                <w:sz w:val="21"/>
                <w:szCs w:val="21"/>
                <w:lang w:val="en-US" w:eastAsia="zh-CN"/>
              </w:rPr>
            </w:pPr>
          </w:p>
        </w:tc>
        <w:tc>
          <w:tcPr>
            <w:tcW w:w="1153" w:type="dxa"/>
            <w:vAlign w:val="center"/>
          </w:tcPr>
          <w:p>
            <w:pPr>
              <w:jc w:val="center"/>
              <w:rPr>
                <w:rFonts w:hint="default" w:ascii="Times New Roman" w:hAnsi="Times New Roman" w:eastAsia="宋体" w:cs="Times New Roman"/>
                <w:color w:val="auto"/>
                <w:sz w:val="21"/>
                <w:szCs w:val="21"/>
                <w:lang w:val="en-US" w:eastAsia="zh-CN"/>
              </w:rPr>
            </w:pPr>
          </w:p>
        </w:tc>
        <w:tc>
          <w:tcPr>
            <w:tcW w:w="1153" w:type="dxa"/>
            <w:vAlign w:val="center"/>
          </w:tcPr>
          <w:p>
            <w:pPr>
              <w:jc w:val="center"/>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2" w:type="dxa"/>
            <w:vMerge w:val="continue"/>
            <w:vAlign w:val="center"/>
          </w:tcPr>
          <w:p>
            <w:pPr>
              <w:jc w:val="center"/>
              <w:rPr>
                <w:rFonts w:hint="default" w:ascii="Times New Roman" w:hAnsi="Times New Roman" w:eastAsia="宋体" w:cs="Times New Roman"/>
                <w:color w:val="auto"/>
                <w:sz w:val="21"/>
                <w:szCs w:val="21"/>
                <w:lang w:val="en-US" w:eastAsia="zh-CN"/>
              </w:rPr>
            </w:pPr>
          </w:p>
        </w:tc>
        <w:tc>
          <w:tcPr>
            <w:tcW w:w="1152"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300</w:t>
            </w:r>
          </w:p>
        </w:tc>
        <w:tc>
          <w:tcPr>
            <w:tcW w:w="1152"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70</w:t>
            </w:r>
          </w:p>
        </w:tc>
        <w:tc>
          <w:tcPr>
            <w:tcW w:w="1152"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30</w:t>
            </w:r>
          </w:p>
        </w:tc>
        <w:tc>
          <w:tcPr>
            <w:tcW w:w="1153" w:type="dxa"/>
            <w:vAlign w:val="center"/>
          </w:tcPr>
          <w:p>
            <w:pPr>
              <w:jc w:val="center"/>
              <w:rPr>
                <w:rFonts w:hint="default" w:ascii="Times New Roman" w:hAnsi="Times New Roman" w:eastAsia="宋体" w:cs="Times New Roman"/>
                <w:color w:val="auto"/>
                <w:sz w:val="21"/>
                <w:szCs w:val="21"/>
                <w:lang w:val="en-US" w:eastAsia="zh-CN"/>
              </w:rPr>
            </w:pPr>
          </w:p>
        </w:tc>
        <w:tc>
          <w:tcPr>
            <w:tcW w:w="1153" w:type="dxa"/>
            <w:vAlign w:val="center"/>
          </w:tcPr>
          <w:p>
            <w:pPr>
              <w:jc w:val="center"/>
              <w:rPr>
                <w:rFonts w:hint="default" w:ascii="Times New Roman" w:hAnsi="Times New Roman" w:eastAsia="宋体" w:cs="Times New Roman"/>
                <w:color w:val="auto"/>
                <w:sz w:val="21"/>
                <w:szCs w:val="21"/>
                <w:lang w:val="en-US" w:eastAsia="zh-CN"/>
              </w:rPr>
            </w:pPr>
          </w:p>
        </w:tc>
        <w:tc>
          <w:tcPr>
            <w:tcW w:w="1153" w:type="dxa"/>
            <w:vAlign w:val="center"/>
          </w:tcPr>
          <w:p>
            <w:pPr>
              <w:jc w:val="center"/>
              <w:rPr>
                <w:rFonts w:hint="default" w:ascii="Times New Roman" w:hAnsi="Times New Roman" w:eastAsia="宋体" w:cs="Times New Roman"/>
                <w:color w:val="auto"/>
                <w:sz w:val="21"/>
                <w:szCs w:val="21"/>
                <w:lang w:val="en-US" w:eastAsia="zh-CN"/>
              </w:rPr>
            </w:pPr>
          </w:p>
        </w:tc>
        <w:tc>
          <w:tcPr>
            <w:tcW w:w="1153" w:type="dxa"/>
            <w:vAlign w:val="center"/>
          </w:tcPr>
          <w:p>
            <w:pPr>
              <w:jc w:val="center"/>
              <w:rPr>
                <w:rFonts w:hint="default" w:ascii="Times New Roman" w:hAnsi="Times New Roman" w:eastAsia="宋体" w:cs="Times New Roman"/>
                <w:color w:val="auto"/>
                <w:sz w:val="21"/>
                <w:szCs w:val="21"/>
                <w:lang w:val="en-US" w:eastAsia="zh-CN"/>
              </w:rPr>
            </w:pPr>
          </w:p>
        </w:tc>
      </w:tr>
    </w:tbl>
    <w:p>
      <w:pPr>
        <w:pStyle w:val="113"/>
        <w:pageBreakBefore w:val="0"/>
        <w:widowControl w:val="0"/>
        <w:kinsoku/>
        <w:wordWrap/>
        <w:overflowPunct/>
        <w:topLinePunct w:val="0"/>
        <w:bidi w:val="0"/>
        <w:adjustRightInd w:val="0"/>
        <w:snapToGrid w:val="0"/>
        <w:spacing w:line="360" w:lineRule="auto"/>
        <w:ind w:left="0" w:leftChars="0" w:firstLine="0" w:firstLineChars="0"/>
        <w:jc w:val="both"/>
        <w:textAlignment w:val="auto"/>
        <w:rPr>
          <w:rFonts w:hint="default" w:ascii="Times New Roman" w:hAnsi="Times New Roman" w:eastAsia="宋体" w:cs="黑体"/>
          <w:color w:val="auto"/>
          <w:kern w:val="0"/>
          <w:sz w:val="24"/>
          <w:szCs w:val="24"/>
          <w:lang w:val="en-US" w:eastAsia="zh-CN"/>
        </w:rPr>
      </w:pPr>
    </w:p>
    <w:p>
      <w:pPr>
        <w:pStyle w:val="113"/>
        <w:pageBreakBefore w:val="0"/>
        <w:widowControl w:val="0"/>
        <w:kinsoku/>
        <w:wordWrap/>
        <w:overflowPunct/>
        <w:topLinePunct w:val="0"/>
        <w:bidi w:val="0"/>
        <w:adjustRightInd w:val="0"/>
        <w:snapToGrid w:val="0"/>
        <w:spacing w:line="360" w:lineRule="auto"/>
        <w:ind w:firstLine="480" w:firstLineChars="200"/>
        <w:jc w:val="both"/>
        <w:textAlignment w:val="auto"/>
        <w:rPr>
          <w:rFonts w:hint="default" w:ascii="Times New Roman" w:hAnsi="Times New Roman" w:eastAsia="宋体" w:cs="黑体"/>
          <w:color w:val="auto"/>
          <w:kern w:val="0"/>
          <w:sz w:val="24"/>
          <w:szCs w:val="24"/>
          <w:lang w:val="en-US" w:eastAsia="zh-CN"/>
        </w:rPr>
      </w:pPr>
      <w:r>
        <w:rPr>
          <w:rFonts w:hint="default" w:ascii="Times New Roman" w:hAnsi="Times New Roman" w:eastAsia="宋体" w:cs="黑体"/>
          <w:color w:val="auto"/>
          <w:kern w:val="0"/>
          <w:sz w:val="24"/>
          <w:szCs w:val="24"/>
          <w:lang w:val="en-US" w:eastAsia="zh-CN"/>
        </w:rPr>
        <w:t>由嗅闻结果统计可知，在恶臭污染源下风向 5m 范围内可感觉到强烈的气味（4 级），5-100m 范围内很容易感觉到气味（2-3 级），150m 处气味很弱（2 级）， 200m 以外已闻不到气味。</w:t>
      </w:r>
    </w:p>
    <w:p>
      <w:pPr>
        <w:pStyle w:val="113"/>
        <w:pageBreakBefore w:val="0"/>
        <w:widowControl w:val="0"/>
        <w:kinsoku/>
        <w:wordWrap/>
        <w:overflowPunct/>
        <w:topLinePunct w:val="0"/>
        <w:bidi w:val="0"/>
        <w:adjustRightInd w:val="0"/>
        <w:snapToGrid w:val="0"/>
        <w:spacing w:line="360" w:lineRule="auto"/>
        <w:ind w:firstLine="480" w:firstLineChars="200"/>
        <w:jc w:val="both"/>
        <w:textAlignment w:val="auto"/>
        <w:rPr>
          <w:rFonts w:hint="default" w:ascii="Times New Roman" w:hAnsi="Times New Roman" w:eastAsia="宋体" w:cs="黑体"/>
          <w:color w:val="auto"/>
          <w:kern w:val="0"/>
          <w:sz w:val="24"/>
          <w:szCs w:val="24"/>
          <w:lang w:val="en-US" w:eastAsia="zh-CN"/>
        </w:rPr>
      </w:pPr>
      <w:r>
        <w:rPr>
          <w:rFonts w:hint="default" w:ascii="Times New Roman" w:hAnsi="Times New Roman" w:eastAsia="宋体" w:cs="黑体"/>
          <w:color w:val="auto"/>
          <w:kern w:val="0"/>
          <w:sz w:val="24"/>
          <w:szCs w:val="24"/>
          <w:lang w:val="en-US" w:eastAsia="zh-CN"/>
        </w:rPr>
        <w:t>本项目周围均为茂密的</w:t>
      </w:r>
      <w:r>
        <w:rPr>
          <w:rFonts w:hint="eastAsia" w:hAnsi="Times New Roman" w:eastAsia="宋体" w:cs="黑体"/>
          <w:color w:val="auto"/>
          <w:kern w:val="0"/>
          <w:sz w:val="24"/>
          <w:szCs w:val="24"/>
          <w:lang w:val="en-US" w:eastAsia="zh-CN"/>
        </w:rPr>
        <w:t>果园</w:t>
      </w:r>
      <w:r>
        <w:rPr>
          <w:rFonts w:hint="default" w:ascii="Times New Roman" w:hAnsi="Times New Roman" w:eastAsia="宋体" w:cs="黑体"/>
          <w:color w:val="auto"/>
          <w:kern w:val="0"/>
          <w:sz w:val="24"/>
          <w:szCs w:val="24"/>
          <w:lang w:val="en-US" w:eastAsia="zh-CN"/>
        </w:rPr>
        <w:t>，可有效阻挡、稀释净化恶臭污染源，减小对周围大气环境的影响，在采取以上措施后对外界影响较小。</w:t>
      </w:r>
    </w:p>
    <w:p>
      <w:pPr>
        <w:keepNext/>
        <w:keepLines/>
        <w:adjustRightInd w:val="0"/>
        <w:snapToGrid w:val="0"/>
        <w:spacing w:line="360" w:lineRule="auto"/>
        <w:outlineLvl w:val="3"/>
        <w:rPr>
          <w:rFonts w:hint="default" w:ascii="Times New Roman" w:hAnsi="Times New Roman" w:eastAsia="宋体"/>
          <w:b/>
          <w:bCs/>
          <w:color w:val="auto"/>
          <w:sz w:val="24"/>
          <w:szCs w:val="24"/>
          <w:lang w:val="en-US" w:eastAsia="zh-CN"/>
        </w:rPr>
      </w:pPr>
      <w:r>
        <w:rPr>
          <w:rFonts w:hint="default" w:ascii="Times New Roman" w:hAnsi="Times New Roman" w:eastAsia="宋体"/>
          <w:b/>
          <w:bCs/>
          <w:color w:val="auto"/>
          <w:sz w:val="24"/>
          <w:szCs w:val="24"/>
          <w:lang w:val="en-US" w:eastAsia="zh-CN"/>
        </w:rPr>
        <w:t>5.2.</w:t>
      </w:r>
      <w:r>
        <w:rPr>
          <w:rFonts w:hint="eastAsia" w:ascii="Times New Roman" w:hAnsi="Times New Roman" w:eastAsia="宋体"/>
          <w:b/>
          <w:bCs/>
          <w:color w:val="auto"/>
          <w:sz w:val="24"/>
          <w:szCs w:val="24"/>
          <w:lang w:val="en-US" w:eastAsia="zh-CN"/>
        </w:rPr>
        <w:t>1</w:t>
      </w:r>
      <w:r>
        <w:rPr>
          <w:rFonts w:hint="default" w:ascii="Times New Roman" w:hAnsi="Times New Roman" w:eastAsia="宋体"/>
          <w:b/>
          <w:bCs/>
          <w:color w:val="auto"/>
          <w:sz w:val="24"/>
          <w:szCs w:val="24"/>
          <w:lang w:val="en-US" w:eastAsia="zh-CN"/>
        </w:rPr>
        <w:t>.</w:t>
      </w:r>
      <w:r>
        <w:rPr>
          <w:rFonts w:hint="eastAsia" w:ascii="Times New Roman" w:hAnsi="Times New Roman" w:eastAsia="宋体"/>
          <w:b/>
          <w:bCs/>
          <w:color w:val="auto"/>
          <w:sz w:val="24"/>
          <w:szCs w:val="24"/>
          <w:lang w:val="en-US" w:eastAsia="zh-CN"/>
        </w:rPr>
        <w:t>6其它废气环境影响分析</w:t>
      </w:r>
    </w:p>
    <w:p>
      <w:pPr>
        <w:pStyle w:val="113"/>
        <w:pageBreakBefore w:val="0"/>
        <w:widowControl w:val="0"/>
        <w:kinsoku/>
        <w:wordWrap/>
        <w:overflowPunct/>
        <w:topLinePunct w:val="0"/>
        <w:bidi w:val="0"/>
        <w:adjustRightInd w:val="0"/>
        <w:snapToGrid w:val="0"/>
        <w:spacing w:line="360" w:lineRule="auto"/>
        <w:ind w:firstLine="480" w:firstLineChars="200"/>
        <w:jc w:val="both"/>
        <w:textAlignment w:val="auto"/>
        <w:rPr>
          <w:rFonts w:hint="default" w:ascii="Times New Roman" w:hAnsi="Times New Roman" w:eastAsia="宋体" w:cs="黑体"/>
          <w:color w:val="auto"/>
          <w:kern w:val="0"/>
          <w:sz w:val="24"/>
          <w:szCs w:val="24"/>
          <w:lang w:val="en-US" w:eastAsia="zh-CN"/>
        </w:rPr>
      </w:pPr>
      <w:r>
        <w:rPr>
          <w:rFonts w:hint="default" w:ascii="Times New Roman" w:hAnsi="Times New Roman" w:eastAsia="宋体" w:cs="黑体"/>
          <w:color w:val="auto"/>
          <w:kern w:val="0"/>
          <w:sz w:val="24"/>
          <w:szCs w:val="24"/>
          <w:lang w:val="en-US" w:eastAsia="zh-CN"/>
        </w:rPr>
        <w:t>运输恶臭及尾气：猪只外运过程中，猪粪便、尿液等会散发出恶臭，会对公路沿线的环境产生短暂的恶臭污染，待运输车辆远离后影响可消除。车辆运输产生的汽车尾气主要成分为：CO、HC 和 NO</w:t>
      </w:r>
      <w:r>
        <w:rPr>
          <w:rFonts w:hint="default" w:ascii="Times New Roman" w:hAnsi="Times New Roman" w:eastAsia="宋体" w:cs="黑体"/>
          <w:color w:val="auto"/>
          <w:kern w:val="0"/>
          <w:sz w:val="24"/>
          <w:szCs w:val="24"/>
          <w:vertAlign w:val="subscript"/>
          <w:lang w:val="en-US" w:eastAsia="zh-CN"/>
        </w:rPr>
        <w:t>x</w:t>
      </w:r>
      <w:r>
        <w:rPr>
          <w:rFonts w:hint="default" w:ascii="Times New Roman" w:hAnsi="Times New Roman" w:eastAsia="宋体" w:cs="黑体"/>
          <w:color w:val="auto"/>
          <w:kern w:val="0"/>
          <w:sz w:val="24"/>
          <w:szCs w:val="24"/>
          <w:lang w:val="en-US" w:eastAsia="zh-CN"/>
        </w:rPr>
        <w:t>，经过稀释扩散对沿线敏感点影响较小。</w:t>
      </w:r>
    </w:p>
    <w:p>
      <w:pPr>
        <w:pStyle w:val="113"/>
        <w:pageBreakBefore w:val="0"/>
        <w:widowControl w:val="0"/>
        <w:kinsoku/>
        <w:wordWrap/>
        <w:overflowPunct/>
        <w:topLinePunct w:val="0"/>
        <w:bidi w:val="0"/>
        <w:adjustRightInd w:val="0"/>
        <w:snapToGrid w:val="0"/>
        <w:spacing w:line="360" w:lineRule="auto"/>
        <w:ind w:firstLine="480" w:firstLineChars="200"/>
        <w:jc w:val="both"/>
        <w:textAlignment w:val="auto"/>
        <w:rPr>
          <w:rFonts w:hint="default" w:ascii="Times New Roman" w:hAnsi="Times New Roman" w:eastAsia="宋体" w:cs="黑体"/>
          <w:color w:val="auto"/>
          <w:kern w:val="0"/>
          <w:sz w:val="24"/>
          <w:szCs w:val="24"/>
          <w:lang w:val="en-US" w:eastAsia="zh-CN"/>
        </w:rPr>
      </w:pPr>
      <w:r>
        <w:rPr>
          <w:rFonts w:hint="default" w:ascii="Times New Roman" w:hAnsi="Times New Roman" w:eastAsia="宋体" w:cs="黑体"/>
          <w:color w:val="auto"/>
          <w:kern w:val="0"/>
          <w:sz w:val="24"/>
          <w:szCs w:val="24"/>
          <w:lang w:val="en-US" w:eastAsia="zh-CN"/>
        </w:rPr>
        <w:t>柴油发电机尾气：发电机仅停电时使用，燃料采用 0#汽油（柴油），发电机尾气主要成分为烟尘、SO</w:t>
      </w:r>
      <w:r>
        <w:rPr>
          <w:rFonts w:hint="default" w:ascii="Times New Roman" w:hAnsi="Times New Roman" w:eastAsia="宋体" w:cs="黑体"/>
          <w:color w:val="auto"/>
          <w:kern w:val="0"/>
          <w:sz w:val="24"/>
          <w:szCs w:val="24"/>
          <w:vertAlign w:val="subscript"/>
          <w:lang w:val="en-US" w:eastAsia="zh-CN"/>
        </w:rPr>
        <w:t>2</w:t>
      </w:r>
      <w:r>
        <w:rPr>
          <w:rFonts w:hint="default" w:ascii="Times New Roman" w:hAnsi="Times New Roman" w:eastAsia="宋体" w:cs="黑体"/>
          <w:color w:val="auto"/>
          <w:kern w:val="0"/>
          <w:sz w:val="24"/>
          <w:szCs w:val="24"/>
          <w:lang w:val="en-US" w:eastAsia="zh-CN"/>
        </w:rPr>
        <w:t>、NOx，引至楼顶高空排放。发电机使用频率较低，严格按要求操作，控制好燃烧状况，燃烧废气中的主要污染物烟尘、NOx、SO</w:t>
      </w:r>
      <w:r>
        <w:rPr>
          <w:rFonts w:hint="default" w:ascii="Times New Roman" w:hAnsi="Times New Roman" w:eastAsia="宋体" w:cs="黑体"/>
          <w:color w:val="auto"/>
          <w:kern w:val="0"/>
          <w:sz w:val="24"/>
          <w:szCs w:val="24"/>
          <w:vertAlign w:val="subscript"/>
          <w:lang w:val="en-US" w:eastAsia="zh-CN"/>
        </w:rPr>
        <w:t>2</w:t>
      </w:r>
      <w:r>
        <w:rPr>
          <w:rFonts w:hint="default" w:ascii="Times New Roman" w:hAnsi="Times New Roman" w:eastAsia="宋体" w:cs="黑体"/>
          <w:color w:val="auto"/>
          <w:kern w:val="0"/>
          <w:sz w:val="24"/>
          <w:szCs w:val="24"/>
          <w:lang w:val="en-US" w:eastAsia="zh-CN"/>
        </w:rPr>
        <w:t xml:space="preserve"> 均能达标排放。</w:t>
      </w:r>
    </w:p>
    <w:p>
      <w:pPr>
        <w:pStyle w:val="113"/>
        <w:pageBreakBefore w:val="0"/>
        <w:widowControl w:val="0"/>
        <w:kinsoku/>
        <w:wordWrap/>
        <w:overflowPunct/>
        <w:topLinePunct w:val="0"/>
        <w:bidi w:val="0"/>
        <w:adjustRightInd w:val="0"/>
        <w:snapToGrid w:val="0"/>
        <w:spacing w:line="360" w:lineRule="auto"/>
        <w:ind w:firstLine="480" w:firstLineChars="200"/>
        <w:jc w:val="both"/>
        <w:textAlignment w:val="auto"/>
        <w:rPr>
          <w:rFonts w:hint="default" w:ascii="Times New Roman" w:hAnsi="Times New Roman" w:eastAsia="宋体" w:cs="黑体"/>
          <w:color w:val="auto"/>
          <w:kern w:val="0"/>
          <w:sz w:val="24"/>
          <w:szCs w:val="24"/>
          <w:lang w:val="en-US" w:eastAsia="zh-CN"/>
        </w:rPr>
      </w:pPr>
      <w:r>
        <w:rPr>
          <w:rFonts w:hint="default" w:ascii="Times New Roman" w:hAnsi="Times New Roman" w:eastAsia="宋体" w:cs="黑体"/>
          <w:color w:val="auto"/>
          <w:kern w:val="0"/>
          <w:sz w:val="24"/>
          <w:szCs w:val="24"/>
          <w:lang w:val="en-US" w:eastAsia="zh-CN"/>
        </w:rPr>
        <w:t>食堂油烟废气：食堂在烹饪过程中会产生油烟。本项目油烟产生量约为0.016</w:t>
      </w:r>
      <w:r>
        <w:rPr>
          <w:rFonts w:hint="eastAsia" w:hAnsi="Times New Roman" w:eastAsia="宋体" w:cs="黑体"/>
          <w:color w:val="auto"/>
          <w:kern w:val="0"/>
          <w:sz w:val="24"/>
          <w:szCs w:val="24"/>
          <w:lang w:val="en-US" w:eastAsia="zh-CN"/>
        </w:rPr>
        <w:t>t</w:t>
      </w:r>
      <w:r>
        <w:rPr>
          <w:rFonts w:hint="default" w:ascii="Times New Roman" w:hAnsi="Times New Roman" w:eastAsia="宋体" w:cs="黑体"/>
          <w:color w:val="auto"/>
          <w:kern w:val="0"/>
          <w:sz w:val="24"/>
          <w:szCs w:val="24"/>
          <w:lang w:val="en-US" w:eastAsia="zh-CN"/>
        </w:rPr>
        <w:t>/a。根据《饮食业油烟排放标准》（GB18483-2001）的要求食堂安装一台排风量为</w:t>
      </w:r>
      <w:r>
        <w:rPr>
          <w:rFonts w:hint="eastAsia" w:hAnsi="Times New Roman" w:eastAsia="宋体" w:cs="黑体"/>
          <w:color w:val="auto"/>
          <w:kern w:val="0"/>
          <w:sz w:val="24"/>
          <w:szCs w:val="24"/>
          <w:lang w:val="en-US" w:eastAsia="zh-CN"/>
        </w:rPr>
        <w:t>2</w:t>
      </w:r>
      <w:r>
        <w:rPr>
          <w:rFonts w:hint="default" w:ascii="Times New Roman" w:hAnsi="Times New Roman" w:eastAsia="宋体" w:cs="黑体"/>
          <w:color w:val="auto"/>
          <w:kern w:val="0"/>
          <w:sz w:val="24"/>
          <w:szCs w:val="24"/>
          <w:lang w:val="en-US" w:eastAsia="zh-CN"/>
        </w:rPr>
        <w:t>000m</w:t>
      </w:r>
      <w:r>
        <w:rPr>
          <w:rFonts w:hint="default" w:ascii="Times New Roman" w:hAnsi="Times New Roman" w:eastAsia="宋体" w:cs="黑体"/>
          <w:color w:val="auto"/>
          <w:kern w:val="0"/>
          <w:sz w:val="24"/>
          <w:szCs w:val="24"/>
          <w:vertAlign w:val="superscript"/>
          <w:lang w:val="en-US" w:eastAsia="zh-CN"/>
        </w:rPr>
        <w:t>3</w:t>
      </w:r>
      <w:r>
        <w:rPr>
          <w:rFonts w:hint="default" w:ascii="Times New Roman" w:hAnsi="Times New Roman" w:eastAsia="宋体" w:cs="黑体"/>
          <w:color w:val="auto"/>
          <w:kern w:val="0"/>
          <w:sz w:val="24"/>
          <w:szCs w:val="24"/>
          <w:lang w:val="en-US" w:eastAsia="zh-CN"/>
        </w:rPr>
        <w:t>/h，处理效率大于75%的油烟净化器，处理后其油烟量为0.004t/a，排放浓度为 0.9375mg/m</w:t>
      </w:r>
      <w:r>
        <w:rPr>
          <w:rFonts w:hint="default" w:ascii="Times New Roman" w:hAnsi="Times New Roman" w:eastAsia="宋体" w:cs="黑体"/>
          <w:color w:val="auto"/>
          <w:kern w:val="0"/>
          <w:sz w:val="24"/>
          <w:szCs w:val="24"/>
          <w:vertAlign w:val="superscript"/>
          <w:lang w:val="en-US" w:eastAsia="zh-CN"/>
        </w:rPr>
        <w:t>3</w:t>
      </w:r>
      <w:r>
        <w:rPr>
          <w:rFonts w:hint="default" w:ascii="Times New Roman" w:hAnsi="Times New Roman" w:eastAsia="宋体" w:cs="黑体"/>
          <w:color w:val="auto"/>
          <w:kern w:val="0"/>
          <w:sz w:val="24"/>
          <w:szCs w:val="24"/>
          <w:lang w:val="en-US" w:eastAsia="zh-CN"/>
        </w:rPr>
        <w:t>，满足《饮食业油烟排放标准》（GB18483-2001）标准。食堂油烟对周围环境空气质量影响较小。</w:t>
      </w:r>
    </w:p>
    <w:p>
      <w:pPr>
        <w:keepNext/>
        <w:keepLines/>
        <w:adjustRightInd w:val="0"/>
        <w:snapToGrid w:val="0"/>
        <w:spacing w:line="360" w:lineRule="auto"/>
        <w:outlineLvl w:val="3"/>
        <w:rPr>
          <w:rFonts w:hint="default" w:ascii="Times New Roman" w:hAnsi="Times New Roman" w:eastAsia="宋体"/>
          <w:b/>
          <w:bCs/>
          <w:color w:val="auto"/>
          <w:sz w:val="24"/>
          <w:szCs w:val="24"/>
          <w:lang w:val="en-US" w:eastAsia="zh-CN"/>
        </w:rPr>
      </w:pPr>
      <w:r>
        <w:rPr>
          <w:rFonts w:hint="default" w:ascii="Times New Roman" w:hAnsi="Times New Roman" w:eastAsia="宋体"/>
          <w:b/>
          <w:bCs/>
          <w:color w:val="auto"/>
          <w:sz w:val="24"/>
          <w:szCs w:val="24"/>
          <w:lang w:val="en-US" w:eastAsia="zh-CN"/>
        </w:rPr>
        <w:t>5.2.</w:t>
      </w:r>
      <w:r>
        <w:rPr>
          <w:rFonts w:hint="eastAsia" w:ascii="Times New Roman" w:hAnsi="Times New Roman" w:eastAsia="宋体"/>
          <w:b/>
          <w:bCs/>
          <w:color w:val="auto"/>
          <w:sz w:val="24"/>
          <w:szCs w:val="24"/>
          <w:lang w:val="en-US" w:eastAsia="zh-CN"/>
        </w:rPr>
        <w:t>1</w:t>
      </w:r>
      <w:r>
        <w:rPr>
          <w:rFonts w:hint="default" w:ascii="Times New Roman" w:hAnsi="Times New Roman" w:eastAsia="宋体"/>
          <w:b/>
          <w:bCs/>
          <w:color w:val="auto"/>
          <w:sz w:val="24"/>
          <w:szCs w:val="24"/>
          <w:lang w:val="en-US" w:eastAsia="zh-CN"/>
        </w:rPr>
        <w:t>.</w:t>
      </w:r>
      <w:r>
        <w:rPr>
          <w:rFonts w:hint="eastAsia" w:ascii="Times New Roman" w:hAnsi="Times New Roman" w:eastAsia="宋体"/>
          <w:b/>
          <w:bCs/>
          <w:color w:val="auto"/>
          <w:sz w:val="24"/>
          <w:szCs w:val="24"/>
          <w:lang w:val="en-US" w:eastAsia="zh-CN"/>
        </w:rPr>
        <w:t>7大气防护距离</w:t>
      </w:r>
    </w:p>
    <w:p>
      <w:pPr>
        <w:pStyle w:val="113"/>
        <w:pageBreakBefore w:val="0"/>
        <w:widowControl w:val="0"/>
        <w:kinsoku/>
        <w:wordWrap/>
        <w:overflowPunct/>
        <w:topLinePunct w:val="0"/>
        <w:bidi w:val="0"/>
        <w:adjustRightInd w:val="0"/>
        <w:snapToGrid w:val="0"/>
        <w:spacing w:line="360" w:lineRule="auto"/>
        <w:ind w:firstLine="480" w:firstLineChars="200"/>
        <w:jc w:val="both"/>
        <w:textAlignment w:val="auto"/>
        <w:rPr>
          <w:rFonts w:hint="default" w:ascii="Times New Roman" w:hAnsi="Times New Roman" w:eastAsia="宋体" w:cs="黑体"/>
          <w:color w:val="auto"/>
          <w:kern w:val="0"/>
          <w:sz w:val="24"/>
          <w:szCs w:val="24"/>
          <w:lang w:val="en-US" w:eastAsia="zh-CN"/>
        </w:rPr>
      </w:pPr>
      <w:r>
        <w:rPr>
          <w:rFonts w:hint="default" w:ascii="Times New Roman" w:hAnsi="Times New Roman" w:eastAsia="宋体" w:cs="黑体"/>
          <w:color w:val="auto"/>
          <w:kern w:val="0"/>
          <w:sz w:val="24"/>
          <w:szCs w:val="24"/>
          <w:lang w:val="en-US" w:eastAsia="zh-CN"/>
        </w:rPr>
        <w:t>本项目根据导则进一步预测模式AREMOD初步预测数据，厂界网格达标，厂界外短期污染物贡献浓度无超标。因此无需设置大气防护距离。</w:t>
      </w:r>
    </w:p>
    <w:p>
      <w:pPr>
        <w:keepNext/>
        <w:keepLines/>
        <w:adjustRightInd w:val="0"/>
        <w:snapToGrid w:val="0"/>
        <w:spacing w:line="360" w:lineRule="auto"/>
        <w:outlineLvl w:val="3"/>
        <w:rPr>
          <w:rFonts w:hint="default" w:ascii="Times New Roman" w:hAnsi="Times New Roman" w:eastAsia="宋体"/>
          <w:b/>
          <w:bCs/>
          <w:color w:val="auto"/>
          <w:sz w:val="24"/>
          <w:szCs w:val="24"/>
          <w:lang w:val="en-US" w:eastAsia="zh-CN"/>
        </w:rPr>
      </w:pPr>
      <w:r>
        <w:rPr>
          <w:rFonts w:hint="default" w:ascii="Times New Roman" w:hAnsi="Times New Roman" w:eastAsia="宋体"/>
          <w:b/>
          <w:bCs/>
          <w:color w:val="auto"/>
          <w:sz w:val="24"/>
          <w:szCs w:val="24"/>
          <w:lang w:val="en-US" w:eastAsia="zh-CN"/>
        </w:rPr>
        <w:t>5.2.</w:t>
      </w:r>
      <w:r>
        <w:rPr>
          <w:rFonts w:hint="eastAsia" w:ascii="Times New Roman" w:hAnsi="Times New Roman" w:eastAsia="宋体"/>
          <w:b/>
          <w:bCs/>
          <w:color w:val="auto"/>
          <w:sz w:val="24"/>
          <w:szCs w:val="24"/>
          <w:lang w:val="en-US" w:eastAsia="zh-CN"/>
        </w:rPr>
        <w:t>1</w:t>
      </w:r>
      <w:r>
        <w:rPr>
          <w:rFonts w:hint="default" w:ascii="Times New Roman" w:hAnsi="Times New Roman" w:eastAsia="宋体"/>
          <w:b/>
          <w:bCs/>
          <w:color w:val="auto"/>
          <w:sz w:val="24"/>
          <w:szCs w:val="24"/>
          <w:lang w:val="en-US" w:eastAsia="zh-CN"/>
        </w:rPr>
        <w:t>.</w:t>
      </w:r>
      <w:r>
        <w:rPr>
          <w:rFonts w:hint="eastAsia" w:ascii="Times New Roman" w:hAnsi="Times New Roman" w:eastAsia="宋体"/>
          <w:b/>
          <w:bCs/>
          <w:color w:val="auto"/>
          <w:sz w:val="24"/>
          <w:szCs w:val="24"/>
          <w:lang w:val="en-US" w:eastAsia="zh-CN"/>
        </w:rPr>
        <w:t>8卫生防护距离</w:t>
      </w:r>
    </w:p>
    <w:p>
      <w:pPr>
        <w:pStyle w:val="113"/>
        <w:pageBreakBefore w:val="0"/>
        <w:widowControl w:val="0"/>
        <w:kinsoku/>
        <w:wordWrap/>
        <w:overflowPunct/>
        <w:topLinePunct w:val="0"/>
        <w:bidi w:val="0"/>
        <w:adjustRightInd w:val="0"/>
        <w:snapToGrid w:val="0"/>
        <w:spacing w:line="360" w:lineRule="auto"/>
        <w:ind w:firstLine="480" w:firstLineChars="200"/>
        <w:jc w:val="both"/>
        <w:textAlignment w:val="auto"/>
        <w:rPr>
          <w:rFonts w:hint="default" w:ascii="Times New Roman" w:hAnsi="Times New Roman" w:eastAsia="宋体" w:cs="黑体"/>
          <w:color w:val="auto"/>
          <w:kern w:val="0"/>
          <w:sz w:val="24"/>
          <w:szCs w:val="24"/>
          <w:lang w:val="en-US" w:eastAsia="zh-CN"/>
        </w:rPr>
      </w:pPr>
      <w:r>
        <w:rPr>
          <w:rFonts w:hint="default" w:ascii="Times New Roman" w:hAnsi="Times New Roman" w:eastAsia="宋体" w:cs="黑体"/>
          <w:color w:val="auto"/>
          <w:kern w:val="0"/>
          <w:sz w:val="24"/>
          <w:szCs w:val="24"/>
          <w:lang w:val="en-US" w:eastAsia="zh-CN"/>
        </w:rPr>
        <w:t>本评价从为避免发生无组织废气污染纠纷，减少对养殖场周边敏感保护目标影响的角度，根据《制定地方大气污染物排放标准的技术方法》（GB/T3840-1991）的要求，无组织排放源所在生产单元与居住区之间应设置卫生防护距离。</w:t>
      </w:r>
    </w:p>
    <w:p>
      <w:pPr>
        <w:pStyle w:val="113"/>
        <w:pageBreakBefore w:val="0"/>
        <w:widowControl w:val="0"/>
        <w:numPr>
          <w:ilvl w:val="0"/>
          <w:numId w:val="26"/>
        </w:numPr>
        <w:kinsoku/>
        <w:wordWrap/>
        <w:overflowPunct/>
        <w:topLinePunct w:val="0"/>
        <w:bidi w:val="0"/>
        <w:adjustRightInd w:val="0"/>
        <w:snapToGrid w:val="0"/>
        <w:spacing w:line="360" w:lineRule="auto"/>
        <w:ind w:firstLine="480" w:firstLineChars="200"/>
        <w:jc w:val="both"/>
        <w:textAlignment w:val="auto"/>
        <w:rPr>
          <w:rFonts w:hint="default" w:ascii="Times New Roman" w:hAnsi="Times New Roman" w:eastAsia="宋体" w:cs="黑体"/>
          <w:color w:val="auto"/>
          <w:kern w:val="0"/>
          <w:sz w:val="24"/>
          <w:szCs w:val="24"/>
          <w:lang w:val="en-US" w:eastAsia="zh-CN"/>
        </w:rPr>
      </w:pPr>
      <w:r>
        <w:rPr>
          <w:rFonts w:hint="default" w:ascii="Times New Roman" w:hAnsi="Times New Roman" w:eastAsia="宋体" w:cs="黑体"/>
          <w:color w:val="auto"/>
          <w:kern w:val="0"/>
          <w:sz w:val="24"/>
          <w:szCs w:val="24"/>
          <w:lang w:val="en-US" w:eastAsia="zh-CN"/>
        </w:rPr>
        <w:t>计算模式</w:t>
      </w:r>
    </w:p>
    <w:p>
      <w:pPr>
        <w:pStyle w:val="113"/>
        <w:pageBreakBefore w:val="0"/>
        <w:widowControl w:val="0"/>
        <w:kinsoku/>
        <w:wordWrap/>
        <w:overflowPunct/>
        <w:topLinePunct w:val="0"/>
        <w:bidi w:val="0"/>
        <w:adjustRightInd w:val="0"/>
        <w:snapToGrid w:val="0"/>
        <w:spacing w:line="360" w:lineRule="auto"/>
        <w:ind w:firstLine="480" w:firstLineChars="200"/>
        <w:jc w:val="both"/>
        <w:textAlignment w:val="auto"/>
        <w:rPr>
          <w:rFonts w:hint="default" w:ascii="Times New Roman" w:hAnsi="Times New Roman" w:eastAsia="宋体" w:cs="黑体"/>
          <w:color w:val="auto"/>
          <w:kern w:val="0"/>
          <w:sz w:val="24"/>
          <w:szCs w:val="24"/>
          <w:lang w:val="en-US" w:eastAsia="zh-CN"/>
        </w:rPr>
      </w:pPr>
      <w:r>
        <w:rPr>
          <w:rFonts w:hint="default" w:ascii="Times New Roman" w:hAnsi="Times New Roman" w:eastAsia="宋体" w:cs="黑体"/>
          <w:color w:val="auto"/>
          <w:kern w:val="0"/>
          <w:sz w:val="24"/>
          <w:szCs w:val="24"/>
          <w:lang w:val="en-US" w:eastAsia="zh-CN"/>
        </w:rPr>
        <w:t>卫生防护距离的计算方法采用《制定地方大气污染物排放标准的技术与方法》（GB/T3840-1991）所指定的方法。</w:t>
      </w:r>
    </w:p>
    <w:p>
      <w:pPr>
        <w:jc w:val="center"/>
        <w:rPr>
          <w:color w:val="auto"/>
        </w:rPr>
      </w:pPr>
      <w:r>
        <w:rPr>
          <w:color w:val="auto"/>
          <w:position w:val="-30"/>
        </w:rPr>
        <w:object>
          <v:shape id="_x0000_i1035" o:spt="75" type="#_x0000_t75" style="height:37pt;width:145.5pt;" o:ole="t" filled="f" o:preferrelative="t" stroked="f" coordsize="21600,21600">
            <v:path/>
            <v:fill on="f" focussize="0,0"/>
            <v:stroke on="f" joinstyle="miter"/>
            <v:imagedata r:id="rId55" o:title=""/>
            <o:lock v:ext="edit" aspectratio="t"/>
            <w10:wrap type="none"/>
            <w10:anchorlock/>
          </v:shape>
          <o:OLEObject Type="Embed" ProgID="Equation.3" ShapeID="_x0000_i1035" DrawAspect="Content" ObjectID="_1468075735" r:id="rId54">
            <o:LockedField>false</o:LockedField>
          </o:OLEObject>
        </w:object>
      </w:r>
    </w:p>
    <w:p>
      <w:pPr>
        <w:pStyle w:val="113"/>
        <w:pageBreakBefore w:val="0"/>
        <w:widowControl w:val="0"/>
        <w:kinsoku/>
        <w:wordWrap/>
        <w:overflowPunct/>
        <w:topLinePunct w:val="0"/>
        <w:bidi w:val="0"/>
        <w:adjustRightInd w:val="0"/>
        <w:snapToGrid w:val="0"/>
        <w:spacing w:line="360" w:lineRule="auto"/>
        <w:ind w:firstLine="480" w:firstLineChars="200"/>
        <w:jc w:val="both"/>
        <w:textAlignment w:val="auto"/>
        <w:rPr>
          <w:rFonts w:hint="default" w:ascii="Times New Roman" w:hAnsi="Times New Roman" w:eastAsia="宋体" w:cs="黑体"/>
          <w:color w:val="auto"/>
          <w:kern w:val="0"/>
          <w:sz w:val="24"/>
          <w:szCs w:val="24"/>
          <w:lang w:val="en-US" w:eastAsia="zh-CN"/>
        </w:rPr>
      </w:pPr>
      <w:r>
        <w:rPr>
          <w:rFonts w:hint="default" w:ascii="Times New Roman" w:hAnsi="Times New Roman" w:eastAsia="宋体" w:cs="黑体"/>
          <w:color w:val="auto"/>
          <w:kern w:val="0"/>
          <w:sz w:val="24"/>
          <w:szCs w:val="24"/>
          <w:lang w:val="en-US" w:eastAsia="zh-CN"/>
        </w:rPr>
        <w:t>式中：Cm——标准浓度限值（mg/m</w:t>
      </w:r>
      <w:r>
        <w:rPr>
          <w:rFonts w:hint="default" w:ascii="Times New Roman" w:hAnsi="Times New Roman" w:eastAsia="宋体" w:cs="黑体"/>
          <w:color w:val="auto"/>
          <w:kern w:val="0"/>
          <w:sz w:val="24"/>
          <w:szCs w:val="24"/>
          <w:vertAlign w:val="superscript"/>
          <w:lang w:val="en-US" w:eastAsia="zh-CN"/>
        </w:rPr>
        <w:t>3</w:t>
      </w:r>
      <w:r>
        <w:rPr>
          <w:rFonts w:hint="default" w:ascii="Times New Roman" w:hAnsi="Times New Roman" w:eastAsia="宋体" w:cs="黑体"/>
          <w:color w:val="auto"/>
          <w:kern w:val="0"/>
          <w:sz w:val="24"/>
          <w:szCs w:val="24"/>
          <w:lang w:val="en-US" w:eastAsia="zh-CN"/>
        </w:rPr>
        <w:t>）；</w:t>
      </w:r>
    </w:p>
    <w:p>
      <w:pPr>
        <w:pStyle w:val="113"/>
        <w:pageBreakBefore w:val="0"/>
        <w:widowControl w:val="0"/>
        <w:kinsoku/>
        <w:wordWrap/>
        <w:overflowPunct/>
        <w:topLinePunct w:val="0"/>
        <w:bidi w:val="0"/>
        <w:adjustRightInd w:val="0"/>
        <w:snapToGrid w:val="0"/>
        <w:spacing w:line="360" w:lineRule="auto"/>
        <w:ind w:firstLine="1200" w:firstLineChars="500"/>
        <w:jc w:val="both"/>
        <w:textAlignment w:val="auto"/>
        <w:rPr>
          <w:rFonts w:hint="default" w:ascii="Times New Roman" w:hAnsi="Times New Roman" w:eastAsia="宋体" w:cs="黑体"/>
          <w:color w:val="auto"/>
          <w:kern w:val="0"/>
          <w:sz w:val="24"/>
          <w:szCs w:val="24"/>
          <w:lang w:val="en-US" w:eastAsia="zh-CN"/>
        </w:rPr>
      </w:pPr>
      <w:r>
        <w:rPr>
          <w:rFonts w:hint="default" w:ascii="Times New Roman" w:hAnsi="Times New Roman" w:eastAsia="宋体" w:cs="黑体"/>
          <w:color w:val="auto"/>
          <w:kern w:val="0"/>
          <w:sz w:val="24"/>
          <w:szCs w:val="24"/>
          <w:lang w:val="en-US" w:eastAsia="zh-CN"/>
        </w:rPr>
        <w:t>Qc——工业企业有害气体无组织排放量可以达到的控制水平；</w:t>
      </w:r>
    </w:p>
    <w:p>
      <w:pPr>
        <w:pStyle w:val="113"/>
        <w:pageBreakBefore w:val="0"/>
        <w:widowControl w:val="0"/>
        <w:kinsoku/>
        <w:wordWrap/>
        <w:overflowPunct/>
        <w:topLinePunct w:val="0"/>
        <w:bidi w:val="0"/>
        <w:adjustRightInd w:val="0"/>
        <w:snapToGrid w:val="0"/>
        <w:spacing w:line="360" w:lineRule="auto"/>
        <w:ind w:firstLine="1200" w:firstLineChars="500"/>
        <w:jc w:val="both"/>
        <w:textAlignment w:val="auto"/>
        <w:rPr>
          <w:rFonts w:hint="default" w:ascii="Times New Roman" w:hAnsi="Times New Roman" w:eastAsia="宋体" w:cs="黑体"/>
          <w:color w:val="auto"/>
          <w:kern w:val="0"/>
          <w:sz w:val="24"/>
          <w:szCs w:val="24"/>
          <w:lang w:val="en-US" w:eastAsia="zh-CN"/>
        </w:rPr>
      </w:pPr>
      <w:r>
        <w:rPr>
          <w:rFonts w:hint="default" w:ascii="Times New Roman" w:hAnsi="Times New Roman" w:eastAsia="宋体" w:cs="黑体"/>
          <w:color w:val="auto"/>
          <w:kern w:val="0"/>
          <w:sz w:val="24"/>
          <w:szCs w:val="24"/>
          <w:lang w:val="en-US" w:eastAsia="zh-CN"/>
        </w:rPr>
        <w:t>L——工业企业所需的卫生防护距离（m）；</w:t>
      </w:r>
    </w:p>
    <w:p>
      <w:pPr>
        <w:pStyle w:val="113"/>
        <w:pageBreakBefore w:val="0"/>
        <w:widowControl w:val="0"/>
        <w:kinsoku/>
        <w:wordWrap/>
        <w:overflowPunct/>
        <w:topLinePunct w:val="0"/>
        <w:bidi w:val="0"/>
        <w:adjustRightInd w:val="0"/>
        <w:snapToGrid w:val="0"/>
        <w:spacing w:line="360" w:lineRule="auto"/>
        <w:ind w:firstLine="1200" w:firstLineChars="500"/>
        <w:jc w:val="both"/>
        <w:textAlignment w:val="auto"/>
        <w:rPr>
          <w:rFonts w:hint="default" w:ascii="Times New Roman" w:hAnsi="Times New Roman" w:eastAsia="宋体" w:cs="黑体"/>
          <w:color w:val="auto"/>
          <w:kern w:val="0"/>
          <w:sz w:val="24"/>
          <w:szCs w:val="24"/>
          <w:lang w:val="en-US" w:eastAsia="zh-CN"/>
        </w:rPr>
      </w:pPr>
      <w:r>
        <w:rPr>
          <w:rFonts w:hint="default" w:ascii="Times New Roman" w:hAnsi="Times New Roman" w:eastAsia="宋体" w:cs="黑体"/>
          <w:color w:val="auto"/>
          <w:kern w:val="0"/>
          <w:sz w:val="24"/>
          <w:szCs w:val="24"/>
          <w:lang w:val="en-US" w:eastAsia="zh-CN"/>
        </w:rPr>
        <w:t>r——有害气体无组织排放所在生产单元的等效半径（m）；</w:t>
      </w:r>
    </w:p>
    <w:p>
      <w:pPr>
        <w:pStyle w:val="113"/>
        <w:pageBreakBefore w:val="0"/>
        <w:widowControl w:val="0"/>
        <w:kinsoku/>
        <w:wordWrap/>
        <w:overflowPunct/>
        <w:topLinePunct w:val="0"/>
        <w:bidi w:val="0"/>
        <w:adjustRightInd w:val="0"/>
        <w:snapToGrid w:val="0"/>
        <w:spacing w:line="360" w:lineRule="auto"/>
        <w:ind w:firstLine="480" w:firstLineChars="200"/>
        <w:jc w:val="both"/>
        <w:textAlignment w:val="auto"/>
        <w:rPr>
          <w:rFonts w:hint="default" w:ascii="Times New Roman" w:hAnsi="Times New Roman" w:eastAsia="宋体" w:cs="黑体"/>
          <w:color w:val="auto"/>
          <w:kern w:val="0"/>
          <w:sz w:val="24"/>
          <w:szCs w:val="24"/>
          <w:lang w:val="en-US" w:eastAsia="zh-CN"/>
        </w:rPr>
      </w:pPr>
      <w:r>
        <w:rPr>
          <w:rFonts w:hint="default" w:ascii="Times New Roman" w:hAnsi="Times New Roman" w:eastAsia="宋体" w:cs="黑体"/>
          <w:color w:val="auto"/>
          <w:kern w:val="0"/>
          <w:sz w:val="24"/>
          <w:szCs w:val="24"/>
          <w:lang w:val="en-US" w:eastAsia="zh-CN"/>
        </w:rPr>
        <w:t>A、B、C、D——卫生防护距离计算系数。</w:t>
      </w:r>
      <w:r>
        <w:rPr>
          <w:rFonts w:hint="eastAsia" w:ascii="Times New Roman" w:hAnsi="Times New Roman" w:eastAsia="宋体" w:cs="黑体"/>
          <w:color w:val="auto"/>
          <w:kern w:val="0"/>
          <w:sz w:val="24"/>
          <w:szCs w:val="24"/>
          <w:lang w:val="en-US" w:eastAsia="zh-CN"/>
        </w:rPr>
        <w:t>A取400，B取0.01，C取1.85，D取0.78。</w:t>
      </w:r>
    </w:p>
    <w:p>
      <w:pPr>
        <w:pStyle w:val="113"/>
        <w:pageBreakBefore w:val="0"/>
        <w:widowControl w:val="0"/>
        <w:kinsoku/>
        <w:wordWrap/>
        <w:overflowPunct/>
        <w:topLinePunct w:val="0"/>
        <w:bidi w:val="0"/>
        <w:adjustRightInd w:val="0"/>
        <w:snapToGrid w:val="0"/>
        <w:spacing w:line="360" w:lineRule="auto"/>
        <w:ind w:firstLine="480" w:firstLineChars="200"/>
        <w:jc w:val="both"/>
        <w:textAlignment w:val="auto"/>
        <w:rPr>
          <w:rFonts w:hint="default" w:ascii="Times New Roman" w:hAnsi="Times New Roman" w:eastAsia="宋体" w:cs="黑体"/>
          <w:color w:val="auto"/>
          <w:kern w:val="0"/>
          <w:sz w:val="24"/>
          <w:szCs w:val="24"/>
          <w:lang w:val="en-US" w:eastAsia="zh-CN"/>
        </w:rPr>
      </w:pPr>
      <w:r>
        <w:rPr>
          <w:rFonts w:hint="eastAsia" w:ascii="Times New Roman" w:hAnsi="Times New Roman" w:eastAsia="宋体" w:cs="黑体"/>
          <w:color w:val="auto"/>
          <w:kern w:val="0"/>
          <w:sz w:val="24"/>
          <w:szCs w:val="24"/>
          <w:lang w:val="en-US" w:eastAsia="zh-CN"/>
        </w:rPr>
        <w:t>根据以上参数，本项目卫生防护距离计算结果见下表所示。</w:t>
      </w:r>
    </w:p>
    <w:p>
      <w:pPr>
        <w:jc w:val="center"/>
        <w:rPr>
          <w:rFonts w:hint="default"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表</w:t>
      </w:r>
      <w:r>
        <w:rPr>
          <w:rFonts w:hint="eastAsia" w:ascii="Times New Roman" w:hAnsi="Times New Roman" w:eastAsia="宋体" w:cs="Times New Roman"/>
          <w:b/>
          <w:bCs/>
          <w:color w:val="auto"/>
          <w:sz w:val="21"/>
          <w:szCs w:val="21"/>
          <w:lang w:val="en-US" w:eastAsia="zh-CN"/>
        </w:rPr>
        <w:t>5.2</w:t>
      </w:r>
      <w:r>
        <w:rPr>
          <w:rFonts w:hint="eastAsia" w:ascii="Times New Roman" w:hAnsi="Times New Roman" w:eastAsia="宋体" w:cs="Times New Roman"/>
          <w:b/>
          <w:bCs/>
          <w:color w:val="auto"/>
          <w:sz w:val="21"/>
          <w:szCs w:val="21"/>
        </w:rPr>
        <w:t>-</w:t>
      </w:r>
      <w:r>
        <w:rPr>
          <w:rFonts w:hint="eastAsia" w:ascii="Times New Roman" w:hAnsi="Times New Roman" w:eastAsia="宋体" w:cs="Times New Roman"/>
          <w:b/>
          <w:bCs/>
          <w:color w:val="auto"/>
          <w:sz w:val="21"/>
          <w:szCs w:val="21"/>
          <w:lang w:val="en-US" w:eastAsia="zh-CN"/>
        </w:rPr>
        <w:t>12</w:t>
      </w:r>
      <w:r>
        <w:rPr>
          <w:rFonts w:hint="eastAsia" w:ascii="Times New Roman" w:hAnsi="Times New Roman" w:eastAsia="宋体" w:cs="Times New Roman"/>
          <w:b/>
          <w:bCs/>
          <w:color w:val="auto"/>
          <w:sz w:val="21"/>
          <w:szCs w:val="21"/>
        </w:rPr>
        <w:t xml:space="preserve">  卫生防护距离结算结果</w:t>
      </w:r>
    </w:p>
    <w:tbl>
      <w:tblPr>
        <w:tblStyle w:val="3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55"/>
        <w:gridCol w:w="1088"/>
        <w:gridCol w:w="1337"/>
        <w:gridCol w:w="800"/>
        <w:gridCol w:w="1188"/>
        <w:gridCol w:w="1350"/>
        <w:gridCol w:w="790"/>
        <w:gridCol w:w="78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1755" w:type="dxa"/>
            <w:tcBorders>
              <w:tl2br w:val="nil"/>
              <w:tr2bl w:val="nil"/>
            </w:tcBorders>
            <w:noWrap w:val="0"/>
            <w:vAlign w:val="center"/>
          </w:tcPr>
          <w:p>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无组织排放源</w:t>
            </w:r>
          </w:p>
        </w:tc>
        <w:tc>
          <w:tcPr>
            <w:tcW w:w="1088" w:type="dxa"/>
            <w:tcBorders>
              <w:tl2br w:val="nil"/>
              <w:tr2bl w:val="nil"/>
            </w:tcBorders>
            <w:noWrap w:val="0"/>
            <w:vAlign w:val="center"/>
          </w:tcPr>
          <w:p>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w:t>
            </w:r>
          </w:p>
        </w:tc>
        <w:tc>
          <w:tcPr>
            <w:tcW w:w="1337" w:type="dxa"/>
            <w:tcBorders>
              <w:tl2br w:val="nil"/>
              <w:tr2bl w:val="nil"/>
            </w:tcBorders>
            <w:noWrap w:val="0"/>
            <w:vAlign w:val="center"/>
          </w:tcPr>
          <w:p>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无组织排放面积</w:t>
            </w:r>
          </w:p>
        </w:tc>
        <w:tc>
          <w:tcPr>
            <w:tcW w:w="800" w:type="dxa"/>
            <w:tcBorders>
              <w:tl2br w:val="nil"/>
              <w:tr2bl w:val="nil"/>
            </w:tcBorders>
            <w:noWrap w:val="0"/>
            <w:vAlign w:val="center"/>
          </w:tcPr>
          <w:p>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平均风速</w:t>
            </w:r>
          </w:p>
        </w:tc>
        <w:tc>
          <w:tcPr>
            <w:tcW w:w="1188" w:type="dxa"/>
            <w:tcBorders>
              <w:tl2br w:val="nil"/>
              <w:tr2bl w:val="nil"/>
            </w:tcBorders>
            <w:noWrap w:val="0"/>
            <w:vAlign w:val="center"/>
          </w:tcPr>
          <w:p>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标准浓度限值</w:t>
            </w:r>
          </w:p>
        </w:tc>
        <w:tc>
          <w:tcPr>
            <w:tcW w:w="1350" w:type="dxa"/>
            <w:tcBorders>
              <w:tl2br w:val="nil"/>
              <w:tr2bl w:val="nil"/>
            </w:tcBorders>
            <w:noWrap w:val="0"/>
            <w:vAlign w:val="center"/>
          </w:tcPr>
          <w:p>
            <w:pPr>
              <w:jc w:val="center"/>
              <w:rPr>
                <w:rFonts w:hint="eastAsia"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rPr>
              <w:t>无组织排放量</w:t>
            </w:r>
            <w:r>
              <w:rPr>
                <w:rFonts w:hint="eastAsia" w:ascii="Times New Roman" w:hAnsi="Times New Roman" w:eastAsia="宋体" w:cs="Times New Roman"/>
                <w:b/>
                <w:bCs/>
                <w:color w:val="auto"/>
                <w:sz w:val="21"/>
                <w:szCs w:val="21"/>
                <w:highlight w:val="none"/>
                <w:lang w:eastAsia="zh-CN"/>
              </w:rPr>
              <w:t>（</w:t>
            </w:r>
            <w:r>
              <w:rPr>
                <w:rFonts w:hint="eastAsia" w:ascii="Times New Roman" w:hAnsi="Times New Roman" w:eastAsia="宋体" w:cs="Times New Roman"/>
                <w:b/>
                <w:bCs/>
                <w:color w:val="auto"/>
                <w:sz w:val="21"/>
                <w:szCs w:val="21"/>
                <w:highlight w:val="none"/>
                <w:lang w:val="en-US" w:eastAsia="zh-CN"/>
              </w:rPr>
              <w:t>kg/h</w:t>
            </w:r>
            <w:r>
              <w:rPr>
                <w:rFonts w:hint="eastAsia" w:ascii="Times New Roman" w:hAnsi="Times New Roman" w:eastAsia="宋体" w:cs="Times New Roman"/>
                <w:b/>
                <w:bCs/>
                <w:color w:val="auto"/>
                <w:sz w:val="21"/>
                <w:szCs w:val="21"/>
                <w:highlight w:val="none"/>
                <w:lang w:eastAsia="zh-CN"/>
              </w:rPr>
              <w:t>）</w:t>
            </w:r>
          </w:p>
        </w:tc>
        <w:tc>
          <w:tcPr>
            <w:tcW w:w="790" w:type="dxa"/>
            <w:tcBorders>
              <w:tl2br w:val="nil"/>
              <w:tr2bl w:val="nil"/>
            </w:tcBorders>
            <w:noWrap w:val="0"/>
            <w:vAlign w:val="center"/>
          </w:tcPr>
          <w:p>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计算结果</w:t>
            </w:r>
          </w:p>
        </w:tc>
        <w:tc>
          <w:tcPr>
            <w:tcW w:w="787" w:type="dxa"/>
            <w:tcBorders>
              <w:tl2br w:val="nil"/>
              <w:tr2bl w:val="nil"/>
            </w:tcBorders>
            <w:noWrap w:val="0"/>
            <w:vAlign w:val="center"/>
          </w:tcPr>
          <w:p>
            <w:pPr>
              <w:jc w:val="center"/>
              <w:rPr>
                <w:rFonts w:hint="default" w:ascii="Times New Roman" w:hAnsi="Times New Roman" w:eastAsia="宋体"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取值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755" w:type="dxa"/>
            <w:vMerge w:val="restart"/>
            <w:tcBorders>
              <w:tl2br w:val="nil"/>
              <w:tr2bl w:val="nil"/>
            </w:tcBorders>
            <w:noWrap w:val="0"/>
            <w:vAlign w:val="center"/>
          </w:tcPr>
          <w:p>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育肥舍1</w:t>
            </w:r>
          </w:p>
        </w:tc>
        <w:tc>
          <w:tcPr>
            <w:tcW w:w="108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vertAlign w:val="baseline"/>
                <w:lang w:val="en-US" w:eastAsia="zh-CN"/>
              </w:rPr>
              <w:t>NH</w:t>
            </w:r>
            <w:r>
              <w:rPr>
                <w:rFonts w:hint="eastAsia" w:ascii="Times New Roman" w:hAnsi="Times New Roman" w:cs="Times New Roman"/>
                <w:color w:val="auto"/>
                <w:sz w:val="21"/>
                <w:szCs w:val="21"/>
                <w:highlight w:val="none"/>
                <w:vertAlign w:val="subscript"/>
                <w:lang w:val="en-US" w:eastAsia="zh-CN"/>
              </w:rPr>
              <w:t>3</w:t>
            </w:r>
          </w:p>
        </w:tc>
        <w:tc>
          <w:tcPr>
            <w:tcW w:w="1337" w:type="dxa"/>
            <w:vMerge w:val="restart"/>
            <w:tcBorders>
              <w:tl2br w:val="nil"/>
              <w:tr2bl w:val="nil"/>
            </w:tcBorders>
            <w:noWrap w:val="0"/>
            <w:vAlign w:val="center"/>
          </w:tcPr>
          <w:p>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130</w:t>
            </w:r>
            <w:r>
              <w:rPr>
                <w:rFonts w:hint="eastAsia" w:ascii="Times New Roman" w:hAnsi="Times New Roman" w:eastAsia="宋体" w:cs="Times New Roman"/>
                <w:color w:val="auto"/>
                <w:sz w:val="21"/>
                <w:szCs w:val="21"/>
                <w:highlight w:val="none"/>
              </w:rPr>
              <w:t>m×</w:t>
            </w:r>
            <w:r>
              <w:rPr>
                <w:rFonts w:hint="eastAsia" w:ascii="Times New Roman" w:hAnsi="Times New Roman" w:eastAsia="宋体" w:cs="Times New Roman"/>
                <w:color w:val="auto"/>
                <w:sz w:val="21"/>
                <w:szCs w:val="21"/>
                <w:highlight w:val="none"/>
                <w:lang w:val="en-US" w:eastAsia="zh-CN"/>
              </w:rPr>
              <w:t>48</w:t>
            </w:r>
            <w:r>
              <w:rPr>
                <w:rFonts w:hint="eastAsia" w:ascii="Times New Roman" w:hAnsi="Times New Roman" w:eastAsia="宋体" w:cs="Times New Roman"/>
                <w:color w:val="auto"/>
                <w:sz w:val="21"/>
                <w:szCs w:val="21"/>
                <w:highlight w:val="none"/>
              </w:rPr>
              <w:t>m</w:t>
            </w:r>
          </w:p>
        </w:tc>
        <w:tc>
          <w:tcPr>
            <w:tcW w:w="800" w:type="dxa"/>
            <w:vMerge w:val="restart"/>
            <w:tcBorders>
              <w:tl2br w:val="nil"/>
              <w:tr2bl w:val="nil"/>
            </w:tcBorders>
            <w:noWrap w:val="0"/>
            <w:vAlign w:val="center"/>
          </w:tcPr>
          <w:p>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1.4</w:t>
            </w:r>
            <w:r>
              <w:rPr>
                <w:rFonts w:hint="default" w:ascii="Times New Roman" w:hAnsi="Times New Roman" w:eastAsia="宋体" w:cs="Times New Roman"/>
                <w:color w:val="auto"/>
                <w:sz w:val="21"/>
                <w:szCs w:val="21"/>
                <w:highlight w:val="none"/>
              </w:rPr>
              <w:t>m/s</w:t>
            </w:r>
          </w:p>
        </w:tc>
        <w:tc>
          <w:tcPr>
            <w:tcW w:w="1188" w:type="dxa"/>
            <w:tcBorders>
              <w:tl2br w:val="nil"/>
              <w:tr2bl w:val="nil"/>
            </w:tcBorders>
            <w:noWrap w:val="0"/>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w:t>
            </w:r>
            <w:r>
              <w:rPr>
                <w:rFonts w:hint="eastAsia" w:ascii="Times New Roman" w:hAnsi="Times New Roman" w:eastAsia="宋体" w:cs="Times New Roman"/>
                <w:color w:val="auto"/>
                <w:sz w:val="21"/>
                <w:szCs w:val="21"/>
                <w:highlight w:val="none"/>
                <w:lang w:val="en-US" w:eastAsia="zh-CN"/>
              </w:rPr>
              <w:t>20</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p>
        </w:tc>
        <w:tc>
          <w:tcPr>
            <w:tcW w:w="1350"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Cs w:val="21"/>
                <w:lang w:val="en-US" w:eastAsia="zh-CN"/>
              </w:rPr>
              <w:t>0.01</w:t>
            </w:r>
          </w:p>
        </w:tc>
        <w:tc>
          <w:tcPr>
            <w:tcW w:w="790" w:type="dxa"/>
            <w:tcBorders>
              <w:tl2br w:val="nil"/>
              <w:tr2bl w:val="nil"/>
            </w:tcBorders>
            <w:noWrap w:val="0"/>
            <w:vAlign w:val="center"/>
          </w:tcPr>
          <w:p>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0.871</w:t>
            </w:r>
          </w:p>
        </w:tc>
        <w:tc>
          <w:tcPr>
            <w:tcW w:w="787" w:type="dxa"/>
            <w:tcBorders>
              <w:tl2br w:val="nil"/>
              <w:tr2bl w:val="nil"/>
            </w:tcBorders>
            <w:noWrap w:val="0"/>
            <w:vAlign w:val="center"/>
          </w:tcPr>
          <w:p>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50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755" w:type="dxa"/>
            <w:vMerge w:val="continue"/>
            <w:tcBorders>
              <w:tl2br w:val="nil"/>
              <w:tr2bl w:val="nil"/>
            </w:tcBorders>
            <w:noWrap w:val="0"/>
            <w:vAlign w:val="center"/>
          </w:tcPr>
          <w:p>
            <w:pPr>
              <w:jc w:val="center"/>
              <w:rPr>
                <w:rFonts w:hint="eastAsia" w:ascii="Times New Roman" w:hAnsi="Times New Roman" w:eastAsia="宋体" w:cs="Times New Roman"/>
                <w:color w:val="auto"/>
                <w:sz w:val="21"/>
                <w:szCs w:val="21"/>
                <w:highlight w:val="none"/>
                <w:lang w:val="en-US" w:eastAsia="zh-CN"/>
              </w:rPr>
            </w:pPr>
          </w:p>
        </w:tc>
        <w:tc>
          <w:tcPr>
            <w:tcW w:w="108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vertAlign w:val="baseline"/>
                <w:lang w:val="en-US" w:eastAsia="zh-CN"/>
              </w:rPr>
              <w:t>H</w:t>
            </w:r>
            <w:r>
              <w:rPr>
                <w:rFonts w:hint="eastAsia" w:ascii="Times New Roman" w:hAnsi="Times New Roman" w:cs="Times New Roman"/>
                <w:color w:val="auto"/>
                <w:sz w:val="21"/>
                <w:szCs w:val="21"/>
                <w:highlight w:val="none"/>
                <w:vertAlign w:val="subscript"/>
                <w:lang w:val="en-US" w:eastAsia="zh-CN"/>
              </w:rPr>
              <w:t>2</w:t>
            </w:r>
            <w:r>
              <w:rPr>
                <w:rFonts w:hint="eastAsia" w:ascii="Times New Roman" w:hAnsi="Times New Roman" w:cs="Times New Roman"/>
                <w:color w:val="auto"/>
                <w:sz w:val="21"/>
                <w:szCs w:val="21"/>
                <w:highlight w:val="none"/>
                <w:vertAlign w:val="baseline"/>
                <w:lang w:val="en-US" w:eastAsia="zh-CN"/>
              </w:rPr>
              <w:t>S</w:t>
            </w:r>
          </w:p>
        </w:tc>
        <w:tc>
          <w:tcPr>
            <w:tcW w:w="1337" w:type="dxa"/>
            <w:vMerge w:val="continue"/>
            <w:tcBorders>
              <w:tl2br w:val="nil"/>
              <w:tr2bl w:val="nil"/>
            </w:tcBorders>
            <w:noWrap w:val="0"/>
            <w:vAlign w:val="center"/>
          </w:tcPr>
          <w:p>
            <w:pPr>
              <w:jc w:val="center"/>
              <w:rPr>
                <w:rFonts w:hint="eastAsia" w:ascii="Times New Roman" w:hAnsi="Times New Roman" w:eastAsia="宋体" w:cs="Times New Roman"/>
                <w:color w:val="auto"/>
                <w:sz w:val="21"/>
                <w:szCs w:val="21"/>
                <w:highlight w:val="none"/>
                <w:lang w:val="en-US" w:eastAsia="zh-CN"/>
              </w:rPr>
            </w:pPr>
          </w:p>
        </w:tc>
        <w:tc>
          <w:tcPr>
            <w:tcW w:w="800" w:type="dxa"/>
            <w:vMerge w:val="continue"/>
            <w:tcBorders>
              <w:tl2br w:val="nil"/>
              <w:tr2bl w:val="nil"/>
            </w:tcBorders>
            <w:noWrap w:val="0"/>
            <w:vAlign w:val="center"/>
          </w:tcPr>
          <w:p>
            <w:pPr>
              <w:jc w:val="center"/>
              <w:rPr>
                <w:rFonts w:hint="eastAsia" w:ascii="Times New Roman" w:hAnsi="Times New Roman" w:eastAsia="宋体" w:cs="Times New Roman"/>
                <w:color w:val="auto"/>
                <w:sz w:val="21"/>
                <w:szCs w:val="21"/>
                <w:highlight w:val="none"/>
                <w:lang w:val="en-US" w:eastAsia="zh-CN"/>
              </w:rPr>
            </w:pPr>
          </w:p>
        </w:tc>
        <w:tc>
          <w:tcPr>
            <w:tcW w:w="1188" w:type="dxa"/>
            <w:tcBorders>
              <w:tl2br w:val="nil"/>
              <w:tr2bl w:val="nil"/>
            </w:tcBorders>
            <w:noWrap w:val="0"/>
            <w:vAlign w:val="center"/>
          </w:tcPr>
          <w:p>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0.01</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p>
        </w:tc>
        <w:tc>
          <w:tcPr>
            <w:tcW w:w="1350"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Cs w:val="21"/>
                <w:lang w:val="en-US" w:eastAsia="zh-CN"/>
              </w:rPr>
              <w:t>0.0007</w:t>
            </w:r>
          </w:p>
        </w:tc>
        <w:tc>
          <w:tcPr>
            <w:tcW w:w="790" w:type="dxa"/>
            <w:tcBorders>
              <w:tl2br w:val="nil"/>
              <w:tr2bl w:val="nil"/>
            </w:tcBorders>
            <w:noWrap w:val="0"/>
            <w:vAlign w:val="center"/>
          </w:tcPr>
          <w:p>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1.340</w:t>
            </w:r>
          </w:p>
        </w:tc>
        <w:tc>
          <w:tcPr>
            <w:tcW w:w="787" w:type="dxa"/>
            <w:tcBorders>
              <w:tl2br w:val="nil"/>
              <w:tr2bl w:val="nil"/>
            </w:tcBorders>
            <w:noWrap w:val="0"/>
            <w:vAlign w:val="center"/>
          </w:tcPr>
          <w:p>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755" w:type="dxa"/>
            <w:vMerge w:val="restart"/>
            <w:tcBorders>
              <w:tl2br w:val="nil"/>
              <w:tr2bl w:val="nil"/>
            </w:tcBorders>
            <w:noWrap w:val="0"/>
            <w:vAlign w:val="center"/>
          </w:tcPr>
          <w:p>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育肥舍2</w:t>
            </w:r>
          </w:p>
        </w:tc>
        <w:tc>
          <w:tcPr>
            <w:tcW w:w="108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vertAlign w:val="baseline"/>
                <w:lang w:val="en-US" w:eastAsia="zh-CN"/>
              </w:rPr>
              <w:t>NH</w:t>
            </w:r>
            <w:r>
              <w:rPr>
                <w:rFonts w:hint="eastAsia" w:ascii="Times New Roman" w:hAnsi="Times New Roman" w:cs="Times New Roman"/>
                <w:color w:val="auto"/>
                <w:sz w:val="21"/>
                <w:szCs w:val="21"/>
                <w:highlight w:val="none"/>
                <w:vertAlign w:val="subscript"/>
                <w:lang w:val="en-US" w:eastAsia="zh-CN"/>
              </w:rPr>
              <w:t>3</w:t>
            </w:r>
          </w:p>
        </w:tc>
        <w:tc>
          <w:tcPr>
            <w:tcW w:w="1337" w:type="dxa"/>
            <w:vMerge w:val="restart"/>
            <w:tcBorders>
              <w:tl2br w:val="nil"/>
              <w:tr2bl w:val="nil"/>
            </w:tcBorders>
            <w:noWrap w:val="0"/>
            <w:vAlign w:val="center"/>
          </w:tcPr>
          <w:p>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130</w:t>
            </w:r>
            <w:r>
              <w:rPr>
                <w:rFonts w:hint="eastAsia" w:ascii="Times New Roman" w:hAnsi="Times New Roman" w:eastAsia="宋体" w:cs="Times New Roman"/>
                <w:color w:val="auto"/>
                <w:sz w:val="21"/>
                <w:szCs w:val="21"/>
                <w:highlight w:val="none"/>
              </w:rPr>
              <w:t>m×</w:t>
            </w:r>
            <w:r>
              <w:rPr>
                <w:rFonts w:hint="eastAsia" w:ascii="Times New Roman" w:hAnsi="Times New Roman" w:eastAsia="宋体" w:cs="Times New Roman"/>
                <w:color w:val="auto"/>
                <w:sz w:val="21"/>
                <w:szCs w:val="21"/>
                <w:highlight w:val="none"/>
                <w:lang w:val="en-US" w:eastAsia="zh-CN"/>
              </w:rPr>
              <w:t>48</w:t>
            </w:r>
            <w:r>
              <w:rPr>
                <w:rFonts w:hint="eastAsia" w:ascii="Times New Roman" w:hAnsi="Times New Roman" w:eastAsia="宋体" w:cs="Times New Roman"/>
                <w:color w:val="auto"/>
                <w:sz w:val="21"/>
                <w:szCs w:val="21"/>
                <w:highlight w:val="none"/>
              </w:rPr>
              <w:t>m</w:t>
            </w:r>
          </w:p>
        </w:tc>
        <w:tc>
          <w:tcPr>
            <w:tcW w:w="800" w:type="dxa"/>
            <w:vMerge w:val="restart"/>
            <w:tcBorders>
              <w:tl2br w:val="nil"/>
              <w:tr2bl w:val="nil"/>
            </w:tcBorders>
            <w:noWrap w:val="0"/>
            <w:vAlign w:val="center"/>
          </w:tcPr>
          <w:p>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1.4</w:t>
            </w:r>
            <w:r>
              <w:rPr>
                <w:rFonts w:hint="default" w:ascii="Times New Roman" w:hAnsi="Times New Roman" w:eastAsia="宋体" w:cs="Times New Roman"/>
                <w:color w:val="auto"/>
                <w:sz w:val="21"/>
                <w:szCs w:val="21"/>
                <w:highlight w:val="none"/>
              </w:rPr>
              <w:t>m/s</w:t>
            </w:r>
          </w:p>
        </w:tc>
        <w:tc>
          <w:tcPr>
            <w:tcW w:w="1188" w:type="dxa"/>
            <w:tcBorders>
              <w:tl2br w:val="nil"/>
              <w:tr2bl w:val="nil"/>
            </w:tcBorders>
            <w:noWrap w:val="0"/>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w:t>
            </w:r>
            <w:r>
              <w:rPr>
                <w:rFonts w:hint="eastAsia" w:ascii="Times New Roman" w:hAnsi="Times New Roman" w:eastAsia="宋体" w:cs="Times New Roman"/>
                <w:color w:val="auto"/>
                <w:sz w:val="21"/>
                <w:szCs w:val="21"/>
                <w:highlight w:val="none"/>
                <w:lang w:val="en-US" w:eastAsia="zh-CN"/>
              </w:rPr>
              <w:t>20</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p>
        </w:tc>
        <w:tc>
          <w:tcPr>
            <w:tcW w:w="1350"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Cs w:val="21"/>
                <w:lang w:val="en-US" w:eastAsia="zh-CN"/>
              </w:rPr>
              <w:t>0.01</w:t>
            </w:r>
          </w:p>
        </w:tc>
        <w:tc>
          <w:tcPr>
            <w:tcW w:w="790" w:type="dxa"/>
            <w:tcBorders>
              <w:tl2br w:val="nil"/>
              <w:tr2bl w:val="nil"/>
            </w:tcBorders>
            <w:noWrap w:val="0"/>
            <w:vAlign w:val="center"/>
          </w:tcPr>
          <w:p>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0.871</w:t>
            </w:r>
          </w:p>
        </w:tc>
        <w:tc>
          <w:tcPr>
            <w:tcW w:w="787" w:type="dxa"/>
            <w:tcBorders>
              <w:tl2br w:val="nil"/>
              <w:tr2bl w:val="nil"/>
            </w:tcBorders>
            <w:noWrap w:val="0"/>
            <w:vAlign w:val="center"/>
          </w:tcPr>
          <w:p>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50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755" w:type="dxa"/>
            <w:vMerge w:val="continue"/>
            <w:tcBorders>
              <w:tl2br w:val="nil"/>
              <w:tr2bl w:val="nil"/>
            </w:tcBorders>
            <w:noWrap w:val="0"/>
            <w:vAlign w:val="center"/>
          </w:tcPr>
          <w:p>
            <w:pPr>
              <w:jc w:val="center"/>
              <w:rPr>
                <w:rFonts w:hint="eastAsia" w:ascii="Times New Roman" w:hAnsi="Times New Roman" w:eastAsia="宋体" w:cs="Times New Roman"/>
                <w:color w:val="auto"/>
                <w:sz w:val="21"/>
                <w:szCs w:val="21"/>
                <w:highlight w:val="none"/>
                <w:lang w:val="en-US" w:eastAsia="zh-CN"/>
              </w:rPr>
            </w:pPr>
          </w:p>
        </w:tc>
        <w:tc>
          <w:tcPr>
            <w:tcW w:w="108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vertAlign w:val="baseline"/>
                <w:lang w:val="en-US" w:eastAsia="zh-CN"/>
              </w:rPr>
              <w:t>H</w:t>
            </w:r>
            <w:r>
              <w:rPr>
                <w:rFonts w:hint="eastAsia" w:ascii="Times New Roman" w:hAnsi="Times New Roman" w:cs="Times New Roman"/>
                <w:color w:val="auto"/>
                <w:sz w:val="21"/>
                <w:szCs w:val="21"/>
                <w:highlight w:val="none"/>
                <w:vertAlign w:val="subscript"/>
                <w:lang w:val="en-US" w:eastAsia="zh-CN"/>
              </w:rPr>
              <w:t>2</w:t>
            </w:r>
            <w:r>
              <w:rPr>
                <w:rFonts w:hint="eastAsia" w:ascii="Times New Roman" w:hAnsi="Times New Roman" w:cs="Times New Roman"/>
                <w:color w:val="auto"/>
                <w:sz w:val="21"/>
                <w:szCs w:val="21"/>
                <w:highlight w:val="none"/>
                <w:vertAlign w:val="baseline"/>
                <w:lang w:val="en-US" w:eastAsia="zh-CN"/>
              </w:rPr>
              <w:t>S</w:t>
            </w:r>
          </w:p>
        </w:tc>
        <w:tc>
          <w:tcPr>
            <w:tcW w:w="1337" w:type="dxa"/>
            <w:vMerge w:val="continue"/>
            <w:tcBorders>
              <w:tl2br w:val="nil"/>
              <w:tr2bl w:val="nil"/>
            </w:tcBorders>
            <w:noWrap w:val="0"/>
            <w:vAlign w:val="center"/>
          </w:tcPr>
          <w:p>
            <w:pPr>
              <w:jc w:val="center"/>
              <w:rPr>
                <w:rFonts w:hint="eastAsia" w:ascii="Times New Roman" w:hAnsi="Times New Roman" w:eastAsia="宋体" w:cs="Times New Roman"/>
                <w:color w:val="auto"/>
                <w:sz w:val="21"/>
                <w:szCs w:val="21"/>
                <w:highlight w:val="none"/>
                <w:lang w:val="en-US" w:eastAsia="zh-CN"/>
              </w:rPr>
            </w:pPr>
          </w:p>
        </w:tc>
        <w:tc>
          <w:tcPr>
            <w:tcW w:w="800" w:type="dxa"/>
            <w:vMerge w:val="continue"/>
            <w:tcBorders>
              <w:tl2br w:val="nil"/>
              <w:tr2bl w:val="nil"/>
            </w:tcBorders>
            <w:noWrap w:val="0"/>
            <w:vAlign w:val="center"/>
          </w:tcPr>
          <w:p>
            <w:pPr>
              <w:jc w:val="center"/>
              <w:rPr>
                <w:rFonts w:hint="eastAsia" w:ascii="Times New Roman" w:hAnsi="Times New Roman" w:eastAsia="宋体" w:cs="Times New Roman"/>
                <w:color w:val="auto"/>
                <w:sz w:val="21"/>
                <w:szCs w:val="21"/>
                <w:highlight w:val="none"/>
                <w:lang w:val="en-US" w:eastAsia="zh-CN"/>
              </w:rPr>
            </w:pPr>
          </w:p>
        </w:tc>
        <w:tc>
          <w:tcPr>
            <w:tcW w:w="1188" w:type="dxa"/>
            <w:tcBorders>
              <w:tl2br w:val="nil"/>
              <w:tr2bl w:val="nil"/>
            </w:tcBorders>
            <w:noWrap w:val="0"/>
            <w:vAlign w:val="center"/>
          </w:tcPr>
          <w:p>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0.01</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p>
        </w:tc>
        <w:tc>
          <w:tcPr>
            <w:tcW w:w="1350"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Cs w:val="21"/>
                <w:lang w:val="en-US" w:eastAsia="zh-CN"/>
              </w:rPr>
              <w:t>0.0007</w:t>
            </w:r>
          </w:p>
        </w:tc>
        <w:tc>
          <w:tcPr>
            <w:tcW w:w="790" w:type="dxa"/>
            <w:tcBorders>
              <w:tl2br w:val="nil"/>
              <w:tr2bl w:val="nil"/>
            </w:tcBorders>
            <w:noWrap w:val="0"/>
            <w:vAlign w:val="center"/>
          </w:tcPr>
          <w:p>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1.340</w:t>
            </w:r>
          </w:p>
        </w:tc>
        <w:tc>
          <w:tcPr>
            <w:tcW w:w="787" w:type="dxa"/>
            <w:tcBorders>
              <w:tl2br w:val="nil"/>
              <w:tr2bl w:val="nil"/>
            </w:tcBorders>
            <w:noWrap w:val="0"/>
            <w:vAlign w:val="center"/>
          </w:tcPr>
          <w:p>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755" w:type="dxa"/>
            <w:vMerge w:val="restart"/>
            <w:tcBorders>
              <w:tl2br w:val="nil"/>
              <w:tr2bl w:val="nil"/>
            </w:tcBorders>
            <w:noWrap w:val="0"/>
            <w:vAlign w:val="center"/>
          </w:tcPr>
          <w:p>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污水处理区（沼液储蓄池）</w:t>
            </w:r>
          </w:p>
        </w:tc>
        <w:tc>
          <w:tcPr>
            <w:tcW w:w="108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vertAlign w:val="baseline"/>
                <w:lang w:val="en-US" w:eastAsia="zh-CN"/>
              </w:rPr>
              <w:t>NH</w:t>
            </w:r>
            <w:r>
              <w:rPr>
                <w:rFonts w:hint="eastAsia" w:ascii="Times New Roman" w:hAnsi="Times New Roman" w:cs="Times New Roman"/>
                <w:color w:val="auto"/>
                <w:sz w:val="21"/>
                <w:szCs w:val="21"/>
                <w:highlight w:val="none"/>
                <w:vertAlign w:val="subscript"/>
                <w:lang w:val="en-US" w:eastAsia="zh-CN"/>
              </w:rPr>
              <w:t>3</w:t>
            </w:r>
          </w:p>
        </w:tc>
        <w:tc>
          <w:tcPr>
            <w:tcW w:w="1337" w:type="dxa"/>
            <w:vMerge w:val="restart"/>
            <w:tcBorders>
              <w:tl2br w:val="nil"/>
              <w:tr2bl w:val="nil"/>
            </w:tcBorders>
            <w:noWrap w:val="0"/>
            <w:vAlign w:val="center"/>
          </w:tcPr>
          <w:p>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45</w:t>
            </w:r>
            <w:r>
              <w:rPr>
                <w:rFonts w:hint="eastAsia" w:ascii="Times New Roman" w:hAnsi="Times New Roman" w:eastAsia="宋体" w:cs="Times New Roman"/>
                <w:color w:val="auto"/>
                <w:sz w:val="21"/>
                <w:szCs w:val="21"/>
                <w:highlight w:val="none"/>
              </w:rPr>
              <w:t>m×</w:t>
            </w:r>
            <w:r>
              <w:rPr>
                <w:rFonts w:hint="eastAsia" w:ascii="Times New Roman" w:hAnsi="Times New Roman" w:eastAsia="宋体" w:cs="Times New Roman"/>
                <w:color w:val="auto"/>
                <w:sz w:val="21"/>
                <w:szCs w:val="21"/>
                <w:highlight w:val="none"/>
                <w:lang w:val="en-US" w:eastAsia="zh-CN"/>
              </w:rPr>
              <w:t>26</w:t>
            </w:r>
            <w:r>
              <w:rPr>
                <w:rFonts w:hint="eastAsia" w:ascii="Times New Roman" w:hAnsi="Times New Roman" w:eastAsia="宋体" w:cs="Times New Roman"/>
                <w:color w:val="auto"/>
                <w:sz w:val="21"/>
                <w:szCs w:val="21"/>
                <w:highlight w:val="none"/>
              </w:rPr>
              <w:t>m</w:t>
            </w:r>
          </w:p>
        </w:tc>
        <w:tc>
          <w:tcPr>
            <w:tcW w:w="800" w:type="dxa"/>
            <w:vMerge w:val="restart"/>
            <w:tcBorders>
              <w:tl2br w:val="nil"/>
              <w:tr2bl w:val="nil"/>
            </w:tcBorders>
            <w:noWrap w:val="0"/>
            <w:vAlign w:val="center"/>
          </w:tcPr>
          <w:p>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1.4</w:t>
            </w:r>
            <w:r>
              <w:rPr>
                <w:rFonts w:hint="default" w:ascii="Times New Roman" w:hAnsi="Times New Roman" w:eastAsia="宋体" w:cs="Times New Roman"/>
                <w:color w:val="auto"/>
                <w:sz w:val="21"/>
                <w:szCs w:val="21"/>
                <w:highlight w:val="none"/>
              </w:rPr>
              <w:t>m/s</w:t>
            </w:r>
          </w:p>
        </w:tc>
        <w:tc>
          <w:tcPr>
            <w:tcW w:w="1188" w:type="dxa"/>
            <w:tcBorders>
              <w:tl2br w:val="nil"/>
              <w:tr2bl w:val="nil"/>
            </w:tcBorders>
            <w:noWrap w:val="0"/>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w:t>
            </w:r>
            <w:r>
              <w:rPr>
                <w:rFonts w:hint="eastAsia" w:ascii="Times New Roman" w:hAnsi="Times New Roman" w:eastAsia="宋体" w:cs="Times New Roman"/>
                <w:color w:val="auto"/>
                <w:sz w:val="21"/>
                <w:szCs w:val="21"/>
                <w:highlight w:val="none"/>
                <w:lang w:val="en-US" w:eastAsia="zh-CN"/>
              </w:rPr>
              <w:t>20</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p>
        </w:tc>
        <w:tc>
          <w:tcPr>
            <w:tcW w:w="1350"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lang w:val="en-US" w:eastAsia="zh-CN"/>
              </w:rPr>
              <w:t>0.0068</w:t>
            </w:r>
          </w:p>
        </w:tc>
        <w:tc>
          <w:tcPr>
            <w:tcW w:w="790"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1.552</w:t>
            </w:r>
          </w:p>
        </w:tc>
        <w:tc>
          <w:tcPr>
            <w:tcW w:w="787"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50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755" w:type="dxa"/>
            <w:vMerge w:val="continue"/>
            <w:tcBorders>
              <w:tl2br w:val="nil"/>
              <w:tr2bl w:val="nil"/>
            </w:tcBorders>
            <w:noWrap w:val="0"/>
            <w:vAlign w:val="center"/>
          </w:tcPr>
          <w:p>
            <w:pPr>
              <w:jc w:val="center"/>
              <w:rPr>
                <w:rFonts w:hint="eastAsia" w:ascii="Times New Roman" w:hAnsi="Times New Roman" w:eastAsia="宋体" w:cs="Times New Roman"/>
                <w:color w:val="auto"/>
                <w:sz w:val="21"/>
                <w:szCs w:val="21"/>
                <w:highlight w:val="none"/>
                <w:lang w:val="en-US" w:eastAsia="zh-CN"/>
              </w:rPr>
            </w:pPr>
          </w:p>
        </w:tc>
        <w:tc>
          <w:tcPr>
            <w:tcW w:w="108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eastAsia="宋体" w:cs="Times New Roman"/>
                <w:color w:val="FF0000"/>
                <w:sz w:val="21"/>
                <w:szCs w:val="21"/>
                <w:highlight w:val="none"/>
                <w:lang w:val="en-US" w:eastAsia="zh-CN"/>
              </w:rPr>
            </w:pPr>
            <w:r>
              <w:rPr>
                <w:rFonts w:hint="eastAsia" w:ascii="Times New Roman" w:hAnsi="Times New Roman" w:cs="Times New Roman"/>
                <w:color w:val="auto"/>
                <w:sz w:val="21"/>
                <w:szCs w:val="21"/>
                <w:highlight w:val="none"/>
                <w:vertAlign w:val="baseline"/>
                <w:lang w:val="en-US" w:eastAsia="zh-CN"/>
              </w:rPr>
              <w:t>H</w:t>
            </w:r>
            <w:r>
              <w:rPr>
                <w:rFonts w:hint="eastAsia" w:ascii="Times New Roman" w:hAnsi="Times New Roman" w:cs="Times New Roman"/>
                <w:color w:val="auto"/>
                <w:sz w:val="21"/>
                <w:szCs w:val="21"/>
                <w:highlight w:val="none"/>
                <w:vertAlign w:val="subscript"/>
                <w:lang w:val="en-US" w:eastAsia="zh-CN"/>
              </w:rPr>
              <w:t>2</w:t>
            </w:r>
            <w:r>
              <w:rPr>
                <w:rFonts w:hint="eastAsia" w:ascii="Times New Roman" w:hAnsi="Times New Roman" w:cs="Times New Roman"/>
                <w:color w:val="auto"/>
                <w:sz w:val="21"/>
                <w:szCs w:val="21"/>
                <w:highlight w:val="none"/>
                <w:vertAlign w:val="baseline"/>
                <w:lang w:val="en-US" w:eastAsia="zh-CN"/>
              </w:rPr>
              <w:t>S</w:t>
            </w:r>
          </w:p>
        </w:tc>
        <w:tc>
          <w:tcPr>
            <w:tcW w:w="1337" w:type="dxa"/>
            <w:vMerge w:val="continue"/>
            <w:tcBorders>
              <w:tl2br w:val="nil"/>
              <w:tr2bl w:val="nil"/>
            </w:tcBorders>
            <w:noWrap w:val="0"/>
            <w:vAlign w:val="center"/>
          </w:tcPr>
          <w:p>
            <w:pPr>
              <w:jc w:val="center"/>
              <w:rPr>
                <w:rFonts w:hint="eastAsia" w:ascii="Times New Roman" w:hAnsi="Times New Roman" w:eastAsia="宋体" w:cs="Times New Roman"/>
                <w:color w:val="FF0000"/>
                <w:sz w:val="21"/>
                <w:szCs w:val="21"/>
                <w:highlight w:val="none"/>
                <w:lang w:val="en-US" w:eastAsia="zh-CN"/>
              </w:rPr>
            </w:pPr>
          </w:p>
        </w:tc>
        <w:tc>
          <w:tcPr>
            <w:tcW w:w="800" w:type="dxa"/>
            <w:vMerge w:val="continue"/>
            <w:tcBorders>
              <w:tl2br w:val="nil"/>
              <w:tr2bl w:val="nil"/>
            </w:tcBorders>
            <w:noWrap w:val="0"/>
            <w:vAlign w:val="center"/>
          </w:tcPr>
          <w:p>
            <w:pPr>
              <w:jc w:val="center"/>
              <w:rPr>
                <w:rFonts w:hint="eastAsia" w:ascii="Times New Roman" w:hAnsi="Times New Roman" w:eastAsia="宋体" w:cs="Times New Roman"/>
                <w:color w:val="FF0000"/>
                <w:sz w:val="21"/>
                <w:szCs w:val="21"/>
                <w:highlight w:val="none"/>
                <w:lang w:val="en-US" w:eastAsia="zh-CN"/>
              </w:rPr>
            </w:pPr>
          </w:p>
        </w:tc>
        <w:tc>
          <w:tcPr>
            <w:tcW w:w="1188" w:type="dxa"/>
            <w:tcBorders>
              <w:tl2br w:val="nil"/>
              <w:tr2bl w:val="nil"/>
            </w:tcBorders>
            <w:noWrap w:val="0"/>
            <w:vAlign w:val="center"/>
          </w:tcPr>
          <w:p>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0.01</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p>
        </w:tc>
        <w:tc>
          <w:tcPr>
            <w:tcW w:w="1350"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lang w:val="en-US" w:eastAsia="zh-CN"/>
              </w:rPr>
              <w:t>0.00002</w:t>
            </w:r>
          </w:p>
        </w:tc>
        <w:tc>
          <w:tcPr>
            <w:tcW w:w="790"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0.041</w:t>
            </w:r>
          </w:p>
        </w:tc>
        <w:tc>
          <w:tcPr>
            <w:tcW w:w="787"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50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755" w:type="dxa"/>
            <w:vMerge w:val="restart"/>
            <w:tcBorders>
              <w:tl2br w:val="nil"/>
              <w:tr2bl w:val="nil"/>
            </w:tcBorders>
            <w:noWrap w:val="0"/>
            <w:vAlign w:val="center"/>
          </w:tcPr>
          <w:p>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堆粪间</w:t>
            </w:r>
          </w:p>
        </w:tc>
        <w:tc>
          <w:tcPr>
            <w:tcW w:w="108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vertAlign w:val="baseline"/>
                <w:lang w:val="en-US" w:eastAsia="zh-CN"/>
              </w:rPr>
              <w:t>NH</w:t>
            </w:r>
            <w:r>
              <w:rPr>
                <w:rFonts w:hint="eastAsia" w:ascii="Times New Roman" w:hAnsi="Times New Roman" w:cs="Times New Roman"/>
                <w:color w:val="auto"/>
                <w:sz w:val="21"/>
                <w:szCs w:val="21"/>
                <w:highlight w:val="none"/>
                <w:vertAlign w:val="subscript"/>
                <w:lang w:val="en-US" w:eastAsia="zh-CN"/>
              </w:rPr>
              <w:t>3</w:t>
            </w:r>
          </w:p>
        </w:tc>
        <w:tc>
          <w:tcPr>
            <w:tcW w:w="1337" w:type="dxa"/>
            <w:vMerge w:val="restart"/>
            <w:tcBorders>
              <w:tl2br w:val="nil"/>
              <w:tr2bl w:val="nil"/>
            </w:tcBorders>
            <w:noWrap w:val="0"/>
            <w:vAlign w:val="center"/>
          </w:tcPr>
          <w:p>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20</w:t>
            </w:r>
            <w:r>
              <w:rPr>
                <w:rFonts w:hint="eastAsia" w:ascii="Times New Roman" w:hAnsi="Times New Roman" w:eastAsia="宋体" w:cs="Times New Roman"/>
                <w:color w:val="auto"/>
                <w:sz w:val="21"/>
                <w:szCs w:val="21"/>
                <w:highlight w:val="none"/>
              </w:rPr>
              <w:t>m×</w:t>
            </w:r>
            <w:r>
              <w:rPr>
                <w:rFonts w:hint="eastAsia" w:ascii="Times New Roman" w:hAnsi="Times New Roman" w:eastAsia="宋体" w:cs="Times New Roman"/>
                <w:color w:val="auto"/>
                <w:sz w:val="21"/>
                <w:szCs w:val="21"/>
                <w:highlight w:val="none"/>
                <w:lang w:val="en-US" w:eastAsia="zh-CN"/>
              </w:rPr>
              <w:t>15</w:t>
            </w:r>
            <w:r>
              <w:rPr>
                <w:rFonts w:hint="eastAsia" w:ascii="Times New Roman" w:hAnsi="Times New Roman" w:eastAsia="宋体" w:cs="Times New Roman"/>
                <w:color w:val="auto"/>
                <w:sz w:val="21"/>
                <w:szCs w:val="21"/>
                <w:highlight w:val="none"/>
              </w:rPr>
              <w:t>m</w:t>
            </w:r>
          </w:p>
        </w:tc>
        <w:tc>
          <w:tcPr>
            <w:tcW w:w="800" w:type="dxa"/>
            <w:vMerge w:val="restart"/>
            <w:tcBorders>
              <w:tl2br w:val="nil"/>
              <w:tr2bl w:val="nil"/>
            </w:tcBorders>
            <w:noWrap w:val="0"/>
            <w:vAlign w:val="center"/>
          </w:tcPr>
          <w:p>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1.4</w:t>
            </w:r>
            <w:r>
              <w:rPr>
                <w:rFonts w:hint="default" w:ascii="Times New Roman" w:hAnsi="Times New Roman" w:eastAsia="宋体" w:cs="Times New Roman"/>
                <w:color w:val="auto"/>
                <w:sz w:val="21"/>
                <w:szCs w:val="21"/>
                <w:highlight w:val="none"/>
              </w:rPr>
              <w:t>m/s</w:t>
            </w:r>
          </w:p>
        </w:tc>
        <w:tc>
          <w:tcPr>
            <w:tcW w:w="1188" w:type="dxa"/>
            <w:tcBorders>
              <w:tl2br w:val="nil"/>
              <w:tr2bl w:val="nil"/>
            </w:tcBorders>
            <w:noWrap w:val="0"/>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w:t>
            </w:r>
            <w:r>
              <w:rPr>
                <w:rFonts w:hint="eastAsia" w:ascii="Times New Roman" w:hAnsi="Times New Roman" w:eastAsia="宋体" w:cs="Times New Roman"/>
                <w:color w:val="auto"/>
                <w:sz w:val="21"/>
                <w:szCs w:val="21"/>
                <w:highlight w:val="none"/>
                <w:lang w:val="en-US" w:eastAsia="zh-CN"/>
              </w:rPr>
              <w:t>20</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p>
        </w:tc>
        <w:tc>
          <w:tcPr>
            <w:tcW w:w="1350"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lang w:val="en-US" w:eastAsia="zh-CN"/>
              </w:rPr>
              <w:t>0.0013</w:t>
            </w:r>
          </w:p>
        </w:tc>
        <w:tc>
          <w:tcPr>
            <w:tcW w:w="790"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0.445</w:t>
            </w:r>
          </w:p>
        </w:tc>
        <w:tc>
          <w:tcPr>
            <w:tcW w:w="787"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50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755" w:type="dxa"/>
            <w:vMerge w:val="continue"/>
            <w:tcBorders>
              <w:tl2br w:val="nil"/>
              <w:tr2bl w:val="nil"/>
            </w:tcBorders>
            <w:noWrap w:val="0"/>
            <w:vAlign w:val="center"/>
          </w:tcPr>
          <w:p>
            <w:pPr>
              <w:jc w:val="center"/>
              <w:rPr>
                <w:rFonts w:hint="eastAsia" w:ascii="Times New Roman" w:hAnsi="Times New Roman" w:eastAsia="宋体" w:cs="Times New Roman"/>
                <w:color w:val="auto"/>
                <w:sz w:val="21"/>
                <w:szCs w:val="21"/>
                <w:highlight w:val="none"/>
                <w:lang w:val="en-US" w:eastAsia="zh-CN"/>
              </w:rPr>
            </w:pPr>
          </w:p>
        </w:tc>
        <w:tc>
          <w:tcPr>
            <w:tcW w:w="108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vertAlign w:val="baseline"/>
                <w:lang w:val="en-US" w:eastAsia="zh-CN"/>
              </w:rPr>
              <w:t>H</w:t>
            </w:r>
            <w:r>
              <w:rPr>
                <w:rFonts w:hint="eastAsia" w:ascii="Times New Roman" w:hAnsi="Times New Roman" w:cs="Times New Roman"/>
                <w:color w:val="auto"/>
                <w:sz w:val="21"/>
                <w:szCs w:val="21"/>
                <w:highlight w:val="none"/>
                <w:vertAlign w:val="subscript"/>
                <w:lang w:val="en-US" w:eastAsia="zh-CN"/>
              </w:rPr>
              <w:t>2</w:t>
            </w:r>
            <w:r>
              <w:rPr>
                <w:rFonts w:hint="eastAsia" w:ascii="Times New Roman" w:hAnsi="Times New Roman" w:cs="Times New Roman"/>
                <w:color w:val="auto"/>
                <w:sz w:val="21"/>
                <w:szCs w:val="21"/>
                <w:highlight w:val="none"/>
                <w:vertAlign w:val="baseline"/>
                <w:lang w:val="en-US" w:eastAsia="zh-CN"/>
              </w:rPr>
              <w:t>S</w:t>
            </w:r>
          </w:p>
        </w:tc>
        <w:tc>
          <w:tcPr>
            <w:tcW w:w="1337" w:type="dxa"/>
            <w:vMerge w:val="continue"/>
            <w:tcBorders>
              <w:tl2br w:val="nil"/>
              <w:tr2bl w:val="nil"/>
            </w:tcBorders>
            <w:noWrap w:val="0"/>
            <w:vAlign w:val="center"/>
          </w:tcPr>
          <w:p>
            <w:pPr>
              <w:jc w:val="center"/>
              <w:rPr>
                <w:rFonts w:hint="eastAsia" w:ascii="Times New Roman" w:hAnsi="Times New Roman" w:eastAsia="宋体" w:cs="Times New Roman"/>
                <w:color w:val="auto"/>
                <w:sz w:val="21"/>
                <w:szCs w:val="21"/>
                <w:highlight w:val="none"/>
                <w:lang w:val="en-US" w:eastAsia="zh-CN"/>
              </w:rPr>
            </w:pPr>
          </w:p>
        </w:tc>
        <w:tc>
          <w:tcPr>
            <w:tcW w:w="800" w:type="dxa"/>
            <w:vMerge w:val="continue"/>
            <w:tcBorders>
              <w:tl2br w:val="nil"/>
              <w:tr2bl w:val="nil"/>
            </w:tcBorders>
            <w:noWrap w:val="0"/>
            <w:vAlign w:val="center"/>
          </w:tcPr>
          <w:p>
            <w:pPr>
              <w:jc w:val="center"/>
              <w:rPr>
                <w:rFonts w:hint="eastAsia" w:ascii="Times New Roman" w:hAnsi="Times New Roman" w:eastAsia="宋体" w:cs="Times New Roman"/>
                <w:color w:val="auto"/>
                <w:sz w:val="21"/>
                <w:szCs w:val="21"/>
                <w:highlight w:val="none"/>
                <w:lang w:val="en-US" w:eastAsia="zh-CN"/>
              </w:rPr>
            </w:pPr>
          </w:p>
        </w:tc>
        <w:tc>
          <w:tcPr>
            <w:tcW w:w="1188" w:type="dxa"/>
            <w:tcBorders>
              <w:tl2br w:val="nil"/>
              <w:tr2bl w:val="nil"/>
            </w:tcBorders>
            <w:noWrap w:val="0"/>
            <w:vAlign w:val="center"/>
          </w:tcPr>
          <w:p>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0.01</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p>
        </w:tc>
        <w:tc>
          <w:tcPr>
            <w:tcW w:w="1350"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lang w:val="en-US" w:eastAsia="zh-CN"/>
              </w:rPr>
              <w:t>0.00008</w:t>
            </w:r>
          </w:p>
        </w:tc>
        <w:tc>
          <w:tcPr>
            <w:tcW w:w="790"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0.581</w:t>
            </w:r>
          </w:p>
        </w:tc>
        <w:tc>
          <w:tcPr>
            <w:tcW w:w="787" w:type="dxa"/>
            <w:tcBorders>
              <w:tl2br w:val="nil"/>
              <w:tr2bl w:val="nil"/>
            </w:tcBorders>
            <w:noWrap w:val="0"/>
            <w:vAlign w:val="center"/>
          </w:tcPr>
          <w:p>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50</w:t>
            </w:r>
          </w:p>
        </w:tc>
      </w:tr>
    </w:tbl>
    <w:p>
      <w:pPr>
        <w:pStyle w:val="113"/>
        <w:pageBreakBefore w:val="0"/>
        <w:widowControl w:val="0"/>
        <w:kinsoku/>
        <w:wordWrap/>
        <w:overflowPunct/>
        <w:topLinePunct w:val="0"/>
        <w:bidi w:val="0"/>
        <w:adjustRightInd w:val="0"/>
        <w:snapToGrid w:val="0"/>
        <w:spacing w:line="360" w:lineRule="auto"/>
        <w:ind w:firstLine="480" w:firstLineChars="200"/>
        <w:jc w:val="both"/>
        <w:textAlignment w:val="auto"/>
        <w:rPr>
          <w:rFonts w:hint="default" w:ascii="Times New Roman" w:hAnsi="Times New Roman" w:eastAsia="宋体" w:cs="黑体"/>
          <w:color w:val="auto"/>
          <w:kern w:val="0"/>
          <w:sz w:val="24"/>
          <w:szCs w:val="24"/>
          <w:lang w:val="en-US" w:eastAsia="zh-CN"/>
        </w:rPr>
      </w:pPr>
      <w:r>
        <w:rPr>
          <w:rFonts w:hint="default" w:ascii="Times New Roman" w:hAnsi="Times New Roman" w:eastAsia="宋体" w:cs="黑体"/>
          <w:color w:val="auto"/>
          <w:kern w:val="0"/>
          <w:sz w:val="24"/>
          <w:szCs w:val="24"/>
          <w:lang w:val="en-US" w:eastAsia="zh-CN"/>
        </w:rPr>
        <w:t>经计算</w:t>
      </w:r>
      <w:r>
        <w:rPr>
          <w:rFonts w:hint="eastAsia" w:hAnsi="Times New Roman" w:eastAsia="宋体" w:cs="黑体"/>
          <w:color w:val="auto"/>
          <w:kern w:val="0"/>
          <w:sz w:val="24"/>
          <w:szCs w:val="24"/>
          <w:lang w:val="en-US" w:eastAsia="zh-CN"/>
        </w:rPr>
        <w:t>猪舍的</w:t>
      </w:r>
      <w:r>
        <w:rPr>
          <w:rFonts w:hint="default" w:ascii="Times New Roman" w:hAnsi="Times New Roman" w:eastAsia="宋体" w:cs="黑体"/>
          <w:color w:val="auto"/>
          <w:kern w:val="0"/>
          <w:sz w:val="24"/>
          <w:szCs w:val="24"/>
          <w:lang w:val="en-US" w:eastAsia="zh-CN"/>
        </w:rPr>
        <w:t>卫生防护距离分别为</w:t>
      </w:r>
      <w:r>
        <w:rPr>
          <w:rFonts w:hint="eastAsia" w:hAnsi="Times New Roman" w:eastAsia="宋体" w:cs="黑体"/>
          <w:color w:val="auto"/>
          <w:kern w:val="0"/>
          <w:sz w:val="24"/>
          <w:szCs w:val="24"/>
          <w:lang w:val="en-US" w:eastAsia="zh-CN"/>
        </w:rPr>
        <w:t>0.871</w:t>
      </w:r>
      <w:r>
        <w:rPr>
          <w:rFonts w:hint="default" w:ascii="Times New Roman" w:hAnsi="Times New Roman" w:eastAsia="宋体" w:cs="黑体"/>
          <w:color w:val="auto"/>
          <w:kern w:val="0"/>
          <w:sz w:val="24"/>
          <w:szCs w:val="24"/>
          <w:lang w:val="en-US" w:eastAsia="zh-CN"/>
        </w:rPr>
        <w:t>m、</w:t>
      </w:r>
      <w:r>
        <w:rPr>
          <w:rFonts w:hint="eastAsia" w:hAnsi="Times New Roman" w:eastAsia="宋体" w:cs="黑体"/>
          <w:color w:val="auto"/>
          <w:kern w:val="0"/>
          <w:sz w:val="24"/>
          <w:szCs w:val="24"/>
          <w:lang w:val="en-US" w:eastAsia="zh-CN"/>
        </w:rPr>
        <w:t>1.340</w:t>
      </w:r>
      <w:r>
        <w:rPr>
          <w:rFonts w:hint="default" w:ascii="Times New Roman" w:hAnsi="Times New Roman" w:eastAsia="宋体" w:cs="黑体"/>
          <w:color w:val="auto"/>
          <w:kern w:val="0"/>
          <w:sz w:val="24"/>
          <w:szCs w:val="24"/>
          <w:lang w:val="en-US" w:eastAsia="zh-CN"/>
        </w:rPr>
        <w:t>m</w:t>
      </w:r>
      <w:r>
        <w:rPr>
          <w:rFonts w:hint="eastAsia" w:hAnsi="Times New Roman" w:eastAsia="宋体" w:cs="黑体"/>
          <w:color w:val="auto"/>
          <w:kern w:val="0"/>
          <w:sz w:val="24"/>
          <w:szCs w:val="24"/>
          <w:lang w:val="en-US" w:eastAsia="zh-CN"/>
        </w:rPr>
        <w:t>；堆粪间的卫生防护距离分别为0.445m、0.581m；污水处理区（沼液储蓄池）的卫生防护距离分别为1.552m、0.041m。</w:t>
      </w:r>
      <w:r>
        <w:rPr>
          <w:rFonts w:hint="default" w:ascii="Times New Roman" w:hAnsi="Times New Roman" w:eastAsia="宋体" w:cs="黑体"/>
          <w:color w:val="auto"/>
          <w:kern w:val="0"/>
          <w:sz w:val="24"/>
          <w:szCs w:val="24"/>
          <w:lang w:val="en-US" w:eastAsia="zh-CN"/>
        </w:rPr>
        <w:t>根据《制定地方大气污染物排放标准的技术方法》 （GB/T13201-91）中的规定，“当卫生防护距离在50m 以内时，级差为 50m”。同时“两种或者两种以上的气体计算的防护距离在同一级别时，该类企业的卫生防护距离应该提高一级”，因此确定本项目卫生防护距离为 100m。</w:t>
      </w:r>
    </w:p>
    <w:p>
      <w:pPr>
        <w:pStyle w:val="113"/>
        <w:pageBreakBefore w:val="0"/>
        <w:widowControl w:val="0"/>
        <w:kinsoku/>
        <w:wordWrap/>
        <w:overflowPunct/>
        <w:topLinePunct w:val="0"/>
        <w:bidi w:val="0"/>
        <w:adjustRightInd w:val="0"/>
        <w:snapToGrid w:val="0"/>
        <w:spacing w:line="360" w:lineRule="auto"/>
        <w:ind w:firstLine="480" w:firstLineChars="200"/>
        <w:jc w:val="both"/>
        <w:textAlignment w:val="auto"/>
        <w:rPr>
          <w:rFonts w:hint="eastAsia" w:hAnsi="Times New Roman" w:eastAsia="宋体" w:cs="黑体"/>
          <w:color w:val="auto"/>
          <w:kern w:val="0"/>
          <w:sz w:val="24"/>
          <w:szCs w:val="24"/>
          <w:lang w:val="en-US" w:eastAsia="zh-CN"/>
        </w:rPr>
      </w:pPr>
      <w:r>
        <w:rPr>
          <w:rFonts w:hint="eastAsia" w:hAnsi="Times New Roman" w:eastAsia="宋体" w:cs="黑体"/>
          <w:color w:val="auto"/>
          <w:kern w:val="0"/>
          <w:sz w:val="24"/>
          <w:szCs w:val="24"/>
          <w:lang w:val="en-US" w:eastAsia="zh-CN"/>
        </w:rPr>
        <w:t>同时参考《畜禽养殖业污染防治技术规范》（HJ/T81-2001）中关于养殖场卫生防护距离的相关规定，要求“新建、改建、扩建的畜禽养殖场选址应避开 3.1 规定的禁建区域，在禁建区域建设的，应设在 3.1 规定的禁建区域常年主导风向下风向或侧风向，厂界与禁建区域边界的最小距离不得小于500m”；另根据《村镇规划卫生规范》（GB18055-2012） 中4.4.4.3要求，在复杂地形下的住宅区与产生有害因素场所之间的卫生防护距离，应根据环境影响评价报告，由建设单位主管部门与建设项目所在省、市、自治区的卫生、环境保护部门共同确定，本项目属于复杂地形（见附件）。结合实际计算结果，本次评价将卫生防护距离确定为：</w:t>
      </w:r>
      <w:r>
        <w:rPr>
          <w:rFonts w:hint="eastAsia" w:ascii="Times New Roman" w:hAnsi="Times New Roman" w:eastAsia="宋体" w:cs="Times New Roman"/>
          <w:b w:val="0"/>
          <w:bCs/>
          <w:color w:val="auto"/>
          <w:sz w:val="24"/>
          <w:szCs w:val="24"/>
          <w:highlight w:val="none"/>
        </w:rPr>
        <w:t>以猪舍、</w:t>
      </w:r>
      <w:r>
        <w:rPr>
          <w:rFonts w:hint="eastAsia" w:ascii="Times New Roman" w:hAnsi="Times New Roman" w:eastAsia="宋体" w:cs="Times New Roman"/>
          <w:b w:val="0"/>
          <w:bCs/>
          <w:color w:val="auto"/>
          <w:sz w:val="24"/>
          <w:szCs w:val="24"/>
          <w:highlight w:val="none"/>
          <w:lang w:eastAsia="zh-CN"/>
        </w:rPr>
        <w:t>污水处理区、堆粪间</w:t>
      </w:r>
      <w:r>
        <w:rPr>
          <w:rFonts w:hint="eastAsia" w:ascii="Times New Roman" w:hAnsi="Times New Roman" w:eastAsia="宋体" w:cs="Times New Roman"/>
          <w:b w:val="0"/>
          <w:bCs/>
          <w:color w:val="auto"/>
          <w:sz w:val="24"/>
          <w:szCs w:val="24"/>
          <w:highlight w:val="none"/>
        </w:rPr>
        <w:t>为中心</w:t>
      </w:r>
      <w:r>
        <w:rPr>
          <w:rFonts w:hint="eastAsia" w:hAnsi="Times New Roman" w:eastAsia="宋体" w:cs="Times New Roman"/>
          <w:b w:val="0"/>
          <w:bCs/>
          <w:color w:val="auto"/>
          <w:sz w:val="24"/>
          <w:szCs w:val="24"/>
          <w:highlight w:val="none"/>
          <w:lang w:val="en-US" w:eastAsia="zh-CN"/>
        </w:rPr>
        <w:t>画</w:t>
      </w:r>
      <w:r>
        <w:rPr>
          <w:rFonts w:hint="eastAsia" w:ascii="Times New Roman" w:hAnsi="Times New Roman" w:eastAsia="宋体" w:cs="Times New Roman"/>
          <w:b w:val="0"/>
          <w:bCs/>
          <w:color w:val="auto"/>
          <w:sz w:val="24"/>
          <w:szCs w:val="24"/>
          <w:highlight w:val="none"/>
        </w:rPr>
        <w:t>200m</w:t>
      </w:r>
      <w:r>
        <w:rPr>
          <w:rFonts w:hint="eastAsia" w:ascii="Times New Roman" w:hAnsi="Times New Roman" w:eastAsia="宋体" w:cs="Times New Roman"/>
          <w:b w:val="0"/>
          <w:bCs/>
          <w:color w:val="auto"/>
          <w:sz w:val="24"/>
          <w:szCs w:val="24"/>
          <w:highlight w:val="none"/>
          <w:lang w:val="en-US" w:eastAsia="zh-CN"/>
        </w:rPr>
        <w:t>卫生防护距离</w:t>
      </w:r>
      <w:r>
        <w:rPr>
          <w:rFonts w:hint="eastAsia" w:hAnsi="Times New Roman" w:eastAsia="宋体" w:cs="Times New Roman"/>
          <w:b w:val="0"/>
          <w:bCs/>
          <w:color w:val="auto"/>
          <w:sz w:val="24"/>
          <w:szCs w:val="24"/>
          <w:highlight w:val="none"/>
          <w:lang w:val="en-US" w:eastAsia="zh-CN"/>
        </w:rPr>
        <w:t>的包络线图</w:t>
      </w:r>
      <w:r>
        <w:rPr>
          <w:rFonts w:hint="eastAsia" w:hAnsi="Times New Roman" w:eastAsia="宋体" w:cs="黑体"/>
          <w:color w:val="auto"/>
          <w:kern w:val="0"/>
          <w:sz w:val="24"/>
          <w:szCs w:val="24"/>
          <w:lang w:val="en-US" w:eastAsia="zh-CN"/>
        </w:rPr>
        <w:t>。</w:t>
      </w:r>
    </w:p>
    <w:p>
      <w:pPr>
        <w:pStyle w:val="113"/>
        <w:pageBreakBefore w:val="0"/>
        <w:widowControl w:val="0"/>
        <w:kinsoku/>
        <w:wordWrap/>
        <w:overflowPunct/>
        <w:topLinePunct w:val="0"/>
        <w:bidi w:val="0"/>
        <w:adjustRightInd w:val="0"/>
        <w:snapToGrid w:val="0"/>
        <w:spacing w:line="360" w:lineRule="auto"/>
        <w:ind w:firstLine="480" w:firstLineChars="200"/>
        <w:jc w:val="both"/>
        <w:textAlignment w:val="auto"/>
        <w:rPr>
          <w:rFonts w:hint="default" w:ascii="Times New Roman" w:hAnsi="Times New Roman" w:eastAsia="宋体" w:cs="黑体"/>
          <w:color w:val="auto"/>
          <w:kern w:val="0"/>
          <w:sz w:val="24"/>
          <w:szCs w:val="24"/>
          <w:lang w:val="en-US" w:eastAsia="zh-CN"/>
        </w:rPr>
      </w:pPr>
      <w:r>
        <w:rPr>
          <w:rFonts w:hint="default" w:ascii="Times New Roman" w:hAnsi="Times New Roman" w:eastAsia="宋体" w:cs="黑体"/>
          <w:color w:val="auto"/>
          <w:kern w:val="0"/>
          <w:sz w:val="24"/>
          <w:szCs w:val="24"/>
          <w:lang w:val="en-US" w:eastAsia="zh-CN"/>
        </w:rPr>
        <w:t>因此，</w:t>
      </w:r>
      <w:r>
        <w:rPr>
          <w:rFonts w:hint="eastAsia" w:ascii="Times New Roman" w:hAnsi="Times New Roman" w:eastAsia="宋体" w:cs="Times New Roman"/>
          <w:color w:val="auto"/>
          <w:sz w:val="24"/>
          <w:szCs w:val="24"/>
          <w:lang w:val="en-US" w:eastAsia="zh-CN"/>
        </w:rPr>
        <w:t>本项目</w:t>
      </w:r>
      <w:r>
        <w:rPr>
          <w:rFonts w:hint="eastAsia" w:ascii="Times New Roman" w:hAnsi="Times New Roman" w:eastAsia="宋体" w:cs="Times New Roman"/>
          <w:b w:val="0"/>
          <w:bCs/>
          <w:color w:val="auto"/>
          <w:sz w:val="24"/>
          <w:szCs w:val="24"/>
          <w:highlight w:val="none"/>
        </w:rPr>
        <w:t>以猪舍、</w:t>
      </w:r>
      <w:r>
        <w:rPr>
          <w:rFonts w:hint="eastAsia" w:ascii="Times New Roman" w:hAnsi="Times New Roman" w:eastAsia="宋体" w:cs="Times New Roman"/>
          <w:b w:val="0"/>
          <w:bCs/>
          <w:color w:val="auto"/>
          <w:sz w:val="24"/>
          <w:szCs w:val="24"/>
          <w:highlight w:val="none"/>
          <w:lang w:eastAsia="zh-CN"/>
        </w:rPr>
        <w:t>污水处理区、堆粪间</w:t>
      </w:r>
      <w:r>
        <w:rPr>
          <w:rFonts w:hint="eastAsia" w:ascii="Times New Roman" w:hAnsi="Times New Roman" w:eastAsia="宋体" w:cs="Times New Roman"/>
          <w:b w:val="0"/>
          <w:bCs/>
          <w:color w:val="auto"/>
          <w:sz w:val="24"/>
          <w:szCs w:val="24"/>
          <w:highlight w:val="none"/>
        </w:rPr>
        <w:t>为中心设置200m</w:t>
      </w:r>
      <w:r>
        <w:rPr>
          <w:rFonts w:hint="eastAsia" w:ascii="Times New Roman" w:hAnsi="Times New Roman" w:eastAsia="宋体" w:cs="Times New Roman"/>
          <w:b w:val="0"/>
          <w:bCs/>
          <w:color w:val="auto"/>
          <w:sz w:val="24"/>
          <w:szCs w:val="24"/>
          <w:highlight w:val="none"/>
          <w:lang w:val="en-US" w:eastAsia="zh-CN"/>
        </w:rPr>
        <w:t>卫生防护距离</w:t>
      </w:r>
      <w:r>
        <w:rPr>
          <w:rFonts w:hint="default" w:ascii="Times New Roman" w:hAnsi="Times New Roman" w:eastAsia="宋体" w:cs="黑体"/>
          <w:color w:val="auto"/>
          <w:kern w:val="0"/>
          <w:sz w:val="24"/>
          <w:szCs w:val="24"/>
          <w:lang w:val="en-US" w:eastAsia="zh-CN"/>
        </w:rPr>
        <w:t>。本项目卫生防护距离</w:t>
      </w:r>
      <w:r>
        <w:rPr>
          <w:rFonts w:hint="eastAsia" w:hAnsi="Times New Roman" w:eastAsia="宋体" w:cs="黑体"/>
          <w:color w:val="auto"/>
          <w:kern w:val="0"/>
          <w:sz w:val="24"/>
          <w:szCs w:val="24"/>
          <w:lang w:val="en-US" w:eastAsia="zh-CN"/>
        </w:rPr>
        <w:t>内无居民</w:t>
      </w:r>
      <w:r>
        <w:rPr>
          <w:rFonts w:hint="default" w:ascii="Times New Roman" w:hAnsi="Times New Roman" w:eastAsia="宋体" w:cs="黑体"/>
          <w:color w:val="auto"/>
          <w:kern w:val="0"/>
          <w:sz w:val="24"/>
          <w:szCs w:val="24"/>
          <w:lang w:val="en-US" w:eastAsia="zh-CN"/>
        </w:rPr>
        <w:t>。因此，项目外环境满足本项目卫生防护距离要求。本项目养殖场卫生防护距离内禁止新建农户、医院、学校等民用设施，周边200m范围内，今后禁止规划为</w:t>
      </w:r>
      <w:r>
        <w:rPr>
          <w:rFonts w:hint="eastAsia" w:asciiTheme="minorEastAsia" w:hAnsiTheme="minorEastAsia" w:eastAsiaTheme="minorEastAsia" w:cstheme="minorEastAsia"/>
          <w:color w:val="auto"/>
          <w:kern w:val="0"/>
          <w:sz w:val="24"/>
          <w:szCs w:val="24"/>
          <w:lang w:val="en-US" w:eastAsia="zh-CN"/>
        </w:rPr>
        <w:t>“城市和城镇居民区，包括文教科研区、医疗区、商业区、工业区、游览区等人口集中”</w:t>
      </w:r>
      <w:r>
        <w:rPr>
          <w:rFonts w:hint="default" w:ascii="Times New Roman" w:hAnsi="Times New Roman" w:eastAsia="宋体" w:cs="黑体"/>
          <w:color w:val="auto"/>
          <w:kern w:val="0"/>
          <w:sz w:val="24"/>
          <w:szCs w:val="24"/>
          <w:lang w:val="en-US" w:eastAsia="zh-CN"/>
        </w:rPr>
        <w:t>等禁建设施。</w:t>
      </w:r>
    </w:p>
    <w:p>
      <w:pPr>
        <w:pStyle w:val="113"/>
        <w:pageBreakBefore w:val="0"/>
        <w:widowControl w:val="0"/>
        <w:kinsoku/>
        <w:wordWrap/>
        <w:overflowPunct/>
        <w:topLinePunct w:val="0"/>
        <w:bidi w:val="0"/>
        <w:adjustRightInd w:val="0"/>
        <w:snapToGrid w:val="0"/>
        <w:spacing w:line="360" w:lineRule="auto"/>
        <w:ind w:firstLine="480" w:firstLineChars="200"/>
        <w:jc w:val="both"/>
        <w:textAlignment w:val="auto"/>
        <w:rPr>
          <w:rFonts w:hint="default" w:ascii="Times New Roman" w:hAnsi="Times New Roman" w:eastAsia="宋体" w:cs="黑体"/>
          <w:color w:val="auto"/>
          <w:kern w:val="0"/>
          <w:sz w:val="24"/>
          <w:szCs w:val="24"/>
          <w:lang w:val="en-US" w:eastAsia="zh-CN"/>
        </w:rPr>
      </w:pPr>
      <w:r>
        <w:rPr>
          <w:rFonts w:hint="default" w:ascii="Times New Roman" w:hAnsi="Times New Roman" w:eastAsia="宋体" w:cs="黑体"/>
          <w:color w:val="auto"/>
          <w:kern w:val="0"/>
          <w:sz w:val="24"/>
          <w:szCs w:val="24"/>
          <w:lang w:val="en-US" w:eastAsia="zh-CN"/>
        </w:rPr>
        <w:t>由于本项目位于山坡顶，地块周围树木茂密，农户均位于山腰或山下，与本项目高差约30~50m 以上，养猪场产生的恶臭经过树林阻挡、净化、空气稀释后，可有效降低对周围农户的正常生活和工作产生的影响。建设单位应切实做好环境管理、加强与农户的沟通，尽可能减少恶臭气体对周边农户的影响。</w:t>
      </w:r>
    </w:p>
    <w:p>
      <w:pPr>
        <w:keepNext/>
        <w:keepLines/>
        <w:adjustRightInd w:val="0"/>
        <w:snapToGrid w:val="0"/>
        <w:spacing w:line="360" w:lineRule="auto"/>
        <w:outlineLvl w:val="3"/>
        <w:rPr>
          <w:rFonts w:hint="default" w:ascii="Times New Roman" w:hAnsi="Times New Roman" w:eastAsia="宋体"/>
          <w:b/>
          <w:bCs/>
          <w:color w:val="auto"/>
          <w:sz w:val="24"/>
          <w:szCs w:val="24"/>
          <w:lang w:val="en-US" w:eastAsia="zh-CN"/>
        </w:rPr>
      </w:pPr>
      <w:r>
        <w:rPr>
          <w:rFonts w:hint="default" w:ascii="Times New Roman" w:hAnsi="Times New Roman" w:eastAsia="宋体"/>
          <w:b/>
          <w:bCs/>
          <w:color w:val="auto"/>
          <w:sz w:val="24"/>
          <w:szCs w:val="24"/>
          <w:lang w:val="en-US" w:eastAsia="zh-CN"/>
        </w:rPr>
        <w:t>5.2.</w:t>
      </w:r>
      <w:r>
        <w:rPr>
          <w:rFonts w:hint="eastAsia" w:ascii="Times New Roman" w:hAnsi="Times New Roman" w:eastAsia="宋体"/>
          <w:b/>
          <w:bCs/>
          <w:color w:val="auto"/>
          <w:sz w:val="24"/>
          <w:szCs w:val="24"/>
          <w:lang w:val="en-US" w:eastAsia="zh-CN"/>
        </w:rPr>
        <w:t>1</w:t>
      </w:r>
      <w:r>
        <w:rPr>
          <w:rFonts w:hint="default" w:ascii="Times New Roman" w:hAnsi="Times New Roman" w:eastAsia="宋体"/>
          <w:b/>
          <w:bCs/>
          <w:color w:val="auto"/>
          <w:sz w:val="24"/>
          <w:szCs w:val="24"/>
          <w:lang w:val="en-US" w:eastAsia="zh-CN"/>
        </w:rPr>
        <w:t>.</w:t>
      </w:r>
      <w:r>
        <w:rPr>
          <w:rFonts w:hint="eastAsia" w:ascii="Times New Roman" w:hAnsi="Times New Roman" w:eastAsia="宋体"/>
          <w:b/>
          <w:bCs/>
          <w:color w:val="auto"/>
          <w:sz w:val="24"/>
          <w:szCs w:val="24"/>
          <w:lang w:val="en-US" w:eastAsia="zh-CN"/>
        </w:rPr>
        <w:t>9结论</w:t>
      </w:r>
    </w:p>
    <w:p>
      <w:pPr>
        <w:pStyle w:val="113"/>
        <w:pageBreakBefore w:val="0"/>
        <w:widowControl w:val="0"/>
        <w:kinsoku/>
        <w:wordWrap/>
        <w:overflowPunct/>
        <w:topLinePunct w:val="0"/>
        <w:bidi w:val="0"/>
        <w:adjustRightInd w:val="0"/>
        <w:snapToGrid w:val="0"/>
        <w:spacing w:line="360" w:lineRule="auto"/>
        <w:ind w:firstLine="480" w:firstLineChars="200"/>
        <w:jc w:val="both"/>
        <w:textAlignment w:val="auto"/>
        <w:rPr>
          <w:rFonts w:hint="default" w:ascii="Times New Roman" w:hAnsi="Times New Roman" w:eastAsia="宋体" w:cs="黑体"/>
          <w:color w:val="auto"/>
          <w:kern w:val="0"/>
          <w:sz w:val="24"/>
          <w:szCs w:val="24"/>
          <w:lang w:val="en-US" w:eastAsia="zh-CN"/>
        </w:rPr>
      </w:pPr>
      <w:r>
        <w:rPr>
          <w:rFonts w:hint="default" w:ascii="Times New Roman" w:hAnsi="Times New Roman" w:eastAsia="宋体" w:cs="黑体"/>
          <w:color w:val="auto"/>
          <w:kern w:val="0"/>
          <w:sz w:val="24"/>
          <w:szCs w:val="24"/>
          <w:lang w:val="en-US" w:eastAsia="zh-CN"/>
        </w:rPr>
        <w:t>建设单位采取加强管理、采用微生物菌液除臭、使用</w:t>
      </w:r>
      <w:r>
        <w:rPr>
          <w:rFonts w:hint="eastAsia" w:hAnsi="Times New Roman" w:eastAsia="宋体" w:cs="黑体"/>
          <w:color w:val="auto"/>
          <w:kern w:val="0"/>
          <w:sz w:val="24"/>
          <w:szCs w:val="24"/>
          <w:lang w:val="en-US" w:eastAsia="zh-CN"/>
        </w:rPr>
        <w:t>生物滤池除臭</w:t>
      </w:r>
      <w:r>
        <w:rPr>
          <w:rFonts w:hint="default" w:ascii="Times New Roman" w:hAnsi="Times New Roman" w:eastAsia="宋体" w:cs="黑体"/>
          <w:color w:val="auto"/>
          <w:kern w:val="0"/>
          <w:sz w:val="24"/>
          <w:szCs w:val="24"/>
          <w:lang w:val="en-US" w:eastAsia="zh-CN"/>
        </w:rPr>
        <w:t>、加强绿化等措施，厂界处臭气能满足《畜禽养殖业污染物排放标准》（GB18596-2001）臭气 70（无量纲）要求，无组织 H</w:t>
      </w:r>
      <w:r>
        <w:rPr>
          <w:rFonts w:hint="default" w:ascii="Times New Roman" w:hAnsi="Times New Roman" w:eastAsia="宋体" w:cs="黑体"/>
          <w:color w:val="auto"/>
          <w:kern w:val="0"/>
          <w:sz w:val="24"/>
          <w:szCs w:val="24"/>
          <w:vertAlign w:val="subscript"/>
          <w:lang w:val="en-US" w:eastAsia="zh-CN"/>
        </w:rPr>
        <w:t>2</w:t>
      </w:r>
      <w:r>
        <w:rPr>
          <w:rFonts w:hint="default" w:ascii="Times New Roman" w:hAnsi="Times New Roman" w:eastAsia="宋体" w:cs="黑体"/>
          <w:color w:val="auto"/>
          <w:kern w:val="0"/>
          <w:sz w:val="24"/>
          <w:szCs w:val="24"/>
          <w:lang w:val="en-US" w:eastAsia="zh-CN"/>
        </w:rPr>
        <w:t>S 和 NH</w:t>
      </w:r>
      <w:r>
        <w:rPr>
          <w:rFonts w:hint="default" w:ascii="Times New Roman" w:hAnsi="Times New Roman" w:eastAsia="宋体" w:cs="黑体"/>
          <w:color w:val="auto"/>
          <w:kern w:val="0"/>
          <w:sz w:val="24"/>
          <w:szCs w:val="24"/>
          <w:vertAlign w:val="subscript"/>
          <w:lang w:val="en-US" w:eastAsia="zh-CN"/>
        </w:rPr>
        <w:t>3</w:t>
      </w:r>
      <w:r>
        <w:rPr>
          <w:rFonts w:hint="default" w:ascii="Times New Roman" w:hAnsi="Times New Roman" w:eastAsia="宋体" w:cs="黑体"/>
          <w:color w:val="auto"/>
          <w:kern w:val="0"/>
          <w:sz w:val="24"/>
          <w:szCs w:val="24"/>
          <w:lang w:val="en-US" w:eastAsia="zh-CN"/>
        </w:rPr>
        <w:t>厂界浓度满足《恶臭污染物排放标准》（GB14554-93）中二级标准的要求。项目通过设置防护距离，防止对居民等敏感点人的生活产生影响，臭气经稀释、扩散衰减后，对环境影响较小。</w:t>
      </w:r>
    </w:p>
    <w:p>
      <w:pPr>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lang w:eastAsia="zh-CN"/>
        </w:rPr>
        <w:t>表</w:t>
      </w:r>
      <w:r>
        <w:rPr>
          <w:rFonts w:hint="default" w:ascii="Times New Roman" w:hAnsi="Times New Roman" w:eastAsia="宋体" w:cs="Times New Roman"/>
          <w:b/>
          <w:bCs/>
          <w:color w:val="auto"/>
          <w:sz w:val="21"/>
          <w:szCs w:val="21"/>
          <w:lang w:val="en-US" w:eastAsia="zh-CN"/>
        </w:rPr>
        <w:t>5.2-</w:t>
      </w:r>
      <w:r>
        <w:rPr>
          <w:rFonts w:hint="eastAsia" w:ascii="Times New Roman" w:hAnsi="Times New Roman" w:eastAsia="宋体" w:cs="Times New Roman"/>
          <w:b/>
          <w:bCs/>
          <w:color w:val="auto"/>
          <w:sz w:val="21"/>
          <w:szCs w:val="21"/>
          <w:lang w:val="en-US" w:eastAsia="zh-CN"/>
        </w:rPr>
        <w:t xml:space="preserve">13  </w:t>
      </w:r>
      <w:r>
        <w:rPr>
          <w:rFonts w:hint="default" w:ascii="Times New Roman" w:hAnsi="Times New Roman" w:eastAsia="宋体" w:cs="Times New Roman"/>
          <w:b/>
          <w:bCs/>
          <w:color w:val="auto"/>
          <w:sz w:val="21"/>
          <w:szCs w:val="21"/>
        </w:rPr>
        <w:t>建设项目大气环境影响评价自查表</w:t>
      </w:r>
    </w:p>
    <w:tbl>
      <w:tblPr>
        <w:tblStyle w:val="35"/>
        <w:tblW w:w="92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1484"/>
        <w:gridCol w:w="811"/>
        <w:gridCol w:w="82"/>
        <w:gridCol w:w="190"/>
        <w:gridCol w:w="502"/>
        <w:gridCol w:w="114"/>
        <w:gridCol w:w="136"/>
        <w:gridCol w:w="478"/>
        <w:gridCol w:w="150"/>
        <w:gridCol w:w="252"/>
        <w:gridCol w:w="38"/>
        <w:gridCol w:w="589"/>
        <w:gridCol w:w="126"/>
        <w:gridCol w:w="3"/>
        <w:gridCol w:w="397"/>
        <w:gridCol w:w="7"/>
        <w:gridCol w:w="118"/>
        <w:gridCol w:w="504"/>
        <w:gridCol w:w="130"/>
        <w:gridCol w:w="157"/>
        <w:gridCol w:w="226"/>
        <w:gridCol w:w="467"/>
        <w:gridCol w:w="512"/>
        <w:gridCol w:w="9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8" w:type="dxa"/>
            <w:gridSpan w:val="2"/>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工作内容</w:t>
            </w:r>
          </w:p>
        </w:tc>
        <w:tc>
          <w:tcPr>
            <w:tcW w:w="6942" w:type="dxa"/>
            <w:gridSpan w:val="23"/>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自查项目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restart"/>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评价等级与范围</w:t>
            </w:r>
          </w:p>
        </w:tc>
        <w:tc>
          <w:tcPr>
            <w:tcW w:w="1484" w:type="dxa"/>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评价等级</w:t>
            </w:r>
          </w:p>
        </w:tc>
        <w:tc>
          <w:tcPr>
            <w:tcW w:w="2313" w:type="dxa"/>
            <w:gridSpan w:val="7"/>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一级□</w:t>
            </w:r>
          </w:p>
        </w:tc>
        <w:tc>
          <w:tcPr>
            <w:tcW w:w="2314" w:type="dxa"/>
            <w:gridSpan w:val="11"/>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二级</w:t>
            </w:r>
            <w:r>
              <w:rPr>
                <w:rFonts w:hint="default" w:ascii="Times New Roman" w:hAnsi="Times New Roman" w:eastAsia="宋体" w:cs="Times New Roman"/>
                <w:color w:val="auto"/>
                <w:sz w:val="21"/>
                <w:szCs w:val="21"/>
              </w:rPr>
              <w:sym w:font="Wingdings 2" w:char="0052"/>
            </w:r>
          </w:p>
        </w:tc>
        <w:tc>
          <w:tcPr>
            <w:tcW w:w="2315" w:type="dxa"/>
            <w:gridSpan w:val="5"/>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tcBorders>
              <w:tl2br w:val="nil"/>
              <w:tr2bl w:val="nil"/>
            </w:tcBorders>
            <w:noWrap w:val="0"/>
            <w:vAlign w:val="center"/>
          </w:tcPr>
          <w:p>
            <w:pPr>
              <w:jc w:val="center"/>
              <w:rPr>
                <w:rFonts w:hint="default" w:ascii="Times New Roman" w:hAnsi="Times New Roman" w:eastAsia="宋体" w:cs="Times New Roman"/>
                <w:color w:val="auto"/>
                <w:sz w:val="21"/>
                <w:szCs w:val="21"/>
              </w:rPr>
            </w:pPr>
          </w:p>
        </w:tc>
        <w:tc>
          <w:tcPr>
            <w:tcW w:w="1484" w:type="dxa"/>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评价范围</w:t>
            </w:r>
          </w:p>
        </w:tc>
        <w:tc>
          <w:tcPr>
            <w:tcW w:w="2313" w:type="dxa"/>
            <w:gridSpan w:val="7"/>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边长=50km□</w:t>
            </w:r>
          </w:p>
        </w:tc>
        <w:tc>
          <w:tcPr>
            <w:tcW w:w="2314" w:type="dxa"/>
            <w:gridSpan w:val="11"/>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边长5~50km</w:t>
            </w:r>
            <w:r>
              <w:rPr>
                <w:rFonts w:hint="default" w:ascii="Times New Roman" w:hAnsi="Times New Roman" w:eastAsia="宋体" w:cs="Times New Roman"/>
                <w:color w:val="auto"/>
                <w:sz w:val="21"/>
                <w:szCs w:val="21"/>
              </w:rPr>
              <w:sym w:font="Wingdings 2" w:char="00A3"/>
            </w:r>
          </w:p>
        </w:tc>
        <w:tc>
          <w:tcPr>
            <w:tcW w:w="2315" w:type="dxa"/>
            <w:gridSpan w:val="5"/>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边长=5km</w:t>
            </w:r>
            <w:r>
              <w:rPr>
                <w:rFonts w:hint="default" w:ascii="Times New Roman" w:hAnsi="Times New Roman" w:eastAsia="宋体" w:cs="Times New Roman"/>
                <w:color w:val="auto"/>
                <w:sz w:val="21"/>
                <w:szCs w:val="21"/>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restart"/>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评价因子</w:t>
            </w:r>
          </w:p>
        </w:tc>
        <w:tc>
          <w:tcPr>
            <w:tcW w:w="1484" w:type="dxa"/>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w:t>
            </w:r>
            <w:r>
              <w:rPr>
                <w:rFonts w:hint="eastAsia" w:ascii="Times New Roman" w:hAnsi="Times New Roman" w:eastAsia="宋体" w:cs="Times New Roman"/>
                <w:color w:val="auto"/>
                <w:sz w:val="21"/>
                <w:szCs w:val="21"/>
                <w:lang w:eastAsia="zh-CN"/>
              </w:rPr>
              <w:t>O</w:t>
            </w:r>
            <w:r>
              <w:rPr>
                <w:rFonts w:hint="eastAsia" w:ascii="Times New Roman" w:hAnsi="Times New Roman" w:eastAsia="宋体" w:cs="Times New Roman"/>
                <w:color w:val="auto"/>
                <w:sz w:val="21"/>
                <w:szCs w:val="21"/>
                <w:vertAlign w:val="subscript"/>
                <w:lang w:eastAsia="zh-CN"/>
              </w:rPr>
              <w:t>2</w:t>
            </w:r>
            <w:r>
              <w:rPr>
                <w:rFonts w:hint="default" w:ascii="Times New Roman" w:hAnsi="Times New Roman" w:eastAsia="宋体" w:cs="Times New Roman"/>
                <w:color w:val="auto"/>
                <w:sz w:val="21"/>
                <w:szCs w:val="21"/>
              </w:rPr>
              <w:t>+NO</w:t>
            </w:r>
            <w:r>
              <w:rPr>
                <w:rFonts w:hint="default" w:ascii="Times New Roman" w:hAnsi="Times New Roman" w:eastAsia="宋体" w:cs="Times New Roman"/>
                <w:color w:val="auto"/>
                <w:sz w:val="21"/>
                <w:szCs w:val="21"/>
                <w:vertAlign w:val="subscript"/>
              </w:rPr>
              <w:t>x</w:t>
            </w:r>
            <w:r>
              <w:rPr>
                <w:rFonts w:hint="default" w:ascii="Times New Roman" w:hAnsi="Times New Roman" w:eastAsia="宋体" w:cs="Times New Roman"/>
                <w:color w:val="auto"/>
                <w:sz w:val="21"/>
                <w:szCs w:val="21"/>
              </w:rPr>
              <w:t>排放量</w:t>
            </w:r>
          </w:p>
        </w:tc>
        <w:tc>
          <w:tcPr>
            <w:tcW w:w="2313" w:type="dxa"/>
            <w:gridSpan w:val="7"/>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≥2000t/a□</w:t>
            </w:r>
          </w:p>
        </w:tc>
        <w:tc>
          <w:tcPr>
            <w:tcW w:w="2314" w:type="dxa"/>
            <w:gridSpan w:val="11"/>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500~2000t/a□</w:t>
            </w:r>
          </w:p>
        </w:tc>
        <w:tc>
          <w:tcPr>
            <w:tcW w:w="2315" w:type="dxa"/>
            <w:gridSpan w:val="5"/>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＜500t/a</w:t>
            </w:r>
            <w:r>
              <w:rPr>
                <w:rFonts w:hint="default" w:ascii="Times New Roman" w:hAnsi="Times New Roman" w:eastAsia="宋体" w:cs="Times New Roman"/>
                <w:color w:val="auto"/>
                <w:sz w:val="21"/>
                <w:szCs w:val="21"/>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tcBorders>
              <w:tl2br w:val="nil"/>
              <w:tr2bl w:val="nil"/>
            </w:tcBorders>
            <w:noWrap w:val="0"/>
            <w:vAlign w:val="center"/>
          </w:tcPr>
          <w:p>
            <w:pPr>
              <w:jc w:val="center"/>
              <w:rPr>
                <w:rFonts w:hint="default" w:ascii="Times New Roman" w:hAnsi="Times New Roman" w:eastAsia="宋体" w:cs="Times New Roman"/>
                <w:color w:val="auto"/>
                <w:sz w:val="21"/>
                <w:szCs w:val="21"/>
              </w:rPr>
            </w:pPr>
          </w:p>
        </w:tc>
        <w:tc>
          <w:tcPr>
            <w:tcW w:w="1484" w:type="dxa"/>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评价因子</w:t>
            </w:r>
          </w:p>
        </w:tc>
        <w:tc>
          <w:tcPr>
            <w:tcW w:w="3471" w:type="dxa"/>
            <w:gridSpan w:val="13"/>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基本污染物（</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w:t>
            </w:r>
          </w:p>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其他污染物（</w:t>
            </w:r>
            <w:r>
              <w:rPr>
                <w:rFonts w:hint="eastAsia" w:ascii="Times New Roman" w:hAnsi="Times New Roman" w:eastAsia="宋体" w:cs="Times New Roman"/>
                <w:color w:val="auto"/>
                <w:sz w:val="21"/>
                <w:szCs w:val="21"/>
                <w:lang w:val="en-US" w:eastAsia="zh-CN"/>
              </w:rPr>
              <w:t>H</w:t>
            </w:r>
            <w:r>
              <w:rPr>
                <w:rFonts w:hint="eastAsia" w:ascii="Times New Roman" w:hAnsi="Times New Roman" w:eastAsia="宋体" w:cs="Times New Roman"/>
                <w:color w:val="auto"/>
                <w:sz w:val="21"/>
                <w:szCs w:val="21"/>
                <w:vertAlign w:val="subscript"/>
                <w:lang w:val="en-US" w:eastAsia="zh-CN"/>
              </w:rPr>
              <w:t>2</w:t>
            </w:r>
            <w:r>
              <w:rPr>
                <w:rFonts w:hint="eastAsia" w:ascii="Times New Roman" w:hAnsi="Times New Roman" w:eastAsia="宋体" w:cs="Times New Roman"/>
                <w:color w:val="auto"/>
                <w:sz w:val="21"/>
                <w:szCs w:val="21"/>
                <w:lang w:val="en-US" w:eastAsia="zh-CN"/>
              </w:rPr>
              <w:t>S 和 NH</w:t>
            </w:r>
            <w:r>
              <w:rPr>
                <w:rFonts w:hint="eastAsia" w:ascii="Times New Roman" w:hAnsi="Times New Roman" w:eastAsia="宋体" w:cs="Times New Roman"/>
                <w:color w:val="auto"/>
                <w:sz w:val="21"/>
                <w:szCs w:val="21"/>
                <w:vertAlign w:val="subscript"/>
                <w:lang w:val="en-US" w:eastAsia="zh-CN"/>
              </w:rPr>
              <w:t>3</w:t>
            </w:r>
            <w:r>
              <w:rPr>
                <w:rFonts w:hint="default" w:ascii="Times New Roman" w:hAnsi="Times New Roman" w:eastAsia="宋体" w:cs="Times New Roman"/>
                <w:color w:val="auto"/>
                <w:sz w:val="21"/>
                <w:szCs w:val="21"/>
              </w:rPr>
              <w:t>）</w:t>
            </w:r>
          </w:p>
        </w:tc>
        <w:tc>
          <w:tcPr>
            <w:tcW w:w="3471" w:type="dxa"/>
            <w:gridSpan w:val="10"/>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包括二次PM2.5</w:t>
            </w:r>
            <w:r>
              <w:rPr>
                <w:rFonts w:hint="default" w:ascii="Times New Roman" w:hAnsi="Times New Roman" w:eastAsia="宋体" w:cs="Times New Roman"/>
                <w:color w:val="auto"/>
                <w:sz w:val="21"/>
                <w:szCs w:val="21"/>
              </w:rPr>
              <w:sym w:font="Wingdings 2" w:char="00A3"/>
            </w:r>
          </w:p>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不包括二次PM2.5</w:t>
            </w:r>
            <w:r>
              <w:rPr>
                <w:rFonts w:hint="default" w:ascii="Times New Roman" w:hAnsi="Times New Roman" w:eastAsia="宋体" w:cs="Times New Roman"/>
                <w:color w:val="auto"/>
                <w:sz w:val="21"/>
                <w:szCs w:val="21"/>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评价标准</w:t>
            </w:r>
          </w:p>
        </w:tc>
        <w:tc>
          <w:tcPr>
            <w:tcW w:w="1484" w:type="dxa"/>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评价标准</w:t>
            </w:r>
          </w:p>
        </w:tc>
        <w:tc>
          <w:tcPr>
            <w:tcW w:w="1083" w:type="dxa"/>
            <w:gridSpan w:val="3"/>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国家标准</w:t>
            </w:r>
            <w:r>
              <w:rPr>
                <w:rFonts w:hint="default" w:ascii="Times New Roman" w:hAnsi="Times New Roman" w:eastAsia="宋体" w:cs="Times New Roman"/>
                <w:color w:val="auto"/>
                <w:sz w:val="21"/>
                <w:szCs w:val="21"/>
              </w:rPr>
              <w:sym w:font="Wingdings 2" w:char="0052"/>
            </w:r>
          </w:p>
        </w:tc>
        <w:tc>
          <w:tcPr>
            <w:tcW w:w="1380" w:type="dxa"/>
            <w:gridSpan w:val="5"/>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地方标准□</w:t>
            </w:r>
          </w:p>
        </w:tc>
        <w:tc>
          <w:tcPr>
            <w:tcW w:w="2034" w:type="dxa"/>
            <w:gridSpan w:val="9"/>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附录D</w:t>
            </w:r>
            <w:r>
              <w:rPr>
                <w:rFonts w:hint="default" w:ascii="Times New Roman" w:hAnsi="Times New Roman" w:eastAsia="宋体" w:cs="Times New Roman"/>
                <w:color w:val="auto"/>
                <w:sz w:val="21"/>
                <w:szCs w:val="21"/>
              </w:rPr>
              <w:sym w:font="Wingdings 2" w:char="0052"/>
            </w:r>
          </w:p>
        </w:tc>
        <w:tc>
          <w:tcPr>
            <w:tcW w:w="2445" w:type="dxa"/>
            <w:gridSpan w:val="6"/>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其他标准□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restart"/>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现状评价</w:t>
            </w:r>
          </w:p>
        </w:tc>
        <w:tc>
          <w:tcPr>
            <w:tcW w:w="1484" w:type="dxa"/>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环境功能区</w:t>
            </w:r>
          </w:p>
        </w:tc>
        <w:tc>
          <w:tcPr>
            <w:tcW w:w="1699" w:type="dxa"/>
            <w:gridSpan w:val="5"/>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一类区□</w:t>
            </w:r>
          </w:p>
        </w:tc>
        <w:tc>
          <w:tcPr>
            <w:tcW w:w="2169" w:type="dxa"/>
            <w:gridSpan w:val="9"/>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二类区</w:t>
            </w:r>
            <w:r>
              <w:rPr>
                <w:rFonts w:hint="default" w:ascii="Times New Roman" w:hAnsi="Times New Roman" w:eastAsia="宋体" w:cs="Times New Roman"/>
                <w:color w:val="auto"/>
                <w:sz w:val="21"/>
                <w:szCs w:val="21"/>
              </w:rPr>
              <w:sym w:font="Wingdings 2" w:char="0052"/>
            </w:r>
          </w:p>
        </w:tc>
        <w:tc>
          <w:tcPr>
            <w:tcW w:w="3074" w:type="dxa"/>
            <w:gridSpan w:val="9"/>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一类区和二类区□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tcBorders>
              <w:tl2br w:val="nil"/>
              <w:tr2bl w:val="nil"/>
            </w:tcBorders>
            <w:noWrap w:val="0"/>
            <w:vAlign w:val="center"/>
          </w:tcPr>
          <w:p>
            <w:pPr>
              <w:jc w:val="center"/>
              <w:rPr>
                <w:rFonts w:hint="default" w:ascii="Times New Roman" w:hAnsi="Times New Roman" w:eastAsia="宋体" w:cs="Times New Roman"/>
                <w:color w:val="auto"/>
                <w:sz w:val="21"/>
                <w:szCs w:val="21"/>
              </w:rPr>
            </w:pPr>
          </w:p>
        </w:tc>
        <w:tc>
          <w:tcPr>
            <w:tcW w:w="1484" w:type="dxa"/>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评价基准年</w:t>
            </w:r>
          </w:p>
        </w:tc>
        <w:tc>
          <w:tcPr>
            <w:tcW w:w="6942" w:type="dxa"/>
            <w:gridSpan w:val="23"/>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2020</w:t>
            </w:r>
            <w:r>
              <w:rPr>
                <w:rFonts w:hint="default" w:ascii="Times New Roman" w:hAnsi="Times New Roman" w:eastAsia="宋体" w:cs="Times New Roman"/>
                <w:color w:val="auto"/>
                <w:sz w:val="21"/>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tcBorders>
              <w:tl2br w:val="nil"/>
              <w:tr2bl w:val="nil"/>
            </w:tcBorders>
            <w:noWrap w:val="0"/>
            <w:vAlign w:val="center"/>
          </w:tcPr>
          <w:p>
            <w:pPr>
              <w:jc w:val="center"/>
              <w:rPr>
                <w:rFonts w:hint="default" w:ascii="Times New Roman" w:hAnsi="Times New Roman" w:eastAsia="宋体" w:cs="Times New Roman"/>
                <w:color w:val="auto"/>
                <w:sz w:val="21"/>
                <w:szCs w:val="21"/>
              </w:rPr>
            </w:pPr>
          </w:p>
        </w:tc>
        <w:tc>
          <w:tcPr>
            <w:tcW w:w="1484" w:type="dxa"/>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环境空气质量现状调查数据来源</w:t>
            </w:r>
          </w:p>
        </w:tc>
        <w:tc>
          <w:tcPr>
            <w:tcW w:w="1699" w:type="dxa"/>
            <w:gridSpan w:val="5"/>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长期例行监测数据□</w:t>
            </w:r>
          </w:p>
        </w:tc>
        <w:tc>
          <w:tcPr>
            <w:tcW w:w="2169" w:type="dxa"/>
            <w:gridSpan w:val="9"/>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主管部门发布的数据</w:t>
            </w:r>
            <w:r>
              <w:rPr>
                <w:rFonts w:hint="default" w:ascii="Times New Roman" w:hAnsi="Times New Roman" w:eastAsia="宋体" w:cs="Times New Roman"/>
                <w:color w:val="auto"/>
                <w:sz w:val="21"/>
                <w:szCs w:val="21"/>
              </w:rPr>
              <w:sym w:font="Wingdings 2" w:char="0052"/>
            </w:r>
          </w:p>
        </w:tc>
        <w:tc>
          <w:tcPr>
            <w:tcW w:w="3074" w:type="dxa"/>
            <w:gridSpan w:val="9"/>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现状补充监测</w:t>
            </w:r>
            <w:r>
              <w:rPr>
                <w:rFonts w:hint="default" w:ascii="Times New Roman" w:hAnsi="Times New Roman" w:eastAsia="宋体" w:cs="Times New Roman"/>
                <w:color w:val="auto"/>
                <w:sz w:val="21"/>
                <w:szCs w:val="21"/>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tcBorders>
              <w:tl2br w:val="nil"/>
              <w:tr2bl w:val="nil"/>
            </w:tcBorders>
            <w:noWrap w:val="0"/>
            <w:vAlign w:val="center"/>
          </w:tcPr>
          <w:p>
            <w:pPr>
              <w:jc w:val="center"/>
              <w:rPr>
                <w:rFonts w:hint="default" w:ascii="Times New Roman" w:hAnsi="Times New Roman" w:eastAsia="宋体" w:cs="Times New Roman"/>
                <w:color w:val="auto"/>
                <w:sz w:val="21"/>
                <w:szCs w:val="21"/>
              </w:rPr>
            </w:pPr>
          </w:p>
        </w:tc>
        <w:tc>
          <w:tcPr>
            <w:tcW w:w="1484" w:type="dxa"/>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现状评价</w:t>
            </w:r>
          </w:p>
        </w:tc>
        <w:tc>
          <w:tcPr>
            <w:tcW w:w="3868" w:type="dxa"/>
            <w:gridSpan w:val="14"/>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达标区</w:t>
            </w:r>
            <w:r>
              <w:rPr>
                <w:rFonts w:hint="default" w:ascii="Times New Roman" w:hAnsi="Times New Roman" w:eastAsia="宋体" w:cs="Times New Roman"/>
                <w:color w:val="auto"/>
                <w:sz w:val="21"/>
                <w:szCs w:val="21"/>
              </w:rPr>
              <w:sym w:font="Wingdings 2" w:char="0052"/>
            </w:r>
          </w:p>
        </w:tc>
        <w:tc>
          <w:tcPr>
            <w:tcW w:w="3074" w:type="dxa"/>
            <w:gridSpan w:val="9"/>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不达标区</w:t>
            </w:r>
            <w:r>
              <w:rPr>
                <w:rFonts w:hint="default" w:ascii="Times New Roman" w:hAnsi="Times New Roman" w:eastAsia="宋体" w:cs="Times New Roman"/>
                <w:color w:val="auto"/>
                <w:sz w:val="21"/>
                <w:szCs w:val="21"/>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污染源</w:t>
            </w:r>
          </w:p>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调查</w:t>
            </w:r>
          </w:p>
        </w:tc>
        <w:tc>
          <w:tcPr>
            <w:tcW w:w="1484" w:type="dxa"/>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调查内容</w:t>
            </w:r>
          </w:p>
        </w:tc>
        <w:tc>
          <w:tcPr>
            <w:tcW w:w="1835" w:type="dxa"/>
            <w:gridSpan w:val="6"/>
            <w:tcBorders>
              <w:tl2br w:val="nil"/>
              <w:tr2bl w:val="nil"/>
            </w:tcBorders>
            <w:noWrap w:val="0"/>
            <w:vAlign w:val="center"/>
          </w:tcPr>
          <w:p>
            <w:pPr>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本项目正常排放源</w:t>
            </w:r>
            <w:r>
              <w:rPr>
                <w:rFonts w:hint="default" w:ascii="Times New Roman" w:hAnsi="Times New Roman" w:eastAsia="宋体" w:cs="Times New Roman"/>
                <w:color w:val="auto"/>
                <w:sz w:val="21"/>
                <w:szCs w:val="21"/>
              </w:rPr>
              <w:sym w:font="Wingdings 2" w:char="0052"/>
            </w:r>
          </w:p>
          <w:p>
            <w:pPr>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本项目非正常排放源□</w:t>
            </w:r>
          </w:p>
          <w:p>
            <w:pPr>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现有污染源</w:t>
            </w:r>
            <w:r>
              <w:rPr>
                <w:rFonts w:hint="default" w:ascii="Times New Roman" w:hAnsi="Times New Roman" w:eastAsia="宋体" w:cs="Times New Roman"/>
                <w:color w:val="auto"/>
                <w:sz w:val="21"/>
                <w:szCs w:val="21"/>
              </w:rPr>
              <w:sym w:font="Wingdings 2" w:char="0052"/>
            </w:r>
          </w:p>
        </w:tc>
        <w:tc>
          <w:tcPr>
            <w:tcW w:w="1507" w:type="dxa"/>
            <w:gridSpan w:val="5"/>
            <w:tcBorders>
              <w:tl2br w:val="nil"/>
              <w:tr2bl w:val="nil"/>
            </w:tcBorders>
            <w:noWrap w:val="0"/>
            <w:vAlign w:val="center"/>
          </w:tcPr>
          <w:p>
            <w:pPr>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拟替代的污染源□</w:t>
            </w:r>
          </w:p>
        </w:tc>
        <w:tc>
          <w:tcPr>
            <w:tcW w:w="2135" w:type="dxa"/>
            <w:gridSpan w:val="10"/>
            <w:tcBorders>
              <w:tl2br w:val="nil"/>
              <w:tr2bl w:val="nil"/>
            </w:tcBorders>
            <w:noWrap w:val="0"/>
            <w:vAlign w:val="center"/>
          </w:tcPr>
          <w:p>
            <w:pPr>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其他在建、</w:t>
            </w:r>
            <w:r>
              <w:rPr>
                <w:rFonts w:hint="eastAsia" w:ascii="Times New Roman" w:hAnsi="Times New Roman" w:eastAsia="宋体" w:cs="Times New Roman"/>
                <w:color w:val="auto"/>
                <w:sz w:val="21"/>
                <w:szCs w:val="21"/>
                <w:lang w:eastAsia="zh-CN"/>
              </w:rPr>
              <w:t>本项目</w:t>
            </w:r>
            <w:r>
              <w:rPr>
                <w:rFonts w:hint="default" w:ascii="Times New Roman" w:hAnsi="Times New Roman" w:eastAsia="宋体" w:cs="Times New Roman"/>
                <w:color w:val="auto"/>
                <w:sz w:val="21"/>
                <w:szCs w:val="21"/>
              </w:rPr>
              <w:t>污染源</w:t>
            </w:r>
            <w:r>
              <w:rPr>
                <w:rFonts w:hint="default" w:ascii="Times New Roman" w:hAnsi="Times New Roman" w:eastAsia="宋体" w:cs="Times New Roman"/>
                <w:color w:val="auto"/>
                <w:sz w:val="21"/>
                <w:szCs w:val="21"/>
              </w:rPr>
              <w:sym w:font="Wingdings 2" w:char="0052"/>
            </w:r>
          </w:p>
        </w:tc>
        <w:tc>
          <w:tcPr>
            <w:tcW w:w="1465" w:type="dxa"/>
            <w:gridSpan w:val="2"/>
            <w:tcBorders>
              <w:tl2br w:val="nil"/>
              <w:tr2bl w:val="nil"/>
            </w:tcBorders>
            <w:noWrap w:val="0"/>
            <w:vAlign w:val="center"/>
          </w:tcPr>
          <w:p>
            <w:pPr>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区域污染源</w:t>
            </w:r>
            <w:r>
              <w:rPr>
                <w:rFonts w:hint="default" w:ascii="Times New Roman" w:hAnsi="Times New Roman" w:eastAsia="宋体" w:cs="Times New Roman"/>
                <w:color w:val="auto"/>
                <w:sz w:val="21"/>
                <w:szCs w:val="21"/>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restart"/>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大气环境影响预测与评价</w:t>
            </w:r>
          </w:p>
        </w:tc>
        <w:tc>
          <w:tcPr>
            <w:tcW w:w="1484" w:type="dxa"/>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预测模型</w:t>
            </w:r>
          </w:p>
        </w:tc>
        <w:tc>
          <w:tcPr>
            <w:tcW w:w="893" w:type="dxa"/>
            <w:gridSpan w:val="2"/>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AERMOD□</w:t>
            </w:r>
          </w:p>
        </w:tc>
        <w:tc>
          <w:tcPr>
            <w:tcW w:w="692" w:type="dxa"/>
            <w:gridSpan w:val="2"/>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ADMS□</w:t>
            </w:r>
          </w:p>
        </w:tc>
        <w:tc>
          <w:tcPr>
            <w:tcW w:w="1168" w:type="dxa"/>
            <w:gridSpan w:val="6"/>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AUSTAL2000□</w:t>
            </w:r>
          </w:p>
        </w:tc>
        <w:tc>
          <w:tcPr>
            <w:tcW w:w="1240" w:type="dxa"/>
            <w:gridSpan w:val="6"/>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EDMS/AEDT□</w:t>
            </w:r>
          </w:p>
        </w:tc>
        <w:tc>
          <w:tcPr>
            <w:tcW w:w="1017" w:type="dxa"/>
            <w:gridSpan w:val="4"/>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CALPUFF□</w:t>
            </w:r>
          </w:p>
        </w:tc>
        <w:tc>
          <w:tcPr>
            <w:tcW w:w="979" w:type="dxa"/>
            <w:gridSpan w:val="2"/>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网格模型□</w:t>
            </w:r>
          </w:p>
        </w:tc>
        <w:tc>
          <w:tcPr>
            <w:tcW w:w="953" w:type="dxa"/>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其他</w:t>
            </w:r>
            <w:r>
              <w:rPr>
                <w:rFonts w:hint="default" w:ascii="Times New Roman" w:hAnsi="Times New Roman" w:eastAsia="宋体" w:cs="Times New Roman"/>
                <w:color w:val="auto"/>
                <w:sz w:val="21"/>
                <w:szCs w:val="21"/>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tcBorders>
              <w:tl2br w:val="nil"/>
              <w:tr2bl w:val="nil"/>
            </w:tcBorders>
            <w:noWrap w:val="0"/>
            <w:vAlign w:val="center"/>
          </w:tcPr>
          <w:p>
            <w:pPr>
              <w:jc w:val="center"/>
              <w:rPr>
                <w:rFonts w:hint="default" w:ascii="Times New Roman" w:hAnsi="Times New Roman" w:eastAsia="宋体" w:cs="Times New Roman"/>
                <w:color w:val="auto"/>
                <w:sz w:val="21"/>
                <w:szCs w:val="21"/>
              </w:rPr>
            </w:pPr>
          </w:p>
        </w:tc>
        <w:tc>
          <w:tcPr>
            <w:tcW w:w="1484" w:type="dxa"/>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预测范围</w:t>
            </w:r>
          </w:p>
        </w:tc>
        <w:tc>
          <w:tcPr>
            <w:tcW w:w="1699" w:type="dxa"/>
            <w:gridSpan w:val="5"/>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边长≥50km□</w:t>
            </w:r>
          </w:p>
        </w:tc>
        <w:tc>
          <w:tcPr>
            <w:tcW w:w="2176" w:type="dxa"/>
            <w:gridSpan w:val="10"/>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边长5~50km</w:t>
            </w:r>
            <w:r>
              <w:rPr>
                <w:rFonts w:hint="default" w:ascii="Times New Roman" w:hAnsi="Times New Roman" w:eastAsia="宋体" w:cs="Times New Roman"/>
                <w:color w:val="auto"/>
                <w:sz w:val="21"/>
                <w:szCs w:val="21"/>
              </w:rPr>
              <w:sym w:font="Wingdings 2" w:char="00A3"/>
            </w:r>
          </w:p>
        </w:tc>
        <w:tc>
          <w:tcPr>
            <w:tcW w:w="3067" w:type="dxa"/>
            <w:gridSpan w:val="8"/>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边长=5km</w:t>
            </w:r>
            <w:r>
              <w:rPr>
                <w:rFonts w:hint="default" w:ascii="Times New Roman" w:hAnsi="Times New Roman" w:eastAsia="宋体" w:cs="Times New Roman"/>
                <w:color w:val="auto"/>
                <w:sz w:val="21"/>
                <w:szCs w:val="21"/>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tcBorders>
              <w:tl2br w:val="nil"/>
              <w:tr2bl w:val="nil"/>
            </w:tcBorders>
            <w:noWrap w:val="0"/>
            <w:vAlign w:val="center"/>
          </w:tcPr>
          <w:p>
            <w:pPr>
              <w:jc w:val="center"/>
              <w:rPr>
                <w:rFonts w:hint="default" w:ascii="Times New Roman" w:hAnsi="Times New Roman" w:eastAsia="宋体" w:cs="Times New Roman"/>
                <w:color w:val="auto"/>
                <w:sz w:val="21"/>
                <w:szCs w:val="21"/>
              </w:rPr>
            </w:pPr>
          </w:p>
        </w:tc>
        <w:tc>
          <w:tcPr>
            <w:tcW w:w="1484" w:type="dxa"/>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预测因子</w:t>
            </w:r>
          </w:p>
        </w:tc>
        <w:tc>
          <w:tcPr>
            <w:tcW w:w="3868" w:type="dxa"/>
            <w:gridSpan w:val="14"/>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预测因子（</w:t>
            </w:r>
            <w:r>
              <w:rPr>
                <w:rFonts w:hint="eastAsia" w:ascii="Times New Roman" w:hAnsi="Times New Roman" w:eastAsia="宋体" w:cs="Times New Roman"/>
                <w:color w:val="auto"/>
                <w:sz w:val="21"/>
                <w:szCs w:val="21"/>
                <w:lang w:val="en-US" w:eastAsia="zh-CN"/>
              </w:rPr>
              <w:t>H</w:t>
            </w:r>
            <w:r>
              <w:rPr>
                <w:rFonts w:hint="eastAsia" w:ascii="Times New Roman" w:hAnsi="Times New Roman" w:eastAsia="宋体" w:cs="Times New Roman"/>
                <w:color w:val="auto"/>
                <w:sz w:val="21"/>
                <w:szCs w:val="21"/>
                <w:vertAlign w:val="subscript"/>
                <w:lang w:val="en-US" w:eastAsia="zh-CN"/>
              </w:rPr>
              <w:t>2</w:t>
            </w:r>
            <w:r>
              <w:rPr>
                <w:rFonts w:hint="eastAsia" w:ascii="Times New Roman" w:hAnsi="Times New Roman" w:eastAsia="宋体" w:cs="Times New Roman"/>
                <w:color w:val="auto"/>
                <w:sz w:val="21"/>
                <w:szCs w:val="21"/>
                <w:lang w:val="en-US" w:eastAsia="zh-CN"/>
              </w:rPr>
              <w:t>S 和 NH</w:t>
            </w:r>
            <w:r>
              <w:rPr>
                <w:rFonts w:hint="eastAsia" w:ascii="Times New Roman" w:hAnsi="Times New Roman" w:eastAsia="宋体" w:cs="Times New Roman"/>
                <w:color w:val="auto"/>
                <w:sz w:val="21"/>
                <w:szCs w:val="21"/>
                <w:vertAlign w:val="subscript"/>
                <w:lang w:val="en-US" w:eastAsia="zh-CN"/>
              </w:rPr>
              <w:t>3</w:t>
            </w:r>
            <w:r>
              <w:rPr>
                <w:rFonts w:hint="default" w:ascii="Times New Roman" w:hAnsi="Times New Roman" w:eastAsia="宋体" w:cs="Times New Roman"/>
                <w:color w:val="auto"/>
                <w:sz w:val="21"/>
                <w:szCs w:val="21"/>
              </w:rPr>
              <w:t>）</w:t>
            </w:r>
          </w:p>
        </w:tc>
        <w:tc>
          <w:tcPr>
            <w:tcW w:w="3074" w:type="dxa"/>
            <w:gridSpan w:val="9"/>
            <w:tcBorders>
              <w:tl2br w:val="nil"/>
              <w:tr2bl w:val="nil"/>
            </w:tcBorders>
            <w:noWrap w:val="0"/>
            <w:vAlign w:val="center"/>
          </w:tcPr>
          <w:p>
            <w:pPr>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包括二次PM2.5□</w:t>
            </w:r>
          </w:p>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不包括二次PM2.5</w:t>
            </w:r>
            <w:r>
              <w:rPr>
                <w:rFonts w:hint="default" w:ascii="Times New Roman" w:hAnsi="Times New Roman" w:eastAsia="宋体" w:cs="Times New Roman"/>
                <w:color w:val="auto"/>
                <w:sz w:val="21"/>
                <w:szCs w:val="21"/>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tcBorders>
              <w:tl2br w:val="nil"/>
              <w:tr2bl w:val="nil"/>
            </w:tcBorders>
            <w:noWrap w:val="0"/>
            <w:vAlign w:val="center"/>
          </w:tcPr>
          <w:p>
            <w:pPr>
              <w:jc w:val="center"/>
              <w:rPr>
                <w:rFonts w:hint="default" w:ascii="Times New Roman" w:hAnsi="Times New Roman" w:eastAsia="宋体" w:cs="Times New Roman"/>
                <w:color w:val="auto"/>
                <w:sz w:val="21"/>
                <w:szCs w:val="21"/>
              </w:rPr>
            </w:pPr>
          </w:p>
        </w:tc>
        <w:tc>
          <w:tcPr>
            <w:tcW w:w="1484" w:type="dxa"/>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正常排放短期浓度贡献值</w:t>
            </w:r>
          </w:p>
        </w:tc>
        <w:tc>
          <w:tcPr>
            <w:tcW w:w="3868" w:type="dxa"/>
            <w:gridSpan w:val="14"/>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w:t>
            </w:r>
            <w:r>
              <w:rPr>
                <w:rFonts w:hint="default" w:ascii="Times New Roman" w:hAnsi="Times New Roman" w:eastAsia="宋体" w:cs="Times New Roman"/>
                <w:color w:val="auto"/>
                <w:sz w:val="21"/>
                <w:szCs w:val="21"/>
                <w:vertAlign w:val="subscript"/>
              </w:rPr>
              <w:t>本项目</w:t>
            </w:r>
            <w:r>
              <w:rPr>
                <w:rFonts w:hint="default" w:ascii="Times New Roman" w:hAnsi="Times New Roman" w:eastAsia="宋体" w:cs="Times New Roman"/>
                <w:color w:val="auto"/>
                <w:sz w:val="21"/>
                <w:szCs w:val="21"/>
              </w:rPr>
              <w:t>最大占标率≤100%</w:t>
            </w:r>
            <w:r>
              <w:rPr>
                <w:rFonts w:hint="default" w:ascii="Times New Roman" w:hAnsi="Times New Roman" w:eastAsia="宋体" w:cs="Times New Roman"/>
                <w:color w:val="auto"/>
                <w:sz w:val="21"/>
                <w:szCs w:val="21"/>
              </w:rPr>
              <w:sym w:font="Wingdings 2" w:char="00A3"/>
            </w:r>
          </w:p>
        </w:tc>
        <w:tc>
          <w:tcPr>
            <w:tcW w:w="3074" w:type="dxa"/>
            <w:gridSpan w:val="9"/>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w:t>
            </w:r>
            <w:r>
              <w:rPr>
                <w:rFonts w:hint="default" w:ascii="Times New Roman" w:hAnsi="Times New Roman" w:eastAsia="宋体" w:cs="Times New Roman"/>
                <w:color w:val="auto"/>
                <w:sz w:val="21"/>
                <w:szCs w:val="21"/>
                <w:vertAlign w:val="subscript"/>
              </w:rPr>
              <w:t>本项目</w:t>
            </w:r>
            <w:r>
              <w:rPr>
                <w:rFonts w:hint="default" w:ascii="Times New Roman" w:hAnsi="Times New Roman" w:eastAsia="宋体" w:cs="Times New Roman"/>
                <w:color w:val="auto"/>
                <w:sz w:val="21"/>
                <w:szCs w:val="21"/>
              </w:rPr>
              <w:t>最大占标率＞100%□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tcBorders>
              <w:tl2br w:val="nil"/>
              <w:tr2bl w:val="nil"/>
            </w:tcBorders>
            <w:noWrap w:val="0"/>
            <w:vAlign w:val="center"/>
          </w:tcPr>
          <w:p>
            <w:pPr>
              <w:jc w:val="center"/>
              <w:rPr>
                <w:rFonts w:hint="default" w:ascii="Times New Roman" w:hAnsi="Times New Roman" w:eastAsia="宋体" w:cs="Times New Roman"/>
                <w:color w:val="auto"/>
                <w:sz w:val="21"/>
                <w:szCs w:val="21"/>
              </w:rPr>
            </w:pPr>
          </w:p>
        </w:tc>
        <w:tc>
          <w:tcPr>
            <w:tcW w:w="1484" w:type="dxa"/>
            <w:vMerge w:val="restart"/>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正常排放年均浓度贡献值</w:t>
            </w:r>
          </w:p>
        </w:tc>
        <w:tc>
          <w:tcPr>
            <w:tcW w:w="811" w:type="dxa"/>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一类区</w:t>
            </w:r>
          </w:p>
        </w:tc>
        <w:tc>
          <w:tcPr>
            <w:tcW w:w="3064" w:type="dxa"/>
            <w:gridSpan w:val="14"/>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w:t>
            </w:r>
            <w:r>
              <w:rPr>
                <w:rFonts w:hint="default" w:ascii="Times New Roman" w:hAnsi="Times New Roman" w:eastAsia="宋体" w:cs="Times New Roman"/>
                <w:color w:val="auto"/>
                <w:sz w:val="21"/>
                <w:szCs w:val="21"/>
                <w:vertAlign w:val="subscript"/>
              </w:rPr>
              <w:t>本项目</w:t>
            </w:r>
            <w:r>
              <w:rPr>
                <w:rFonts w:hint="default" w:ascii="Times New Roman" w:hAnsi="Times New Roman" w:eastAsia="宋体" w:cs="Times New Roman"/>
                <w:color w:val="auto"/>
                <w:sz w:val="21"/>
                <w:szCs w:val="21"/>
              </w:rPr>
              <w:t>最大占标率≤10%□</w:t>
            </w:r>
          </w:p>
        </w:tc>
        <w:tc>
          <w:tcPr>
            <w:tcW w:w="3067" w:type="dxa"/>
            <w:gridSpan w:val="8"/>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w:t>
            </w:r>
            <w:r>
              <w:rPr>
                <w:rFonts w:hint="default" w:ascii="Times New Roman" w:hAnsi="Times New Roman" w:eastAsia="宋体" w:cs="Times New Roman"/>
                <w:color w:val="auto"/>
                <w:sz w:val="21"/>
                <w:szCs w:val="21"/>
                <w:vertAlign w:val="subscript"/>
              </w:rPr>
              <w:t>本项目</w:t>
            </w:r>
            <w:r>
              <w:rPr>
                <w:rFonts w:hint="default" w:ascii="Times New Roman" w:hAnsi="Times New Roman" w:eastAsia="宋体" w:cs="Times New Roman"/>
                <w:color w:val="auto"/>
                <w:sz w:val="21"/>
                <w:szCs w:val="21"/>
              </w:rPr>
              <w:t>最大占标率＞10%□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tcBorders>
              <w:tl2br w:val="nil"/>
              <w:tr2bl w:val="nil"/>
            </w:tcBorders>
            <w:noWrap w:val="0"/>
            <w:vAlign w:val="center"/>
          </w:tcPr>
          <w:p>
            <w:pPr>
              <w:jc w:val="center"/>
              <w:rPr>
                <w:rFonts w:hint="default" w:ascii="Times New Roman" w:hAnsi="Times New Roman" w:eastAsia="宋体" w:cs="Times New Roman"/>
                <w:color w:val="auto"/>
                <w:sz w:val="21"/>
                <w:szCs w:val="21"/>
              </w:rPr>
            </w:pPr>
          </w:p>
        </w:tc>
        <w:tc>
          <w:tcPr>
            <w:tcW w:w="1484" w:type="dxa"/>
            <w:vMerge w:val="continue"/>
            <w:tcBorders>
              <w:tl2br w:val="nil"/>
              <w:tr2bl w:val="nil"/>
            </w:tcBorders>
            <w:noWrap w:val="0"/>
            <w:vAlign w:val="center"/>
          </w:tcPr>
          <w:p>
            <w:pPr>
              <w:jc w:val="center"/>
              <w:rPr>
                <w:rFonts w:hint="default" w:ascii="Times New Roman" w:hAnsi="Times New Roman" w:eastAsia="宋体" w:cs="Times New Roman"/>
                <w:color w:val="auto"/>
                <w:sz w:val="21"/>
                <w:szCs w:val="21"/>
              </w:rPr>
            </w:pPr>
          </w:p>
        </w:tc>
        <w:tc>
          <w:tcPr>
            <w:tcW w:w="811" w:type="dxa"/>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二类区</w:t>
            </w:r>
          </w:p>
        </w:tc>
        <w:tc>
          <w:tcPr>
            <w:tcW w:w="3064" w:type="dxa"/>
            <w:gridSpan w:val="14"/>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w:t>
            </w:r>
            <w:r>
              <w:rPr>
                <w:rFonts w:hint="default" w:ascii="Times New Roman" w:hAnsi="Times New Roman" w:eastAsia="宋体" w:cs="Times New Roman"/>
                <w:color w:val="auto"/>
                <w:sz w:val="21"/>
                <w:szCs w:val="21"/>
                <w:vertAlign w:val="subscript"/>
              </w:rPr>
              <w:t>本项目</w:t>
            </w:r>
            <w:r>
              <w:rPr>
                <w:rFonts w:hint="default" w:ascii="Times New Roman" w:hAnsi="Times New Roman" w:eastAsia="宋体" w:cs="Times New Roman"/>
                <w:color w:val="auto"/>
                <w:sz w:val="21"/>
                <w:szCs w:val="21"/>
              </w:rPr>
              <w:t>最大占标率≤30%</w:t>
            </w:r>
            <w:r>
              <w:rPr>
                <w:rFonts w:hint="default" w:ascii="Times New Roman" w:hAnsi="Times New Roman" w:eastAsia="宋体" w:cs="Times New Roman"/>
                <w:color w:val="auto"/>
                <w:sz w:val="21"/>
                <w:szCs w:val="21"/>
              </w:rPr>
              <w:sym w:font="Wingdings 2" w:char="00A3"/>
            </w:r>
          </w:p>
        </w:tc>
        <w:tc>
          <w:tcPr>
            <w:tcW w:w="3067" w:type="dxa"/>
            <w:gridSpan w:val="8"/>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w:t>
            </w:r>
            <w:r>
              <w:rPr>
                <w:rFonts w:hint="default" w:ascii="Times New Roman" w:hAnsi="Times New Roman" w:eastAsia="宋体" w:cs="Times New Roman"/>
                <w:color w:val="auto"/>
                <w:sz w:val="21"/>
                <w:szCs w:val="21"/>
                <w:vertAlign w:val="subscript"/>
              </w:rPr>
              <w:t>本项目</w:t>
            </w:r>
            <w:r>
              <w:rPr>
                <w:rFonts w:hint="default" w:ascii="Times New Roman" w:hAnsi="Times New Roman" w:eastAsia="宋体" w:cs="Times New Roman"/>
                <w:color w:val="auto"/>
                <w:sz w:val="21"/>
                <w:szCs w:val="21"/>
              </w:rPr>
              <w:t>最大占标率＞30%□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tcBorders>
              <w:tl2br w:val="nil"/>
              <w:tr2bl w:val="nil"/>
            </w:tcBorders>
            <w:noWrap w:val="0"/>
            <w:vAlign w:val="center"/>
          </w:tcPr>
          <w:p>
            <w:pPr>
              <w:jc w:val="center"/>
              <w:rPr>
                <w:rFonts w:hint="default" w:ascii="Times New Roman" w:hAnsi="Times New Roman" w:eastAsia="宋体" w:cs="Times New Roman"/>
                <w:color w:val="auto"/>
                <w:sz w:val="21"/>
                <w:szCs w:val="21"/>
              </w:rPr>
            </w:pPr>
          </w:p>
        </w:tc>
        <w:tc>
          <w:tcPr>
            <w:tcW w:w="1484" w:type="dxa"/>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非正常排放1h浓度贡献值</w:t>
            </w:r>
          </w:p>
        </w:tc>
        <w:tc>
          <w:tcPr>
            <w:tcW w:w="1585" w:type="dxa"/>
            <w:gridSpan w:val="4"/>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非正常持续时长</w:t>
            </w:r>
          </w:p>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（）h</w:t>
            </w:r>
          </w:p>
        </w:tc>
        <w:tc>
          <w:tcPr>
            <w:tcW w:w="2290" w:type="dxa"/>
            <w:gridSpan w:val="11"/>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w:t>
            </w:r>
            <w:r>
              <w:rPr>
                <w:rFonts w:hint="default" w:ascii="Times New Roman" w:hAnsi="Times New Roman" w:eastAsia="宋体" w:cs="Times New Roman"/>
                <w:color w:val="auto"/>
                <w:sz w:val="21"/>
                <w:szCs w:val="21"/>
                <w:vertAlign w:val="subscript"/>
              </w:rPr>
              <w:t>非正常</w:t>
            </w:r>
            <w:r>
              <w:rPr>
                <w:rFonts w:hint="default" w:ascii="Times New Roman" w:hAnsi="Times New Roman" w:eastAsia="宋体" w:cs="Times New Roman"/>
                <w:color w:val="auto"/>
                <w:sz w:val="21"/>
                <w:szCs w:val="21"/>
              </w:rPr>
              <w:t>占标率≤100%□</w:t>
            </w:r>
          </w:p>
        </w:tc>
        <w:tc>
          <w:tcPr>
            <w:tcW w:w="3067" w:type="dxa"/>
            <w:gridSpan w:val="8"/>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w:t>
            </w:r>
            <w:r>
              <w:rPr>
                <w:rFonts w:hint="default" w:ascii="Times New Roman" w:hAnsi="Times New Roman" w:eastAsia="宋体" w:cs="Times New Roman"/>
                <w:color w:val="auto"/>
                <w:sz w:val="21"/>
                <w:szCs w:val="21"/>
                <w:vertAlign w:val="subscript"/>
              </w:rPr>
              <w:t>非正常</w:t>
            </w:r>
            <w:r>
              <w:rPr>
                <w:rFonts w:hint="default" w:ascii="Times New Roman" w:hAnsi="Times New Roman" w:eastAsia="宋体" w:cs="Times New Roman"/>
                <w:color w:val="auto"/>
                <w:sz w:val="21"/>
                <w:szCs w:val="21"/>
              </w:rPr>
              <w:t>占标率＞100%</w:t>
            </w:r>
            <w:r>
              <w:rPr>
                <w:rFonts w:hint="default" w:ascii="Times New Roman" w:hAnsi="Times New Roman" w:eastAsia="宋体" w:cs="Times New Roman"/>
                <w:color w:val="auto"/>
                <w:sz w:val="21"/>
                <w:szCs w:val="21"/>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tcBorders>
              <w:tl2br w:val="nil"/>
              <w:tr2bl w:val="nil"/>
            </w:tcBorders>
            <w:noWrap w:val="0"/>
            <w:vAlign w:val="center"/>
          </w:tcPr>
          <w:p>
            <w:pPr>
              <w:jc w:val="center"/>
              <w:rPr>
                <w:rFonts w:hint="default" w:ascii="Times New Roman" w:hAnsi="Times New Roman" w:eastAsia="宋体" w:cs="Times New Roman"/>
                <w:color w:val="auto"/>
                <w:sz w:val="21"/>
                <w:szCs w:val="21"/>
              </w:rPr>
            </w:pPr>
          </w:p>
        </w:tc>
        <w:tc>
          <w:tcPr>
            <w:tcW w:w="1484" w:type="dxa"/>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保证率日平均浓度和年平均浓度叠加值</w:t>
            </w:r>
          </w:p>
        </w:tc>
        <w:tc>
          <w:tcPr>
            <w:tcW w:w="3868" w:type="dxa"/>
            <w:gridSpan w:val="14"/>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w:t>
            </w:r>
            <w:r>
              <w:rPr>
                <w:rFonts w:hint="default" w:ascii="Times New Roman" w:hAnsi="Times New Roman" w:eastAsia="宋体" w:cs="Times New Roman"/>
                <w:color w:val="auto"/>
                <w:sz w:val="21"/>
                <w:szCs w:val="21"/>
                <w:vertAlign w:val="subscript"/>
              </w:rPr>
              <w:t>叠加</w:t>
            </w:r>
            <w:r>
              <w:rPr>
                <w:rFonts w:hint="default" w:ascii="Times New Roman" w:hAnsi="Times New Roman" w:eastAsia="宋体" w:cs="Times New Roman"/>
                <w:color w:val="auto"/>
                <w:sz w:val="21"/>
                <w:szCs w:val="21"/>
              </w:rPr>
              <w:t>达标□</w:t>
            </w:r>
          </w:p>
        </w:tc>
        <w:tc>
          <w:tcPr>
            <w:tcW w:w="3074" w:type="dxa"/>
            <w:gridSpan w:val="9"/>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w:t>
            </w:r>
            <w:r>
              <w:rPr>
                <w:rFonts w:hint="default" w:ascii="Times New Roman" w:hAnsi="Times New Roman" w:eastAsia="宋体" w:cs="Times New Roman"/>
                <w:color w:val="auto"/>
                <w:sz w:val="21"/>
                <w:szCs w:val="21"/>
                <w:vertAlign w:val="subscript"/>
              </w:rPr>
              <w:t>叠加</w:t>
            </w:r>
            <w:r>
              <w:rPr>
                <w:rFonts w:hint="default" w:ascii="Times New Roman" w:hAnsi="Times New Roman" w:eastAsia="宋体" w:cs="Times New Roman"/>
                <w:color w:val="auto"/>
                <w:sz w:val="21"/>
                <w:szCs w:val="21"/>
              </w:rPr>
              <w:t>不达标□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tcBorders>
              <w:tl2br w:val="nil"/>
              <w:tr2bl w:val="nil"/>
            </w:tcBorders>
            <w:noWrap w:val="0"/>
            <w:vAlign w:val="center"/>
          </w:tcPr>
          <w:p>
            <w:pPr>
              <w:jc w:val="center"/>
              <w:rPr>
                <w:rFonts w:hint="default" w:ascii="Times New Roman" w:hAnsi="Times New Roman" w:eastAsia="宋体" w:cs="Times New Roman"/>
                <w:color w:val="auto"/>
                <w:sz w:val="21"/>
                <w:szCs w:val="21"/>
              </w:rPr>
            </w:pPr>
          </w:p>
        </w:tc>
        <w:tc>
          <w:tcPr>
            <w:tcW w:w="1484" w:type="dxa"/>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区域环境质量的整体变化情况</w:t>
            </w:r>
          </w:p>
        </w:tc>
        <w:tc>
          <w:tcPr>
            <w:tcW w:w="3868" w:type="dxa"/>
            <w:gridSpan w:val="14"/>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k≤-20%□</w:t>
            </w:r>
          </w:p>
        </w:tc>
        <w:tc>
          <w:tcPr>
            <w:tcW w:w="3074" w:type="dxa"/>
            <w:gridSpan w:val="9"/>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k＞-20%□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restart"/>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环境监测计划</w:t>
            </w:r>
          </w:p>
        </w:tc>
        <w:tc>
          <w:tcPr>
            <w:tcW w:w="1484" w:type="dxa"/>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污染源监测</w:t>
            </w:r>
          </w:p>
        </w:tc>
        <w:tc>
          <w:tcPr>
            <w:tcW w:w="2715" w:type="dxa"/>
            <w:gridSpan w:val="9"/>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监测因子：（</w:t>
            </w:r>
            <w:r>
              <w:rPr>
                <w:rFonts w:hint="eastAsia" w:ascii="Times New Roman" w:hAnsi="Times New Roman" w:eastAsia="宋体" w:cs="Times New Roman"/>
                <w:color w:val="auto"/>
                <w:sz w:val="21"/>
                <w:szCs w:val="21"/>
                <w:lang w:val="en-US" w:eastAsia="zh-CN"/>
              </w:rPr>
              <w:t>H</w:t>
            </w:r>
            <w:r>
              <w:rPr>
                <w:rFonts w:hint="eastAsia" w:ascii="Times New Roman" w:hAnsi="Times New Roman" w:eastAsia="宋体" w:cs="Times New Roman"/>
                <w:color w:val="auto"/>
                <w:sz w:val="21"/>
                <w:szCs w:val="21"/>
                <w:vertAlign w:val="subscript"/>
                <w:lang w:val="en-US" w:eastAsia="zh-CN"/>
              </w:rPr>
              <w:t>2</w:t>
            </w:r>
            <w:r>
              <w:rPr>
                <w:rFonts w:hint="eastAsia" w:ascii="Times New Roman" w:hAnsi="Times New Roman" w:eastAsia="宋体" w:cs="Times New Roman"/>
                <w:color w:val="auto"/>
                <w:sz w:val="21"/>
                <w:szCs w:val="21"/>
                <w:lang w:val="en-US" w:eastAsia="zh-CN"/>
              </w:rPr>
              <w:t>S 、 NH</w:t>
            </w:r>
            <w:r>
              <w:rPr>
                <w:rFonts w:hint="eastAsia" w:ascii="Times New Roman" w:hAnsi="Times New Roman" w:eastAsia="宋体" w:cs="Times New Roman"/>
                <w:color w:val="auto"/>
                <w:sz w:val="21"/>
                <w:szCs w:val="21"/>
                <w:vertAlign w:val="subscript"/>
                <w:lang w:val="en-US" w:eastAsia="zh-CN"/>
              </w:rPr>
              <w:t>3</w:t>
            </w:r>
            <w:r>
              <w:rPr>
                <w:rFonts w:hint="eastAsia" w:ascii="Times New Roman" w:hAnsi="Times New Roman" w:eastAsia="宋体" w:cs="Times New Roman"/>
                <w:color w:val="auto"/>
                <w:sz w:val="21"/>
                <w:szCs w:val="21"/>
                <w:vertAlign w:val="baseline"/>
                <w:lang w:val="en-US" w:eastAsia="zh-CN"/>
              </w:rPr>
              <w:t>和臭气浓度</w:t>
            </w:r>
            <w:r>
              <w:rPr>
                <w:rFonts w:hint="default" w:ascii="Times New Roman" w:hAnsi="Times New Roman" w:eastAsia="宋体" w:cs="Times New Roman"/>
                <w:color w:val="auto"/>
                <w:sz w:val="21"/>
                <w:szCs w:val="21"/>
              </w:rPr>
              <w:t>）</w:t>
            </w:r>
          </w:p>
        </w:tc>
        <w:tc>
          <w:tcPr>
            <w:tcW w:w="2069" w:type="dxa"/>
            <w:gridSpan w:val="10"/>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有组织废气监测</w:t>
            </w:r>
            <w:r>
              <w:rPr>
                <w:rFonts w:hint="default" w:ascii="Times New Roman" w:hAnsi="Times New Roman" w:eastAsia="宋体" w:cs="Times New Roman"/>
                <w:color w:val="auto"/>
                <w:sz w:val="21"/>
                <w:szCs w:val="21"/>
              </w:rPr>
              <w:sym w:font="Wingdings 2" w:char="0052"/>
            </w:r>
          </w:p>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无组织废气监测</w:t>
            </w:r>
            <w:r>
              <w:rPr>
                <w:rFonts w:hint="default" w:ascii="Times New Roman" w:hAnsi="Times New Roman" w:eastAsia="宋体" w:cs="Times New Roman"/>
                <w:color w:val="auto"/>
                <w:sz w:val="21"/>
                <w:szCs w:val="21"/>
              </w:rPr>
              <w:sym w:font="Wingdings 2" w:char="0052"/>
            </w:r>
          </w:p>
        </w:tc>
        <w:tc>
          <w:tcPr>
            <w:tcW w:w="2158" w:type="dxa"/>
            <w:gridSpan w:val="4"/>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无监测□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tcBorders>
              <w:tl2br w:val="nil"/>
              <w:tr2bl w:val="nil"/>
            </w:tcBorders>
            <w:noWrap w:val="0"/>
            <w:vAlign w:val="center"/>
          </w:tcPr>
          <w:p>
            <w:pPr>
              <w:jc w:val="center"/>
              <w:rPr>
                <w:rFonts w:hint="default" w:ascii="Times New Roman" w:hAnsi="Times New Roman" w:eastAsia="宋体" w:cs="Times New Roman"/>
                <w:color w:val="auto"/>
                <w:sz w:val="21"/>
                <w:szCs w:val="21"/>
              </w:rPr>
            </w:pPr>
          </w:p>
        </w:tc>
        <w:tc>
          <w:tcPr>
            <w:tcW w:w="1484" w:type="dxa"/>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环境质量监测</w:t>
            </w:r>
          </w:p>
        </w:tc>
        <w:tc>
          <w:tcPr>
            <w:tcW w:w="2715" w:type="dxa"/>
            <w:gridSpan w:val="9"/>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监测因子：（）</w:t>
            </w:r>
          </w:p>
        </w:tc>
        <w:tc>
          <w:tcPr>
            <w:tcW w:w="2069" w:type="dxa"/>
            <w:gridSpan w:val="10"/>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监测点位数（）</w:t>
            </w:r>
          </w:p>
        </w:tc>
        <w:tc>
          <w:tcPr>
            <w:tcW w:w="2158" w:type="dxa"/>
            <w:gridSpan w:val="4"/>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无监测</w:t>
            </w:r>
            <w:r>
              <w:rPr>
                <w:rFonts w:hint="default" w:ascii="Times New Roman" w:hAnsi="Times New Roman" w:eastAsia="宋体" w:cs="Times New Roman"/>
                <w:color w:val="auto"/>
                <w:sz w:val="21"/>
                <w:szCs w:val="21"/>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restart"/>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评价结论</w:t>
            </w:r>
          </w:p>
        </w:tc>
        <w:tc>
          <w:tcPr>
            <w:tcW w:w="1484" w:type="dxa"/>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环境影响</w:t>
            </w:r>
          </w:p>
        </w:tc>
        <w:tc>
          <w:tcPr>
            <w:tcW w:w="6942" w:type="dxa"/>
            <w:gridSpan w:val="23"/>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可以接受</w:t>
            </w:r>
            <w:r>
              <w:rPr>
                <w:rFonts w:hint="default" w:ascii="Times New Roman" w:hAnsi="Times New Roman" w:eastAsia="宋体" w:cs="Times New Roman"/>
                <w:color w:val="auto"/>
                <w:sz w:val="21"/>
                <w:szCs w:val="21"/>
              </w:rPr>
              <w:sym w:font="Wingdings 2" w:char="0052"/>
            </w:r>
            <w:r>
              <w:rPr>
                <w:rFonts w:hint="default" w:ascii="Times New Roman" w:hAnsi="Times New Roman" w:eastAsia="宋体" w:cs="Times New Roman"/>
                <w:color w:val="auto"/>
                <w:sz w:val="21"/>
                <w:szCs w:val="21"/>
              </w:rPr>
              <w:t>不可以接受□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tcBorders>
              <w:tl2br w:val="nil"/>
              <w:tr2bl w:val="nil"/>
            </w:tcBorders>
            <w:noWrap w:val="0"/>
            <w:vAlign w:val="center"/>
          </w:tcPr>
          <w:p>
            <w:pPr>
              <w:jc w:val="center"/>
              <w:rPr>
                <w:rFonts w:hint="default" w:ascii="Times New Roman" w:hAnsi="Times New Roman" w:eastAsia="宋体" w:cs="Times New Roman"/>
                <w:color w:val="auto"/>
                <w:sz w:val="21"/>
                <w:szCs w:val="21"/>
              </w:rPr>
            </w:pPr>
          </w:p>
        </w:tc>
        <w:tc>
          <w:tcPr>
            <w:tcW w:w="1484" w:type="dxa"/>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大气环境防护距离</w:t>
            </w:r>
          </w:p>
        </w:tc>
        <w:tc>
          <w:tcPr>
            <w:tcW w:w="6942" w:type="dxa"/>
            <w:gridSpan w:val="23"/>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距（）厂界最远（）m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vMerge w:val="continue"/>
            <w:tcBorders>
              <w:tl2br w:val="nil"/>
              <w:tr2bl w:val="nil"/>
            </w:tcBorders>
            <w:noWrap w:val="0"/>
            <w:vAlign w:val="center"/>
          </w:tcPr>
          <w:p>
            <w:pPr>
              <w:jc w:val="center"/>
              <w:rPr>
                <w:rFonts w:hint="default" w:ascii="Times New Roman" w:hAnsi="Times New Roman" w:eastAsia="宋体" w:cs="Times New Roman"/>
                <w:color w:val="auto"/>
                <w:sz w:val="21"/>
                <w:szCs w:val="21"/>
              </w:rPr>
            </w:pPr>
          </w:p>
        </w:tc>
        <w:tc>
          <w:tcPr>
            <w:tcW w:w="1484" w:type="dxa"/>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污染源年排放量</w:t>
            </w:r>
          </w:p>
        </w:tc>
        <w:tc>
          <w:tcPr>
            <w:tcW w:w="3468" w:type="dxa"/>
            <w:gridSpan w:val="12"/>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颗粒物：（</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）t/a</w:t>
            </w:r>
          </w:p>
        </w:tc>
        <w:tc>
          <w:tcPr>
            <w:tcW w:w="3474" w:type="dxa"/>
            <w:gridSpan w:val="11"/>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VOCs：（</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20" w:type="dxa"/>
            <w:gridSpan w:val="25"/>
            <w:tcBorders>
              <w:tl2br w:val="nil"/>
              <w:tr2bl w:val="nil"/>
            </w:tcBorders>
            <w:noWrap w:val="0"/>
            <w:vAlign w:val="center"/>
          </w:tcPr>
          <w:p>
            <w:pPr>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注：“□”为勾选项，填“√”；“（）”为内容填写项</w:t>
            </w:r>
          </w:p>
        </w:tc>
      </w:tr>
    </w:tbl>
    <w:p>
      <w:pPr>
        <w:pStyle w:val="6"/>
        <w:pageBreakBefore w:val="0"/>
        <w:widowControl w:val="0"/>
        <w:tabs>
          <w:tab w:val="left" w:pos="2730"/>
        </w:tabs>
        <w:kinsoku/>
        <w:wordWrap/>
        <w:overflowPunct/>
        <w:topLinePunct w:val="0"/>
        <w:autoSpaceDE/>
        <w:autoSpaceDN/>
        <w:bidi w:val="0"/>
        <w:adjustRightInd w:val="0"/>
        <w:snapToGrid w:val="0"/>
        <w:spacing w:before="0" w:after="0" w:line="360" w:lineRule="auto"/>
        <w:textAlignment w:val="auto"/>
        <w:rPr>
          <w:rFonts w:ascii="Times New Roman" w:hAnsi="Times New Roman" w:eastAsia="宋体"/>
          <w:color w:val="auto"/>
          <w:sz w:val="28"/>
          <w:szCs w:val="28"/>
        </w:rPr>
      </w:pPr>
      <w:bookmarkStart w:id="222" w:name="_Toc7885"/>
      <w:r>
        <w:rPr>
          <w:rFonts w:hint="eastAsia" w:ascii="Times New Roman" w:hAnsi="Times New Roman" w:eastAsia="宋体"/>
          <w:color w:val="auto"/>
          <w:sz w:val="28"/>
          <w:szCs w:val="28"/>
        </w:rPr>
        <w:t>5.2</w:t>
      </w:r>
      <w:r>
        <w:rPr>
          <w:rFonts w:ascii="Times New Roman" w:hAnsi="Times New Roman" w:eastAsia="宋体"/>
          <w:color w:val="auto"/>
          <w:sz w:val="28"/>
          <w:szCs w:val="28"/>
        </w:rPr>
        <w:t>.2运营期</w:t>
      </w:r>
      <w:r>
        <w:rPr>
          <w:rFonts w:hint="eastAsia" w:ascii="Times New Roman" w:hAnsi="Times New Roman" w:eastAsia="宋体"/>
          <w:color w:val="auto"/>
          <w:sz w:val="28"/>
          <w:szCs w:val="28"/>
        </w:rPr>
        <w:t>地表</w:t>
      </w:r>
      <w:r>
        <w:rPr>
          <w:rFonts w:ascii="Times New Roman" w:hAnsi="Times New Roman" w:eastAsia="宋体"/>
          <w:color w:val="auto"/>
          <w:sz w:val="28"/>
          <w:szCs w:val="28"/>
        </w:rPr>
        <w:t>水环境影响</w:t>
      </w:r>
      <w:bookmarkEnd w:id="218"/>
      <w:r>
        <w:rPr>
          <w:rFonts w:hint="eastAsia" w:ascii="Times New Roman" w:hAnsi="Times New Roman" w:eastAsia="宋体"/>
          <w:color w:val="auto"/>
          <w:sz w:val="28"/>
          <w:szCs w:val="28"/>
        </w:rPr>
        <w:t>评价</w:t>
      </w:r>
      <w:bookmarkEnd w:id="222"/>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2" w:firstLineChars="200"/>
        <w:jc w:val="both"/>
        <w:textAlignment w:val="auto"/>
        <w:rPr>
          <w:rFonts w:hint="eastAsia" w:ascii="Times New Roman" w:hAnsi="Times New Roman" w:eastAsia="宋体" w:cs="Times New Roman"/>
          <w:b/>
          <w:bCs w:val="0"/>
          <w:color w:val="auto"/>
          <w:sz w:val="24"/>
          <w:szCs w:val="24"/>
        </w:rPr>
      </w:pPr>
      <w:r>
        <w:rPr>
          <w:rFonts w:hint="eastAsia" w:ascii="Times New Roman" w:hAnsi="Times New Roman" w:eastAsia="宋体" w:cs="Times New Roman"/>
          <w:b/>
          <w:bCs w:val="0"/>
          <w:color w:val="auto"/>
          <w:sz w:val="24"/>
          <w:szCs w:val="24"/>
        </w:rPr>
        <w:t>1、废水排放量及排放去向</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本项目产生的废水主要包括职工的生活污水、生产过程中产生的养殖废水等，污水有机物浓度高、悬浮物多、氨氮含量大、臭味大。污水中主要污染物质为CODc</w:t>
      </w:r>
      <w:r>
        <w:rPr>
          <w:rFonts w:hint="eastAsia" w:ascii="Times New Roman" w:hAnsi="Times New Roman" w:eastAsia="宋体" w:cs="Times New Roman"/>
          <w:b w:val="0"/>
          <w:bCs/>
          <w:color w:val="auto"/>
          <w:sz w:val="24"/>
          <w:szCs w:val="24"/>
          <w:vertAlign w:val="subscript"/>
        </w:rPr>
        <w:t>r</w:t>
      </w:r>
      <w:r>
        <w:rPr>
          <w:rFonts w:hint="eastAsia" w:ascii="Times New Roman" w:hAnsi="Times New Roman" w:eastAsia="宋体" w:cs="Times New Roman"/>
          <w:b w:val="0"/>
          <w:bCs/>
          <w:color w:val="auto"/>
          <w:sz w:val="24"/>
          <w:szCs w:val="24"/>
        </w:rPr>
        <w:t>、BOD</w:t>
      </w:r>
      <w:r>
        <w:rPr>
          <w:rFonts w:hint="eastAsia" w:ascii="Times New Roman" w:hAnsi="Times New Roman" w:eastAsia="宋体" w:cs="Times New Roman"/>
          <w:b w:val="0"/>
          <w:bCs/>
          <w:color w:val="auto"/>
          <w:sz w:val="24"/>
          <w:szCs w:val="24"/>
          <w:vertAlign w:val="subscript"/>
        </w:rPr>
        <w:t>5</w:t>
      </w:r>
      <w:r>
        <w:rPr>
          <w:rFonts w:hint="eastAsia" w:ascii="Times New Roman" w:hAnsi="Times New Roman" w:eastAsia="宋体" w:cs="Times New Roman"/>
          <w:b w:val="0"/>
          <w:bCs/>
          <w:color w:val="auto"/>
          <w:sz w:val="24"/>
          <w:szCs w:val="24"/>
        </w:rPr>
        <w:t xml:space="preserve"> 、NH</w:t>
      </w:r>
      <w:r>
        <w:rPr>
          <w:rFonts w:hint="eastAsia" w:ascii="Times New Roman" w:hAnsi="Times New Roman" w:eastAsia="宋体" w:cs="Times New Roman"/>
          <w:b w:val="0"/>
          <w:bCs/>
          <w:color w:val="auto"/>
          <w:sz w:val="24"/>
          <w:szCs w:val="24"/>
          <w:vertAlign w:val="subscript"/>
        </w:rPr>
        <w:t>3</w:t>
      </w:r>
      <w:r>
        <w:rPr>
          <w:rFonts w:hint="eastAsia" w:ascii="Times New Roman" w:hAnsi="Times New Roman" w:eastAsia="宋体" w:cs="Times New Roman"/>
          <w:b w:val="0"/>
          <w:bCs/>
          <w:color w:val="auto"/>
          <w:sz w:val="24"/>
          <w:szCs w:val="24"/>
        </w:rPr>
        <w:t>-N、TP、SS等，不含有毒物质，项目污水产生量为</w:t>
      </w:r>
      <w:r>
        <w:rPr>
          <w:rFonts w:hint="eastAsia" w:ascii="Times New Roman" w:hAnsi="Times New Roman" w:eastAsia="宋体" w:cs="Times New Roman"/>
          <w:b w:val="0"/>
          <w:bCs/>
          <w:color w:val="auto"/>
          <w:sz w:val="24"/>
          <w:szCs w:val="24"/>
          <w:lang w:val="en-US" w:eastAsia="zh-CN"/>
        </w:rPr>
        <w:t>24941.95</w:t>
      </w:r>
      <w:r>
        <w:rPr>
          <w:rFonts w:hint="eastAsia" w:ascii="Times New Roman" w:hAnsi="Times New Roman" w:eastAsia="宋体" w:cs="Times New Roman"/>
          <w:b w:val="0"/>
          <w:bCs/>
          <w:color w:val="auto"/>
          <w:sz w:val="24"/>
          <w:szCs w:val="24"/>
        </w:rPr>
        <w:t>m</w:t>
      </w:r>
      <w:r>
        <w:rPr>
          <w:rFonts w:hint="eastAsia" w:ascii="Times New Roman" w:hAnsi="Times New Roman" w:eastAsia="宋体" w:cs="Times New Roman"/>
          <w:b w:val="0"/>
          <w:bCs/>
          <w:color w:val="auto"/>
          <w:sz w:val="24"/>
          <w:szCs w:val="24"/>
          <w:vertAlign w:val="superscript"/>
        </w:rPr>
        <w:t>3</w:t>
      </w:r>
      <w:r>
        <w:rPr>
          <w:rFonts w:hint="eastAsia" w:ascii="Times New Roman" w:hAnsi="Times New Roman" w:eastAsia="宋体" w:cs="Times New Roman"/>
          <w:b w:val="0"/>
          <w:bCs/>
          <w:color w:val="auto"/>
          <w:sz w:val="24"/>
          <w:szCs w:val="24"/>
        </w:rPr>
        <w:t>/a。</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养殖废水及生活污水水质可生化性较高，因此养殖场拟建</w:t>
      </w:r>
      <w:r>
        <w:rPr>
          <w:rFonts w:hint="eastAsia" w:ascii="Times New Roman" w:hAnsi="Times New Roman" w:eastAsia="宋体" w:cs="Times New Roman"/>
          <w:b w:val="0"/>
          <w:bCs/>
          <w:color w:val="auto"/>
          <w:sz w:val="24"/>
          <w:szCs w:val="24"/>
          <w:lang w:eastAsia="zh-CN"/>
        </w:rPr>
        <w:t>污水处理区集中</w:t>
      </w:r>
      <w:r>
        <w:rPr>
          <w:rFonts w:hint="eastAsia" w:ascii="Times New Roman" w:hAnsi="Times New Roman" w:eastAsia="宋体" w:cs="Times New Roman"/>
          <w:b w:val="0"/>
          <w:bCs/>
          <w:color w:val="auto"/>
          <w:sz w:val="24"/>
          <w:szCs w:val="24"/>
        </w:rPr>
        <w:t>处理，处理能力为</w:t>
      </w:r>
      <w:r>
        <w:rPr>
          <w:rFonts w:hint="eastAsia" w:ascii="Times New Roman" w:hAnsi="Times New Roman" w:eastAsia="宋体" w:cs="Times New Roman"/>
          <w:b w:val="0"/>
          <w:bCs/>
          <w:color w:val="auto"/>
          <w:sz w:val="24"/>
          <w:szCs w:val="24"/>
          <w:lang w:val="en-US" w:eastAsia="zh-CN"/>
        </w:rPr>
        <w:t>150</w:t>
      </w:r>
      <w:r>
        <w:rPr>
          <w:rFonts w:hint="eastAsia" w:ascii="Times New Roman" w:hAnsi="Times New Roman" w:eastAsia="宋体" w:cs="Times New Roman"/>
          <w:b w:val="0"/>
          <w:bCs/>
          <w:color w:val="auto"/>
          <w:sz w:val="24"/>
          <w:szCs w:val="24"/>
        </w:rPr>
        <w:t>m</w:t>
      </w:r>
      <w:r>
        <w:rPr>
          <w:rFonts w:hint="eastAsia" w:ascii="Times New Roman" w:hAnsi="Times New Roman" w:eastAsia="宋体" w:cs="Times New Roman"/>
          <w:b w:val="0"/>
          <w:bCs/>
          <w:color w:val="auto"/>
          <w:sz w:val="24"/>
          <w:szCs w:val="24"/>
          <w:vertAlign w:val="superscript"/>
        </w:rPr>
        <w:t>3</w:t>
      </w:r>
      <w:r>
        <w:rPr>
          <w:rFonts w:hint="eastAsia" w:ascii="Times New Roman" w:hAnsi="Times New Roman" w:eastAsia="宋体" w:cs="Times New Roman"/>
          <w:b w:val="0"/>
          <w:bCs/>
          <w:color w:val="auto"/>
          <w:sz w:val="24"/>
          <w:szCs w:val="24"/>
        </w:rPr>
        <w:t>/d，经“</w:t>
      </w:r>
      <w:r>
        <w:rPr>
          <w:rFonts w:hint="eastAsia" w:ascii="Times New Roman" w:hAnsi="Times New Roman" w:eastAsia="宋体" w:cstheme="minorBidi"/>
          <w:b w:val="0"/>
          <w:snapToGrid w:val="0"/>
          <w:color w:val="auto"/>
          <w:kern w:val="2"/>
          <w:sz w:val="24"/>
          <w:szCs w:val="22"/>
          <w:lang w:val="en-US" w:eastAsia="zh-CN" w:bidi="ar-SA"/>
        </w:rPr>
        <w:t>格栅井+集粪池+固液分离机+污泥池（调节池）+叠螺脱水机+预反应及预沉池+一级光氧塘+A/O组合池+二沉池+深度反应池+终沉池+氧化塘</w:t>
      </w:r>
      <w:r>
        <w:rPr>
          <w:rFonts w:hint="eastAsia" w:ascii="Times New Roman" w:hAnsi="Times New Roman" w:eastAsia="宋体" w:cs="Times New Roman"/>
          <w:b w:val="0"/>
          <w:bCs/>
          <w:color w:val="auto"/>
          <w:sz w:val="24"/>
          <w:szCs w:val="24"/>
        </w:rPr>
        <w:t>”工艺处理后养殖废水和生活污水用作</w:t>
      </w:r>
      <w:r>
        <w:rPr>
          <w:rFonts w:hint="eastAsia" w:ascii="Times New Roman" w:hAnsi="Times New Roman" w:eastAsia="宋体" w:cs="Times New Roman"/>
          <w:b w:val="0"/>
          <w:bCs/>
          <w:color w:val="auto"/>
          <w:sz w:val="24"/>
          <w:szCs w:val="24"/>
          <w:lang w:eastAsia="zh-CN"/>
        </w:rPr>
        <w:t>周边农田灌溉</w:t>
      </w:r>
      <w:r>
        <w:rPr>
          <w:rFonts w:hint="eastAsia" w:ascii="Times New Roman" w:hAnsi="Times New Roman" w:eastAsia="宋体" w:cs="Times New Roman"/>
          <w:b w:val="0"/>
          <w:bCs/>
          <w:color w:val="auto"/>
          <w:sz w:val="24"/>
          <w:szCs w:val="24"/>
        </w:rPr>
        <w:t>，</w:t>
      </w:r>
      <w:r>
        <w:rPr>
          <w:rFonts w:hint="eastAsia" w:ascii="Times New Roman" w:hAnsi="Times New Roman" w:eastAsia="宋体" w:cs="Times New Roman"/>
          <w:b w:val="0"/>
          <w:bCs/>
          <w:color w:val="auto"/>
          <w:sz w:val="24"/>
          <w:szCs w:val="24"/>
          <w:lang w:eastAsia="zh-CN"/>
        </w:rPr>
        <w:t>不外排</w:t>
      </w:r>
      <w:r>
        <w:rPr>
          <w:rFonts w:hint="eastAsia" w:ascii="Times New Roman" w:hAnsi="Times New Roman" w:eastAsia="宋体" w:cs="Times New Roman"/>
          <w:b w:val="0"/>
          <w:bCs/>
          <w:color w:val="auto"/>
          <w:sz w:val="24"/>
          <w:szCs w:val="24"/>
        </w:rPr>
        <w:t>。</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根据《环境影响评价技术导则  地表水环境》（HJ 2.3-2018）建设项目的地表水环境影响评价划分为水污染影响型、水文要素影响型以及两者兼有的复合影响型。本项目为水污染影响型，不涉及水文要素生态影响，根据导则5.2节确定，项目地表水环境影响评价等级确定为水污染影响型三级B。</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2" w:firstLineChars="200"/>
        <w:jc w:val="both"/>
        <w:textAlignment w:val="auto"/>
        <w:rPr>
          <w:rFonts w:hint="eastAsia" w:ascii="Times New Roman" w:hAnsi="Times New Roman" w:eastAsia="宋体" w:cs="Times New Roman"/>
          <w:b/>
          <w:bCs w:val="0"/>
          <w:color w:val="auto"/>
          <w:sz w:val="24"/>
          <w:szCs w:val="24"/>
        </w:rPr>
      </w:pPr>
      <w:r>
        <w:rPr>
          <w:rFonts w:hint="eastAsia" w:ascii="Times New Roman" w:hAnsi="Times New Roman" w:eastAsia="宋体" w:cs="Times New Roman"/>
          <w:b/>
          <w:bCs w:val="0"/>
          <w:color w:val="auto"/>
          <w:sz w:val="24"/>
          <w:szCs w:val="24"/>
        </w:rPr>
        <w:t>2、评价内容</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根据《环境影响评价技术导则  地表水环境》(HJ2.3-2018)，7.1.2水污染影响型三级 B 评价可不进行水环境影响预测，其评价内容包括：</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①水污染控制和水环境影响减缓措施有效性评价；</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②依托污水处理设施的环境可行性评价。</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由于本项目废水</w:t>
      </w:r>
      <w:r>
        <w:rPr>
          <w:rFonts w:hint="eastAsia" w:ascii="Times New Roman" w:hAnsi="Times New Roman" w:eastAsia="宋体" w:cs="Times New Roman"/>
          <w:b w:val="0"/>
          <w:bCs/>
          <w:color w:val="auto"/>
          <w:sz w:val="24"/>
          <w:szCs w:val="24"/>
          <w:lang w:eastAsia="zh-CN"/>
        </w:rPr>
        <w:t>经处理后用作周边农田灌溉</w:t>
      </w:r>
      <w:r>
        <w:rPr>
          <w:rFonts w:hint="eastAsia" w:ascii="Times New Roman" w:hAnsi="Times New Roman" w:eastAsia="宋体" w:cs="Times New Roman"/>
          <w:b w:val="0"/>
          <w:bCs/>
          <w:color w:val="auto"/>
          <w:sz w:val="24"/>
          <w:szCs w:val="24"/>
        </w:rPr>
        <w:t>，实现废水零排放，不排放到外环境，本评价仅对水环境进行影响分析与污染治理措施的可行性分析进行论证。</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2" w:firstLineChars="200"/>
        <w:jc w:val="both"/>
        <w:textAlignment w:val="auto"/>
        <w:rPr>
          <w:rFonts w:hint="eastAsia" w:ascii="Times New Roman" w:hAnsi="Times New Roman" w:eastAsia="宋体" w:cs="Times New Roman"/>
          <w:b/>
          <w:bCs w:val="0"/>
          <w:color w:val="auto"/>
          <w:sz w:val="24"/>
          <w:szCs w:val="24"/>
        </w:rPr>
      </w:pPr>
      <w:r>
        <w:rPr>
          <w:rFonts w:hint="eastAsia" w:ascii="Times New Roman" w:hAnsi="Times New Roman" w:eastAsia="宋体" w:cs="Times New Roman"/>
          <w:b/>
          <w:bCs w:val="0"/>
          <w:color w:val="auto"/>
          <w:sz w:val="24"/>
          <w:szCs w:val="24"/>
        </w:rPr>
        <w:t>3、</w:t>
      </w:r>
      <w:r>
        <w:rPr>
          <w:rFonts w:hint="eastAsia" w:ascii="Times New Roman" w:hAnsi="Times New Roman" w:eastAsia="宋体" w:cs="Times New Roman"/>
          <w:b/>
          <w:bCs w:val="0"/>
          <w:color w:val="auto"/>
          <w:sz w:val="24"/>
          <w:szCs w:val="24"/>
          <w:lang w:eastAsia="zh-CN"/>
        </w:rPr>
        <w:t>污水废水处理措施的环境</w:t>
      </w:r>
      <w:r>
        <w:rPr>
          <w:rFonts w:hint="eastAsia" w:ascii="Times New Roman" w:hAnsi="Times New Roman" w:eastAsia="宋体" w:cs="Times New Roman"/>
          <w:b/>
          <w:bCs w:val="0"/>
          <w:color w:val="auto"/>
          <w:sz w:val="24"/>
          <w:szCs w:val="24"/>
        </w:rPr>
        <w:t>可行性分析</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lang w:val="en-US" w:eastAsia="zh-CN"/>
        </w:rPr>
      </w:pPr>
      <w:r>
        <w:rPr>
          <w:rFonts w:hint="eastAsia" w:ascii="Times New Roman" w:hAnsi="Times New Roman" w:eastAsia="宋体" w:cs="Times New Roman"/>
          <w:b w:val="0"/>
          <w:bCs/>
          <w:color w:val="auto"/>
          <w:sz w:val="24"/>
          <w:szCs w:val="24"/>
          <w:lang w:val="en-US" w:eastAsia="zh-CN"/>
        </w:rPr>
        <w:t>（1）污水处理站的环境可行性分析</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lang w:val="en-US" w:eastAsia="zh-CN"/>
        </w:rPr>
      </w:pPr>
      <w:r>
        <w:rPr>
          <w:rFonts w:hint="eastAsia" w:ascii="Times New Roman" w:hAnsi="Times New Roman" w:eastAsia="宋体" w:cs="Times New Roman"/>
          <w:b w:val="0"/>
          <w:bCs/>
          <w:color w:val="auto"/>
          <w:sz w:val="24"/>
          <w:szCs w:val="24"/>
          <w:lang w:val="en-US" w:eastAsia="zh-CN"/>
        </w:rPr>
        <w:t>设计规模：设计日处理能力150m</w:t>
      </w:r>
      <w:r>
        <w:rPr>
          <w:rFonts w:hint="eastAsia" w:ascii="Times New Roman" w:hAnsi="Times New Roman" w:eastAsia="宋体" w:cs="Times New Roman"/>
          <w:b w:val="0"/>
          <w:bCs/>
          <w:color w:val="auto"/>
          <w:sz w:val="24"/>
          <w:szCs w:val="24"/>
          <w:vertAlign w:val="superscript"/>
          <w:lang w:val="en-US" w:eastAsia="zh-CN"/>
        </w:rPr>
        <w:t>3</w:t>
      </w:r>
      <w:r>
        <w:rPr>
          <w:rFonts w:hint="eastAsia" w:ascii="Times New Roman" w:hAnsi="Times New Roman" w:eastAsia="宋体" w:cs="Times New Roman"/>
          <w:b w:val="0"/>
          <w:bCs/>
          <w:color w:val="auto"/>
          <w:sz w:val="24"/>
          <w:szCs w:val="24"/>
          <w:lang w:val="en-US" w:eastAsia="zh-CN"/>
        </w:rPr>
        <w:t>/d，配置1个4720m</w:t>
      </w:r>
      <w:r>
        <w:rPr>
          <w:rFonts w:hint="eastAsia" w:ascii="Times New Roman" w:hAnsi="Times New Roman" w:eastAsia="宋体" w:cs="Times New Roman"/>
          <w:b w:val="0"/>
          <w:bCs/>
          <w:color w:val="auto"/>
          <w:sz w:val="24"/>
          <w:szCs w:val="24"/>
          <w:vertAlign w:val="superscript"/>
          <w:lang w:val="en-US" w:eastAsia="zh-CN"/>
        </w:rPr>
        <w:t>3</w:t>
      </w:r>
      <w:r>
        <w:rPr>
          <w:rFonts w:hint="eastAsia" w:ascii="Times New Roman" w:hAnsi="Times New Roman" w:eastAsia="宋体" w:cs="Times New Roman"/>
          <w:b w:val="0"/>
          <w:bCs/>
          <w:color w:val="auto"/>
          <w:sz w:val="24"/>
          <w:szCs w:val="24"/>
          <w:vertAlign w:val="baseline"/>
          <w:lang w:val="en-US" w:eastAsia="zh-CN"/>
        </w:rPr>
        <w:t>氧化塘（</w:t>
      </w:r>
      <w:r>
        <w:rPr>
          <w:rFonts w:hint="eastAsia" w:ascii="Times New Roman" w:hAnsi="Times New Roman" w:eastAsia="宋体" w:cs="Times New Roman"/>
          <w:b w:val="0"/>
          <w:bCs/>
          <w:color w:val="auto"/>
          <w:sz w:val="24"/>
          <w:szCs w:val="24"/>
          <w:lang w:val="en-US" w:eastAsia="zh-CN"/>
        </w:rPr>
        <w:t>储蓄池</w:t>
      </w:r>
      <w:r>
        <w:rPr>
          <w:rFonts w:hint="eastAsia" w:ascii="Times New Roman" w:hAnsi="Times New Roman" w:eastAsia="宋体" w:cs="Times New Roman"/>
          <w:b w:val="0"/>
          <w:bCs/>
          <w:color w:val="auto"/>
          <w:sz w:val="24"/>
          <w:szCs w:val="24"/>
          <w:vertAlign w:val="baseline"/>
          <w:lang w:val="en-US" w:eastAsia="zh-CN"/>
        </w:rPr>
        <w:t>）和2250</w:t>
      </w:r>
      <w:r>
        <w:rPr>
          <w:rFonts w:hint="eastAsia" w:ascii="Times New Roman" w:hAnsi="Times New Roman" w:eastAsia="宋体" w:cs="Times New Roman"/>
          <w:b w:val="0"/>
          <w:bCs/>
          <w:color w:val="auto"/>
          <w:sz w:val="24"/>
          <w:szCs w:val="24"/>
          <w:lang w:val="en-US" w:eastAsia="zh-CN"/>
        </w:rPr>
        <w:t>m</w:t>
      </w:r>
      <w:r>
        <w:rPr>
          <w:rFonts w:hint="eastAsia" w:ascii="Times New Roman" w:hAnsi="Times New Roman" w:eastAsia="宋体" w:cs="Times New Roman"/>
          <w:b w:val="0"/>
          <w:bCs/>
          <w:color w:val="auto"/>
          <w:sz w:val="24"/>
          <w:szCs w:val="24"/>
          <w:vertAlign w:val="superscript"/>
          <w:lang w:val="en-US" w:eastAsia="zh-CN"/>
        </w:rPr>
        <w:t>3</w:t>
      </w:r>
      <w:r>
        <w:rPr>
          <w:rFonts w:hint="eastAsia" w:ascii="Times New Roman" w:hAnsi="Times New Roman" w:eastAsia="宋体" w:cs="Times New Roman"/>
          <w:b w:val="0"/>
          <w:bCs/>
          <w:color w:val="auto"/>
          <w:sz w:val="24"/>
          <w:szCs w:val="24"/>
          <w:vertAlign w:val="baseline"/>
          <w:lang w:val="en-US" w:eastAsia="zh-CN"/>
        </w:rPr>
        <w:t>的应急池</w:t>
      </w:r>
      <w:r>
        <w:rPr>
          <w:rFonts w:hint="eastAsia" w:ascii="Times New Roman" w:hAnsi="Times New Roman" w:eastAsia="宋体" w:cs="Times New Roman"/>
          <w:b w:val="0"/>
          <w:bCs/>
          <w:color w:val="auto"/>
          <w:sz w:val="24"/>
          <w:szCs w:val="24"/>
          <w:lang w:val="en-US" w:eastAsia="zh-CN"/>
        </w:rPr>
        <w:t>。本项目平均废水产生量为68.33m</w:t>
      </w:r>
      <w:r>
        <w:rPr>
          <w:rFonts w:hint="eastAsia" w:ascii="Times New Roman" w:hAnsi="Times New Roman" w:eastAsia="宋体" w:cs="Times New Roman"/>
          <w:b w:val="0"/>
          <w:bCs/>
          <w:color w:val="auto"/>
          <w:sz w:val="24"/>
          <w:szCs w:val="24"/>
          <w:vertAlign w:val="superscript"/>
          <w:lang w:val="en-US" w:eastAsia="zh-CN"/>
        </w:rPr>
        <w:t>3</w:t>
      </w:r>
      <w:r>
        <w:rPr>
          <w:rFonts w:hint="eastAsia" w:ascii="Times New Roman" w:hAnsi="Times New Roman" w:eastAsia="宋体" w:cs="Times New Roman"/>
          <w:b w:val="0"/>
          <w:bCs/>
          <w:color w:val="auto"/>
          <w:sz w:val="24"/>
          <w:szCs w:val="24"/>
          <w:lang w:val="en-US" w:eastAsia="zh-CN"/>
        </w:rPr>
        <w:t>/d，废水经调节池缓慢排入污水处理站，不会对废水处理设施造成较大冲击。</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设计进水水质和设计出水水质：根据《畜禽养殖业污染物治理工程技术规范》（HJ497-2009）、《规模畜禽养殖场污染防治最佳可行技术指南（试行》（HJ-BAT10）</w:t>
      </w:r>
      <w:r>
        <w:rPr>
          <w:rFonts w:hint="eastAsia" w:ascii="Times New Roman" w:hAnsi="Times New Roman" w:eastAsia="宋体" w:cs="Times New Roman"/>
          <w:b w:val="0"/>
          <w:bCs/>
          <w:color w:val="auto"/>
          <w:sz w:val="24"/>
          <w:szCs w:val="24"/>
          <w:lang w:eastAsia="zh-CN"/>
        </w:rPr>
        <w:t>、《</w:t>
      </w:r>
      <w:r>
        <w:rPr>
          <w:rFonts w:hint="eastAsia" w:ascii="Times New Roman" w:hAnsi="Times New Roman" w:eastAsia="宋体" w:cs="Times New Roman"/>
          <w:b w:val="0"/>
          <w:bCs/>
          <w:color w:val="auto"/>
          <w:sz w:val="24"/>
          <w:szCs w:val="24"/>
          <w:lang w:val="en-US" w:eastAsia="zh-CN"/>
        </w:rPr>
        <w:t>郑州全生农牧科技有限公司年出栏5万头生猪养殖基地建设项目竣工环境保护验收调查报告</w:t>
      </w:r>
      <w:r>
        <w:rPr>
          <w:rFonts w:hint="eastAsia" w:ascii="Times New Roman" w:hAnsi="Times New Roman" w:eastAsia="宋体" w:cs="Times New Roman"/>
          <w:b w:val="0"/>
          <w:bCs/>
          <w:color w:val="auto"/>
          <w:sz w:val="24"/>
          <w:szCs w:val="24"/>
          <w:lang w:eastAsia="zh-CN"/>
        </w:rPr>
        <w:t>》</w:t>
      </w:r>
      <w:r>
        <w:rPr>
          <w:rFonts w:hint="eastAsia" w:ascii="Times New Roman" w:hAnsi="Times New Roman" w:eastAsia="宋体" w:cs="Times New Roman"/>
          <w:b w:val="0"/>
          <w:bCs/>
          <w:color w:val="auto"/>
          <w:sz w:val="24"/>
          <w:szCs w:val="24"/>
          <w:lang w:val="en-US" w:eastAsia="zh-CN"/>
        </w:rPr>
        <w:t>中养殖场进口废水水质浓度</w:t>
      </w:r>
      <w:r>
        <w:rPr>
          <w:rFonts w:hint="eastAsia" w:ascii="Times New Roman" w:hAnsi="Times New Roman" w:eastAsia="宋体" w:cs="Times New Roman"/>
          <w:b w:val="0"/>
          <w:bCs/>
          <w:color w:val="auto"/>
          <w:sz w:val="24"/>
          <w:szCs w:val="24"/>
        </w:rPr>
        <w:t>等核算本项目进水废水污染物浓度为COD：</w:t>
      </w:r>
      <w:r>
        <w:rPr>
          <w:rFonts w:hint="eastAsia" w:ascii="Times New Roman" w:hAnsi="Times New Roman" w:eastAsia="宋体" w:cs="Times New Roman"/>
          <w:b w:val="0"/>
          <w:bCs/>
          <w:color w:val="auto"/>
          <w:sz w:val="24"/>
          <w:szCs w:val="24"/>
          <w:lang w:val="en-US" w:eastAsia="zh-CN"/>
        </w:rPr>
        <w:t>10908.93</w:t>
      </w:r>
      <w:r>
        <w:rPr>
          <w:rFonts w:hint="eastAsia" w:ascii="Times New Roman" w:hAnsi="Times New Roman" w:eastAsia="宋体" w:cs="Times New Roman"/>
          <w:b w:val="0"/>
          <w:bCs/>
          <w:color w:val="auto"/>
          <w:sz w:val="24"/>
          <w:szCs w:val="24"/>
        </w:rPr>
        <w:t>mg/L、BOD</w:t>
      </w:r>
      <w:r>
        <w:rPr>
          <w:rFonts w:hint="eastAsia" w:ascii="Times New Roman" w:hAnsi="Times New Roman" w:eastAsia="宋体" w:cs="Times New Roman"/>
          <w:b w:val="0"/>
          <w:bCs/>
          <w:color w:val="auto"/>
          <w:sz w:val="24"/>
          <w:szCs w:val="24"/>
          <w:vertAlign w:val="subscript"/>
        </w:rPr>
        <w:t>5</w:t>
      </w:r>
      <w:r>
        <w:rPr>
          <w:rFonts w:hint="eastAsia" w:ascii="Times New Roman" w:hAnsi="Times New Roman" w:eastAsia="宋体" w:cs="Times New Roman"/>
          <w:b w:val="0"/>
          <w:bCs/>
          <w:color w:val="auto"/>
          <w:sz w:val="24"/>
          <w:szCs w:val="24"/>
        </w:rPr>
        <w:t>：</w:t>
      </w:r>
      <w:r>
        <w:rPr>
          <w:rFonts w:hint="eastAsia" w:ascii="Times New Roman" w:hAnsi="Times New Roman" w:eastAsia="宋体" w:cs="Times New Roman"/>
          <w:b w:val="0"/>
          <w:bCs/>
          <w:color w:val="auto"/>
          <w:sz w:val="24"/>
          <w:szCs w:val="24"/>
          <w:lang w:val="en-US" w:eastAsia="zh-CN"/>
        </w:rPr>
        <w:t>925.35</w:t>
      </w:r>
      <w:r>
        <w:rPr>
          <w:rFonts w:hint="eastAsia" w:ascii="Times New Roman" w:hAnsi="Times New Roman" w:eastAsia="宋体" w:cs="Times New Roman"/>
          <w:b w:val="0"/>
          <w:bCs/>
          <w:color w:val="auto"/>
          <w:sz w:val="24"/>
          <w:szCs w:val="24"/>
        </w:rPr>
        <w:t>mg/L、SS：</w:t>
      </w:r>
      <w:r>
        <w:rPr>
          <w:rFonts w:hint="eastAsia" w:ascii="Times New Roman" w:hAnsi="Times New Roman" w:eastAsia="宋体" w:cs="Times New Roman"/>
          <w:b w:val="0"/>
          <w:bCs/>
          <w:color w:val="auto"/>
          <w:sz w:val="24"/>
          <w:szCs w:val="24"/>
          <w:lang w:val="en-US" w:eastAsia="zh-CN"/>
        </w:rPr>
        <w:t xml:space="preserve">473.50 </w:t>
      </w:r>
      <w:r>
        <w:rPr>
          <w:rFonts w:hint="eastAsia" w:ascii="Times New Roman" w:hAnsi="Times New Roman" w:eastAsia="宋体" w:cs="Times New Roman"/>
          <w:b w:val="0"/>
          <w:bCs/>
          <w:color w:val="auto"/>
          <w:sz w:val="24"/>
          <w:szCs w:val="24"/>
        </w:rPr>
        <w:t>mg/L、NH</w:t>
      </w:r>
      <w:r>
        <w:rPr>
          <w:rFonts w:hint="eastAsia" w:ascii="Times New Roman" w:hAnsi="Times New Roman" w:eastAsia="宋体" w:cs="Times New Roman"/>
          <w:b w:val="0"/>
          <w:bCs/>
          <w:color w:val="auto"/>
          <w:sz w:val="24"/>
          <w:szCs w:val="24"/>
          <w:vertAlign w:val="subscript"/>
        </w:rPr>
        <w:t>3</w:t>
      </w:r>
      <w:r>
        <w:rPr>
          <w:rFonts w:hint="eastAsia" w:ascii="Times New Roman" w:hAnsi="Times New Roman" w:eastAsia="宋体" w:cs="Times New Roman"/>
          <w:b w:val="0"/>
          <w:bCs/>
          <w:color w:val="auto"/>
          <w:sz w:val="24"/>
          <w:szCs w:val="24"/>
        </w:rPr>
        <w:t>-N：</w:t>
      </w:r>
      <w:r>
        <w:rPr>
          <w:rFonts w:hint="eastAsia" w:ascii="Times New Roman" w:hAnsi="Times New Roman" w:eastAsia="宋体" w:cs="Times New Roman"/>
          <w:b w:val="0"/>
          <w:bCs/>
          <w:color w:val="auto"/>
          <w:sz w:val="24"/>
          <w:szCs w:val="24"/>
          <w:lang w:val="en-US" w:eastAsia="zh-CN"/>
        </w:rPr>
        <w:t>365.65</w:t>
      </w:r>
      <w:r>
        <w:rPr>
          <w:rFonts w:hint="eastAsia" w:ascii="Times New Roman" w:hAnsi="Times New Roman" w:eastAsia="宋体" w:cs="Times New Roman"/>
          <w:b w:val="0"/>
          <w:bCs/>
          <w:color w:val="auto"/>
          <w:sz w:val="24"/>
          <w:szCs w:val="24"/>
        </w:rPr>
        <w:t>mg/L、TP：</w:t>
      </w:r>
      <w:r>
        <w:rPr>
          <w:rFonts w:hint="eastAsia" w:ascii="Times New Roman" w:hAnsi="Times New Roman" w:eastAsia="宋体" w:cs="Times New Roman"/>
          <w:b w:val="0"/>
          <w:bCs/>
          <w:color w:val="auto"/>
          <w:sz w:val="24"/>
          <w:szCs w:val="24"/>
          <w:lang w:val="en-US" w:eastAsia="zh-CN"/>
        </w:rPr>
        <w:t>46.91</w:t>
      </w:r>
      <w:r>
        <w:rPr>
          <w:rFonts w:hint="eastAsia" w:ascii="Times New Roman" w:hAnsi="Times New Roman" w:eastAsia="宋体" w:cs="Times New Roman"/>
          <w:b w:val="0"/>
          <w:bCs/>
          <w:color w:val="auto"/>
          <w:sz w:val="24"/>
          <w:szCs w:val="24"/>
        </w:rPr>
        <w:t>mg/L、TN：</w:t>
      </w:r>
      <w:r>
        <w:rPr>
          <w:rFonts w:hint="eastAsia" w:ascii="Times New Roman" w:hAnsi="Times New Roman" w:eastAsia="宋体" w:cs="Times New Roman"/>
          <w:b w:val="0"/>
          <w:bCs/>
          <w:color w:val="auto"/>
          <w:sz w:val="24"/>
          <w:szCs w:val="24"/>
          <w:lang w:val="en-US" w:eastAsia="zh-CN"/>
        </w:rPr>
        <w:t>500.36</w:t>
      </w:r>
      <w:r>
        <w:rPr>
          <w:rFonts w:hint="eastAsia" w:ascii="Times New Roman" w:hAnsi="Times New Roman" w:eastAsia="宋体" w:cs="Times New Roman"/>
          <w:b w:val="0"/>
          <w:bCs/>
          <w:color w:val="auto"/>
          <w:sz w:val="24"/>
          <w:szCs w:val="24"/>
        </w:rPr>
        <w:t>mg/L。污水处理站采用“</w:t>
      </w:r>
      <w:r>
        <w:rPr>
          <w:rFonts w:hint="eastAsia" w:ascii="Times New Roman" w:hAnsi="Times New Roman" w:eastAsia="宋体" w:cstheme="minorBidi"/>
          <w:b w:val="0"/>
          <w:snapToGrid w:val="0"/>
          <w:color w:val="auto"/>
          <w:kern w:val="2"/>
          <w:sz w:val="24"/>
          <w:szCs w:val="22"/>
          <w:lang w:val="en-US" w:eastAsia="zh-CN" w:bidi="ar-SA"/>
        </w:rPr>
        <w:t>格栅井+集粪池+固液分离机+污泥池（调节池）+叠螺脱水机+预反应及预沉池+一级光氧塘+A/O组合池+二沉池+深度反应池+终沉池+氧化塘）</w:t>
      </w:r>
      <w:r>
        <w:rPr>
          <w:rFonts w:hint="eastAsia" w:ascii="Times New Roman" w:hAnsi="Times New Roman" w:eastAsia="宋体" w:cs="Times New Roman"/>
          <w:b w:val="0"/>
          <w:bCs/>
          <w:color w:val="auto"/>
          <w:sz w:val="24"/>
          <w:szCs w:val="24"/>
        </w:rPr>
        <w:t>”工艺，通过</w:t>
      </w:r>
      <w:r>
        <w:rPr>
          <w:rFonts w:hint="eastAsia" w:ascii="Times New Roman" w:hAnsi="Times New Roman" w:eastAsia="宋体" w:cs="Times New Roman"/>
          <w:b w:val="0"/>
          <w:bCs/>
          <w:color w:val="auto"/>
          <w:sz w:val="24"/>
          <w:szCs w:val="24"/>
          <w:lang w:eastAsia="zh-CN"/>
        </w:rPr>
        <w:t>缺氧、</w:t>
      </w:r>
      <w:r>
        <w:rPr>
          <w:rFonts w:hint="eastAsia" w:ascii="Times New Roman" w:hAnsi="Times New Roman" w:eastAsia="宋体" w:cs="Times New Roman"/>
          <w:b w:val="0"/>
          <w:bCs/>
          <w:color w:val="auto"/>
          <w:sz w:val="24"/>
          <w:szCs w:val="24"/>
        </w:rPr>
        <w:t>好氧</w:t>
      </w:r>
      <w:r>
        <w:rPr>
          <w:rFonts w:hint="eastAsia" w:ascii="Times New Roman" w:hAnsi="Times New Roman" w:eastAsia="宋体" w:cs="Times New Roman"/>
          <w:b w:val="0"/>
          <w:bCs/>
          <w:color w:val="auto"/>
          <w:sz w:val="24"/>
          <w:szCs w:val="24"/>
          <w:lang w:eastAsia="zh-CN"/>
        </w:rPr>
        <w:t>及光氧作用</w:t>
      </w:r>
      <w:r>
        <w:rPr>
          <w:rFonts w:hint="eastAsia" w:ascii="Times New Roman" w:hAnsi="Times New Roman" w:eastAsia="宋体" w:cs="Times New Roman"/>
          <w:b w:val="0"/>
          <w:bCs/>
          <w:color w:val="auto"/>
          <w:sz w:val="24"/>
          <w:szCs w:val="24"/>
        </w:rPr>
        <w:t>除去废水中的COD和BOD</w:t>
      </w:r>
      <w:r>
        <w:rPr>
          <w:rFonts w:hint="eastAsia" w:ascii="Times New Roman" w:hAnsi="Times New Roman" w:eastAsia="宋体" w:cs="Times New Roman"/>
          <w:b w:val="0"/>
          <w:bCs/>
          <w:color w:val="auto"/>
          <w:sz w:val="24"/>
          <w:szCs w:val="24"/>
          <w:vertAlign w:val="subscript"/>
        </w:rPr>
        <w:t>5</w:t>
      </w:r>
      <w:r>
        <w:rPr>
          <w:rFonts w:hint="eastAsia" w:ascii="Times New Roman" w:hAnsi="Times New Roman" w:eastAsia="宋体" w:cs="Times New Roman"/>
          <w:b w:val="0"/>
          <w:bCs/>
          <w:color w:val="auto"/>
          <w:sz w:val="24"/>
          <w:szCs w:val="24"/>
        </w:rPr>
        <w:t>，通过格栅和沉淀除去水中的SS，满足废水处理需求。</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稳定达标情况：污水处理站设计出水水质为《农田灌溉水质标准》（</w:t>
      </w:r>
      <w:r>
        <w:rPr>
          <w:rFonts w:hint="eastAsia" w:ascii="Times New Roman" w:hAnsi="Times New Roman" w:eastAsia="宋体" w:cs="Times New Roman"/>
          <w:b w:val="0"/>
          <w:bCs/>
          <w:color w:val="auto"/>
          <w:sz w:val="24"/>
          <w:szCs w:val="24"/>
          <w:lang w:eastAsia="zh-CN"/>
        </w:rPr>
        <w:t>GB5084-2021</w:t>
      </w:r>
      <w:r>
        <w:rPr>
          <w:rFonts w:hint="eastAsia" w:ascii="Times New Roman" w:hAnsi="Times New Roman" w:eastAsia="宋体" w:cs="Times New Roman"/>
          <w:b w:val="0"/>
          <w:bCs/>
          <w:color w:val="auto"/>
          <w:sz w:val="24"/>
          <w:szCs w:val="24"/>
        </w:rPr>
        <w:t>）表 1 旱作标准（NH</w:t>
      </w:r>
      <w:r>
        <w:rPr>
          <w:rFonts w:hint="eastAsia" w:ascii="Times New Roman" w:hAnsi="Times New Roman" w:eastAsia="宋体" w:cs="Times New Roman"/>
          <w:b w:val="0"/>
          <w:bCs/>
          <w:color w:val="auto"/>
          <w:sz w:val="24"/>
          <w:szCs w:val="24"/>
          <w:vertAlign w:val="subscript"/>
        </w:rPr>
        <w:t>3</w:t>
      </w:r>
      <w:r>
        <w:rPr>
          <w:rFonts w:hint="eastAsia" w:ascii="Times New Roman" w:hAnsi="Times New Roman" w:eastAsia="宋体" w:cs="Times New Roman"/>
          <w:b w:val="0"/>
          <w:bCs/>
          <w:color w:val="auto"/>
          <w:sz w:val="24"/>
          <w:szCs w:val="24"/>
        </w:rPr>
        <w:t>-N、TP 执行《畜禽养殖业污染物排放标准》（GB18596-2001）表 5 中排放限值）。根据工程分析预测及类似污水处理项目运行数据，该处理工艺针对禽畜养殖废水特点设计，可确保废水稳定达标排放，满足环境可行性要求。</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lang w:eastAsia="zh-CN"/>
        </w:rPr>
      </w:pPr>
      <w:r>
        <w:rPr>
          <w:rFonts w:hint="eastAsia" w:ascii="Times New Roman" w:hAnsi="Times New Roman" w:eastAsia="宋体" w:cs="Times New Roman"/>
          <w:b w:val="0"/>
          <w:bCs/>
          <w:color w:val="auto"/>
          <w:sz w:val="24"/>
          <w:szCs w:val="24"/>
          <w:lang w:val="en-US" w:eastAsia="zh-CN"/>
        </w:rPr>
        <w:t>1)</w:t>
      </w:r>
      <w:r>
        <w:rPr>
          <w:rFonts w:hint="eastAsia" w:ascii="Times New Roman" w:hAnsi="Times New Roman" w:eastAsia="宋体" w:cs="Times New Roman"/>
          <w:b w:val="0"/>
          <w:bCs/>
          <w:color w:val="auto"/>
          <w:sz w:val="24"/>
          <w:szCs w:val="24"/>
          <w:lang w:eastAsia="zh-CN"/>
        </w:rPr>
        <w:t>同类型企业污水处理工艺分析：</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lang w:eastAsia="zh-CN"/>
        </w:rPr>
      </w:pPr>
      <w:r>
        <w:rPr>
          <w:rFonts w:hint="eastAsia" w:ascii="Times New Roman" w:hAnsi="Times New Roman" w:eastAsia="宋体" w:cs="Times New Roman"/>
          <w:b w:val="0"/>
          <w:bCs/>
          <w:color w:val="auto"/>
          <w:sz w:val="24"/>
          <w:szCs w:val="24"/>
          <w:lang w:eastAsia="zh-CN"/>
        </w:rPr>
        <w:t>郑州全生农牧科技有限公司年出栏5万头生猪养殖基地建设项目位于登封市石道乡闫坡村，</w:t>
      </w:r>
      <w:r>
        <w:rPr>
          <w:rFonts w:hint="eastAsia" w:ascii="Times New Roman" w:hAnsi="Times New Roman" w:eastAsia="宋体" w:cs="Times New Roman"/>
          <w:b w:val="0"/>
          <w:bCs/>
          <w:color w:val="auto"/>
          <w:sz w:val="24"/>
          <w:szCs w:val="24"/>
          <w:lang w:val="en-US" w:eastAsia="zh-CN"/>
        </w:rPr>
        <w:t>2014</w:t>
      </w:r>
      <w:r>
        <w:rPr>
          <w:rFonts w:hint="eastAsia" w:ascii="Times New Roman" w:hAnsi="Times New Roman" w:eastAsia="宋体" w:cs="Times New Roman"/>
          <w:b w:val="0"/>
          <w:bCs/>
          <w:color w:val="auto"/>
          <w:sz w:val="24"/>
          <w:szCs w:val="24"/>
          <w:lang w:eastAsia="zh-CN"/>
        </w:rPr>
        <w:t>年进行年出栏5万头生猪养殖基地建设项目建设，该项目涉及保育、育肥，设计年出栏5万头生猪，存栏</w:t>
      </w:r>
      <w:r>
        <w:rPr>
          <w:rFonts w:hint="eastAsia" w:ascii="Times New Roman" w:hAnsi="Times New Roman" w:eastAsia="宋体" w:cs="Times New Roman"/>
          <w:b w:val="0"/>
          <w:bCs/>
          <w:color w:val="auto"/>
          <w:sz w:val="24"/>
          <w:szCs w:val="24"/>
          <w:lang w:val="en-US" w:eastAsia="zh-CN"/>
        </w:rPr>
        <w:t>24000头</w:t>
      </w:r>
      <w:r>
        <w:rPr>
          <w:rFonts w:hint="eastAsia" w:ascii="Times New Roman" w:hAnsi="Times New Roman" w:eastAsia="宋体" w:cs="Times New Roman"/>
          <w:b w:val="0"/>
          <w:bCs/>
          <w:color w:val="auto"/>
          <w:sz w:val="24"/>
          <w:szCs w:val="24"/>
          <w:lang w:eastAsia="zh-CN"/>
        </w:rPr>
        <w:t>。该项目于</w:t>
      </w:r>
      <w:r>
        <w:rPr>
          <w:rFonts w:hint="eastAsia" w:ascii="Times New Roman" w:hAnsi="Times New Roman" w:eastAsia="宋体" w:cs="Times New Roman"/>
          <w:b w:val="0"/>
          <w:bCs/>
          <w:color w:val="auto"/>
          <w:sz w:val="24"/>
          <w:szCs w:val="24"/>
          <w:lang w:val="en-US" w:eastAsia="zh-CN"/>
        </w:rPr>
        <w:t>2019年进行竣工验收，该项目验收监测报告可知，该项目常年存栏数（折合成成年猪）17216</w:t>
      </w:r>
      <w:r>
        <w:rPr>
          <w:rFonts w:hint="eastAsia" w:ascii="Times New Roman" w:hAnsi="Times New Roman" w:eastAsia="宋体" w:cs="Times New Roman"/>
          <w:b w:val="0"/>
          <w:bCs/>
          <w:color w:val="auto"/>
          <w:sz w:val="24"/>
          <w:szCs w:val="24"/>
          <w:lang w:eastAsia="zh-CN"/>
        </w:rPr>
        <w:t>头。该项目清粪工艺同样采用干清粪工艺，因此，该项目产生的废水水质与本项目废水水质基本一致。该项目废水处理工艺采用“格栅+集水池+固液分离+初沉池+水解池（培养厌氧菌)+配水池+生物氧化池+沉淀池+混凝反应池+混凝沉淀池+清水池+储存池”工艺，根据验收期间对污水处理站进出口的监测数据可知，该项目废水经污水处理站处理后能够达标排放，该项目污水处理工艺可行。因此，本环评以郑州全生农牧科技有限公司年出栏5万头生猪养殖基地建设项目污水处理工艺类比本项目污水处理站工艺。</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default" w:ascii="Times New Roman" w:hAnsi="Times New Roman" w:eastAsia="宋体" w:cs="Times New Roman"/>
          <w:b w:val="0"/>
          <w:bCs/>
          <w:color w:val="auto"/>
          <w:sz w:val="24"/>
          <w:szCs w:val="24"/>
          <w:lang w:val="en-US" w:eastAsia="zh-CN"/>
        </w:rPr>
      </w:pPr>
      <w:r>
        <w:rPr>
          <w:rFonts w:hint="eastAsia" w:ascii="Times New Roman" w:hAnsi="Times New Roman" w:eastAsia="宋体" w:cs="Times New Roman"/>
          <w:b w:val="0"/>
          <w:bCs/>
          <w:color w:val="auto"/>
          <w:sz w:val="24"/>
          <w:szCs w:val="24"/>
          <w:lang w:eastAsia="zh-CN"/>
        </w:rPr>
        <w:t>本项目与郑州全生农牧科技有限公司年出栏5万头生猪养殖基地建设项目类比性分析如下：</w:t>
      </w:r>
    </w:p>
    <w:p>
      <w:pPr>
        <w:jc w:val="center"/>
        <w:rPr>
          <w:rFonts w:hint="eastAsia"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表</w:t>
      </w:r>
      <w:r>
        <w:rPr>
          <w:rFonts w:hint="default" w:ascii="Times New Roman" w:hAnsi="Times New Roman" w:eastAsia="宋体" w:cs="Times New Roman"/>
          <w:b/>
          <w:bCs/>
          <w:color w:val="auto"/>
          <w:sz w:val="21"/>
          <w:szCs w:val="21"/>
          <w:lang w:val="en-US" w:eastAsia="zh-CN"/>
        </w:rPr>
        <w:t>5.2-</w:t>
      </w:r>
      <w:r>
        <w:rPr>
          <w:rFonts w:hint="eastAsia" w:ascii="Times New Roman" w:hAnsi="Times New Roman" w:eastAsia="宋体" w:cs="Times New Roman"/>
          <w:b/>
          <w:bCs/>
          <w:color w:val="auto"/>
          <w:sz w:val="21"/>
          <w:szCs w:val="21"/>
          <w:lang w:val="en-US" w:eastAsia="zh-CN"/>
        </w:rPr>
        <w:t xml:space="preserve">14  </w:t>
      </w:r>
      <w:r>
        <w:rPr>
          <w:rFonts w:hint="eastAsia" w:ascii="Times New Roman" w:hAnsi="Times New Roman" w:eastAsia="宋体" w:cs="Times New Roman"/>
          <w:b/>
          <w:bCs/>
          <w:color w:val="auto"/>
          <w:sz w:val="21"/>
          <w:szCs w:val="21"/>
          <w:lang w:eastAsia="zh-CN"/>
        </w:rPr>
        <w:t>类比项目相似性分析表</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86"/>
        <w:gridCol w:w="2400"/>
        <w:gridCol w:w="2193"/>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6" w:type="dxa"/>
            <w:vAlign w:val="center"/>
          </w:tcPr>
          <w:p>
            <w:pPr>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类比项</w:t>
            </w:r>
          </w:p>
        </w:tc>
        <w:tc>
          <w:tcPr>
            <w:tcW w:w="2400" w:type="dxa"/>
            <w:vAlign w:val="center"/>
          </w:tcPr>
          <w:p>
            <w:pPr>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郑州全生农牧科技有限公司年出栏5万头生猪养殖基地建设项目</w:t>
            </w:r>
          </w:p>
        </w:tc>
        <w:tc>
          <w:tcPr>
            <w:tcW w:w="2193" w:type="dxa"/>
            <w:vAlign w:val="center"/>
          </w:tcPr>
          <w:p>
            <w:pPr>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本项目</w:t>
            </w:r>
          </w:p>
        </w:tc>
        <w:tc>
          <w:tcPr>
            <w:tcW w:w="2341" w:type="dxa"/>
            <w:vAlign w:val="center"/>
          </w:tcPr>
          <w:p>
            <w:pPr>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相似性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6" w:type="dxa"/>
            <w:vAlign w:val="center"/>
          </w:tcPr>
          <w:p>
            <w:pPr>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常年存栏数（成年猪）</w:t>
            </w:r>
          </w:p>
        </w:tc>
        <w:tc>
          <w:tcPr>
            <w:tcW w:w="2400"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17216头</w:t>
            </w:r>
          </w:p>
        </w:tc>
        <w:tc>
          <w:tcPr>
            <w:tcW w:w="2193" w:type="dxa"/>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15000头</w:t>
            </w:r>
          </w:p>
        </w:tc>
        <w:tc>
          <w:tcPr>
            <w:tcW w:w="2341" w:type="dxa"/>
            <w:vAlign w:val="center"/>
          </w:tcPr>
          <w:p>
            <w:pPr>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本项目常年存栏量更少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6" w:type="dxa"/>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eastAsia="zh-CN"/>
              </w:rPr>
              <w:t>养殖工艺</w:t>
            </w:r>
          </w:p>
        </w:tc>
        <w:tc>
          <w:tcPr>
            <w:tcW w:w="2400" w:type="dxa"/>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eastAsia="zh-CN"/>
              </w:rPr>
              <w:t>保育、育肥</w:t>
            </w:r>
          </w:p>
        </w:tc>
        <w:tc>
          <w:tcPr>
            <w:tcW w:w="2193" w:type="dxa"/>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eastAsia="zh-CN"/>
              </w:rPr>
              <w:t>保育、育肥</w:t>
            </w:r>
          </w:p>
        </w:tc>
        <w:tc>
          <w:tcPr>
            <w:tcW w:w="2341" w:type="dxa"/>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6" w:type="dxa"/>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eastAsia="zh-CN"/>
              </w:rPr>
              <w:t>清粪工艺</w:t>
            </w:r>
          </w:p>
        </w:tc>
        <w:tc>
          <w:tcPr>
            <w:tcW w:w="2400" w:type="dxa"/>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eastAsia="zh-CN"/>
              </w:rPr>
              <w:t>干清粪</w:t>
            </w:r>
          </w:p>
        </w:tc>
        <w:tc>
          <w:tcPr>
            <w:tcW w:w="2193" w:type="dxa"/>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eastAsia="zh-CN"/>
              </w:rPr>
              <w:t>干清粪</w:t>
            </w:r>
          </w:p>
        </w:tc>
        <w:tc>
          <w:tcPr>
            <w:tcW w:w="2341" w:type="dxa"/>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6" w:type="dxa"/>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eastAsia="zh-CN"/>
              </w:rPr>
              <w:t>废水产生量</w:t>
            </w:r>
          </w:p>
        </w:tc>
        <w:tc>
          <w:tcPr>
            <w:tcW w:w="2400" w:type="dxa"/>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69</w:t>
            </w:r>
            <w:r>
              <w:rPr>
                <w:rFonts w:hint="eastAsia" w:ascii="Times New Roman" w:hAnsi="Times New Roman" w:eastAsia="宋体" w:cs="Times New Roman"/>
                <w:color w:val="auto"/>
                <w:sz w:val="21"/>
                <w:szCs w:val="21"/>
                <w:lang w:eastAsia="zh-CN"/>
              </w:rPr>
              <w:t>m</w:t>
            </w:r>
            <w:r>
              <w:rPr>
                <w:rFonts w:hint="eastAsia" w:ascii="Times New Roman" w:hAnsi="Times New Roman" w:eastAsia="宋体" w:cs="Times New Roman"/>
                <w:color w:val="auto"/>
                <w:sz w:val="21"/>
                <w:szCs w:val="21"/>
                <w:vertAlign w:val="superscript"/>
                <w:lang w:eastAsia="zh-CN"/>
              </w:rPr>
              <w:t>3</w:t>
            </w:r>
            <w:r>
              <w:rPr>
                <w:rFonts w:hint="eastAsia" w:ascii="Times New Roman" w:hAnsi="Times New Roman" w:eastAsia="宋体" w:cs="Times New Roman"/>
                <w:color w:val="auto"/>
                <w:sz w:val="21"/>
                <w:szCs w:val="21"/>
                <w:lang w:eastAsia="zh-CN"/>
              </w:rPr>
              <w:t>/d</w:t>
            </w:r>
          </w:p>
        </w:tc>
        <w:tc>
          <w:tcPr>
            <w:tcW w:w="2193" w:type="dxa"/>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68.33</w:t>
            </w:r>
            <w:r>
              <w:rPr>
                <w:rFonts w:hint="eastAsia" w:ascii="Times New Roman" w:hAnsi="Times New Roman" w:eastAsia="宋体" w:cs="Times New Roman"/>
                <w:color w:val="auto"/>
                <w:sz w:val="21"/>
                <w:szCs w:val="21"/>
                <w:lang w:eastAsia="zh-CN"/>
              </w:rPr>
              <w:t>m</w:t>
            </w:r>
            <w:r>
              <w:rPr>
                <w:rFonts w:hint="eastAsia" w:ascii="Times New Roman" w:hAnsi="Times New Roman" w:eastAsia="宋体" w:cs="Times New Roman"/>
                <w:color w:val="auto"/>
                <w:sz w:val="21"/>
                <w:szCs w:val="21"/>
                <w:vertAlign w:val="superscript"/>
                <w:lang w:eastAsia="zh-CN"/>
              </w:rPr>
              <w:t>3</w:t>
            </w:r>
            <w:r>
              <w:rPr>
                <w:rFonts w:hint="eastAsia" w:ascii="Times New Roman" w:hAnsi="Times New Roman" w:eastAsia="宋体" w:cs="Times New Roman"/>
                <w:color w:val="auto"/>
                <w:sz w:val="21"/>
                <w:szCs w:val="21"/>
                <w:lang w:eastAsia="zh-CN"/>
              </w:rPr>
              <w:t>/d</w:t>
            </w:r>
          </w:p>
        </w:tc>
        <w:tc>
          <w:tcPr>
            <w:tcW w:w="2341" w:type="dxa"/>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eastAsia="zh-CN"/>
              </w:rPr>
              <w:t>本项目废水量基本一致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6" w:type="dxa"/>
            <w:vMerge w:val="restart"/>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废水处理工艺</w:t>
            </w:r>
          </w:p>
        </w:tc>
        <w:tc>
          <w:tcPr>
            <w:tcW w:w="2400" w:type="dxa"/>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格栅+集水池+固液分离+初沉池+水解池（培养厌氧菌)+配水池+生物氧化池+沉淀池+混凝反应池+混凝沉淀池+清水池+储存池</w:t>
            </w:r>
          </w:p>
        </w:tc>
        <w:tc>
          <w:tcPr>
            <w:tcW w:w="2193" w:type="dxa"/>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格栅井+集粪池+固液分离机+污泥池（调节池）+叠螺脱水机+预反应及预沉池+一级光氧塘+A/O组合池+二沉池+深度反应池+终沉池+氧化塘</w:t>
            </w:r>
          </w:p>
        </w:tc>
        <w:tc>
          <w:tcPr>
            <w:tcW w:w="2341" w:type="dxa"/>
            <w:vMerge w:val="restart"/>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基本一致，对比项目设置水解池，本项目设置A/O组合池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6" w:type="dxa"/>
            <w:vMerge w:val="continue"/>
            <w:vAlign w:val="center"/>
          </w:tcPr>
          <w:p>
            <w:pPr>
              <w:jc w:val="center"/>
              <w:rPr>
                <w:rFonts w:hint="eastAsia" w:ascii="Times New Roman" w:hAnsi="Times New Roman" w:eastAsia="宋体" w:cs="Times New Roman"/>
                <w:color w:val="auto"/>
                <w:kern w:val="2"/>
                <w:sz w:val="21"/>
                <w:szCs w:val="21"/>
                <w:lang w:val="en-US" w:eastAsia="zh-CN" w:bidi="ar-SA"/>
              </w:rPr>
            </w:pPr>
          </w:p>
        </w:tc>
        <w:tc>
          <w:tcPr>
            <w:tcW w:w="4593" w:type="dxa"/>
            <w:gridSpan w:val="2"/>
            <w:vAlign w:val="center"/>
          </w:tcPr>
          <w:p>
            <w:pPr>
              <w:jc w:val="left"/>
              <w:rPr>
                <w:rFonts w:hint="eastAsia" w:ascii="Times New Roman" w:hAnsi="Times New Roman" w:eastAsia="宋体" w:cs="Times New Roman"/>
                <w:color w:val="auto"/>
                <w:kern w:val="2"/>
                <w:sz w:val="21"/>
                <w:szCs w:val="21"/>
                <w:lang w:val="en-US" w:eastAsia="zh-CN" w:bidi="ar-SA"/>
              </w:rPr>
            </w:pPr>
            <w:r>
              <w:rPr>
                <w:rFonts w:hint="eastAsia"/>
                <w:color w:val="auto"/>
                <w:lang w:val="en-US" w:eastAsia="zh-CN"/>
              </w:rPr>
              <w:t>对</w:t>
            </w:r>
            <w:r>
              <w:rPr>
                <w:rFonts w:hint="eastAsia" w:ascii="Times New Roman" w:hAnsi="Times New Roman" w:eastAsia="宋体" w:cs="Times New Roman"/>
                <w:color w:val="auto"/>
                <w:kern w:val="2"/>
                <w:sz w:val="21"/>
                <w:szCs w:val="21"/>
                <w:lang w:val="en-US" w:eastAsia="zh-CN" w:bidi="ar-SA"/>
              </w:rPr>
              <w:t>比分析：</w:t>
            </w:r>
          </w:p>
          <w:p>
            <w:pPr>
              <w:jc w:val="left"/>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1、均不设置厌氧反应池，对比项目水处理过程中仅水解酸化池产生沼气，本项目不设置水解池，因此不产生沼气</w:t>
            </w:r>
          </w:p>
          <w:p>
            <w:pPr>
              <w:jc w:val="left"/>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2、本项目预处理池、深度反应池与对比项目混凝反应池作用一样，均加入PAC、PAM反应</w:t>
            </w:r>
          </w:p>
          <w:p>
            <w:pPr>
              <w:jc w:val="left"/>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3、本项目二沉池、终沉池与对比项目混凝沉淀池作用一致，进行沉淀作用</w:t>
            </w:r>
          </w:p>
          <w:p>
            <w:pPr>
              <w:pStyle w:val="2"/>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4、本项目氧化塘作用与对比项目储蓄池作用一致，起储蓄作用</w:t>
            </w:r>
          </w:p>
          <w:p>
            <w:pPr>
              <w:pStyle w:val="3"/>
              <w:ind w:left="0" w:leftChars="0" w:firstLine="0" w:firstLineChars="0"/>
              <w:rPr>
                <w:rFonts w:hint="default"/>
                <w:color w:val="auto"/>
                <w:lang w:val="en-US" w:eastAsia="zh-CN"/>
              </w:rPr>
            </w:pPr>
            <w:r>
              <w:rPr>
                <w:rFonts w:hint="eastAsia" w:ascii="Times New Roman" w:hAnsi="Times New Roman" w:cs="Times New Roman"/>
                <w:color w:val="auto"/>
                <w:kern w:val="2"/>
                <w:sz w:val="21"/>
                <w:szCs w:val="21"/>
                <w:lang w:val="en-US" w:eastAsia="zh-CN" w:bidi="ar-SA"/>
              </w:rPr>
              <w:t>5、本项目设置缺氧池、好氧池，对比项目无</w:t>
            </w:r>
          </w:p>
        </w:tc>
        <w:tc>
          <w:tcPr>
            <w:tcW w:w="2341" w:type="dxa"/>
            <w:vMerge w:val="continue"/>
            <w:vAlign w:val="center"/>
          </w:tcPr>
          <w:p>
            <w:pPr>
              <w:jc w:val="center"/>
              <w:rPr>
                <w:rFonts w:hint="eastAsia" w:ascii="Times New Roman" w:hAnsi="Times New Roman" w:eastAsia="宋体" w:cs="Times New Roman"/>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6" w:type="dxa"/>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处理达标指标</w:t>
            </w:r>
          </w:p>
        </w:tc>
        <w:tc>
          <w:tcPr>
            <w:tcW w:w="2400" w:type="dxa"/>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《农田灌溉水质标准》（GB5084-2005）表 1</w:t>
            </w:r>
          </w:p>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中旱作标准</w:t>
            </w:r>
          </w:p>
        </w:tc>
        <w:tc>
          <w:tcPr>
            <w:tcW w:w="2193" w:type="dxa"/>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《农田灌溉水质标准》（GB5084-2005）表 1中旱作标准</w:t>
            </w:r>
          </w:p>
        </w:tc>
        <w:tc>
          <w:tcPr>
            <w:tcW w:w="2341" w:type="dxa"/>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6" w:type="dxa"/>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达标情况</w:t>
            </w:r>
          </w:p>
        </w:tc>
        <w:tc>
          <w:tcPr>
            <w:tcW w:w="2400" w:type="dxa"/>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达标</w:t>
            </w:r>
          </w:p>
        </w:tc>
        <w:tc>
          <w:tcPr>
            <w:tcW w:w="2193" w:type="dxa"/>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2341" w:type="dxa"/>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r>
    </w:tbl>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default" w:ascii="Times New Roman" w:hAnsi="Times New Roman" w:eastAsia="宋体" w:cs="Times New Roman"/>
          <w:b w:val="0"/>
          <w:bCs/>
          <w:color w:val="auto"/>
          <w:sz w:val="24"/>
          <w:szCs w:val="24"/>
          <w:lang w:val="en-US" w:eastAsia="zh-CN"/>
        </w:rPr>
      </w:pPr>
      <w:r>
        <w:rPr>
          <w:rFonts w:hint="eastAsia" w:ascii="Times New Roman" w:hAnsi="Times New Roman" w:eastAsia="宋体" w:cs="Times New Roman"/>
          <w:b w:val="0"/>
          <w:bCs/>
          <w:color w:val="auto"/>
          <w:sz w:val="24"/>
          <w:szCs w:val="24"/>
          <w:lang w:val="en-US" w:eastAsia="zh-CN"/>
        </w:rPr>
        <w:t>根据以上分析可知，本项目废水处理工艺与郑州全生农牧科技有限公司年出栏5万头生猪养殖基地建设项目废水处理工艺有部分差异，本项目设置A/O组合池，郑州全生农牧科技有限公司年出栏5万头生猪养殖基地建设项目设置水解酸化池。参考《水解酸化反应器污水处理工程技术规范》（HJ 2047-2015）、《厌氧-缺氧-好氧活性污泥法污水处理工程技术规范》（HJ 576—2010）及经验值对两种处理工艺进行类比分析，分析情况如下。</w:t>
      </w:r>
    </w:p>
    <w:p>
      <w:pPr>
        <w:jc w:val="center"/>
        <w:rPr>
          <w:rFonts w:hint="eastAsia"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表</w:t>
      </w:r>
      <w:r>
        <w:rPr>
          <w:rFonts w:hint="default" w:ascii="Times New Roman" w:hAnsi="Times New Roman" w:eastAsia="宋体" w:cs="Times New Roman"/>
          <w:b/>
          <w:bCs/>
          <w:color w:val="auto"/>
          <w:sz w:val="21"/>
          <w:szCs w:val="21"/>
          <w:lang w:val="en-US" w:eastAsia="zh-CN"/>
        </w:rPr>
        <w:t>5.2-</w:t>
      </w:r>
      <w:r>
        <w:rPr>
          <w:rFonts w:hint="eastAsia" w:ascii="Times New Roman" w:hAnsi="Times New Roman" w:eastAsia="宋体" w:cs="Times New Roman"/>
          <w:b/>
          <w:bCs/>
          <w:color w:val="auto"/>
          <w:sz w:val="21"/>
          <w:szCs w:val="21"/>
          <w:lang w:val="en-US" w:eastAsia="zh-CN"/>
        </w:rPr>
        <w:t>15  水解酸化池</w:t>
      </w:r>
      <w:r>
        <w:rPr>
          <w:rFonts w:hint="eastAsia" w:ascii="Times New Roman" w:hAnsi="Times New Roman" w:eastAsia="宋体" w:cs="Times New Roman"/>
          <w:b/>
          <w:bCs/>
          <w:color w:val="auto"/>
          <w:sz w:val="21"/>
          <w:szCs w:val="21"/>
          <w:lang w:eastAsia="zh-CN"/>
        </w:rPr>
        <w:t>、</w:t>
      </w:r>
      <w:r>
        <w:rPr>
          <w:rFonts w:hint="eastAsia" w:ascii="Times New Roman" w:hAnsi="Times New Roman" w:eastAsia="宋体" w:cs="Times New Roman"/>
          <w:b/>
          <w:bCs/>
          <w:color w:val="auto"/>
          <w:sz w:val="21"/>
          <w:szCs w:val="21"/>
          <w:lang w:val="en-US" w:eastAsia="zh-CN"/>
        </w:rPr>
        <w:t>A/O组合池</w:t>
      </w:r>
      <w:r>
        <w:rPr>
          <w:rFonts w:hint="eastAsia" w:ascii="Times New Roman" w:hAnsi="Times New Roman" w:eastAsia="宋体" w:cs="Times New Roman"/>
          <w:b/>
          <w:bCs/>
          <w:color w:val="auto"/>
          <w:sz w:val="21"/>
          <w:szCs w:val="21"/>
          <w:lang w:eastAsia="zh-CN"/>
        </w:rPr>
        <w:t>分析对照表</w:t>
      </w:r>
    </w:p>
    <w:tbl>
      <w:tblPr>
        <w:tblStyle w:val="35"/>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4"/>
        <w:gridCol w:w="739"/>
        <w:gridCol w:w="4659"/>
        <w:gridCol w:w="3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8" w:type="pct"/>
            <w:gridSpan w:val="2"/>
            <w:vAlign w:val="center"/>
          </w:tcPr>
          <w:p>
            <w:pPr>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类比项</w:t>
            </w:r>
          </w:p>
        </w:tc>
        <w:tc>
          <w:tcPr>
            <w:tcW w:w="2528" w:type="pct"/>
            <w:vAlign w:val="center"/>
          </w:tcPr>
          <w:p>
            <w:pPr>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水解酸化池</w:t>
            </w:r>
          </w:p>
        </w:tc>
        <w:tc>
          <w:tcPr>
            <w:tcW w:w="1813" w:type="pct"/>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A/O组合池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8" w:type="pct"/>
            <w:gridSpan w:val="2"/>
            <w:vAlign w:val="center"/>
          </w:tcPr>
          <w:p>
            <w:pPr>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工艺机制</w:t>
            </w:r>
          </w:p>
        </w:tc>
        <w:tc>
          <w:tcPr>
            <w:tcW w:w="2528" w:type="pct"/>
            <w:vAlign w:val="center"/>
          </w:tcPr>
          <w:p>
            <w:pPr>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利用厌氧或兼性菌在水解和酸化阶段的作用，将污水中悬浮性有机固体和难生物降解的大分子物质（包括碳水化合物、脂肪和脂类等）水解成溶解性有机物和易生物降解的小分子物质，小分子有机物再在酸化菌作用下转化成挥发性脂肪酸。</w:t>
            </w:r>
          </w:p>
        </w:tc>
        <w:tc>
          <w:tcPr>
            <w:tcW w:w="1813" w:type="pct"/>
            <w:vAlign w:val="center"/>
          </w:tcPr>
          <w:p>
            <w:pPr>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通过缺氧区和好氧区的各种组合以及不同的污泥回流方式来去除水中有机污染物和氮、磷等</w:t>
            </w:r>
            <w:r>
              <w:rPr>
                <w:rFonts w:hint="eastAsia" w:ascii="Times New Roman" w:hAnsi="Times New Roman" w:eastAsia="宋体" w:cs="Times New Roman"/>
                <w:color w:val="auto"/>
                <w:sz w:val="21"/>
                <w:szCs w:val="21"/>
                <w:lang w:val="en-US" w:eastAsia="zh-CN"/>
              </w:rPr>
              <w:t>。缺氧池（区）主要功能是进行反硝化脱氮，好氧池（区）主要功能是降解有机物、硝化氨氮和过量摄磷。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 w:type="pct"/>
            <w:vMerge w:val="restart"/>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去除率</w:t>
            </w:r>
          </w:p>
        </w:tc>
        <w:tc>
          <w:tcPr>
            <w:tcW w:w="401"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COD</w:t>
            </w:r>
          </w:p>
        </w:tc>
        <w:tc>
          <w:tcPr>
            <w:tcW w:w="2528"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 xml:space="preserve">30%～50% </w:t>
            </w:r>
          </w:p>
        </w:tc>
        <w:tc>
          <w:tcPr>
            <w:tcW w:w="1813"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70%~90%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 w:type="pct"/>
            <w:vMerge w:val="continue"/>
            <w:vAlign w:val="center"/>
          </w:tcPr>
          <w:p>
            <w:pPr>
              <w:jc w:val="center"/>
              <w:rPr>
                <w:rFonts w:hint="eastAsia" w:ascii="Times New Roman" w:hAnsi="Times New Roman" w:eastAsia="宋体" w:cs="Times New Roman"/>
                <w:color w:val="auto"/>
                <w:kern w:val="2"/>
                <w:sz w:val="21"/>
                <w:szCs w:val="21"/>
                <w:lang w:val="en-US" w:eastAsia="zh-CN" w:bidi="ar-SA"/>
              </w:rPr>
            </w:pPr>
          </w:p>
        </w:tc>
        <w:tc>
          <w:tcPr>
            <w:tcW w:w="401" w:type="pct"/>
            <w:vAlign w:val="center"/>
          </w:tcPr>
          <w:p>
            <w:pPr>
              <w:jc w:val="center"/>
              <w:rPr>
                <w:rFonts w:hint="default" w:ascii="Times New Roman" w:hAnsi="Times New Roman" w:eastAsia="宋体" w:cs="Times New Roman"/>
                <w:color w:val="auto"/>
                <w:kern w:val="2"/>
                <w:sz w:val="21"/>
                <w:szCs w:val="21"/>
                <w:vertAlign w:val="subscript"/>
                <w:lang w:val="en-US" w:eastAsia="zh-CN" w:bidi="ar-SA"/>
              </w:rPr>
            </w:pPr>
            <w:r>
              <w:rPr>
                <w:rFonts w:hint="eastAsia" w:ascii="Times New Roman" w:hAnsi="Times New Roman" w:eastAsia="宋体" w:cs="Times New Roman"/>
                <w:color w:val="auto"/>
                <w:kern w:val="2"/>
                <w:sz w:val="21"/>
                <w:szCs w:val="21"/>
                <w:lang w:val="en-US" w:eastAsia="zh-CN" w:bidi="ar-SA"/>
              </w:rPr>
              <w:t>BOD</w:t>
            </w:r>
            <w:r>
              <w:rPr>
                <w:rFonts w:hint="eastAsia" w:ascii="Times New Roman" w:hAnsi="Times New Roman" w:eastAsia="宋体" w:cs="Times New Roman"/>
                <w:color w:val="auto"/>
                <w:kern w:val="2"/>
                <w:sz w:val="21"/>
                <w:szCs w:val="21"/>
                <w:vertAlign w:val="subscript"/>
                <w:lang w:val="en-US" w:eastAsia="zh-CN" w:bidi="ar-SA"/>
              </w:rPr>
              <w:t>5</w:t>
            </w:r>
          </w:p>
        </w:tc>
        <w:tc>
          <w:tcPr>
            <w:tcW w:w="2528" w:type="pct"/>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20%～40%</w:t>
            </w:r>
          </w:p>
        </w:tc>
        <w:tc>
          <w:tcPr>
            <w:tcW w:w="1813" w:type="pct"/>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70%~90%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 w:type="pct"/>
            <w:vMerge w:val="continue"/>
            <w:vAlign w:val="center"/>
          </w:tcPr>
          <w:p>
            <w:pPr>
              <w:jc w:val="center"/>
              <w:rPr>
                <w:rFonts w:hint="eastAsia" w:ascii="Times New Roman" w:hAnsi="Times New Roman" w:eastAsia="宋体" w:cs="Times New Roman"/>
                <w:color w:val="auto"/>
                <w:kern w:val="2"/>
                <w:sz w:val="21"/>
                <w:szCs w:val="21"/>
                <w:lang w:val="en-US" w:eastAsia="zh-CN" w:bidi="ar-SA"/>
              </w:rPr>
            </w:pPr>
          </w:p>
        </w:tc>
        <w:tc>
          <w:tcPr>
            <w:tcW w:w="401"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SS</w:t>
            </w:r>
          </w:p>
        </w:tc>
        <w:tc>
          <w:tcPr>
            <w:tcW w:w="2528" w:type="pct"/>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50%～80%</w:t>
            </w:r>
          </w:p>
        </w:tc>
        <w:tc>
          <w:tcPr>
            <w:tcW w:w="1813" w:type="pct"/>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70%~90%</w:t>
            </w:r>
          </w:p>
        </w:tc>
      </w:tr>
    </w:tbl>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default" w:ascii="Times New Roman" w:hAnsi="Times New Roman" w:eastAsia="宋体" w:cs="Times New Roman"/>
          <w:b w:val="0"/>
          <w:bCs/>
          <w:color w:val="auto"/>
          <w:sz w:val="24"/>
          <w:szCs w:val="24"/>
          <w:vertAlign w:val="baseline"/>
          <w:lang w:val="en-US" w:eastAsia="zh-CN"/>
        </w:rPr>
      </w:pPr>
      <w:r>
        <w:rPr>
          <w:rFonts w:hint="eastAsia" w:ascii="Times New Roman" w:hAnsi="Times New Roman" w:eastAsia="宋体" w:cs="Times New Roman"/>
          <w:b w:val="0"/>
          <w:bCs/>
          <w:color w:val="auto"/>
          <w:sz w:val="24"/>
          <w:szCs w:val="24"/>
          <w:lang w:val="en-US" w:eastAsia="zh-CN"/>
        </w:rPr>
        <w:t>根据上表可知，A/O组合池对COD、BOD</w:t>
      </w:r>
      <w:r>
        <w:rPr>
          <w:rFonts w:hint="eastAsia" w:ascii="Times New Roman" w:hAnsi="Times New Roman" w:eastAsia="宋体" w:cs="Times New Roman"/>
          <w:b w:val="0"/>
          <w:bCs/>
          <w:color w:val="auto"/>
          <w:sz w:val="24"/>
          <w:szCs w:val="24"/>
          <w:vertAlign w:val="subscript"/>
          <w:lang w:val="en-US" w:eastAsia="zh-CN"/>
        </w:rPr>
        <w:t>5</w:t>
      </w:r>
      <w:r>
        <w:rPr>
          <w:rFonts w:hint="eastAsia" w:ascii="Times New Roman" w:hAnsi="Times New Roman" w:eastAsia="宋体" w:cs="Times New Roman"/>
          <w:b w:val="0"/>
          <w:bCs/>
          <w:color w:val="auto"/>
          <w:sz w:val="24"/>
          <w:szCs w:val="24"/>
          <w:vertAlign w:val="baseline"/>
          <w:lang w:val="en-US" w:eastAsia="zh-CN"/>
        </w:rPr>
        <w:t>、</w:t>
      </w:r>
      <w:r>
        <w:rPr>
          <w:rFonts w:hint="eastAsia" w:ascii="Times New Roman" w:hAnsi="Times New Roman" w:eastAsia="宋体" w:cs="Times New Roman"/>
          <w:b w:val="0"/>
          <w:bCs/>
          <w:color w:val="auto"/>
          <w:sz w:val="24"/>
          <w:szCs w:val="24"/>
          <w:lang w:val="en-US" w:eastAsia="zh-CN"/>
        </w:rPr>
        <w:t>SS</w:t>
      </w:r>
      <w:r>
        <w:rPr>
          <w:rFonts w:hint="eastAsia" w:ascii="Times New Roman" w:hAnsi="Times New Roman" w:eastAsia="宋体" w:cs="Times New Roman"/>
          <w:b w:val="0"/>
          <w:bCs/>
          <w:color w:val="auto"/>
          <w:sz w:val="24"/>
          <w:szCs w:val="24"/>
          <w:vertAlign w:val="baseline"/>
          <w:lang w:val="en-US" w:eastAsia="zh-CN"/>
        </w:rPr>
        <w:t>的处理效率更高</w:t>
      </w:r>
      <w:r>
        <w:rPr>
          <w:rFonts w:hint="eastAsia" w:ascii="Times New Roman" w:hAnsi="Times New Roman" w:eastAsia="宋体" w:cs="Times New Roman"/>
          <w:b w:val="0"/>
          <w:bCs/>
          <w:color w:val="auto"/>
          <w:sz w:val="24"/>
          <w:szCs w:val="24"/>
          <w:lang w:val="en-US" w:eastAsia="zh-CN"/>
        </w:rPr>
        <w:t>。根据以上分析，本项目处理工艺可行。</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lang w:val="en-US" w:eastAsia="zh-CN"/>
        </w:rPr>
      </w:pPr>
      <w:r>
        <w:rPr>
          <w:rFonts w:hint="eastAsia" w:ascii="Times New Roman" w:hAnsi="Times New Roman" w:eastAsia="宋体" w:cs="Times New Roman"/>
          <w:b w:val="0"/>
          <w:bCs/>
          <w:color w:val="auto"/>
          <w:sz w:val="24"/>
          <w:szCs w:val="24"/>
          <w:lang w:val="en-US" w:eastAsia="zh-CN"/>
        </w:rPr>
        <w:t>2）本项目废水处理工艺效率分析</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lang w:val="en-US" w:eastAsia="zh-CN"/>
        </w:rPr>
      </w:pPr>
      <w:r>
        <w:rPr>
          <w:rFonts w:hint="eastAsia" w:ascii="Times New Roman" w:hAnsi="Times New Roman" w:eastAsia="宋体" w:cs="Times New Roman"/>
          <w:b w:val="0"/>
          <w:bCs/>
          <w:color w:val="auto"/>
          <w:sz w:val="24"/>
          <w:szCs w:val="24"/>
          <w:lang w:val="en-US" w:eastAsia="zh-CN"/>
        </w:rPr>
        <w:t>根据《水解酸化反应器污水处理工程技术规范》（HJ 2047-2015）、《厌氧-缺氧-好氧活性污泥法污水处理工程技术规范》确定本项目各污水处理工艺的处理效率。处理效率如下表所示。</w:t>
      </w:r>
    </w:p>
    <w:p>
      <w:pPr>
        <w:jc w:val="center"/>
        <w:rPr>
          <w:rFonts w:hint="default" w:ascii="Times New Roman" w:hAnsi="Times New Roman" w:eastAsia="宋体" w:cs="Times New Roman"/>
          <w:b/>
          <w:bCs/>
          <w:color w:val="auto"/>
          <w:sz w:val="21"/>
          <w:szCs w:val="21"/>
          <w:lang w:eastAsia="zh-CN"/>
        </w:rPr>
      </w:pPr>
    </w:p>
    <w:p>
      <w:pPr>
        <w:jc w:val="center"/>
        <w:rPr>
          <w:rFonts w:hint="default" w:ascii="Times New Roman" w:hAnsi="Times New Roman" w:eastAsia="宋体" w:cs="Times New Roman"/>
          <w:b/>
          <w:bCs/>
          <w:color w:val="auto"/>
          <w:sz w:val="21"/>
          <w:szCs w:val="21"/>
          <w:lang w:eastAsia="zh-CN"/>
        </w:rPr>
      </w:pPr>
    </w:p>
    <w:p>
      <w:pPr>
        <w:jc w:val="center"/>
        <w:rPr>
          <w:rFonts w:hint="eastAsia"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表</w:t>
      </w:r>
      <w:r>
        <w:rPr>
          <w:rFonts w:hint="default" w:ascii="Times New Roman" w:hAnsi="Times New Roman" w:eastAsia="宋体" w:cs="Times New Roman"/>
          <w:b/>
          <w:bCs/>
          <w:color w:val="auto"/>
          <w:sz w:val="21"/>
          <w:szCs w:val="21"/>
          <w:lang w:val="en-US" w:eastAsia="zh-CN"/>
        </w:rPr>
        <w:t>5.2-</w:t>
      </w:r>
      <w:r>
        <w:rPr>
          <w:rFonts w:hint="eastAsia" w:ascii="Times New Roman" w:hAnsi="Times New Roman" w:eastAsia="宋体" w:cs="Times New Roman"/>
          <w:b/>
          <w:bCs/>
          <w:color w:val="auto"/>
          <w:sz w:val="21"/>
          <w:szCs w:val="21"/>
          <w:lang w:val="en-US" w:eastAsia="zh-CN"/>
        </w:rPr>
        <w:t>16  本项目污水处理工艺处理效率</w:t>
      </w:r>
      <w:r>
        <w:rPr>
          <w:rFonts w:hint="eastAsia" w:ascii="Times New Roman" w:hAnsi="Times New Roman" w:eastAsia="宋体" w:cs="Times New Roman"/>
          <w:b/>
          <w:bCs/>
          <w:color w:val="auto"/>
          <w:sz w:val="21"/>
          <w:szCs w:val="21"/>
          <w:lang w:eastAsia="zh-CN"/>
        </w:rPr>
        <w:t>表</w:t>
      </w:r>
    </w:p>
    <w:tbl>
      <w:tblPr>
        <w:tblStyle w:val="35"/>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3"/>
        <w:gridCol w:w="1739"/>
        <w:gridCol w:w="3740"/>
        <w:gridCol w:w="2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 w:hRule="atLeast"/>
        </w:trPr>
        <w:tc>
          <w:tcPr>
            <w:tcW w:w="549" w:type="pct"/>
            <w:vMerge w:val="restart"/>
            <w:vAlign w:val="center"/>
          </w:tcPr>
          <w:p>
            <w:pPr>
              <w:jc w:val="center"/>
              <w:rPr>
                <w:rFonts w:hint="eastAsia" w:ascii="Times New Roman" w:hAnsi="Times New Roman" w:eastAsia="宋体" w:cs="Times New Roman"/>
                <w:color w:val="auto"/>
                <w:kern w:val="2"/>
                <w:sz w:val="21"/>
                <w:szCs w:val="21"/>
                <w:lang w:val="en-US" w:eastAsia="zh-CN" w:bidi="ar-SA"/>
              </w:rPr>
            </w:pPr>
          </w:p>
        </w:tc>
        <w:tc>
          <w:tcPr>
            <w:tcW w:w="943" w:type="pct"/>
            <w:vMerge w:val="restart"/>
            <w:vAlign w:val="center"/>
          </w:tcPr>
          <w:p>
            <w:pPr>
              <w:jc w:val="center"/>
              <w:rPr>
                <w:rFonts w:hint="eastAsia" w:ascii="Times New Roman" w:hAnsi="Times New Roman" w:eastAsia="宋体" w:cs="Times New Roman"/>
                <w:color w:val="auto"/>
                <w:kern w:val="2"/>
                <w:sz w:val="21"/>
                <w:szCs w:val="21"/>
                <w:lang w:val="en-US" w:eastAsia="zh-CN" w:bidi="ar-SA"/>
              </w:rPr>
            </w:pPr>
          </w:p>
        </w:tc>
        <w:tc>
          <w:tcPr>
            <w:tcW w:w="3506" w:type="pct"/>
            <w:gridSpan w:val="2"/>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A/O池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549" w:type="pct"/>
            <w:vMerge w:val="continue"/>
            <w:vAlign w:val="center"/>
          </w:tcPr>
          <w:p>
            <w:pPr>
              <w:jc w:val="center"/>
              <w:rPr>
                <w:rFonts w:hint="eastAsia" w:ascii="Times New Roman" w:hAnsi="Times New Roman" w:eastAsia="宋体" w:cs="Times New Roman"/>
                <w:color w:val="auto"/>
                <w:kern w:val="2"/>
                <w:sz w:val="21"/>
                <w:szCs w:val="21"/>
                <w:lang w:val="en-US" w:eastAsia="zh-CN" w:bidi="ar-SA"/>
              </w:rPr>
            </w:pPr>
          </w:p>
        </w:tc>
        <w:tc>
          <w:tcPr>
            <w:tcW w:w="943" w:type="pct"/>
            <w:vMerge w:val="continue"/>
            <w:vAlign w:val="center"/>
          </w:tcPr>
          <w:p>
            <w:pPr>
              <w:jc w:val="center"/>
              <w:rPr>
                <w:rFonts w:hint="eastAsia" w:ascii="Times New Roman" w:hAnsi="Times New Roman" w:eastAsia="宋体" w:cs="Times New Roman"/>
                <w:color w:val="auto"/>
                <w:kern w:val="2"/>
                <w:sz w:val="21"/>
                <w:szCs w:val="21"/>
                <w:lang w:val="en-US" w:eastAsia="zh-CN" w:bidi="ar-SA"/>
              </w:rPr>
            </w:pPr>
          </w:p>
        </w:tc>
        <w:tc>
          <w:tcPr>
            <w:tcW w:w="2028" w:type="pct"/>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推荐效率</w:t>
            </w:r>
          </w:p>
        </w:tc>
        <w:tc>
          <w:tcPr>
            <w:tcW w:w="1477" w:type="pct"/>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本项目效率值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restart"/>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去除率</w:t>
            </w:r>
          </w:p>
        </w:tc>
        <w:tc>
          <w:tcPr>
            <w:tcW w:w="943"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COD</w:t>
            </w:r>
          </w:p>
        </w:tc>
        <w:tc>
          <w:tcPr>
            <w:tcW w:w="2028" w:type="pct"/>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70%~90%</w:t>
            </w:r>
          </w:p>
        </w:tc>
        <w:tc>
          <w:tcPr>
            <w:tcW w:w="1477" w:type="pct"/>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vAlign w:val="center"/>
          </w:tcPr>
          <w:p>
            <w:pPr>
              <w:jc w:val="center"/>
              <w:rPr>
                <w:rFonts w:hint="eastAsia" w:ascii="Times New Roman" w:hAnsi="Times New Roman" w:eastAsia="宋体" w:cs="Times New Roman"/>
                <w:color w:val="auto"/>
                <w:kern w:val="2"/>
                <w:sz w:val="21"/>
                <w:szCs w:val="21"/>
                <w:lang w:val="en-US" w:eastAsia="zh-CN" w:bidi="ar-SA"/>
              </w:rPr>
            </w:pPr>
          </w:p>
        </w:tc>
        <w:tc>
          <w:tcPr>
            <w:tcW w:w="943" w:type="pct"/>
            <w:vAlign w:val="center"/>
          </w:tcPr>
          <w:p>
            <w:pPr>
              <w:jc w:val="center"/>
              <w:rPr>
                <w:rFonts w:hint="default" w:ascii="Times New Roman" w:hAnsi="Times New Roman" w:eastAsia="宋体" w:cs="Times New Roman"/>
                <w:color w:val="auto"/>
                <w:kern w:val="2"/>
                <w:sz w:val="21"/>
                <w:szCs w:val="21"/>
                <w:vertAlign w:val="subscript"/>
                <w:lang w:val="en-US" w:eastAsia="zh-CN" w:bidi="ar-SA"/>
              </w:rPr>
            </w:pPr>
            <w:r>
              <w:rPr>
                <w:rFonts w:hint="eastAsia" w:ascii="Times New Roman" w:hAnsi="Times New Roman" w:eastAsia="宋体" w:cs="Times New Roman"/>
                <w:color w:val="auto"/>
                <w:kern w:val="2"/>
                <w:sz w:val="21"/>
                <w:szCs w:val="21"/>
                <w:lang w:val="en-US" w:eastAsia="zh-CN" w:bidi="ar-SA"/>
              </w:rPr>
              <w:t>BOD</w:t>
            </w:r>
            <w:r>
              <w:rPr>
                <w:rFonts w:hint="eastAsia" w:ascii="Times New Roman" w:hAnsi="Times New Roman" w:eastAsia="宋体" w:cs="Times New Roman"/>
                <w:color w:val="auto"/>
                <w:kern w:val="2"/>
                <w:sz w:val="21"/>
                <w:szCs w:val="21"/>
                <w:vertAlign w:val="subscript"/>
                <w:lang w:val="en-US" w:eastAsia="zh-CN" w:bidi="ar-SA"/>
              </w:rPr>
              <w:t>5</w:t>
            </w:r>
          </w:p>
        </w:tc>
        <w:tc>
          <w:tcPr>
            <w:tcW w:w="2028" w:type="pct"/>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70%~90%</w:t>
            </w:r>
          </w:p>
        </w:tc>
        <w:tc>
          <w:tcPr>
            <w:tcW w:w="1477" w:type="pct"/>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vAlign w:val="center"/>
          </w:tcPr>
          <w:p>
            <w:pPr>
              <w:jc w:val="center"/>
              <w:rPr>
                <w:rFonts w:hint="eastAsia" w:ascii="Times New Roman" w:hAnsi="Times New Roman" w:eastAsia="宋体" w:cs="Times New Roman"/>
                <w:color w:val="auto"/>
                <w:kern w:val="2"/>
                <w:sz w:val="21"/>
                <w:szCs w:val="21"/>
                <w:lang w:val="en-US" w:eastAsia="zh-CN" w:bidi="ar-SA"/>
              </w:rPr>
            </w:pPr>
          </w:p>
        </w:tc>
        <w:tc>
          <w:tcPr>
            <w:tcW w:w="943"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SS</w:t>
            </w:r>
          </w:p>
        </w:tc>
        <w:tc>
          <w:tcPr>
            <w:tcW w:w="2028" w:type="pct"/>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70%~90%</w:t>
            </w:r>
          </w:p>
        </w:tc>
        <w:tc>
          <w:tcPr>
            <w:tcW w:w="1477" w:type="pct"/>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80%</w:t>
            </w:r>
          </w:p>
        </w:tc>
      </w:tr>
    </w:tbl>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lang w:val="en-US" w:eastAsia="zh-CN"/>
        </w:rPr>
      </w:pPr>
      <w:r>
        <w:rPr>
          <w:rFonts w:hint="eastAsia" w:ascii="Times New Roman" w:hAnsi="Times New Roman" w:eastAsia="宋体" w:cs="Times New Roman"/>
          <w:b w:val="0"/>
          <w:bCs/>
          <w:color w:val="auto"/>
          <w:sz w:val="24"/>
          <w:szCs w:val="24"/>
          <w:lang w:val="en-US" w:eastAsia="zh-CN"/>
        </w:rPr>
        <w:t>根据3.5.2.2废水治理措施章节分析，本项目废水经处理后可达标排放。因此，本项目污水处理工艺可行。</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lang w:val="en-US" w:eastAsia="zh-CN"/>
        </w:rPr>
      </w:pPr>
      <w:r>
        <w:rPr>
          <w:rFonts w:hint="eastAsia" w:ascii="Times New Roman" w:hAnsi="Times New Roman" w:eastAsia="宋体" w:cs="Times New Roman"/>
          <w:b w:val="0"/>
          <w:bCs/>
          <w:color w:val="auto"/>
          <w:sz w:val="24"/>
          <w:szCs w:val="24"/>
          <w:lang w:val="en-US" w:eastAsia="zh-CN"/>
        </w:rPr>
        <w:t>（2）农田灌溉的可行性</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1）灌溉方式</w:t>
      </w:r>
    </w:p>
    <w:p>
      <w:pPr>
        <w:pStyle w:val="16"/>
        <w:keepNext w:val="0"/>
        <w:keepLines w:val="0"/>
        <w:pageBreakBefore w:val="0"/>
        <w:widowControl w:val="0"/>
        <w:kinsoku/>
        <w:wordWrap/>
        <w:overflowPunct/>
        <w:topLinePunct w:val="0"/>
        <w:autoSpaceDE/>
        <w:autoSpaceDN/>
        <w:bidi w:val="0"/>
        <w:adjustRightInd w:val="0"/>
        <w:snapToGrid w:val="0"/>
        <w:spacing w:line="360" w:lineRule="auto"/>
        <w:ind w:right="0"/>
        <w:jc w:val="both"/>
        <w:textAlignment w:val="auto"/>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lang w:eastAsia="zh-CN"/>
        </w:rPr>
        <w:t>眉山地区养殖废水消纳多数采用</w:t>
      </w:r>
      <w:r>
        <w:rPr>
          <w:rFonts w:hint="eastAsia" w:ascii="Times New Roman" w:hAnsi="Times New Roman" w:eastAsia="宋体" w:cs="Times New Roman"/>
          <w:b w:val="0"/>
          <w:bCs/>
          <w:color w:val="auto"/>
          <w:sz w:val="24"/>
          <w:szCs w:val="24"/>
        </w:rPr>
        <w:t>“场内</w:t>
      </w:r>
      <w:r>
        <w:rPr>
          <w:rFonts w:hint="eastAsia" w:ascii="Times New Roman" w:hAnsi="Times New Roman" w:eastAsia="宋体" w:cs="Times New Roman"/>
          <w:b w:val="0"/>
          <w:bCs/>
          <w:color w:val="auto"/>
          <w:sz w:val="24"/>
          <w:szCs w:val="24"/>
          <w:lang w:eastAsia="zh-CN"/>
        </w:rPr>
        <w:t>储存</w:t>
      </w:r>
      <w:r>
        <w:rPr>
          <w:rFonts w:hint="eastAsia" w:ascii="Times New Roman" w:hAnsi="Times New Roman" w:eastAsia="宋体" w:cs="Times New Roman"/>
          <w:b w:val="0"/>
          <w:bCs/>
          <w:color w:val="auto"/>
          <w:sz w:val="24"/>
          <w:szCs w:val="24"/>
        </w:rPr>
        <w:t>池→泵→输水管道→田间暂存池→灌溉管网”形式</w:t>
      </w:r>
      <w:r>
        <w:rPr>
          <w:rFonts w:hint="eastAsia" w:ascii="Times New Roman" w:hAnsi="Times New Roman" w:eastAsia="宋体" w:cs="Times New Roman"/>
          <w:b w:val="0"/>
          <w:bCs/>
          <w:color w:val="auto"/>
          <w:sz w:val="24"/>
          <w:szCs w:val="24"/>
          <w:lang w:eastAsia="zh-CN"/>
        </w:rPr>
        <w:t>。</w:t>
      </w:r>
      <w:r>
        <w:rPr>
          <w:rFonts w:hint="eastAsia" w:ascii="Times New Roman" w:hAnsi="Times New Roman" w:eastAsia="宋体" w:cs="Times New Roman"/>
          <w:b w:val="0"/>
          <w:bCs/>
          <w:color w:val="auto"/>
          <w:sz w:val="24"/>
          <w:szCs w:val="24"/>
        </w:rPr>
        <w:t>本项目灌溉采用“场内</w:t>
      </w:r>
      <w:r>
        <w:rPr>
          <w:rFonts w:hint="eastAsia" w:ascii="Times New Roman" w:hAnsi="Times New Roman" w:eastAsia="宋体" w:cs="Times New Roman"/>
          <w:b w:val="0"/>
          <w:bCs/>
          <w:color w:val="auto"/>
          <w:sz w:val="24"/>
          <w:szCs w:val="24"/>
          <w:lang w:eastAsia="zh-CN"/>
        </w:rPr>
        <w:t>储存</w:t>
      </w:r>
      <w:r>
        <w:rPr>
          <w:rFonts w:hint="eastAsia" w:ascii="Times New Roman" w:hAnsi="Times New Roman" w:eastAsia="宋体" w:cs="Times New Roman"/>
          <w:b w:val="0"/>
          <w:bCs/>
          <w:color w:val="auto"/>
          <w:sz w:val="24"/>
          <w:szCs w:val="24"/>
        </w:rPr>
        <w:t>池→泵→输水管道→</w:t>
      </w:r>
      <w:r>
        <w:rPr>
          <w:rFonts w:hint="eastAsia" w:ascii="Times New Roman" w:hAnsi="Times New Roman" w:eastAsia="宋体" w:cs="Times New Roman"/>
          <w:b w:val="0"/>
          <w:bCs/>
          <w:color w:val="auto"/>
          <w:sz w:val="24"/>
          <w:szCs w:val="24"/>
          <w:lang w:eastAsia="zh-CN"/>
        </w:rPr>
        <w:t>粪污</w:t>
      </w:r>
      <w:r>
        <w:rPr>
          <w:rFonts w:hint="eastAsia" w:ascii="Times New Roman" w:hAnsi="Times New Roman" w:eastAsia="宋体" w:cs="Times New Roman"/>
          <w:b w:val="0"/>
          <w:bCs/>
          <w:color w:val="auto"/>
          <w:sz w:val="24"/>
          <w:szCs w:val="24"/>
          <w:lang w:val="en-US" w:eastAsia="zh-CN"/>
        </w:rPr>
        <w:t>运输车辆</w:t>
      </w:r>
      <w:r>
        <w:rPr>
          <w:rFonts w:hint="eastAsia" w:ascii="Times New Roman" w:hAnsi="Times New Roman" w:eastAsia="宋体" w:cs="Times New Roman"/>
          <w:b w:val="0"/>
          <w:bCs/>
          <w:color w:val="auto"/>
          <w:sz w:val="24"/>
          <w:szCs w:val="24"/>
        </w:rPr>
        <w:t>→灌溉管网”形式，场区配套农田用于消纳营运期污水。灌溉系统包括污水提升泵、灌溉管网。营运期场内储液池达标废水经提升泵和输水管道送至</w:t>
      </w:r>
      <w:r>
        <w:rPr>
          <w:rFonts w:hint="eastAsia" w:ascii="Times New Roman" w:hAnsi="Times New Roman" w:eastAsia="宋体" w:cs="Times New Roman"/>
          <w:b w:val="0"/>
          <w:bCs/>
          <w:color w:val="auto"/>
          <w:sz w:val="24"/>
          <w:szCs w:val="24"/>
          <w:lang w:eastAsia="zh-CN"/>
        </w:rPr>
        <w:t>粪污</w:t>
      </w:r>
      <w:r>
        <w:rPr>
          <w:rFonts w:hint="eastAsia" w:ascii="Times New Roman" w:hAnsi="Times New Roman" w:eastAsia="宋体" w:cs="Times New Roman"/>
          <w:b w:val="0"/>
          <w:bCs/>
          <w:color w:val="auto"/>
          <w:sz w:val="24"/>
          <w:szCs w:val="24"/>
          <w:lang w:val="en-US" w:eastAsia="zh-CN"/>
        </w:rPr>
        <w:t>运输车辆</w:t>
      </w:r>
      <w:r>
        <w:rPr>
          <w:rFonts w:hint="eastAsia" w:ascii="Times New Roman" w:hAnsi="Times New Roman" w:eastAsia="宋体" w:cs="Times New Roman"/>
          <w:b w:val="0"/>
          <w:bCs/>
          <w:color w:val="auto"/>
          <w:sz w:val="24"/>
          <w:szCs w:val="24"/>
        </w:rPr>
        <w:t>，再通过</w:t>
      </w:r>
      <w:r>
        <w:rPr>
          <w:rFonts w:hint="eastAsia" w:ascii="Times New Roman" w:hAnsi="Times New Roman" w:eastAsia="宋体" w:cs="Times New Roman"/>
          <w:b w:val="0"/>
          <w:bCs/>
          <w:color w:val="auto"/>
          <w:sz w:val="24"/>
          <w:szCs w:val="24"/>
          <w:lang w:eastAsia="zh-CN"/>
        </w:rPr>
        <w:t>粪污</w:t>
      </w:r>
      <w:r>
        <w:rPr>
          <w:rFonts w:hint="eastAsia" w:ascii="Times New Roman" w:hAnsi="Times New Roman" w:eastAsia="宋体" w:cs="Times New Roman"/>
          <w:b w:val="0"/>
          <w:bCs/>
          <w:color w:val="auto"/>
          <w:sz w:val="24"/>
          <w:szCs w:val="24"/>
          <w:lang w:val="en-US" w:eastAsia="zh-CN"/>
        </w:rPr>
        <w:t>运输车辆将粪污运输至需要灌溉的果园，粪污运输车辆罐车管口与</w:t>
      </w:r>
      <w:r>
        <w:rPr>
          <w:rFonts w:hint="eastAsia" w:ascii="Times New Roman" w:hAnsi="Times New Roman" w:eastAsia="宋体" w:cs="Times New Roman"/>
          <w:b w:val="0"/>
          <w:bCs/>
          <w:color w:val="auto"/>
          <w:sz w:val="24"/>
          <w:szCs w:val="24"/>
        </w:rPr>
        <w:t>灌溉管网</w:t>
      </w:r>
      <w:r>
        <w:rPr>
          <w:rFonts w:hint="eastAsia" w:ascii="Times New Roman" w:hAnsi="Times New Roman" w:eastAsia="宋体" w:cs="Times New Roman"/>
          <w:b w:val="0"/>
          <w:bCs/>
          <w:color w:val="auto"/>
          <w:sz w:val="24"/>
          <w:szCs w:val="24"/>
          <w:lang w:eastAsia="zh-CN"/>
        </w:rPr>
        <w:t>，</w:t>
      </w:r>
      <w:r>
        <w:rPr>
          <w:rFonts w:hint="eastAsia" w:ascii="Times New Roman" w:hAnsi="Times New Roman" w:eastAsia="宋体" w:cs="Times New Roman"/>
          <w:b w:val="0"/>
          <w:bCs/>
          <w:color w:val="auto"/>
          <w:sz w:val="24"/>
          <w:szCs w:val="24"/>
        </w:rPr>
        <w:t>进行农田灌溉。</w:t>
      </w:r>
      <w:r>
        <w:rPr>
          <w:rFonts w:hint="eastAsia" w:ascii="Times New Roman" w:hAnsi="Times New Roman" w:eastAsia="宋体" w:cs="Times New Roman"/>
          <w:b w:val="0"/>
          <w:bCs/>
          <w:color w:val="auto"/>
          <w:sz w:val="24"/>
          <w:szCs w:val="24"/>
          <w:lang w:eastAsia="zh-CN"/>
        </w:rPr>
        <w:t>粪污运输车辆相当于一个移动的田间池。本项目</w:t>
      </w:r>
      <w:r>
        <w:rPr>
          <w:rFonts w:hint="eastAsia" w:ascii="Times New Roman" w:hAnsi="Times New Roman" w:eastAsia="宋体" w:cs="Times New Roman"/>
          <w:b w:val="0"/>
          <w:bCs/>
          <w:color w:val="auto"/>
          <w:sz w:val="24"/>
          <w:szCs w:val="24"/>
          <w:lang w:val="en-US" w:eastAsia="zh-CN"/>
        </w:rPr>
        <w:t>配置1个4720m</w:t>
      </w:r>
      <w:r>
        <w:rPr>
          <w:rFonts w:hint="eastAsia" w:ascii="Times New Roman" w:hAnsi="Times New Roman" w:eastAsia="宋体" w:cs="Times New Roman"/>
          <w:b w:val="0"/>
          <w:bCs/>
          <w:color w:val="auto"/>
          <w:sz w:val="24"/>
          <w:szCs w:val="24"/>
          <w:vertAlign w:val="superscript"/>
          <w:lang w:val="en-US" w:eastAsia="zh-CN"/>
        </w:rPr>
        <w:t>3</w:t>
      </w:r>
      <w:r>
        <w:rPr>
          <w:rFonts w:hint="eastAsia" w:ascii="Times New Roman" w:hAnsi="Times New Roman" w:eastAsia="宋体" w:cs="Times New Roman"/>
          <w:b w:val="0"/>
          <w:bCs/>
          <w:color w:val="auto"/>
          <w:sz w:val="24"/>
          <w:szCs w:val="24"/>
          <w:vertAlign w:val="baseline"/>
          <w:lang w:val="en-US" w:eastAsia="zh-CN"/>
        </w:rPr>
        <w:t>氧化塘（</w:t>
      </w:r>
      <w:r>
        <w:rPr>
          <w:rFonts w:hint="eastAsia" w:ascii="Times New Roman" w:hAnsi="Times New Roman" w:eastAsia="宋体" w:cs="Times New Roman"/>
          <w:b w:val="0"/>
          <w:bCs/>
          <w:color w:val="auto"/>
          <w:sz w:val="24"/>
          <w:szCs w:val="24"/>
          <w:lang w:val="en-US" w:eastAsia="zh-CN"/>
        </w:rPr>
        <w:t>储蓄池</w:t>
      </w:r>
      <w:r>
        <w:rPr>
          <w:rFonts w:hint="eastAsia" w:ascii="Times New Roman" w:hAnsi="Times New Roman" w:eastAsia="宋体" w:cs="Times New Roman"/>
          <w:b w:val="0"/>
          <w:bCs/>
          <w:color w:val="auto"/>
          <w:sz w:val="24"/>
          <w:szCs w:val="24"/>
          <w:vertAlign w:val="baseline"/>
          <w:lang w:val="en-US" w:eastAsia="zh-CN"/>
        </w:rPr>
        <w:t>）和2250</w:t>
      </w:r>
      <w:r>
        <w:rPr>
          <w:rFonts w:hint="eastAsia" w:ascii="Times New Roman" w:hAnsi="Times New Roman" w:eastAsia="宋体" w:cs="Times New Roman"/>
          <w:b w:val="0"/>
          <w:bCs/>
          <w:color w:val="auto"/>
          <w:sz w:val="24"/>
          <w:szCs w:val="24"/>
          <w:lang w:val="en-US" w:eastAsia="zh-CN"/>
        </w:rPr>
        <w:t>m</w:t>
      </w:r>
      <w:r>
        <w:rPr>
          <w:rFonts w:hint="eastAsia" w:ascii="Times New Roman" w:hAnsi="Times New Roman" w:eastAsia="宋体" w:cs="Times New Roman"/>
          <w:b w:val="0"/>
          <w:bCs/>
          <w:color w:val="auto"/>
          <w:sz w:val="24"/>
          <w:szCs w:val="24"/>
          <w:vertAlign w:val="superscript"/>
          <w:lang w:val="en-US" w:eastAsia="zh-CN"/>
        </w:rPr>
        <w:t>3</w:t>
      </w:r>
      <w:r>
        <w:rPr>
          <w:rFonts w:hint="eastAsia" w:ascii="Times New Roman" w:hAnsi="Times New Roman" w:eastAsia="宋体" w:cs="Times New Roman"/>
          <w:b w:val="0"/>
          <w:bCs/>
          <w:color w:val="auto"/>
          <w:sz w:val="24"/>
          <w:szCs w:val="24"/>
          <w:vertAlign w:val="baseline"/>
          <w:lang w:val="en-US" w:eastAsia="zh-CN"/>
        </w:rPr>
        <w:t>的应急池</w:t>
      </w:r>
      <w:r>
        <w:rPr>
          <w:rFonts w:hint="eastAsia" w:ascii="Times New Roman" w:hAnsi="Times New Roman" w:eastAsia="宋体" w:cs="Times New Roman"/>
          <w:b w:val="0"/>
          <w:bCs/>
          <w:color w:val="auto"/>
          <w:sz w:val="24"/>
          <w:szCs w:val="24"/>
          <w:lang w:val="en-US" w:eastAsia="zh-CN"/>
        </w:rPr>
        <w:t>，废水在储蓄池储蓄后再根据周边消纳地需求进行调配。</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2）灌溉水质可行性</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营运期污水经处理达到《农田灌溉水质标准》（</w:t>
      </w:r>
      <w:r>
        <w:rPr>
          <w:rFonts w:hint="eastAsia" w:ascii="Times New Roman" w:hAnsi="Times New Roman" w:eastAsia="宋体" w:cs="Times New Roman"/>
          <w:b w:val="0"/>
          <w:bCs/>
          <w:color w:val="auto"/>
          <w:sz w:val="24"/>
          <w:szCs w:val="24"/>
          <w:lang w:eastAsia="zh-CN"/>
        </w:rPr>
        <w:t>GB5084-2021</w:t>
      </w:r>
      <w:r>
        <w:rPr>
          <w:rFonts w:hint="eastAsia" w:ascii="Times New Roman" w:hAnsi="Times New Roman" w:eastAsia="宋体" w:cs="Times New Roman"/>
          <w:b w:val="0"/>
          <w:bCs/>
          <w:color w:val="auto"/>
          <w:sz w:val="24"/>
          <w:szCs w:val="24"/>
        </w:rPr>
        <w:t>）旱作标准（NH</w:t>
      </w:r>
      <w:r>
        <w:rPr>
          <w:rFonts w:hint="eastAsia" w:ascii="Times New Roman" w:hAnsi="Times New Roman" w:eastAsia="宋体" w:cs="Times New Roman"/>
          <w:b w:val="0"/>
          <w:bCs/>
          <w:color w:val="auto"/>
          <w:sz w:val="24"/>
          <w:szCs w:val="24"/>
          <w:vertAlign w:val="subscript"/>
        </w:rPr>
        <w:t>3</w:t>
      </w:r>
      <w:r>
        <w:rPr>
          <w:rFonts w:hint="eastAsia" w:ascii="Times New Roman" w:hAnsi="Times New Roman" w:eastAsia="宋体" w:cs="Times New Roman"/>
          <w:b w:val="0"/>
          <w:bCs/>
          <w:color w:val="auto"/>
          <w:sz w:val="24"/>
          <w:szCs w:val="24"/>
        </w:rPr>
        <w:t>-N、TP执行《畜禽养殖业污染物排放标准》（GB18596-2001）表5中排放限值）后，出水水质符合《中华人民共和国水污染防治法》、《农田土壤环境管理办法（试行）》（环境保护部、农业部令第46号）等法律、规范中规定的农田灌溉水质要求。</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3）土地承载力可行性</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本项目猪粪便、污水处理站污泥</w:t>
      </w:r>
      <w:r>
        <w:rPr>
          <w:rFonts w:hint="eastAsia" w:ascii="Times New Roman" w:hAnsi="Times New Roman" w:eastAsia="宋体" w:cs="Times New Roman"/>
          <w:b w:val="0"/>
          <w:bCs/>
          <w:color w:val="auto"/>
          <w:sz w:val="24"/>
          <w:szCs w:val="24"/>
          <w:lang w:eastAsia="zh-CN"/>
        </w:rPr>
        <w:t>好氧堆肥后还田利用</w:t>
      </w:r>
      <w:r>
        <w:rPr>
          <w:rFonts w:hint="eastAsia" w:ascii="Times New Roman" w:hAnsi="Times New Roman" w:eastAsia="宋体" w:cs="Times New Roman"/>
          <w:b w:val="0"/>
          <w:bCs/>
          <w:color w:val="auto"/>
          <w:sz w:val="24"/>
          <w:szCs w:val="24"/>
        </w:rPr>
        <w:t>，污水经自建污水处理站处理达到《农田灌溉水质标准》（</w:t>
      </w:r>
      <w:r>
        <w:rPr>
          <w:rFonts w:hint="eastAsia" w:ascii="Times New Roman" w:hAnsi="Times New Roman" w:eastAsia="宋体" w:cs="Times New Roman"/>
          <w:b w:val="0"/>
          <w:bCs/>
          <w:color w:val="auto"/>
          <w:sz w:val="24"/>
          <w:szCs w:val="24"/>
          <w:lang w:eastAsia="zh-CN"/>
        </w:rPr>
        <w:t>GB5084-2021</w:t>
      </w:r>
      <w:r>
        <w:rPr>
          <w:rFonts w:hint="eastAsia" w:ascii="Times New Roman" w:hAnsi="Times New Roman" w:eastAsia="宋体" w:cs="Times New Roman"/>
          <w:b w:val="0"/>
          <w:bCs/>
          <w:color w:val="auto"/>
          <w:sz w:val="24"/>
          <w:szCs w:val="24"/>
        </w:rPr>
        <w:t>）旱作标准（NH</w:t>
      </w:r>
      <w:r>
        <w:rPr>
          <w:rFonts w:hint="eastAsia" w:ascii="Times New Roman" w:hAnsi="Times New Roman" w:eastAsia="宋体" w:cs="Times New Roman"/>
          <w:b w:val="0"/>
          <w:bCs/>
          <w:color w:val="auto"/>
          <w:sz w:val="24"/>
          <w:szCs w:val="24"/>
          <w:vertAlign w:val="subscript"/>
        </w:rPr>
        <w:t>3</w:t>
      </w:r>
      <w:r>
        <w:rPr>
          <w:rFonts w:hint="eastAsia" w:ascii="Times New Roman" w:hAnsi="Times New Roman" w:eastAsia="宋体" w:cs="Times New Roman"/>
          <w:b w:val="0"/>
          <w:bCs/>
          <w:color w:val="auto"/>
          <w:sz w:val="24"/>
          <w:szCs w:val="24"/>
        </w:rPr>
        <w:t>-N、TP执行《畜禽养殖业污染物排放标准》（GB18596-2001）表5中排放限值）后用于农田灌溉。根据区域土地承载力计算结果，项目废水养分N、P供给量低于配套农田的养分需求量，土地承载力满足养殖要求。</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4）灌溉用水消纳可行性</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根据项目产生废水的特点，以及《畜禽养殖业污染防治技术规范》要求：畜禽养殖过程中产生的污水应坚持种养结合的原则，经无害化处理后，尽量充分还田，实现污水资源化利用。</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本项目采用机械干清粪工艺，干粪</w:t>
      </w:r>
      <w:r>
        <w:rPr>
          <w:rFonts w:hint="eastAsia" w:ascii="Times New Roman" w:hAnsi="Times New Roman" w:eastAsia="宋体" w:cs="Times New Roman"/>
          <w:b w:val="0"/>
          <w:bCs/>
          <w:color w:val="auto"/>
          <w:sz w:val="24"/>
          <w:szCs w:val="24"/>
          <w:lang w:eastAsia="zh-CN"/>
        </w:rPr>
        <w:t>在堆粪间进行好氧堆肥后还田利用</w:t>
      </w:r>
      <w:r>
        <w:rPr>
          <w:rFonts w:hint="eastAsia" w:ascii="Times New Roman" w:hAnsi="Times New Roman" w:eastAsia="宋体" w:cs="Times New Roman"/>
          <w:b w:val="0"/>
          <w:bCs/>
          <w:color w:val="auto"/>
          <w:sz w:val="24"/>
          <w:szCs w:val="24"/>
        </w:rPr>
        <w:t>。养殖污水送入场内污水处理系统，</w:t>
      </w:r>
      <w:r>
        <w:rPr>
          <w:rFonts w:hint="eastAsia" w:ascii="Times New Roman" w:hAnsi="Times New Roman" w:eastAsia="宋体" w:cs="Times New Roman"/>
          <w:b w:val="0"/>
          <w:bCs/>
          <w:color w:val="auto"/>
          <w:sz w:val="24"/>
          <w:szCs w:val="24"/>
          <w:lang w:val="en-US" w:eastAsia="zh-CN"/>
        </w:rPr>
        <w:t>废水通过管道收集进入格栅井，通过集粪池和固液分离机去除大颗粒悬浮物后进入调节池，调节水质水量后；污泥通过叠螺脱水机处理后进行堆肥或外运处置，可用作其他用途；废水接入一级光氧塘后，利用微生物和藻类对有机物进行需氧生物处理，通过水塘中细菌分解废水的有机物产生的</w:t>
      </w:r>
      <w:r>
        <w:rPr>
          <w:rFonts w:hint="eastAsia" w:ascii="Times New Roman" w:hAnsi="Times New Roman" w:eastAsia="宋体" w:cs="Times New Roman"/>
          <w:b w:val="0"/>
          <w:bCs/>
          <w:color w:val="auto"/>
          <w:sz w:val="24"/>
          <w:szCs w:val="24"/>
          <w:lang w:val="en-US" w:eastAsia="zh-CN"/>
        </w:rPr>
        <w:fldChar w:fldCharType="begin"/>
      </w:r>
      <w:r>
        <w:rPr>
          <w:rFonts w:hint="eastAsia" w:ascii="Times New Roman" w:hAnsi="Times New Roman" w:eastAsia="宋体" w:cs="Times New Roman"/>
          <w:b w:val="0"/>
          <w:bCs/>
          <w:color w:val="auto"/>
          <w:sz w:val="24"/>
          <w:szCs w:val="24"/>
          <w:lang w:val="en-US" w:eastAsia="zh-CN"/>
        </w:rPr>
        <w:instrText xml:space="preserve"> HYPERLINK "https://baike.baidu.com/item/%E4%BA%8C%E6%B0%A7%E5%8C%96%E7%A2%B3/349143" \t "https://baike.baidu.com/item/%E6%B0%A7%E5%8C%96%E5%A1%98%E6%B3%95/_blank" </w:instrText>
      </w:r>
      <w:r>
        <w:rPr>
          <w:rFonts w:hint="eastAsia" w:ascii="Times New Roman" w:hAnsi="Times New Roman" w:eastAsia="宋体" w:cs="Times New Roman"/>
          <w:b w:val="0"/>
          <w:bCs/>
          <w:color w:val="auto"/>
          <w:sz w:val="24"/>
          <w:szCs w:val="24"/>
          <w:lang w:val="en-US" w:eastAsia="zh-CN"/>
        </w:rPr>
        <w:fldChar w:fldCharType="separate"/>
      </w:r>
      <w:r>
        <w:rPr>
          <w:rFonts w:hint="eastAsia" w:ascii="Times New Roman" w:hAnsi="Times New Roman" w:eastAsia="宋体" w:cs="Times New Roman"/>
          <w:b w:val="0"/>
          <w:bCs/>
          <w:color w:val="auto"/>
          <w:sz w:val="24"/>
          <w:szCs w:val="24"/>
          <w:lang w:val="en-US" w:eastAsia="zh-CN"/>
        </w:rPr>
        <w:t>二氧化碳</w:t>
      </w:r>
      <w:r>
        <w:rPr>
          <w:rFonts w:hint="eastAsia" w:ascii="Times New Roman" w:hAnsi="Times New Roman" w:eastAsia="宋体" w:cs="Times New Roman"/>
          <w:b w:val="0"/>
          <w:bCs/>
          <w:color w:val="auto"/>
          <w:sz w:val="24"/>
          <w:szCs w:val="24"/>
          <w:lang w:val="en-US" w:eastAsia="zh-CN"/>
        </w:rPr>
        <w:fldChar w:fldCharType="end"/>
      </w:r>
      <w:r>
        <w:rPr>
          <w:rFonts w:hint="eastAsia" w:ascii="Times New Roman" w:hAnsi="Times New Roman" w:eastAsia="宋体" w:cs="Times New Roman"/>
          <w:b w:val="0"/>
          <w:bCs/>
          <w:color w:val="auto"/>
          <w:sz w:val="24"/>
          <w:szCs w:val="24"/>
          <w:lang w:val="en-US" w:eastAsia="zh-CN"/>
        </w:rPr>
        <w:t>、</w:t>
      </w:r>
      <w:r>
        <w:rPr>
          <w:rFonts w:hint="eastAsia" w:ascii="Times New Roman" w:hAnsi="Times New Roman" w:eastAsia="宋体" w:cs="Times New Roman"/>
          <w:b w:val="0"/>
          <w:bCs/>
          <w:color w:val="auto"/>
          <w:sz w:val="24"/>
          <w:szCs w:val="24"/>
          <w:lang w:val="en-US" w:eastAsia="zh-CN"/>
        </w:rPr>
        <w:fldChar w:fldCharType="begin"/>
      </w:r>
      <w:r>
        <w:rPr>
          <w:rFonts w:hint="eastAsia" w:ascii="Times New Roman" w:hAnsi="Times New Roman" w:eastAsia="宋体" w:cs="Times New Roman"/>
          <w:b w:val="0"/>
          <w:bCs/>
          <w:color w:val="auto"/>
          <w:sz w:val="24"/>
          <w:szCs w:val="24"/>
          <w:lang w:val="en-US" w:eastAsia="zh-CN"/>
        </w:rPr>
        <w:instrText xml:space="preserve"> HYPERLINK "https://baike.baidu.com/item/%E7%A3%B7%E9%85%B8%E7%9B%90" \t "https://baike.baidu.com/item/%E6%B0%A7%E5%8C%96%E5%A1%98%E6%B3%95/_blank" </w:instrText>
      </w:r>
      <w:r>
        <w:rPr>
          <w:rFonts w:hint="eastAsia" w:ascii="Times New Roman" w:hAnsi="Times New Roman" w:eastAsia="宋体" w:cs="Times New Roman"/>
          <w:b w:val="0"/>
          <w:bCs/>
          <w:color w:val="auto"/>
          <w:sz w:val="24"/>
          <w:szCs w:val="24"/>
          <w:lang w:val="en-US" w:eastAsia="zh-CN"/>
        </w:rPr>
        <w:fldChar w:fldCharType="separate"/>
      </w:r>
      <w:r>
        <w:rPr>
          <w:rFonts w:hint="eastAsia" w:ascii="Times New Roman" w:hAnsi="Times New Roman" w:eastAsia="宋体" w:cs="Times New Roman"/>
          <w:b w:val="0"/>
          <w:bCs/>
          <w:color w:val="auto"/>
          <w:sz w:val="24"/>
          <w:szCs w:val="24"/>
          <w:lang w:val="en-US" w:eastAsia="zh-CN"/>
        </w:rPr>
        <w:t>磷酸盐</w:t>
      </w:r>
      <w:r>
        <w:rPr>
          <w:rFonts w:hint="eastAsia" w:ascii="Times New Roman" w:hAnsi="Times New Roman" w:eastAsia="宋体" w:cs="Times New Roman"/>
          <w:b w:val="0"/>
          <w:bCs/>
          <w:color w:val="auto"/>
          <w:sz w:val="24"/>
          <w:szCs w:val="24"/>
          <w:lang w:val="en-US" w:eastAsia="zh-CN"/>
        </w:rPr>
        <w:fldChar w:fldCharType="end"/>
      </w:r>
      <w:r>
        <w:rPr>
          <w:rFonts w:hint="eastAsia" w:ascii="Times New Roman" w:hAnsi="Times New Roman" w:eastAsia="宋体" w:cs="Times New Roman"/>
          <w:b w:val="0"/>
          <w:bCs/>
          <w:color w:val="auto"/>
          <w:sz w:val="24"/>
          <w:szCs w:val="24"/>
          <w:lang w:val="en-US" w:eastAsia="zh-CN"/>
        </w:rPr>
        <w:t>、铵盐等营养物供藻类生长，藻类光合作用产生的氧气又供细菌生长，从而构成“</w:t>
      </w:r>
      <w:r>
        <w:rPr>
          <w:rFonts w:hint="eastAsia" w:ascii="Times New Roman" w:hAnsi="Times New Roman" w:eastAsia="宋体" w:cs="Times New Roman"/>
          <w:b w:val="0"/>
          <w:bCs/>
          <w:color w:val="auto"/>
          <w:sz w:val="24"/>
          <w:szCs w:val="24"/>
          <w:lang w:val="en-US" w:eastAsia="zh-CN"/>
        </w:rPr>
        <w:fldChar w:fldCharType="begin"/>
      </w:r>
      <w:r>
        <w:rPr>
          <w:rFonts w:hint="eastAsia" w:ascii="Times New Roman" w:hAnsi="Times New Roman" w:eastAsia="宋体" w:cs="Times New Roman"/>
          <w:b w:val="0"/>
          <w:bCs/>
          <w:color w:val="auto"/>
          <w:sz w:val="24"/>
          <w:szCs w:val="24"/>
          <w:lang w:val="en-US" w:eastAsia="zh-CN"/>
        </w:rPr>
        <w:instrText xml:space="preserve"> HYPERLINK "https://baike.baidu.com/item/%E8%97%BB%E8%8F%8C%E5%85%B1%E7%94%9F%E7%B3%BB%E7%BB%9F" \t "https://baike.baidu.com/item/%E6%B0%A7%E5%8C%96%E5%A1%98%E6%B3%95/_blank" </w:instrText>
      </w:r>
      <w:r>
        <w:rPr>
          <w:rFonts w:hint="eastAsia" w:ascii="Times New Roman" w:hAnsi="Times New Roman" w:eastAsia="宋体" w:cs="Times New Roman"/>
          <w:b w:val="0"/>
          <w:bCs/>
          <w:color w:val="auto"/>
          <w:sz w:val="24"/>
          <w:szCs w:val="24"/>
          <w:lang w:val="en-US" w:eastAsia="zh-CN"/>
        </w:rPr>
        <w:fldChar w:fldCharType="separate"/>
      </w:r>
      <w:r>
        <w:rPr>
          <w:rFonts w:hint="eastAsia" w:ascii="Times New Roman" w:hAnsi="Times New Roman" w:eastAsia="宋体" w:cs="Times New Roman"/>
          <w:b w:val="0"/>
          <w:bCs/>
          <w:color w:val="auto"/>
          <w:sz w:val="24"/>
          <w:szCs w:val="24"/>
          <w:lang w:val="en-US" w:eastAsia="zh-CN"/>
        </w:rPr>
        <w:t>藻菌共生系统</w:t>
      </w:r>
      <w:r>
        <w:rPr>
          <w:rFonts w:hint="eastAsia" w:ascii="Times New Roman" w:hAnsi="Times New Roman" w:eastAsia="宋体" w:cs="Times New Roman"/>
          <w:b w:val="0"/>
          <w:bCs/>
          <w:color w:val="auto"/>
          <w:sz w:val="24"/>
          <w:szCs w:val="24"/>
          <w:lang w:val="en-US" w:eastAsia="zh-CN"/>
        </w:rPr>
        <w:fldChar w:fldCharType="end"/>
      </w:r>
      <w:r>
        <w:rPr>
          <w:rFonts w:hint="eastAsia" w:ascii="Times New Roman" w:hAnsi="Times New Roman" w:eastAsia="宋体" w:cs="Times New Roman"/>
          <w:b w:val="0"/>
          <w:bCs/>
          <w:color w:val="auto"/>
          <w:sz w:val="24"/>
          <w:szCs w:val="24"/>
          <w:lang w:val="en-US" w:eastAsia="zh-CN"/>
        </w:rPr>
        <w:t>”进行废水净化。采用光氧塘处理的工艺，充分利用自然资源处理，具有能耗低、经济效益高等优点。出水进入A/O池，池内设置填料和曝气系统，为池内好氧微生物提供场所和氧气，微生物细菌在池内进行生长繁殖，分解去除废水中可降解有机物，达到净化废水的目的，A/O池出水进入二沉池，将部分脱落和带出的污泥分离，部分污泥回流至前端污泥；出水进入深度反应池，反应池加药反应后进入终沉池和氧化塘后；最终出水达标排放，可回用于农田灌溉，具有节能、环境友好优势，实现可持续发展</w:t>
      </w:r>
      <w:r>
        <w:rPr>
          <w:rFonts w:hint="eastAsia" w:ascii="Times New Roman" w:hAnsi="Times New Roman" w:eastAsia="宋体" w:cs="Times New Roman"/>
          <w:b w:val="0"/>
          <w:bCs/>
          <w:color w:val="auto"/>
          <w:sz w:val="24"/>
          <w:szCs w:val="24"/>
        </w:rPr>
        <w:t>。</w:t>
      </w:r>
      <w:r>
        <w:rPr>
          <w:rFonts w:hint="eastAsia" w:ascii="Times New Roman" w:hAnsi="Times New Roman" w:eastAsia="宋体" w:cs="Times New Roman"/>
          <w:b w:val="0"/>
          <w:bCs/>
          <w:color w:val="auto"/>
          <w:sz w:val="24"/>
          <w:szCs w:val="24"/>
          <w:lang w:eastAsia="zh-CN"/>
        </w:rPr>
        <w:t>本项目</w:t>
      </w:r>
      <w:r>
        <w:rPr>
          <w:rFonts w:hint="eastAsia" w:ascii="Times New Roman" w:hAnsi="Times New Roman" w:eastAsia="宋体" w:cs="Times New Roman"/>
          <w:b w:val="0"/>
          <w:bCs/>
          <w:color w:val="auto"/>
          <w:sz w:val="24"/>
          <w:szCs w:val="24"/>
        </w:rPr>
        <w:t>废水全部进行还田资源化利用，不外排。</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本项目废水量满足灌溉用水量要求，现有配套消纳地能满足废水消纳需求。公司已与</w:t>
      </w:r>
      <w:r>
        <w:rPr>
          <w:rFonts w:hint="eastAsia" w:ascii="Times New Roman" w:hAnsi="Times New Roman" w:eastAsia="宋体" w:cs="Times New Roman"/>
          <w:b w:val="0"/>
          <w:bCs/>
          <w:color w:val="auto"/>
          <w:sz w:val="24"/>
          <w:szCs w:val="24"/>
          <w:highlight w:val="none"/>
          <w:lang w:eastAsia="zh-CN"/>
        </w:rPr>
        <w:t>双桥镇宿场村、齐乐镇中隆社区</w:t>
      </w:r>
      <w:r>
        <w:rPr>
          <w:rFonts w:hint="eastAsia" w:ascii="Times New Roman" w:hAnsi="Times New Roman" w:eastAsia="宋体" w:cs="Times New Roman"/>
          <w:b w:val="0"/>
          <w:bCs/>
          <w:color w:val="auto"/>
          <w:sz w:val="24"/>
          <w:szCs w:val="24"/>
          <w:highlight w:val="none"/>
        </w:rPr>
        <w:t>签订消纳土地协议，</w:t>
      </w:r>
      <w:r>
        <w:rPr>
          <w:rFonts w:hint="eastAsia" w:ascii="Times New Roman" w:hAnsi="Times New Roman" w:eastAsia="宋体" w:cs="Times New Roman"/>
          <w:b w:val="0"/>
          <w:bCs/>
          <w:color w:val="auto"/>
          <w:sz w:val="24"/>
          <w:szCs w:val="24"/>
        </w:rPr>
        <w:t>配套的消纳土地完全能够满足本项目废水消纳需求。</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通过采取上述措施后，项目产生的废水全部回用于消纳地灌溉，周边土地满足废水消纳需求，营运期可实现废水综合利用，做到零排放，不会加重区域地表水体环境负荷，可有效避免对地表水环境造成影响。因此，上述污染防治措施是可行的。</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lang w:val="en-US" w:eastAsia="zh-CN"/>
        </w:rPr>
      </w:pPr>
      <w:r>
        <w:rPr>
          <w:rFonts w:hint="eastAsia" w:ascii="Times New Roman" w:hAnsi="Times New Roman" w:eastAsia="宋体" w:cs="Times New Roman"/>
          <w:b w:val="0"/>
          <w:bCs/>
          <w:color w:val="auto"/>
          <w:sz w:val="24"/>
          <w:szCs w:val="24"/>
          <w:lang w:val="en-US" w:eastAsia="zh-CN"/>
        </w:rPr>
        <w:t>（3）污水处理后还田可行性分析</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lang w:val="en-US" w:eastAsia="zh-CN"/>
        </w:rPr>
      </w:pPr>
      <w:r>
        <w:rPr>
          <w:rFonts w:hint="eastAsia" w:ascii="Times New Roman" w:hAnsi="Times New Roman" w:eastAsia="宋体" w:cs="Times New Roman"/>
          <w:b w:val="0"/>
          <w:bCs/>
          <w:color w:val="auto"/>
          <w:sz w:val="24"/>
          <w:szCs w:val="24"/>
          <w:lang w:val="en-US" w:eastAsia="zh-CN"/>
        </w:rPr>
        <w:t>本项目废水经过“格栅井+集粪池+固液分离机+污泥池（调节池）+叠螺脱水机+预反应及预沉池+一级光氧塘+A/O组合池+二沉池+深度反应池+终沉池+氧化塘”处理之后，液体中不仅含有一定的氮、磷、钾等元素，而且还含有钙、镁、锰等多种微量元素，对农作物的生长是有利的。处理后的废水用作果园灌溉用水，可以节省大量化肥，提高作物产量，还可以改善土壤的物理化学性质，提高土壤肥力，有利于农作物的生长，节约水资源，减少污染物排放量，为“一举两得”的措施。下面将从以下几个方面对处理后的污废水作为农田灌溉用水进行分析：</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lang w:val="en-US" w:eastAsia="zh-CN"/>
        </w:rPr>
      </w:pPr>
      <w:r>
        <w:rPr>
          <w:rFonts w:hint="eastAsia" w:ascii="Times New Roman" w:hAnsi="Times New Roman" w:eastAsia="宋体" w:cs="Times New Roman"/>
          <w:b w:val="0"/>
          <w:bCs/>
          <w:color w:val="auto"/>
          <w:sz w:val="24"/>
          <w:szCs w:val="24"/>
          <w:lang w:val="en-US" w:eastAsia="zh-CN"/>
        </w:rPr>
        <w:t>1）废水量需求分析</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default" w:ascii="Times New Roman" w:hAnsi="Times New Roman" w:eastAsia="宋体" w:cs="Times New Roman"/>
          <w:b w:val="0"/>
          <w:bCs/>
          <w:color w:val="auto"/>
          <w:sz w:val="24"/>
          <w:szCs w:val="24"/>
          <w:vertAlign w:val="baseline"/>
          <w:lang w:val="en-US" w:eastAsia="zh-CN"/>
        </w:rPr>
      </w:pPr>
      <w:r>
        <w:rPr>
          <w:rFonts w:hint="eastAsia" w:ascii="Times New Roman" w:hAnsi="Times New Roman" w:eastAsia="宋体" w:cs="Times New Roman"/>
          <w:b w:val="0"/>
          <w:bCs/>
          <w:color w:val="auto"/>
          <w:sz w:val="24"/>
          <w:szCs w:val="24"/>
          <w:highlight w:val="none"/>
          <w:lang w:val="en-US" w:eastAsia="zh-CN"/>
        </w:rPr>
        <w:t>本项目产生废水量共计24941.95m</w:t>
      </w:r>
      <w:r>
        <w:rPr>
          <w:rFonts w:hint="eastAsia" w:ascii="Times New Roman" w:hAnsi="Times New Roman" w:eastAsia="宋体" w:cs="Times New Roman"/>
          <w:b w:val="0"/>
          <w:bCs/>
          <w:color w:val="auto"/>
          <w:sz w:val="24"/>
          <w:szCs w:val="24"/>
          <w:highlight w:val="none"/>
          <w:vertAlign w:val="superscript"/>
          <w:lang w:val="en-US" w:eastAsia="zh-CN"/>
        </w:rPr>
        <w:t>3</w:t>
      </w:r>
      <w:r>
        <w:rPr>
          <w:rFonts w:hint="eastAsia" w:ascii="Times New Roman" w:hAnsi="Times New Roman" w:eastAsia="宋体" w:cs="Times New Roman"/>
          <w:b w:val="0"/>
          <w:bCs/>
          <w:color w:val="auto"/>
          <w:sz w:val="24"/>
          <w:szCs w:val="24"/>
          <w:highlight w:val="none"/>
          <w:vertAlign w:val="baseline"/>
          <w:lang w:val="en-US" w:eastAsia="zh-CN"/>
        </w:rPr>
        <w:t>/a</w:t>
      </w:r>
      <w:r>
        <w:rPr>
          <w:rFonts w:hint="eastAsia" w:ascii="Times New Roman" w:hAnsi="Times New Roman" w:eastAsia="宋体" w:cs="Times New Roman"/>
          <w:b w:val="0"/>
          <w:bCs/>
          <w:color w:val="auto"/>
          <w:sz w:val="24"/>
          <w:szCs w:val="24"/>
          <w:highlight w:val="none"/>
          <w:lang w:val="en-US" w:eastAsia="zh-CN"/>
        </w:rPr>
        <w:t>，因此，全年至少需灌溉24941.95m</w:t>
      </w:r>
      <w:r>
        <w:rPr>
          <w:rFonts w:hint="eastAsia" w:ascii="Times New Roman" w:hAnsi="Times New Roman" w:eastAsia="宋体" w:cs="Times New Roman"/>
          <w:b w:val="0"/>
          <w:bCs/>
          <w:color w:val="auto"/>
          <w:sz w:val="24"/>
          <w:szCs w:val="24"/>
          <w:highlight w:val="none"/>
          <w:vertAlign w:val="superscript"/>
          <w:lang w:val="en-US" w:eastAsia="zh-CN"/>
        </w:rPr>
        <w:t>3</w:t>
      </w:r>
      <w:r>
        <w:rPr>
          <w:rFonts w:hint="eastAsia" w:ascii="Times New Roman" w:hAnsi="Times New Roman" w:eastAsia="宋体" w:cs="Times New Roman"/>
          <w:b w:val="0"/>
          <w:bCs/>
          <w:color w:val="auto"/>
          <w:sz w:val="24"/>
          <w:szCs w:val="24"/>
          <w:highlight w:val="none"/>
          <w:lang w:val="en-US" w:eastAsia="zh-CN"/>
        </w:rPr>
        <w:t>废水。根据四川省用水定额（川府函【2021】8号），本地区为</w:t>
      </w:r>
      <w:r>
        <w:rPr>
          <w:rFonts w:hint="eastAsia" w:ascii="Times New Roman" w:hAnsi="Times New Roman" w:eastAsia="宋体" w:cs="Times New Roman"/>
          <w:b w:val="0"/>
          <w:bCs/>
          <w:color w:val="auto"/>
          <w:sz w:val="24"/>
          <w:szCs w:val="24"/>
          <w:highlight w:val="none"/>
          <w:lang w:val="en-US" w:eastAsia="zh-CN"/>
        </w:rPr>
        <w:fldChar w:fldCharType="begin"/>
      </w:r>
      <w:r>
        <w:rPr>
          <w:rFonts w:hint="eastAsia" w:ascii="Times New Roman" w:hAnsi="Times New Roman" w:eastAsia="宋体" w:cs="Times New Roman"/>
          <w:b w:val="0"/>
          <w:bCs/>
          <w:color w:val="auto"/>
          <w:sz w:val="24"/>
          <w:szCs w:val="24"/>
          <w:highlight w:val="none"/>
          <w:lang w:val="en-US" w:eastAsia="zh-CN"/>
        </w:rPr>
        <w:instrText xml:space="preserve"> = 1 \* ROMAN \* MERGEFORMAT </w:instrText>
      </w:r>
      <w:r>
        <w:rPr>
          <w:rFonts w:hint="eastAsia" w:ascii="Times New Roman" w:hAnsi="Times New Roman" w:eastAsia="宋体" w:cs="Times New Roman"/>
          <w:b w:val="0"/>
          <w:bCs/>
          <w:color w:val="auto"/>
          <w:sz w:val="24"/>
          <w:szCs w:val="24"/>
          <w:highlight w:val="none"/>
          <w:lang w:val="en-US" w:eastAsia="zh-CN"/>
        </w:rPr>
        <w:fldChar w:fldCharType="separate"/>
      </w:r>
      <w:r>
        <w:rPr>
          <w:rFonts w:hint="eastAsia" w:ascii="Times New Roman" w:hAnsi="Times New Roman" w:eastAsia="宋体" w:cs="Times New Roman"/>
          <w:b w:val="0"/>
          <w:bCs/>
          <w:color w:val="auto"/>
          <w:sz w:val="24"/>
          <w:szCs w:val="24"/>
          <w:highlight w:val="none"/>
          <w:lang w:val="en-US" w:eastAsia="zh-CN"/>
        </w:rPr>
        <w:t>I</w:t>
      </w:r>
      <w:r>
        <w:rPr>
          <w:rFonts w:hint="eastAsia" w:ascii="Times New Roman" w:hAnsi="Times New Roman" w:eastAsia="宋体" w:cs="Times New Roman"/>
          <w:b w:val="0"/>
          <w:bCs/>
          <w:color w:val="auto"/>
          <w:sz w:val="24"/>
          <w:szCs w:val="24"/>
          <w:highlight w:val="none"/>
          <w:lang w:val="en-US" w:eastAsia="zh-CN"/>
        </w:rPr>
        <w:fldChar w:fldCharType="end"/>
      </w:r>
      <w:r>
        <w:rPr>
          <w:rFonts w:hint="eastAsia" w:ascii="Times New Roman" w:hAnsi="Times New Roman" w:eastAsia="宋体" w:cs="Times New Roman"/>
          <w:b w:val="0"/>
          <w:bCs/>
          <w:color w:val="auto"/>
          <w:sz w:val="24"/>
          <w:szCs w:val="24"/>
          <w:highlight w:val="none"/>
          <w:lang w:val="en-US" w:eastAsia="zh-CN"/>
        </w:rPr>
        <w:t>区，本项目周边大部分种植柑橘。参照四川省用水定额（川府函【2021】8号）表2主要作物灌溉用水定额可知，柑橘类用水定额为95m</w:t>
      </w:r>
      <w:r>
        <w:rPr>
          <w:rFonts w:hint="eastAsia" w:ascii="Times New Roman" w:hAnsi="Times New Roman" w:eastAsia="宋体" w:cs="Times New Roman"/>
          <w:b w:val="0"/>
          <w:bCs/>
          <w:color w:val="auto"/>
          <w:sz w:val="24"/>
          <w:szCs w:val="24"/>
          <w:highlight w:val="none"/>
          <w:vertAlign w:val="superscript"/>
          <w:lang w:val="en-US" w:eastAsia="zh-CN"/>
        </w:rPr>
        <w:t>3</w:t>
      </w:r>
      <w:r>
        <w:rPr>
          <w:rFonts w:hint="eastAsia" w:ascii="Times New Roman" w:hAnsi="Times New Roman" w:eastAsia="宋体" w:cs="Times New Roman"/>
          <w:b w:val="0"/>
          <w:bCs/>
          <w:color w:val="auto"/>
          <w:sz w:val="24"/>
          <w:szCs w:val="24"/>
          <w:highlight w:val="none"/>
          <w:vertAlign w:val="baseline"/>
          <w:lang w:val="en-US" w:eastAsia="zh-CN"/>
        </w:rPr>
        <w:t>/亩。</w:t>
      </w:r>
      <w:r>
        <w:rPr>
          <w:rFonts w:hint="eastAsia" w:ascii="Times New Roman" w:hAnsi="Times New Roman" w:eastAsia="宋体" w:cs="Times New Roman"/>
          <w:b w:val="0"/>
          <w:bCs/>
          <w:color w:val="auto"/>
          <w:sz w:val="24"/>
          <w:szCs w:val="24"/>
          <w:lang w:val="en-US" w:eastAsia="zh-CN"/>
        </w:rPr>
        <w:t>厂内绿化用水定额为1.5L/m</w:t>
      </w:r>
      <w:r>
        <w:rPr>
          <w:rFonts w:hint="eastAsia" w:ascii="Times New Roman" w:hAnsi="Times New Roman" w:eastAsia="宋体" w:cs="Times New Roman"/>
          <w:b w:val="0"/>
          <w:bCs/>
          <w:color w:val="auto"/>
          <w:sz w:val="24"/>
          <w:szCs w:val="24"/>
          <w:vertAlign w:val="superscript"/>
          <w:lang w:val="en-US" w:eastAsia="zh-CN"/>
        </w:rPr>
        <w:t>2</w:t>
      </w:r>
      <w:r>
        <w:rPr>
          <w:rFonts w:hint="eastAsia" w:ascii="Times New Roman" w:hAnsi="Times New Roman" w:eastAsia="宋体" w:cs="Times New Roman"/>
          <w:b w:val="0"/>
          <w:bCs/>
          <w:color w:val="auto"/>
          <w:sz w:val="24"/>
          <w:szCs w:val="24"/>
          <w:lang w:val="en-US" w:eastAsia="zh-CN"/>
        </w:rPr>
        <w:t>.d，绿化用水量为22.50m</w:t>
      </w:r>
      <w:r>
        <w:rPr>
          <w:rFonts w:hint="eastAsia" w:ascii="Times New Roman" w:hAnsi="Times New Roman" w:eastAsia="宋体" w:cs="Times New Roman"/>
          <w:b w:val="0"/>
          <w:bCs/>
          <w:color w:val="auto"/>
          <w:sz w:val="24"/>
          <w:szCs w:val="24"/>
          <w:vertAlign w:val="superscript"/>
          <w:lang w:val="en-US" w:eastAsia="zh-CN"/>
        </w:rPr>
        <w:t>3</w:t>
      </w:r>
      <w:r>
        <w:rPr>
          <w:rFonts w:hint="eastAsia" w:ascii="Times New Roman" w:hAnsi="Times New Roman" w:eastAsia="宋体" w:cs="Times New Roman"/>
          <w:b w:val="0"/>
          <w:bCs/>
          <w:color w:val="auto"/>
          <w:sz w:val="24"/>
          <w:szCs w:val="24"/>
          <w:lang w:val="en-US" w:eastAsia="zh-CN"/>
        </w:rPr>
        <w:t>/d，全年至少需灌溉8212.50m</w:t>
      </w:r>
      <w:r>
        <w:rPr>
          <w:rFonts w:hint="eastAsia" w:ascii="Times New Roman" w:hAnsi="Times New Roman" w:eastAsia="宋体" w:cs="Times New Roman"/>
          <w:b w:val="0"/>
          <w:bCs/>
          <w:color w:val="auto"/>
          <w:sz w:val="24"/>
          <w:szCs w:val="24"/>
          <w:vertAlign w:val="superscript"/>
          <w:lang w:val="en-US" w:eastAsia="zh-CN"/>
        </w:rPr>
        <w:t>3</w:t>
      </w:r>
      <w:r>
        <w:rPr>
          <w:rFonts w:hint="eastAsia" w:ascii="Times New Roman" w:hAnsi="Times New Roman" w:eastAsia="宋体" w:cs="Times New Roman"/>
          <w:b w:val="0"/>
          <w:bCs/>
          <w:color w:val="auto"/>
          <w:sz w:val="24"/>
          <w:szCs w:val="24"/>
          <w:lang w:val="en-US" w:eastAsia="zh-CN"/>
        </w:rPr>
        <w:t>废水。废水用于厂区内绿化和周边果园灌溉。目前项目内绿化面积约15000m</w:t>
      </w:r>
      <w:r>
        <w:rPr>
          <w:rFonts w:hint="eastAsia" w:ascii="Times New Roman" w:hAnsi="Times New Roman" w:eastAsia="宋体" w:cs="Times New Roman"/>
          <w:b w:val="0"/>
          <w:bCs/>
          <w:color w:val="auto"/>
          <w:sz w:val="24"/>
          <w:szCs w:val="24"/>
          <w:vertAlign w:val="superscript"/>
          <w:lang w:val="en-US" w:eastAsia="zh-CN"/>
        </w:rPr>
        <w:t>2</w:t>
      </w:r>
      <w:r>
        <w:rPr>
          <w:rFonts w:hint="eastAsia" w:ascii="Times New Roman" w:hAnsi="Times New Roman" w:eastAsia="宋体" w:cs="Times New Roman"/>
          <w:b w:val="0"/>
          <w:bCs/>
          <w:color w:val="auto"/>
          <w:sz w:val="24"/>
          <w:szCs w:val="24"/>
          <w:lang w:val="en-US" w:eastAsia="zh-CN"/>
        </w:rPr>
        <w:t>，每年消耗的污水量为8212.50m</w:t>
      </w:r>
      <w:r>
        <w:rPr>
          <w:rFonts w:hint="eastAsia" w:ascii="Times New Roman" w:hAnsi="Times New Roman" w:eastAsia="宋体" w:cs="Times New Roman"/>
          <w:b w:val="0"/>
          <w:bCs/>
          <w:color w:val="auto"/>
          <w:sz w:val="24"/>
          <w:szCs w:val="24"/>
          <w:vertAlign w:val="superscript"/>
          <w:lang w:val="en-US" w:eastAsia="zh-CN"/>
        </w:rPr>
        <w:t>3</w:t>
      </w:r>
      <w:r>
        <w:rPr>
          <w:rFonts w:hint="eastAsia" w:ascii="Times New Roman" w:hAnsi="Times New Roman" w:eastAsia="宋体" w:cs="Times New Roman"/>
          <w:b w:val="0"/>
          <w:bCs/>
          <w:color w:val="auto"/>
          <w:sz w:val="24"/>
          <w:szCs w:val="24"/>
          <w:lang w:val="en-US" w:eastAsia="zh-CN"/>
        </w:rPr>
        <w:t>，剩余的废水16729.45m</w:t>
      </w:r>
      <w:r>
        <w:rPr>
          <w:rFonts w:hint="eastAsia" w:ascii="Times New Roman" w:hAnsi="Times New Roman" w:eastAsia="宋体" w:cs="Times New Roman"/>
          <w:b w:val="0"/>
          <w:bCs/>
          <w:color w:val="auto"/>
          <w:sz w:val="24"/>
          <w:szCs w:val="24"/>
          <w:vertAlign w:val="superscript"/>
          <w:lang w:val="en-US" w:eastAsia="zh-CN"/>
        </w:rPr>
        <w:t xml:space="preserve">3 </w:t>
      </w:r>
      <w:r>
        <w:rPr>
          <w:rFonts w:hint="eastAsia" w:ascii="Times New Roman" w:hAnsi="Times New Roman" w:eastAsia="宋体" w:cs="Times New Roman"/>
          <w:b w:val="0"/>
          <w:bCs/>
          <w:color w:val="auto"/>
          <w:sz w:val="24"/>
          <w:szCs w:val="24"/>
          <w:lang w:val="en-US" w:eastAsia="zh-CN"/>
        </w:rPr>
        <w:t>用于周边果园灌溉。项目配备周边生产基地5542亩（369hm2）（全部种植柑橘），并配备粪污运输车。5542亩（369hm2）柑橘需灌溉水量约526490m</w:t>
      </w:r>
      <w:r>
        <w:rPr>
          <w:rFonts w:hint="eastAsia" w:ascii="Times New Roman" w:hAnsi="Times New Roman" w:eastAsia="宋体" w:cs="Times New Roman"/>
          <w:b w:val="0"/>
          <w:bCs/>
          <w:color w:val="auto"/>
          <w:sz w:val="24"/>
          <w:szCs w:val="24"/>
          <w:highlight w:val="none"/>
          <w:vertAlign w:val="superscript"/>
          <w:lang w:val="en-US" w:eastAsia="zh-CN"/>
        </w:rPr>
        <w:t>3</w:t>
      </w:r>
      <w:r>
        <w:rPr>
          <w:rFonts w:hint="eastAsia" w:ascii="Times New Roman" w:hAnsi="Times New Roman" w:eastAsia="宋体" w:cs="Times New Roman"/>
          <w:b w:val="0"/>
          <w:bCs/>
          <w:color w:val="auto"/>
          <w:sz w:val="24"/>
          <w:szCs w:val="24"/>
          <w:highlight w:val="none"/>
          <w:vertAlign w:val="baseline"/>
          <w:lang w:val="en-US" w:eastAsia="zh-CN"/>
        </w:rPr>
        <w:t>，完全可接纳本项目废水量。</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lang w:val="en-US" w:eastAsia="zh-CN"/>
        </w:rPr>
      </w:pPr>
      <w:r>
        <w:rPr>
          <w:rFonts w:hint="eastAsia" w:ascii="Times New Roman" w:hAnsi="Times New Roman" w:eastAsia="宋体" w:cs="Times New Roman"/>
          <w:b w:val="0"/>
          <w:bCs/>
          <w:color w:val="auto"/>
          <w:sz w:val="24"/>
          <w:szCs w:val="24"/>
          <w:lang w:val="en-US" w:eastAsia="zh-CN"/>
        </w:rPr>
        <w:t>2）还田频率及污水贮存池规模、位置合理性分析</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lang w:val="en-US" w:eastAsia="zh-CN"/>
        </w:rPr>
      </w:pPr>
      <w:r>
        <w:rPr>
          <w:rFonts w:hint="eastAsia" w:ascii="Times New Roman" w:hAnsi="Times New Roman" w:eastAsia="宋体" w:cs="Times New Roman"/>
          <w:b w:val="0"/>
          <w:bCs/>
          <w:color w:val="auto"/>
          <w:sz w:val="24"/>
          <w:szCs w:val="24"/>
          <w:highlight w:val="none"/>
          <w:lang w:val="en-US" w:eastAsia="zh-CN"/>
        </w:rPr>
        <w:t>本项目废水灌溉区位于猪场东北侧，紧邻边界相距。灌溉区为附近的果园种植，用地总面积约5542余亩。养殖厂区内设置</w:t>
      </w:r>
      <w:r>
        <w:rPr>
          <w:rFonts w:hint="eastAsia" w:ascii="Times New Roman" w:hAnsi="Times New Roman" w:eastAsia="宋体" w:cs="Times New Roman"/>
          <w:b w:val="0"/>
          <w:bCs/>
          <w:color w:val="auto"/>
          <w:sz w:val="24"/>
          <w:szCs w:val="24"/>
          <w:lang w:val="en-US" w:eastAsia="zh-CN"/>
        </w:rPr>
        <w:t>1个4720m</w:t>
      </w:r>
      <w:r>
        <w:rPr>
          <w:rFonts w:hint="eastAsia" w:ascii="Times New Roman" w:hAnsi="Times New Roman" w:eastAsia="宋体" w:cs="Times New Roman"/>
          <w:b w:val="0"/>
          <w:bCs/>
          <w:color w:val="auto"/>
          <w:sz w:val="24"/>
          <w:szCs w:val="24"/>
          <w:vertAlign w:val="superscript"/>
          <w:lang w:val="en-US" w:eastAsia="zh-CN"/>
        </w:rPr>
        <w:t>3</w:t>
      </w:r>
      <w:r>
        <w:rPr>
          <w:rFonts w:hint="eastAsia" w:ascii="Times New Roman" w:hAnsi="Times New Roman" w:eastAsia="宋体" w:cs="Times New Roman"/>
          <w:b w:val="0"/>
          <w:bCs/>
          <w:color w:val="auto"/>
          <w:sz w:val="24"/>
          <w:szCs w:val="24"/>
          <w:vertAlign w:val="baseline"/>
          <w:lang w:val="en-US" w:eastAsia="zh-CN"/>
        </w:rPr>
        <w:t>氧化塘（</w:t>
      </w:r>
      <w:r>
        <w:rPr>
          <w:rFonts w:hint="eastAsia" w:ascii="Times New Roman" w:hAnsi="Times New Roman" w:eastAsia="宋体" w:cs="Times New Roman"/>
          <w:b w:val="0"/>
          <w:bCs/>
          <w:color w:val="auto"/>
          <w:sz w:val="24"/>
          <w:szCs w:val="24"/>
          <w:lang w:val="en-US" w:eastAsia="zh-CN"/>
        </w:rPr>
        <w:t>储蓄池</w:t>
      </w:r>
      <w:r>
        <w:rPr>
          <w:rFonts w:hint="eastAsia" w:ascii="Times New Roman" w:hAnsi="Times New Roman" w:eastAsia="宋体" w:cs="Times New Roman"/>
          <w:b w:val="0"/>
          <w:bCs/>
          <w:color w:val="auto"/>
          <w:sz w:val="24"/>
          <w:szCs w:val="24"/>
          <w:vertAlign w:val="baseline"/>
          <w:lang w:val="en-US" w:eastAsia="zh-CN"/>
        </w:rPr>
        <w:t>）和2250</w:t>
      </w:r>
      <w:r>
        <w:rPr>
          <w:rFonts w:hint="eastAsia" w:ascii="Times New Roman" w:hAnsi="Times New Roman" w:eastAsia="宋体" w:cs="Times New Roman"/>
          <w:b w:val="0"/>
          <w:bCs/>
          <w:color w:val="auto"/>
          <w:sz w:val="24"/>
          <w:szCs w:val="24"/>
          <w:lang w:val="en-US" w:eastAsia="zh-CN"/>
        </w:rPr>
        <w:t>m</w:t>
      </w:r>
      <w:r>
        <w:rPr>
          <w:rFonts w:hint="eastAsia" w:ascii="Times New Roman" w:hAnsi="Times New Roman" w:eastAsia="宋体" w:cs="Times New Roman"/>
          <w:b w:val="0"/>
          <w:bCs/>
          <w:color w:val="auto"/>
          <w:sz w:val="24"/>
          <w:szCs w:val="24"/>
          <w:vertAlign w:val="superscript"/>
          <w:lang w:val="en-US" w:eastAsia="zh-CN"/>
        </w:rPr>
        <w:t>3</w:t>
      </w:r>
      <w:r>
        <w:rPr>
          <w:rFonts w:hint="eastAsia" w:ascii="Times New Roman" w:hAnsi="Times New Roman" w:eastAsia="宋体" w:cs="Times New Roman"/>
          <w:b w:val="0"/>
          <w:bCs/>
          <w:color w:val="auto"/>
          <w:sz w:val="24"/>
          <w:szCs w:val="24"/>
          <w:vertAlign w:val="baseline"/>
          <w:lang w:val="en-US" w:eastAsia="zh-CN"/>
        </w:rPr>
        <w:t>的应急池</w:t>
      </w:r>
      <w:r>
        <w:rPr>
          <w:rFonts w:hint="eastAsia" w:ascii="Times New Roman" w:hAnsi="Times New Roman" w:eastAsia="宋体" w:cs="Times New Roman"/>
          <w:b w:val="0"/>
          <w:bCs/>
          <w:color w:val="auto"/>
          <w:sz w:val="24"/>
          <w:szCs w:val="24"/>
          <w:highlight w:val="none"/>
          <w:lang w:val="en-US" w:eastAsia="zh-CN"/>
        </w:rPr>
        <w:t>，可满足废水90d的储存量（6150m</w:t>
      </w:r>
      <w:r>
        <w:rPr>
          <w:rFonts w:hint="eastAsia" w:ascii="Times New Roman" w:hAnsi="Times New Roman" w:eastAsia="宋体" w:cs="Times New Roman"/>
          <w:b w:val="0"/>
          <w:bCs/>
          <w:color w:val="auto"/>
          <w:sz w:val="24"/>
          <w:szCs w:val="24"/>
          <w:highlight w:val="none"/>
          <w:vertAlign w:val="superscript"/>
          <w:lang w:val="en-US" w:eastAsia="zh-CN"/>
        </w:rPr>
        <w:t>3</w:t>
      </w:r>
      <w:r>
        <w:rPr>
          <w:rFonts w:hint="eastAsia" w:ascii="Times New Roman" w:hAnsi="Times New Roman" w:eastAsia="宋体" w:cs="Times New Roman"/>
          <w:b w:val="0"/>
          <w:bCs/>
          <w:color w:val="auto"/>
          <w:sz w:val="24"/>
          <w:szCs w:val="24"/>
          <w:highlight w:val="none"/>
          <w:lang w:val="en-US" w:eastAsia="zh-CN"/>
        </w:rPr>
        <w:t>）。灌溉周期约为每隔15d 灌溉一次。</w:t>
      </w:r>
      <w:r>
        <w:rPr>
          <w:rFonts w:hint="eastAsia" w:ascii="Times New Roman" w:hAnsi="Times New Roman" w:eastAsia="宋体" w:cs="Times New Roman"/>
          <w:b w:val="0"/>
          <w:bCs/>
          <w:color w:val="auto"/>
          <w:sz w:val="24"/>
          <w:szCs w:val="24"/>
          <w:lang w:eastAsia="zh-CN"/>
        </w:rPr>
        <w:t>本项目不设置田间池，本项目已与丹棱县兴农养殖服务专业合作社签订</w:t>
      </w:r>
      <w:r>
        <w:rPr>
          <w:rFonts w:hint="eastAsia" w:ascii="Times New Roman" w:hAnsi="Times New Roman" w:eastAsia="宋体" w:cs="Times New Roman"/>
          <w:b w:val="0"/>
          <w:bCs/>
          <w:color w:val="auto"/>
          <w:sz w:val="24"/>
          <w:szCs w:val="24"/>
          <w:lang w:val="en-US" w:eastAsia="zh-CN"/>
        </w:rPr>
        <w:t>猪场粪污消纳</w:t>
      </w:r>
      <w:r>
        <w:rPr>
          <w:rFonts w:hint="eastAsia" w:ascii="Times New Roman" w:hAnsi="Times New Roman" w:eastAsia="宋体" w:cs="Times New Roman"/>
          <w:b w:val="0"/>
          <w:bCs/>
          <w:color w:val="auto"/>
          <w:sz w:val="24"/>
          <w:szCs w:val="24"/>
          <w:lang w:eastAsia="zh-CN"/>
        </w:rPr>
        <w:t>服务合同，本项目处理后的粪水由丹棱县兴农养殖服务专业合作社</w:t>
      </w:r>
      <w:r>
        <w:rPr>
          <w:rFonts w:hint="eastAsia" w:ascii="Times New Roman" w:hAnsi="Times New Roman" w:eastAsia="宋体" w:cs="Times New Roman"/>
          <w:b w:val="0"/>
          <w:bCs/>
          <w:color w:val="auto"/>
          <w:sz w:val="24"/>
          <w:szCs w:val="24"/>
          <w:lang w:val="en-US" w:eastAsia="zh-CN"/>
        </w:rPr>
        <w:t>通过运输车辆转运代需要灌溉的消纳农田进行灌溉。</w:t>
      </w:r>
      <w:r>
        <w:rPr>
          <w:rFonts w:hint="eastAsia" w:ascii="Times New Roman" w:hAnsi="Times New Roman" w:eastAsia="宋体" w:cs="Times New Roman"/>
          <w:b w:val="0"/>
          <w:bCs/>
          <w:color w:val="auto"/>
          <w:sz w:val="24"/>
          <w:szCs w:val="24"/>
          <w:lang w:eastAsia="zh-CN"/>
        </w:rPr>
        <w:t>丹棱县兴农养殖服务专业合作社</w:t>
      </w:r>
      <w:r>
        <w:rPr>
          <w:rFonts w:hint="eastAsia" w:ascii="Times New Roman" w:hAnsi="Times New Roman" w:eastAsia="宋体" w:cs="Times New Roman"/>
          <w:b w:val="0"/>
          <w:bCs/>
          <w:color w:val="auto"/>
          <w:sz w:val="24"/>
          <w:szCs w:val="24"/>
          <w:lang w:val="en-US" w:eastAsia="zh-CN"/>
        </w:rPr>
        <w:t>进行粪污灌溉现场图如下。</w:t>
      </w:r>
    </w:p>
    <w:tbl>
      <w:tblPr>
        <w:tblStyle w:val="3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13"/>
        <w:gridCol w:w="50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10" w:type="dxa"/>
            <w:tcBorders>
              <w:tl2br w:val="nil"/>
              <w:tr2bl w:val="nil"/>
            </w:tcBorders>
          </w:tcPr>
          <w:p>
            <w:pPr>
              <w:pStyle w:val="16"/>
              <w:keepNext w:val="0"/>
              <w:keepLines w:val="0"/>
              <w:pageBreakBefore w:val="0"/>
              <w:widowControl w:val="0"/>
              <w:kinsoku/>
              <w:wordWrap/>
              <w:overflowPunct/>
              <w:topLinePunct w:val="0"/>
              <w:autoSpaceDE/>
              <w:autoSpaceDN/>
              <w:bidi w:val="0"/>
              <w:adjustRightInd w:val="0"/>
              <w:snapToGrid w:val="0"/>
              <w:spacing w:line="360" w:lineRule="auto"/>
              <w:ind w:right="0"/>
              <w:jc w:val="center"/>
              <w:textAlignment w:val="auto"/>
              <w:rPr>
                <w:rFonts w:hint="default" w:ascii="Times New Roman" w:hAnsi="Times New Roman" w:eastAsia="宋体" w:cs="Times New Roman"/>
                <w:b w:val="0"/>
                <w:bCs/>
                <w:color w:val="auto"/>
                <w:sz w:val="24"/>
                <w:szCs w:val="24"/>
                <w:vertAlign w:val="baseline"/>
                <w:lang w:val="en-US" w:eastAsia="zh-CN"/>
              </w:rPr>
            </w:pPr>
            <w:r>
              <w:drawing>
                <wp:inline distT="0" distB="0" distL="114300" distR="114300">
                  <wp:extent cx="2075815" cy="2533650"/>
                  <wp:effectExtent l="0" t="0" r="635" b="0"/>
                  <wp:docPr id="1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9"/>
                          <pic:cNvPicPr>
                            <a:picLocks noChangeAspect="1"/>
                          </pic:cNvPicPr>
                        </pic:nvPicPr>
                        <pic:blipFill>
                          <a:blip r:embed="rId56"/>
                          <a:stretch>
                            <a:fillRect/>
                          </a:stretch>
                        </pic:blipFill>
                        <pic:spPr>
                          <a:xfrm>
                            <a:off x="0" y="0"/>
                            <a:ext cx="2075815" cy="2533650"/>
                          </a:xfrm>
                          <a:prstGeom prst="rect">
                            <a:avLst/>
                          </a:prstGeom>
                          <a:noFill/>
                          <a:ln>
                            <a:noFill/>
                          </a:ln>
                        </pic:spPr>
                      </pic:pic>
                    </a:graphicData>
                  </a:graphic>
                </wp:inline>
              </w:drawing>
            </w:r>
          </w:p>
        </w:tc>
        <w:tc>
          <w:tcPr>
            <w:tcW w:w="4610" w:type="dxa"/>
            <w:tcBorders>
              <w:tl2br w:val="nil"/>
              <w:tr2bl w:val="nil"/>
            </w:tcBorders>
          </w:tcPr>
          <w:p>
            <w:pPr>
              <w:pStyle w:val="16"/>
              <w:keepNext w:val="0"/>
              <w:keepLines w:val="0"/>
              <w:pageBreakBefore w:val="0"/>
              <w:widowControl w:val="0"/>
              <w:kinsoku/>
              <w:wordWrap/>
              <w:overflowPunct/>
              <w:topLinePunct w:val="0"/>
              <w:autoSpaceDE/>
              <w:autoSpaceDN/>
              <w:bidi w:val="0"/>
              <w:adjustRightInd w:val="0"/>
              <w:snapToGrid w:val="0"/>
              <w:spacing w:line="360" w:lineRule="auto"/>
              <w:ind w:right="0"/>
              <w:jc w:val="center"/>
              <w:textAlignment w:val="auto"/>
              <w:rPr>
                <w:rFonts w:hint="default" w:ascii="Times New Roman" w:hAnsi="Times New Roman" w:eastAsia="宋体" w:cs="Times New Roman"/>
                <w:b w:val="0"/>
                <w:bCs/>
                <w:color w:val="auto"/>
                <w:sz w:val="24"/>
                <w:szCs w:val="24"/>
                <w:vertAlign w:val="baseline"/>
                <w:lang w:val="en-US" w:eastAsia="zh-CN"/>
              </w:rPr>
            </w:pPr>
            <w:r>
              <w:drawing>
                <wp:inline distT="0" distB="0" distL="114300" distR="114300">
                  <wp:extent cx="2100580" cy="2531745"/>
                  <wp:effectExtent l="0" t="0" r="13970" b="1905"/>
                  <wp:docPr id="19"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0"/>
                          <pic:cNvPicPr>
                            <a:picLocks noChangeAspect="1"/>
                          </pic:cNvPicPr>
                        </pic:nvPicPr>
                        <pic:blipFill>
                          <a:blip r:embed="rId57"/>
                          <a:stretch>
                            <a:fillRect/>
                          </a:stretch>
                        </pic:blipFill>
                        <pic:spPr>
                          <a:xfrm>
                            <a:off x="0" y="0"/>
                            <a:ext cx="2100580" cy="2531745"/>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10" w:type="dxa"/>
            <w:tcBorders>
              <w:tl2br w:val="nil"/>
              <w:tr2bl w:val="nil"/>
            </w:tcBorders>
          </w:tcPr>
          <w:p>
            <w:pPr>
              <w:pStyle w:val="16"/>
              <w:keepNext w:val="0"/>
              <w:keepLines w:val="0"/>
              <w:pageBreakBefore w:val="0"/>
              <w:widowControl w:val="0"/>
              <w:kinsoku/>
              <w:wordWrap/>
              <w:overflowPunct/>
              <w:topLinePunct w:val="0"/>
              <w:autoSpaceDE/>
              <w:autoSpaceDN/>
              <w:bidi w:val="0"/>
              <w:adjustRightInd w:val="0"/>
              <w:snapToGrid w:val="0"/>
              <w:spacing w:line="360" w:lineRule="auto"/>
              <w:ind w:right="0"/>
              <w:jc w:val="center"/>
              <w:textAlignment w:val="auto"/>
              <w:rPr>
                <w:rFonts w:hint="default" w:ascii="Times New Roman" w:hAnsi="Times New Roman" w:eastAsia="宋体" w:cs="Times New Roman"/>
                <w:b w:val="0"/>
                <w:bCs/>
                <w:color w:val="auto"/>
                <w:sz w:val="24"/>
                <w:szCs w:val="24"/>
                <w:vertAlign w:val="baseline"/>
                <w:lang w:val="en-US" w:eastAsia="zh-CN"/>
              </w:rPr>
            </w:pPr>
            <w:r>
              <w:drawing>
                <wp:inline distT="0" distB="0" distL="114300" distR="114300">
                  <wp:extent cx="2423795" cy="2563495"/>
                  <wp:effectExtent l="0" t="0" r="14605" b="8255"/>
                  <wp:docPr id="34"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1"/>
                          <pic:cNvPicPr>
                            <a:picLocks noChangeAspect="1"/>
                          </pic:cNvPicPr>
                        </pic:nvPicPr>
                        <pic:blipFill>
                          <a:blip r:embed="rId58"/>
                          <a:stretch>
                            <a:fillRect/>
                          </a:stretch>
                        </pic:blipFill>
                        <pic:spPr>
                          <a:xfrm>
                            <a:off x="0" y="0"/>
                            <a:ext cx="2423795" cy="2563495"/>
                          </a:xfrm>
                          <a:prstGeom prst="rect">
                            <a:avLst/>
                          </a:prstGeom>
                          <a:noFill/>
                          <a:ln>
                            <a:noFill/>
                          </a:ln>
                        </pic:spPr>
                      </pic:pic>
                    </a:graphicData>
                  </a:graphic>
                </wp:inline>
              </w:drawing>
            </w:r>
          </w:p>
        </w:tc>
        <w:tc>
          <w:tcPr>
            <w:tcW w:w="4610" w:type="dxa"/>
            <w:tcBorders>
              <w:tl2br w:val="nil"/>
              <w:tr2bl w:val="nil"/>
            </w:tcBorders>
          </w:tcPr>
          <w:p>
            <w:pPr>
              <w:pStyle w:val="16"/>
              <w:keepNext w:val="0"/>
              <w:keepLines w:val="0"/>
              <w:pageBreakBefore w:val="0"/>
              <w:widowControl w:val="0"/>
              <w:kinsoku/>
              <w:wordWrap/>
              <w:overflowPunct/>
              <w:topLinePunct w:val="0"/>
              <w:autoSpaceDE/>
              <w:autoSpaceDN/>
              <w:bidi w:val="0"/>
              <w:adjustRightInd w:val="0"/>
              <w:snapToGrid w:val="0"/>
              <w:spacing w:line="360" w:lineRule="auto"/>
              <w:ind w:right="0"/>
              <w:jc w:val="center"/>
              <w:textAlignment w:val="auto"/>
              <w:rPr>
                <w:rFonts w:hint="default" w:ascii="Times New Roman" w:hAnsi="Times New Roman" w:eastAsia="宋体" w:cs="Times New Roman"/>
                <w:b w:val="0"/>
                <w:bCs/>
                <w:color w:val="auto"/>
                <w:sz w:val="24"/>
                <w:szCs w:val="24"/>
                <w:vertAlign w:val="baseline"/>
                <w:lang w:val="en-US" w:eastAsia="zh-CN"/>
              </w:rPr>
            </w:pPr>
            <w:r>
              <w:drawing>
                <wp:inline distT="0" distB="0" distL="114300" distR="114300">
                  <wp:extent cx="3142615" cy="2505710"/>
                  <wp:effectExtent l="0" t="0" r="635" b="8890"/>
                  <wp:docPr id="35"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2"/>
                          <pic:cNvPicPr>
                            <a:picLocks noChangeAspect="1"/>
                          </pic:cNvPicPr>
                        </pic:nvPicPr>
                        <pic:blipFill>
                          <a:blip r:embed="rId59"/>
                          <a:stretch>
                            <a:fillRect/>
                          </a:stretch>
                        </pic:blipFill>
                        <pic:spPr>
                          <a:xfrm>
                            <a:off x="0" y="0"/>
                            <a:ext cx="3142615" cy="250571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10" w:type="dxa"/>
            <w:tcBorders>
              <w:tl2br w:val="nil"/>
              <w:tr2bl w:val="nil"/>
            </w:tcBorders>
          </w:tcPr>
          <w:p>
            <w:pPr>
              <w:pStyle w:val="16"/>
              <w:keepNext w:val="0"/>
              <w:keepLines w:val="0"/>
              <w:pageBreakBefore w:val="0"/>
              <w:widowControl w:val="0"/>
              <w:kinsoku/>
              <w:wordWrap/>
              <w:overflowPunct/>
              <w:topLinePunct w:val="0"/>
              <w:autoSpaceDE/>
              <w:autoSpaceDN/>
              <w:bidi w:val="0"/>
              <w:adjustRightInd w:val="0"/>
              <w:snapToGrid w:val="0"/>
              <w:spacing w:line="360" w:lineRule="auto"/>
              <w:ind w:right="0"/>
              <w:jc w:val="center"/>
              <w:textAlignment w:val="auto"/>
              <w:rPr>
                <w:rFonts w:hint="default" w:ascii="Times New Roman" w:hAnsi="Times New Roman" w:eastAsia="宋体" w:cs="Times New Roman"/>
                <w:b w:val="0"/>
                <w:bCs/>
                <w:color w:val="auto"/>
                <w:sz w:val="24"/>
                <w:szCs w:val="24"/>
                <w:vertAlign w:val="baseline"/>
                <w:lang w:val="en-US" w:eastAsia="zh-CN"/>
              </w:rPr>
            </w:pPr>
            <w:r>
              <w:drawing>
                <wp:inline distT="0" distB="0" distL="114300" distR="114300">
                  <wp:extent cx="2592070" cy="2219325"/>
                  <wp:effectExtent l="0" t="0" r="17780" b="9525"/>
                  <wp:docPr id="36"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23"/>
                          <pic:cNvPicPr>
                            <a:picLocks noChangeAspect="1"/>
                          </pic:cNvPicPr>
                        </pic:nvPicPr>
                        <pic:blipFill>
                          <a:blip r:embed="rId60"/>
                          <a:stretch>
                            <a:fillRect/>
                          </a:stretch>
                        </pic:blipFill>
                        <pic:spPr>
                          <a:xfrm>
                            <a:off x="0" y="0"/>
                            <a:ext cx="2592070" cy="2219325"/>
                          </a:xfrm>
                          <a:prstGeom prst="rect">
                            <a:avLst/>
                          </a:prstGeom>
                          <a:noFill/>
                          <a:ln>
                            <a:noFill/>
                          </a:ln>
                        </pic:spPr>
                      </pic:pic>
                    </a:graphicData>
                  </a:graphic>
                </wp:inline>
              </w:drawing>
            </w:r>
          </w:p>
        </w:tc>
        <w:tc>
          <w:tcPr>
            <w:tcW w:w="4610" w:type="dxa"/>
            <w:tcBorders>
              <w:tl2br w:val="nil"/>
              <w:tr2bl w:val="nil"/>
            </w:tcBorders>
          </w:tcPr>
          <w:p>
            <w:pPr>
              <w:pStyle w:val="16"/>
              <w:keepNext w:val="0"/>
              <w:keepLines w:val="0"/>
              <w:pageBreakBefore w:val="0"/>
              <w:widowControl w:val="0"/>
              <w:kinsoku/>
              <w:wordWrap/>
              <w:overflowPunct/>
              <w:topLinePunct w:val="0"/>
              <w:autoSpaceDE/>
              <w:autoSpaceDN/>
              <w:bidi w:val="0"/>
              <w:adjustRightInd w:val="0"/>
              <w:snapToGrid w:val="0"/>
              <w:spacing w:line="360" w:lineRule="auto"/>
              <w:ind w:right="0"/>
              <w:jc w:val="center"/>
              <w:textAlignment w:val="auto"/>
              <w:rPr>
                <w:rFonts w:hint="default" w:ascii="Times New Roman" w:hAnsi="Times New Roman" w:eastAsia="宋体" w:cs="Times New Roman"/>
                <w:b w:val="0"/>
                <w:bCs/>
                <w:color w:val="auto"/>
                <w:sz w:val="24"/>
                <w:szCs w:val="24"/>
                <w:vertAlign w:val="baseline"/>
                <w:lang w:val="en-US" w:eastAsia="zh-CN"/>
              </w:rPr>
            </w:pPr>
            <w:r>
              <w:drawing>
                <wp:inline distT="0" distB="0" distL="114300" distR="114300">
                  <wp:extent cx="2681605" cy="2329180"/>
                  <wp:effectExtent l="0" t="0" r="4445" b="13970"/>
                  <wp:docPr id="40"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25"/>
                          <pic:cNvPicPr>
                            <a:picLocks noChangeAspect="1"/>
                          </pic:cNvPicPr>
                        </pic:nvPicPr>
                        <pic:blipFill>
                          <a:blip r:embed="rId61"/>
                          <a:stretch>
                            <a:fillRect/>
                          </a:stretch>
                        </pic:blipFill>
                        <pic:spPr>
                          <a:xfrm>
                            <a:off x="0" y="0"/>
                            <a:ext cx="2681605" cy="2329180"/>
                          </a:xfrm>
                          <a:prstGeom prst="rect">
                            <a:avLst/>
                          </a:prstGeom>
                          <a:noFill/>
                          <a:ln>
                            <a:noFill/>
                          </a:ln>
                        </pic:spPr>
                      </pic:pic>
                    </a:graphicData>
                  </a:graphic>
                </wp:inline>
              </w:drawing>
            </w:r>
          </w:p>
        </w:tc>
      </w:tr>
    </w:tbl>
    <w:p>
      <w:pPr>
        <w:pStyle w:val="16"/>
        <w:keepNext w:val="0"/>
        <w:keepLines w:val="0"/>
        <w:pageBreakBefore w:val="0"/>
        <w:widowControl w:val="0"/>
        <w:kinsoku/>
        <w:wordWrap/>
        <w:overflowPunct/>
        <w:topLinePunct w:val="0"/>
        <w:autoSpaceDE/>
        <w:autoSpaceDN/>
        <w:bidi w:val="0"/>
        <w:adjustRightInd w:val="0"/>
        <w:snapToGrid w:val="0"/>
        <w:spacing w:line="360" w:lineRule="auto"/>
        <w:ind w:right="0"/>
        <w:jc w:val="both"/>
        <w:textAlignment w:val="auto"/>
        <w:rPr>
          <w:rFonts w:hint="default" w:ascii="Times New Roman" w:hAnsi="Times New Roman" w:eastAsia="宋体" w:cs="Times New Roman"/>
          <w:b w:val="0"/>
          <w:bCs/>
          <w:color w:val="auto"/>
          <w:sz w:val="24"/>
          <w:szCs w:val="24"/>
          <w:lang w:val="en-US" w:eastAsia="zh-CN"/>
        </w:rPr>
      </w:pP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lang w:val="en-US" w:eastAsia="zh-CN"/>
        </w:rPr>
      </w:pPr>
      <w:r>
        <w:rPr>
          <w:rFonts w:hint="eastAsia" w:ascii="Times New Roman" w:hAnsi="Times New Roman" w:eastAsia="宋体" w:cs="Times New Roman"/>
          <w:b w:val="0"/>
          <w:bCs/>
          <w:color w:val="auto"/>
          <w:sz w:val="24"/>
          <w:szCs w:val="24"/>
          <w:lang w:val="en-US" w:eastAsia="zh-CN"/>
        </w:rPr>
        <w:t>3）污水作为农田灌溉对土壤的影响</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lang w:val="en-US" w:eastAsia="zh-CN"/>
        </w:rPr>
      </w:pPr>
      <w:r>
        <w:rPr>
          <w:rFonts w:hint="eastAsia" w:ascii="Times New Roman" w:hAnsi="Times New Roman" w:eastAsia="宋体" w:cs="Times New Roman"/>
          <w:b w:val="0"/>
          <w:bCs/>
          <w:color w:val="auto"/>
          <w:sz w:val="24"/>
          <w:szCs w:val="24"/>
          <w:lang w:val="en-US" w:eastAsia="zh-CN"/>
        </w:rPr>
        <w:t>养殖废水经过“格栅井+集粪池+固液分离机+污泥池（调节池）+叠螺脱水机+预反应及预沉池+一级光氧塘+A/O组合池+二沉池+深度反应池+终沉池+氧化塘”处理后，废水达《农田灌溉水质标准》（GB5084-2021）中表 1、表 2 标准全部用于农田灌溉。沼液中氮、磷浓度大大降低，因此主要要灌溉用水为主，但废水中仍然有少量的 P、N，污水用作农肥，土壤肥力较低；虽然处理后产生的污水含有一定量钙、镁、锰等多种微量元素，但土壤本身可以通过物理、化学、生化机制对污染进行一定的同化和代谢，不会超出土壤的自净能力。</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lang w:val="en-US" w:eastAsia="zh-CN"/>
        </w:rPr>
      </w:pPr>
      <w:r>
        <w:rPr>
          <w:rFonts w:hint="eastAsia" w:ascii="Times New Roman" w:hAnsi="Times New Roman" w:eastAsia="宋体" w:cs="Times New Roman"/>
          <w:b w:val="0"/>
          <w:bCs/>
          <w:color w:val="auto"/>
          <w:sz w:val="24"/>
          <w:szCs w:val="24"/>
          <w:lang w:val="en-US" w:eastAsia="zh-CN"/>
        </w:rPr>
        <w:t>通过采取上述措施后，项目产生的废水全部还田，不会排入地表水，对地表水环境影响小。因此，上述污染防治措施是可行的。</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2" w:firstLineChars="200"/>
        <w:jc w:val="both"/>
        <w:textAlignment w:val="auto"/>
        <w:rPr>
          <w:rFonts w:hint="eastAsia" w:ascii="Times New Roman" w:hAnsi="Times New Roman" w:eastAsia="宋体" w:cs="Times New Roman"/>
          <w:b/>
          <w:bCs w:val="0"/>
          <w:color w:val="auto"/>
          <w:sz w:val="24"/>
          <w:szCs w:val="24"/>
        </w:rPr>
      </w:pPr>
      <w:r>
        <w:rPr>
          <w:rFonts w:hint="eastAsia" w:ascii="Times New Roman" w:hAnsi="Times New Roman" w:eastAsia="宋体" w:cs="Times New Roman"/>
          <w:b/>
          <w:bCs w:val="0"/>
          <w:color w:val="auto"/>
          <w:sz w:val="24"/>
          <w:szCs w:val="24"/>
        </w:rPr>
        <w:t>4、废水非正常排放影响分析</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（1）污水处理设施发生事故的非正常排放</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根据工程分析，本项目可能发生的非正常排放情况主要为废水未经</w:t>
      </w:r>
      <w:r>
        <w:rPr>
          <w:rFonts w:hint="eastAsia" w:ascii="Times New Roman" w:hAnsi="Times New Roman" w:eastAsia="宋体" w:cs="Times New Roman"/>
          <w:b w:val="0"/>
          <w:bCs/>
          <w:color w:val="auto"/>
          <w:sz w:val="24"/>
          <w:szCs w:val="24"/>
          <w:lang w:eastAsia="zh-CN"/>
        </w:rPr>
        <w:t>污水处理区</w:t>
      </w:r>
      <w:r>
        <w:rPr>
          <w:rFonts w:hint="eastAsia" w:ascii="Times New Roman" w:hAnsi="Times New Roman" w:eastAsia="宋体" w:cs="Times New Roman"/>
          <w:b w:val="0"/>
          <w:bCs/>
          <w:color w:val="auto"/>
          <w:sz w:val="24"/>
          <w:szCs w:val="24"/>
        </w:rPr>
        <w:t>处理直接排放（污水处理设施出现事故情况）。事故废水排放量按1天污水量估算，项目</w:t>
      </w:r>
      <w:r>
        <w:rPr>
          <w:rFonts w:hint="eastAsia" w:ascii="Times New Roman" w:hAnsi="Times New Roman" w:eastAsia="宋体" w:cs="Times New Roman"/>
          <w:b w:val="0"/>
          <w:bCs/>
          <w:color w:val="auto"/>
          <w:sz w:val="24"/>
          <w:szCs w:val="24"/>
          <w:lang w:eastAsia="zh-CN"/>
        </w:rPr>
        <w:t>平均</w:t>
      </w:r>
      <w:r>
        <w:rPr>
          <w:rFonts w:hint="eastAsia" w:ascii="Times New Roman" w:hAnsi="Times New Roman" w:eastAsia="宋体" w:cs="Times New Roman"/>
          <w:b w:val="0"/>
          <w:bCs/>
          <w:color w:val="auto"/>
          <w:sz w:val="24"/>
          <w:szCs w:val="24"/>
        </w:rPr>
        <w:t>废水量约为</w:t>
      </w:r>
      <w:r>
        <w:rPr>
          <w:rFonts w:hint="eastAsia" w:ascii="Times New Roman" w:hAnsi="Times New Roman" w:eastAsia="宋体" w:cs="Times New Roman"/>
          <w:b w:val="0"/>
          <w:bCs/>
          <w:color w:val="auto"/>
          <w:sz w:val="24"/>
          <w:szCs w:val="24"/>
          <w:lang w:val="en-US" w:eastAsia="zh-CN"/>
        </w:rPr>
        <w:t>68.33</w:t>
      </w:r>
      <w:r>
        <w:rPr>
          <w:rFonts w:hint="eastAsia" w:ascii="Times New Roman" w:hAnsi="Times New Roman" w:eastAsia="宋体" w:cs="Times New Roman"/>
          <w:b w:val="0"/>
          <w:bCs/>
          <w:color w:val="auto"/>
          <w:sz w:val="24"/>
          <w:szCs w:val="24"/>
        </w:rPr>
        <w:t>m</w:t>
      </w:r>
      <w:r>
        <w:rPr>
          <w:rFonts w:hint="eastAsia" w:ascii="Times New Roman" w:hAnsi="Times New Roman" w:eastAsia="宋体" w:cs="Times New Roman"/>
          <w:b w:val="0"/>
          <w:bCs/>
          <w:color w:val="auto"/>
          <w:sz w:val="24"/>
          <w:szCs w:val="24"/>
          <w:vertAlign w:val="superscript"/>
        </w:rPr>
        <w:t>3</w:t>
      </w:r>
      <w:r>
        <w:rPr>
          <w:rFonts w:hint="eastAsia" w:ascii="Times New Roman" w:hAnsi="Times New Roman" w:eastAsia="宋体" w:cs="Times New Roman"/>
          <w:b w:val="0"/>
          <w:bCs/>
          <w:color w:val="auto"/>
          <w:sz w:val="24"/>
          <w:szCs w:val="24"/>
        </w:rPr>
        <w:t>/</w:t>
      </w:r>
      <w:r>
        <w:rPr>
          <w:rFonts w:hint="eastAsia" w:ascii="Times New Roman" w:hAnsi="Times New Roman" w:eastAsia="宋体" w:cs="Times New Roman"/>
          <w:b w:val="0"/>
          <w:bCs/>
          <w:color w:val="auto"/>
          <w:sz w:val="24"/>
          <w:szCs w:val="24"/>
          <w:lang w:val="en-US" w:eastAsia="zh-CN"/>
        </w:rPr>
        <w:t>d</w:t>
      </w:r>
      <w:r>
        <w:rPr>
          <w:rFonts w:hint="eastAsia" w:ascii="Times New Roman" w:hAnsi="Times New Roman" w:eastAsia="宋体" w:cs="Times New Roman"/>
          <w:b w:val="0"/>
          <w:bCs/>
          <w:color w:val="auto"/>
          <w:sz w:val="24"/>
          <w:szCs w:val="24"/>
        </w:rPr>
        <w:t>。未经处理的废水中各种污染物质含量较高，远远超出《畜禽养殖业污染物排放标准》（GB18596-2001）的标准要求，如果直接外排，将会对周围环境造成一定的污染，因此，要坚决杜绝非正常排放。</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lang w:eastAsia="zh-CN"/>
        </w:rPr>
        <w:t>本</w:t>
      </w:r>
      <w:r>
        <w:rPr>
          <w:rFonts w:hint="eastAsia" w:ascii="Times New Roman" w:hAnsi="Times New Roman" w:eastAsia="宋体" w:cs="Times New Roman"/>
          <w:b w:val="0"/>
          <w:bCs/>
          <w:color w:val="auto"/>
          <w:sz w:val="24"/>
          <w:szCs w:val="24"/>
        </w:rPr>
        <w:t>项目建设时考虑在场区设置一个容积</w:t>
      </w:r>
      <w:r>
        <w:rPr>
          <w:rFonts w:hint="eastAsia" w:ascii="Times New Roman" w:hAnsi="Times New Roman" w:eastAsia="宋体" w:cs="Times New Roman"/>
          <w:b w:val="0"/>
          <w:bCs/>
          <w:color w:val="auto"/>
          <w:sz w:val="24"/>
          <w:szCs w:val="24"/>
          <w:lang w:val="en-US" w:eastAsia="zh-CN"/>
        </w:rPr>
        <w:t>2250</w:t>
      </w:r>
      <w:r>
        <w:rPr>
          <w:rFonts w:hint="eastAsia" w:ascii="Times New Roman" w:hAnsi="Times New Roman" w:eastAsia="宋体" w:cs="Times New Roman"/>
          <w:b w:val="0"/>
          <w:bCs/>
          <w:color w:val="auto"/>
          <w:sz w:val="24"/>
          <w:szCs w:val="24"/>
        </w:rPr>
        <w:t>m</w:t>
      </w:r>
      <w:r>
        <w:rPr>
          <w:rFonts w:hint="eastAsia" w:ascii="Times New Roman" w:hAnsi="Times New Roman" w:eastAsia="宋体" w:cs="Times New Roman"/>
          <w:b w:val="0"/>
          <w:bCs/>
          <w:color w:val="auto"/>
          <w:sz w:val="24"/>
          <w:szCs w:val="24"/>
          <w:vertAlign w:val="superscript"/>
        </w:rPr>
        <w:t>3</w:t>
      </w:r>
      <w:r>
        <w:rPr>
          <w:rFonts w:hint="eastAsia" w:ascii="Times New Roman" w:hAnsi="Times New Roman" w:eastAsia="宋体" w:cs="Times New Roman"/>
          <w:b w:val="0"/>
          <w:bCs/>
          <w:color w:val="auto"/>
          <w:sz w:val="24"/>
          <w:szCs w:val="24"/>
        </w:rPr>
        <w:t>的事故应急池，用来储存</w:t>
      </w:r>
      <w:r>
        <w:rPr>
          <w:rFonts w:hint="eastAsia" w:ascii="Times New Roman" w:hAnsi="Times New Roman" w:eastAsia="宋体" w:cs="Times New Roman"/>
          <w:b w:val="0"/>
          <w:bCs/>
          <w:color w:val="auto"/>
          <w:sz w:val="24"/>
          <w:szCs w:val="24"/>
          <w:lang w:eastAsia="zh-CN"/>
        </w:rPr>
        <w:t>污水处理区</w:t>
      </w:r>
      <w:r>
        <w:rPr>
          <w:rFonts w:hint="eastAsia" w:ascii="Times New Roman" w:hAnsi="Times New Roman" w:eastAsia="宋体" w:cs="Times New Roman"/>
          <w:b w:val="0"/>
          <w:bCs/>
          <w:color w:val="auto"/>
          <w:sz w:val="24"/>
          <w:szCs w:val="24"/>
        </w:rPr>
        <w:t>发生故障时不能及时处理的废水。本项目废水产生量为</w:t>
      </w:r>
      <w:r>
        <w:rPr>
          <w:rFonts w:hint="eastAsia" w:ascii="Times New Roman" w:hAnsi="Times New Roman" w:eastAsia="宋体" w:cs="Times New Roman"/>
          <w:b w:val="0"/>
          <w:bCs/>
          <w:color w:val="auto"/>
          <w:sz w:val="24"/>
          <w:szCs w:val="24"/>
          <w:lang w:val="en-US" w:eastAsia="zh-CN"/>
        </w:rPr>
        <w:t>68.33</w:t>
      </w:r>
      <w:r>
        <w:rPr>
          <w:rFonts w:hint="eastAsia" w:ascii="Times New Roman" w:hAnsi="Times New Roman" w:eastAsia="宋体" w:cs="Times New Roman"/>
          <w:b w:val="0"/>
          <w:bCs/>
          <w:color w:val="auto"/>
          <w:sz w:val="24"/>
          <w:szCs w:val="24"/>
        </w:rPr>
        <w:t>m</w:t>
      </w:r>
      <w:r>
        <w:rPr>
          <w:rFonts w:hint="eastAsia" w:ascii="Times New Roman" w:hAnsi="Times New Roman" w:eastAsia="宋体" w:cs="Times New Roman"/>
          <w:b w:val="0"/>
          <w:bCs/>
          <w:color w:val="auto"/>
          <w:sz w:val="24"/>
          <w:szCs w:val="24"/>
          <w:vertAlign w:val="superscript"/>
        </w:rPr>
        <w:t>3</w:t>
      </w:r>
      <w:r>
        <w:rPr>
          <w:rFonts w:hint="eastAsia" w:ascii="Times New Roman" w:hAnsi="Times New Roman" w:eastAsia="宋体" w:cs="Times New Roman"/>
          <w:b w:val="0"/>
          <w:bCs/>
          <w:color w:val="auto"/>
          <w:sz w:val="24"/>
          <w:szCs w:val="24"/>
        </w:rPr>
        <w:t>/d，场区的事故水池可连续储存</w:t>
      </w:r>
      <w:r>
        <w:rPr>
          <w:rFonts w:hint="eastAsia" w:ascii="Times New Roman" w:hAnsi="Times New Roman" w:eastAsia="宋体" w:cs="Times New Roman"/>
          <w:b w:val="0"/>
          <w:bCs/>
          <w:color w:val="auto"/>
          <w:sz w:val="24"/>
          <w:szCs w:val="24"/>
          <w:lang w:val="en-US" w:eastAsia="zh-CN"/>
        </w:rPr>
        <w:t>32</w:t>
      </w:r>
      <w:r>
        <w:rPr>
          <w:rFonts w:hint="eastAsia" w:ascii="Times New Roman" w:hAnsi="Times New Roman" w:eastAsia="宋体" w:cs="Times New Roman"/>
          <w:b w:val="0"/>
          <w:bCs/>
          <w:color w:val="auto"/>
          <w:sz w:val="24"/>
          <w:szCs w:val="24"/>
        </w:rPr>
        <w:t>天的废水，可保证</w:t>
      </w:r>
      <w:r>
        <w:rPr>
          <w:rFonts w:hint="eastAsia" w:ascii="Times New Roman" w:hAnsi="Times New Roman" w:eastAsia="宋体" w:cs="Times New Roman"/>
          <w:b w:val="0"/>
          <w:bCs/>
          <w:color w:val="auto"/>
          <w:sz w:val="24"/>
          <w:szCs w:val="24"/>
          <w:lang w:eastAsia="zh-CN"/>
        </w:rPr>
        <w:t>污水处理区</w:t>
      </w:r>
      <w:r>
        <w:rPr>
          <w:rFonts w:hint="eastAsia" w:ascii="Times New Roman" w:hAnsi="Times New Roman" w:eastAsia="宋体" w:cs="Times New Roman"/>
          <w:b w:val="0"/>
          <w:bCs/>
          <w:color w:val="auto"/>
          <w:sz w:val="24"/>
          <w:szCs w:val="24"/>
        </w:rPr>
        <w:t>发生故障时不出现外排。为了防止废水外渗，对事故水池进行防渗处理，同时本评价要求事故水池池体顶部高于周边硬地高程，以防止场区地表径流汇入事故水池中。</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（2）雨季不进行浇灌的非正常排放</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项目非正常情况中另外一种情况是指由于降雨天处理后的废水未能及时用于周围农田浇灌而产生剩余情况。根据 HJ/T81-2001《畜禽养殖业污染防治技术规范》——“6.2.2 畜禽养殖场污水排入农田前必须进行预处理采用格栅、厌氧、沉淀等工艺流程，并应配套设置田间</w:t>
      </w:r>
      <w:r>
        <w:rPr>
          <w:rFonts w:hint="eastAsia" w:ascii="Times New Roman" w:hAnsi="Times New Roman" w:eastAsia="宋体" w:cs="Times New Roman"/>
          <w:b w:val="0"/>
          <w:bCs/>
          <w:color w:val="auto"/>
          <w:sz w:val="24"/>
          <w:szCs w:val="24"/>
          <w:lang w:eastAsia="zh-CN"/>
        </w:rPr>
        <w:t>氧化塘（储蓄池）</w:t>
      </w:r>
      <w:r>
        <w:rPr>
          <w:rFonts w:hint="eastAsia" w:ascii="Times New Roman" w:hAnsi="Times New Roman" w:eastAsia="宋体" w:cs="Times New Roman"/>
          <w:b w:val="0"/>
          <w:bCs/>
          <w:color w:val="auto"/>
          <w:sz w:val="24"/>
          <w:szCs w:val="24"/>
        </w:rPr>
        <w:t>，以解决农田在非施肥期间的污水出路问题，田间</w:t>
      </w:r>
      <w:r>
        <w:rPr>
          <w:rFonts w:hint="eastAsia" w:ascii="Times New Roman" w:hAnsi="Times New Roman" w:eastAsia="宋体" w:cs="Times New Roman"/>
          <w:b w:val="0"/>
          <w:bCs/>
          <w:color w:val="auto"/>
          <w:sz w:val="24"/>
          <w:szCs w:val="24"/>
          <w:lang w:eastAsia="zh-CN"/>
        </w:rPr>
        <w:t>氧化塘（储蓄池）</w:t>
      </w:r>
      <w:r>
        <w:rPr>
          <w:rFonts w:hint="eastAsia" w:ascii="Times New Roman" w:hAnsi="Times New Roman" w:eastAsia="宋体" w:cs="Times New Roman"/>
          <w:b w:val="0"/>
          <w:bCs/>
          <w:color w:val="auto"/>
          <w:sz w:val="24"/>
          <w:szCs w:val="24"/>
        </w:rPr>
        <w:t>的总容积不得低于当地农林作物生产用肥的最大间隔时间内畜禽养殖场排放污水的总量”。 项目</w:t>
      </w:r>
      <w:r>
        <w:rPr>
          <w:rFonts w:hint="eastAsia" w:ascii="Times New Roman" w:hAnsi="Times New Roman" w:eastAsia="宋体" w:cs="Times New Roman"/>
          <w:b w:val="0"/>
          <w:bCs/>
          <w:color w:val="auto"/>
          <w:sz w:val="24"/>
          <w:szCs w:val="24"/>
          <w:lang w:eastAsia="zh-CN"/>
        </w:rPr>
        <w:t>平均</w:t>
      </w:r>
      <w:r>
        <w:rPr>
          <w:rFonts w:hint="eastAsia" w:ascii="Times New Roman" w:hAnsi="Times New Roman" w:eastAsia="宋体" w:cs="Times New Roman"/>
          <w:b w:val="0"/>
          <w:bCs/>
          <w:color w:val="auto"/>
          <w:sz w:val="24"/>
          <w:szCs w:val="24"/>
        </w:rPr>
        <w:t>废水量约为</w:t>
      </w:r>
      <w:r>
        <w:rPr>
          <w:rFonts w:hint="eastAsia" w:ascii="Times New Roman" w:hAnsi="Times New Roman" w:eastAsia="宋体" w:cs="Times New Roman"/>
          <w:b w:val="0"/>
          <w:bCs/>
          <w:color w:val="auto"/>
          <w:sz w:val="24"/>
          <w:szCs w:val="24"/>
          <w:lang w:val="en-US" w:eastAsia="zh-CN"/>
        </w:rPr>
        <w:t>68.33</w:t>
      </w:r>
      <w:r>
        <w:rPr>
          <w:rFonts w:hint="eastAsia" w:ascii="Times New Roman" w:hAnsi="Times New Roman" w:eastAsia="宋体" w:cs="Times New Roman"/>
          <w:b w:val="0"/>
          <w:bCs/>
          <w:color w:val="auto"/>
          <w:sz w:val="24"/>
          <w:szCs w:val="24"/>
        </w:rPr>
        <w:t>m</w:t>
      </w:r>
      <w:r>
        <w:rPr>
          <w:rFonts w:hint="eastAsia" w:ascii="Times New Roman" w:hAnsi="Times New Roman" w:eastAsia="宋体" w:cs="Times New Roman"/>
          <w:b w:val="0"/>
          <w:bCs/>
          <w:color w:val="auto"/>
          <w:sz w:val="24"/>
          <w:szCs w:val="24"/>
          <w:vertAlign w:val="superscript"/>
        </w:rPr>
        <w:t>3</w:t>
      </w:r>
      <w:r>
        <w:rPr>
          <w:rFonts w:hint="eastAsia" w:ascii="Times New Roman" w:hAnsi="Times New Roman" w:eastAsia="宋体" w:cs="Times New Roman"/>
          <w:b w:val="0"/>
          <w:bCs/>
          <w:color w:val="auto"/>
          <w:sz w:val="24"/>
          <w:szCs w:val="24"/>
        </w:rPr>
        <w:t>/d，项目拟在</w:t>
      </w:r>
      <w:r>
        <w:rPr>
          <w:rFonts w:hint="eastAsia" w:ascii="Times New Roman" w:hAnsi="Times New Roman" w:eastAsia="宋体" w:cs="Times New Roman"/>
          <w:b w:val="0"/>
          <w:bCs/>
          <w:color w:val="auto"/>
          <w:sz w:val="24"/>
          <w:szCs w:val="24"/>
          <w:lang w:eastAsia="zh-CN"/>
        </w:rPr>
        <w:t>污水处理区</w:t>
      </w:r>
      <w:r>
        <w:rPr>
          <w:rFonts w:hint="eastAsia" w:ascii="Times New Roman" w:hAnsi="Times New Roman" w:eastAsia="宋体" w:cs="Times New Roman"/>
          <w:b w:val="0"/>
          <w:bCs/>
          <w:color w:val="auto"/>
          <w:sz w:val="24"/>
          <w:szCs w:val="24"/>
        </w:rPr>
        <w:t>设置</w:t>
      </w:r>
      <w:r>
        <w:rPr>
          <w:rFonts w:hint="eastAsia" w:ascii="Times New Roman" w:hAnsi="Times New Roman" w:eastAsia="宋体" w:cs="Times New Roman"/>
          <w:b w:val="0"/>
          <w:bCs/>
          <w:color w:val="auto"/>
          <w:sz w:val="24"/>
          <w:szCs w:val="24"/>
          <w:lang w:val="en-US" w:eastAsia="zh-CN"/>
        </w:rPr>
        <w:t>1个4720m</w:t>
      </w:r>
      <w:r>
        <w:rPr>
          <w:rFonts w:hint="eastAsia" w:ascii="Times New Roman" w:hAnsi="Times New Roman" w:eastAsia="宋体" w:cs="Times New Roman"/>
          <w:b w:val="0"/>
          <w:bCs/>
          <w:color w:val="auto"/>
          <w:sz w:val="24"/>
          <w:szCs w:val="24"/>
          <w:vertAlign w:val="superscript"/>
          <w:lang w:val="en-US" w:eastAsia="zh-CN"/>
        </w:rPr>
        <w:t>3</w:t>
      </w:r>
      <w:r>
        <w:rPr>
          <w:rFonts w:hint="eastAsia" w:ascii="Times New Roman" w:hAnsi="Times New Roman" w:eastAsia="宋体" w:cs="Times New Roman"/>
          <w:b w:val="0"/>
          <w:bCs/>
          <w:color w:val="auto"/>
          <w:sz w:val="24"/>
          <w:szCs w:val="24"/>
          <w:vertAlign w:val="baseline"/>
          <w:lang w:val="en-US" w:eastAsia="zh-CN"/>
        </w:rPr>
        <w:t>氧化塘（</w:t>
      </w:r>
      <w:r>
        <w:rPr>
          <w:rFonts w:hint="eastAsia" w:ascii="Times New Roman" w:hAnsi="Times New Roman" w:eastAsia="宋体" w:cs="Times New Roman"/>
          <w:b w:val="0"/>
          <w:bCs/>
          <w:color w:val="auto"/>
          <w:sz w:val="24"/>
          <w:szCs w:val="24"/>
          <w:lang w:val="en-US" w:eastAsia="zh-CN"/>
        </w:rPr>
        <w:t>储蓄池</w:t>
      </w:r>
      <w:r>
        <w:rPr>
          <w:rFonts w:hint="eastAsia" w:ascii="Times New Roman" w:hAnsi="Times New Roman" w:eastAsia="宋体" w:cs="Times New Roman"/>
          <w:b w:val="0"/>
          <w:bCs/>
          <w:color w:val="auto"/>
          <w:sz w:val="24"/>
          <w:szCs w:val="24"/>
          <w:vertAlign w:val="baseline"/>
          <w:lang w:val="en-US" w:eastAsia="zh-CN"/>
        </w:rPr>
        <w:t>）和2250</w:t>
      </w:r>
      <w:r>
        <w:rPr>
          <w:rFonts w:hint="eastAsia" w:ascii="Times New Roman" w:hAnsi="Times New Roman" w:eastAsia="宋体" w:cs="Times New Roman"/>
          <w:b w:val="0"/>
          <w:bCs/>
          <w:color w:val="auto"/>
          <w:sz w:val="24"/>
          <w:szCs w:val="24"/>
          <w:lang w:val="en-US" w:eastAsia="zh-CN"/>
        </w:rPr>
        <w:t>m</w:t>
      </w:r>
      <w:r>
        <w:rPr>
          <w:rFonts w:hint="eastAsia" w:ascii="Times New Roman" w:hAnsi="Times New Roman" w:eastAsia="宋体" w:cs="Times New Roman"/>
          <w:b w:val="0"/>
          <w:bCs/>
          <w:color w:val="auto"/>
          <w:sz w:val="24"/>
          <w:szCs w:val="24"/>
          <w:vertAlign w:val="superscript"/>
          <w:lang w:val="en-US" w:eastAsia="zh-CN"/>
        </w:rPr>
        <w:t>3</w:t>
      </w:r>
      <w:r>
        <w:rPr>
          <w:rFonts w:hint="eastAsia" w:ascii="Times New Roman" w:hAnsi="Times New Roman" w:eastAsia="宋体" w:cs="Times New Roman"/>
          <w:b w:val="0"/>
          <w:bCs/>
          <w:color w:val="auto"/>
          <w:sz w:val="24"/>
          <w:szCs w:val="24"/>
          <w:vertAlign w:val="baseline"/>
          <w:lang w:val="en-US" w:eastAsia="zh-CN"/>
        </w:rPr>
        <w:t>的应急池</w:t>
      </w:r>
      <w:r>
        <w:rPr>
          <w:rFonts w:hint="eastAsia" w:ascii="Times New Roman" w:hAnsi="Times New Roman" w:eastAsia="宋体" w:cs="Times New Roman"/>
          <w:b w:val="0"/>
          <w:bCs/>
          <w:color w:val="auto"/>
          <w:sz w:val="24"/>
          <w:szCs w:val="24"/>
          <w:lang w:val="en-US" w:eastAsia="zh-CN"/>
        </w:rPr>
        <w:t>，总容积为6970m</w:t>
      </w:r>
      <w:r>
        <w:rPr>
          <w:rFonts w:hint="eastAsia" w:ascii="Times New Roman" w:hAnsi="Times New Roman" w:eastAsia="宋体" w:cs="Times New Roman"/>
          <w:b w:val="0"/>
          <w:bCs/>
          <w:color w:val="auto"/>
          <w:sz w:val="24"/>
          <w:szCs w:val="24"/>
          <w:vertAlign w:val="superscript"/>
          <w:lang w:val="en-US" w:eastAsia="zh-CN"/>
        </w:rPr>
        <w:t>3</w:t>
      </w:r>
      <w:r>
        <w:rPr>
          <w:rFonts w:hint="eastAsia" w:ascii="Times New Roman" w:hAnsi="Times New Roman" w:eastAsia="宋体" w:cs="Times New Roman"/>
          <w:b w:val="0"/>
          <w:bCs/>
          <w:color w:val="auto"/>
          <w:sz w:val="24"/>
          <w:szCs w:val="24"/>
        </w:rPr>
        <w:t>（可连续储存</w:t>
      </w:r>
      <w:r>
        <w:rPr>
          <w:rFonts w:hint="eastAsia" w:ascii="Times New Roman" w:hAnsi="Times New Roman" w:eastAsia="宋体" w:cs="Times New Roman"/>
          <w:b w:val="0"/>
          <w:bCs/>
          <w:color w:val="auto"/>
          <w:sz w:val="24"/>
          <w:szCs w:val="24"/>
          <w:lang w:val="en-US" w:eastAsia="zh-CN"/>
        </w:rPr>
        <w:t>90</w:t>
      </w:r>
      <w:r>
        <w:rPr>
          <w:rFonts w:hint="eastAsia" w:ascii="Times New Roman" w:hAnsi="Times New Roman" w:eastAsia="宋体" w:cs="Times New Roman"/>
          <w:b w:val="0"/>
          <w:bCs/>
          <w:color w:val="auto"/>
          <w:sz w:val="24"/>
          <w:szCs w:val="24"/>
        </w:rPr>
        <w:t>d水量），容积量大，能够确保处理达标的废水在雨天不外排，以解决雨季期间项目污水的出路问题。</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通过以上措施，在场区内设置足够容量的事故应急池和</w:t>
      </w:r>
      <w:r>
        <w:rPr>
          <w:rFonts w:hint="eastAsia" w:ascii="Times New Roman" w:hAnsi="Times New Roman" w:eastAsia="宋体" w:cs="Times New Roman"/>
          <w:b w:val="0"/>
          <w:bCs/>
          <w:color w:val="auto"/>
          <w:sz w:val="24"/>
          <w:szCs w:val="24"/>
          <w:lang w:eastAsia="zh-CN"/>
        </w:rPr>
        <w:t>储蓄</w:t>
      </w:r>
      <w:r>
        <w:rPr>
          <w:rFonts w:hint="eastAsia" w:ascii="Times New Roman" w:hAnsi="Times New Roman" w:eastAsia="宋体" w:cs="Times New Roman"/>
          <w:b w:val="0"/>
          <w:bCs/>
          <w:color w:val="auto"/>
          <w:sz w:val="24"/>
          <w:szCs w:val="24"/>
        </w:rPr>
        <w:t>池，可有效杜绝项目场区废水非正常排放情况的出现，对周围水环境影响较小。</w:t>
      </w:r>
    </w:p>
    <w:p>
      <w:pPr>
        <w:pStyle w:val="16"/>
        <w:keepNext w:val="0"/>
        <w:keepLines w:val="0"/>
        <w:pageBreakBefore w:val="0"/>
        <w:widowControl w:val="0"/>
        <w:kinsoku/>
        <w:wordWrap/>
        <w:overflowPunct/>
        <w:topLinePunct w:val="0"/>
        <w:autoSpaceDE/>
        <w:autoSpaceDN/>
        <w:bidi w:val="0"/>
        <w:adjustRightInd w:val="0"/>
        <w:snapToGrid w:val="0"/>
        <w:spacing w:line="240" w:lineRule="auto"/>
        <w:ind w:left="0" w:right="0" w:firstLine="422" w:firstLineChars="200"/>
        <w:jc w:val="center"/>
        <w:textAlignment w:val="auto"/>
        <w:rPr>
          <w:color w:val="auto"/>
        </w:rPr>
      </w:pPr>
      <w:r>
        <w:rPr>
          <w:rFonts w:hint="default" w:ascii="Times New Roman" w:hAnsi="Times New Roman" w:eastAsia="宋体" w:cs="Times New Roman"/>
          <w:b/>
          <w:bCs/>
          <w:color w:val="auto"/>
          <w:sz w:val="21"/>
          <w:szCs w:val="20"/>
          <w:lang w:eastAsia="zh-CN"/>
        </w:rPr>
        <w:t>表</w:t>
      </w:r>
      <w:r>
        <w:rPr>
          <w:rFonts w:hint="eastAsia" w:ascii="Times New Roman" w:hAnsi="Times New Roman" w:eastAsia="宋体" w:cs="Times New Roman"/>
          <w:b/>
          <w:bCs/>
          <w:color w:val="auto"/>
          <w:sz w:val="21"/>
          <w:szCs w:val="20"/>
          <w:lang w:val="en-US" w:eastAsia="zh-CN"/>
        </w:rPr>
        <w:t xml:space="preserve">5.2-17 </w:t>
      </w:r>
      <w:r>
        <w:rPr>
          <w:rFonts w:hint="default" w:ascii="Times New Roman" w:hAnsi="Times New Roman" w:eastAsia="宋体" w:cs="Times New Roman"/>
          <w:b/>
          <w:bCs/>
          <w:color w:val="auto"/>
          <w:sz w:val="21"/>
          <w:szCs w:val="20"/>
          <w:lang w:val="en-US" w:eastAsia="zh-CN"/>
        </w:rPr>
        <w:t xml:space="preserve"> </w:t>
      </w:r>
      <w:r>
        <w:rPr>
          <w:rFonts w:hint="default" w:ascii="Times New Roman" w:hAnsi="Times New Roman" w:eastAsia="宋体" w:cs="Times New Roman"/>
          <w:b/>
          <w:bCs/>
          <w:color w:val="auto"/>
          <w:sz w:val="21"/>
          <w:szCs w:val="20"/>
        </w:rPr>
        <w:t>地表水环境影响评价自查表</w:t>
      </w:r>
    </w:p>
    <w:tbl>
      <w:tblPr>
        <w:tblStyle w:val="34"/>
        <w:tblW w:w="922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8"/>
        <w:gridCol w:w="1577"/>
        <w:gridCol w:w="1387"/>
        <w:gridCol w:w="346"/>
        <w:gridCol w:w="578"/>
        <w:gridCol w:w="461"/>
        <w:gridCol w:w="695"/>
        <w:gridCol w:w="693"/>
        <w:gridCol w:w="173"/>
        <w:gridCol w:w="289"/>
        <w:gridCol w:w="924"/>
        <w:gridCol w:w="35"/>
        <w:gridCol w:w="383"/>
        <w:gridCol w:w="97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285" w:type="dxa"/>
            <w:gridSpan w:val="2"/>
            <w:tcBorders>
              <w:tl2br w:val="nil"/>
              <w:tr2bl w:val="nil"/>
            </w:tcBorders>
            <w:noWrap/>
            <w:vAlign w:val="center"/>
          </w:tcPr>
          <w:p>
            <w:pPr>
              <w:widowControl/>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lang w:bidi="ar"/>
              </w:rPr>
              <w:t>地表水环境影响评价自查表工作内容</w:t>
            </w:r>
          </w:p>
        </w:tc>
        <w:tc>
          <w:tcPr>
            <w:tcW w:w="6935" w:type="dxa"/>
            <w:gridSpan w:val="12"/>
            <w:tcBorders>
              <w:tl2br w:val="nil"/>
              <w:tr2bl w:val="nil"/>
            </w:tcBorders>
            <w:noWrap/>
            <w:vAlign w:val="center"/>
          </w:tcPr>
          <w:p>
            <w:pPr>
              <w:widowControl/>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lang w:bidi="ar"/>
              </w:rPr>
              <w:t>自查项目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restart"/>
            <w:tcBorders>
              <w:tl2br w:val="nil"/>
              <w:tr2bl w:val="nil"/>
            </w:tcBorders>
            <w:noWrap/>
            <w:textDirection w:val="tbRlV"/>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影响识别</w:t>
            </w:r>
          </w:p>
        </w:tc>
        <w:tc>
          <w:tcPr>
            <w:tcW w:w="1577" w:type="dxa"/>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影响类型</w:t>
            </w:r>
          </w:p>
        </w:tc>
        <w:tc>
          <w:tcPr>
            <w:tcW w:w="6935" w:type="dxa"/>
            <w:gridSpan w:val="12"/>
            <w:tcBorders>
              <w:tl2br w:val="nil"/>
              <w:tr2bl w:val="nil"/>
            </w:tcBorders>
            <w:noWrap/>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 xml:space="preserve">水污染影响型 </w:t>
            </w:r>
            <w:r>
              <w:rPr>
                <w:rFonts w:hint="default" w:ascii="Times New Roman" w:hAnsi="Times New Roman" w:eastAsia="Wingdings 2" w:cs="Times New Roman"/>
                <w:color w:val="auto"/>
                <w:kern w:val="0"/>
                <w:sz w:val="21"/>
                <w:szCs w:val="21"/>
                <w:lang w:bidi="ar"/>
              </w:rPr>
              <w:sym w:font="Wingdings 2" w:char="0052"/>
            </w:r>
            <w:r>
              <w:rPr>
                <w:rFonts w:hint="default" w:ascii="Times New Roman" w:hAnsi="Times New Roman" w:cs="Times New Roman"/>
                <w:color w:val="auto"/>
                <w:kern w:val="0"/>
                <w:sz w:val="21"/>
                <w:szCs w:val="21"/>
                <w:lang w:bidi="ar"/>
              </w:rPr>
              <w:t>；水文要素影响型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continue"/>
            <w:tcBorders>
              <w:tl2br w:val="nil"/>
              <w:tr2bl w:val="nil"/>
            </w:tcBorders>
            <w:noWrap/>
            <w:textDirection w:val="tbRlV"/>
            <w:vAlign w:val="center"/>
          </w:tcPr>
          <w:p>
            <w:pPr>
              <w:rPr>
                <w:rFonts w:hint="default" w:ascii="Times New Roman" w:hAnsi="Times New Roman" w:cs="Times New Roman"/>
                <w:color w:val="auto"/>
                <w:sz w:val="21"/>
                <w:szCs w:val="21"/>
              </w:rPr>
            </w:pPr>
          </w:p>
        </w:tc>
        <w:tc>
          <w:tcPr>
            <w:tcW w:w="1577" w:type="dxa"/>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水环境保护目标</w:t>
            </w:r>
          </w:p>
        </w:tc>
        <w:tc>
          <w:tcPr>
            <w:tcW w:w="6935" w:type="dxa"/>
            <w:gridSpan w:val="12"/>
            <w:tcBorders>
              <w:tl2br w:val="nil"/>
              <w:tr2bl w:val="nil"/>
            </w:tcBorders>
            <w:noWrap w:val="0"/>
            <w:vAlign w:val="center"/>
          </w:tcPr>
          <w:p>
            <w:pPr>
              <w:widowControl/>
              <w:jc w:val="left"/>
              <w:rPr>
                <w:rFonts w:hint="eastAsia" w:ascii="Times New Roman" w:hAnsi="Times New Roman" w:cs="Times New Roman" w:eastAsiaTheme="minorEastAsia"/>
                <w:color w:val="auto"/>
                <w:kern w:val="0"/>
                <w:sz w:val="21"/>
                <w:szCs w:val="21"/>
                <w:lang w:eastAsia="zh-CN" w:bidi="ar"/>
              </w:rPr>
            </w:pPr>
            <w:r>
              <w:rPr>
                <w:rFonts w:hint="default" w:ascii="Times New Roman" w:hAnsi="Times New Roman" w:cs="Times New Roman"/>
                <w:color w:val="auto"/>
                <w:kern w:val="0"/>
                <w:sz w:val="21"/>
                <w:szCs w:val="21"/>
                <w:lang w:bidi="ar"/>
              </w:rPr>
              <w:t>饮用水水源保护区 □；饮用水取水口 □；涉水的自然保护区 □；重要湿地 □；</w:t>
            </w:r>
          </w:p>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重点保护与珍稀水生生物的栖息地 □；重要水生生物的自然产卵场及索饵场、越冬场和洄游通道、天然渔场等渔业水体 □；涉水的风景名胜区 □；其他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continue"/>
            <w:tcBorders>
              <w:tl2br w:val="nil"/>
              <w:tr2bl w:val="nil"/>
            </w:tcBorders>
            <w:noWrap/>
            <w:textDirection w:val="tbRlV"/>
            <w:vAlign w:val="center"/>
          </w:tcPr>
          <w:p>
            <w:pPr>
              <w:rPr>
                <w:rFonts w:hint="default" w:ascii="Times New Roman" w:hAnsi="Times New Roman" w:cs="Times New Roman"/>
                <w:color w:val="auto"/>
                <w:sz w:val="21"/>
                <w:szCs w:val="21"/>
              </w:rPr>
            </w:pPr>
          </w:p>
        </w:tc>
        <w:tc>
          <w:tcPr>
            <w:tcW w:w="1577" w:type="dxa"/>
            <w:vMerge w:val="restart"/>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影响途径</w:t>
            </w:r>
          </w:p>
        </w:tc>
        <w:tc>
          <w:tcPr>
            <w:tcW w:w="3467" w:type="dxa"/>
            <w:gridSpan w:val="5"/>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水污染影响型</w:t>
            </w:r>
          </w:p>
        </w:tc>
        <w:tc>
          <w:tcPr>
            <w:tcW w:w="3468" w:type="dxa"/>
            <w:gridSpan w:val="7"/>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水文要素影响型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continue"/>
            <w:tcBorders>
              <w:tl2br w:val="nil"/>
              <w:tr2bl w:val="nil"/>
            </w:tcBorders>
            <w:noWrap/>
            <w:textDirection w:val="tbRlV"/>
            <w:vAlign w:val="center"/>
          </w:tcPr>
          <w:p>
            <w:pPr>
              <w:rPr>
                <w:rFonts w:hint="default" w:ascii="Times New Roman" w:hAnsi="Times New Roman" w:cs="Times New Roman"/>
                <w:color w:val="auto"/>
                <w:sz w:val="21"/>
                <w:szCs w:val="21"/>
              </w:rPr>
            </w:pPr>
          </w:p>
        </w:tc>
        <w:tc>
          <w:tcPr>
            <w:tcW w:w="1577" w:type="dxa"/>
            <w:vMerge w:val="continue"/>
            <w:tcBorders>
              <w:tl2br w:val="nil"/>
              <w:tr2bl w:val="nil"/>
            </w:tcBorders>
            <w:noWrap w:val="0"/>
            <w:vAlign w:val="center"/>
          </w:tcPr>
          <w:p>
            <w:pPr>
              <w:rPr>
                <w:rFonts w:hint="default" w:ascii="Times New Roman" w:hAnsi="Times New Roman" w:cs="Times New Roman"/>
                <w:color w:val="auto"/>
                <w:sz w:val="21"/>
                <w:szCs w:val="21"/>
              </w:rPr>
            </w:pPr>
          </w:p>
        </w:tc>
        <w:tc>
          <w:tcPr>
            <w:tcW w:w="3467" w:type="dxa"/>
            <w:gridSpan w:val="5"/>
            <w:tcBorders>
              <w:tl2br w:val="nil"/>
              <w:tr2bl w:val="nil"/>
            </w:tcBorders>
            <w:noWrap w:val="0"/>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 xml:space="preserve">直接排放 □；间接排放 </w:t>
            </w:r>
            <w:r>
              <w:rPr>
                <w:rFonts w:hint="default" w:ascii="Times New Roman" w:hAnsi="Times New Roman" w:eastAsia="Wingdings 2" w:cs="Times New Roman"/>
                <w:color w:val="auto"/>
                <w:kern w:val="0"/>
                <w:sz w:val="21"/>
                <w:szCs w:val="21"/>
                <w:lang w:bidi="ar"/>
              </w:rPr>
              <w:sym w:font="Wingdings 2" w:char="0052"/>
            </w:r>
            <w:r>
              <w:rPr>
                <w:rFonts w:hint="default" w:ascii="Times New Roman" w:hAnsi="Times New Roman" w:cs="Times New Roman"/>
                <w:color w:val="auto"/>
                <w:kern w:val="0"/>
                <w:sz w:val="21"/>
                <w:szCs w:val="21"/>
                <w:lang w:bidi="ar"/>
              </w:rPr>
              <w:t>；其他 □</w:t>
            </w:r>
          </w:p>
        </w:tc>
        <w:tc>
          <w:tcPr>
            <w:tcW w:w="3468" w:type="dxa"/>
            <w:gridSpan w:val="7"/>
            <w:tcBorders>
              <w:tl2br w:val="nil"/>
              <w:tr2bl w:val="nil"/>
            </w:tcBorders>
            <w:noWrap w:val="0"/>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水温 □；径流 □；水域面积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continue"/>
            <w:tcBorders>
              <w:tl2br w:val="nil"/>
              <w:tr2bl w:val="nil"/>
            </w:tcBorders>
            <w:noWrap/>
            <w:textDirection w:val="tbRlV"/>
            <w:vAlign w:val="center"/>
          </w:tcPr>
          <w:p>
            <w:pPr>
              <w:rPr>
                <w:rFonts w:hint="default" w:ascii="Times New Roman" w:hAnsi="Times New Roman" w:cs="Times New Roman"/>
                <w:color w:val="auto"/>
                <w:sz w:val="21"/>
                <w:szCs w:val="21"/>
              </w:rPr>
            </w:pPr>
          </w:p>
        </w:tc>
        <w:tc>
          <w:tcPr>
            <w:tcW w:w="1577" w:type="dxa"/>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影响因子</w:t>
            </w:r>
          </w:p>
        </w:tc>
        <w:tc>
          <w:tcPr>
            <w:tcW w:w="3467" w:type="dxa"/>
            <w:gridSpan w:val="5"/>
            <w:tcBorders>
              <w:tl2br w:val="nil"/>
              <w:tr2bl w:val="nil"/>
            </w:tcBorders>
            <w:noWrap w:val="0"/>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 xml:space="preserve">持久性污染物 □；有毒有害污染物 □；非持久性污染物 </w:t>
            </w:r>
            <w:r>
              <w:rPr>
                <w:rFonts w:hint="default" w:ascii="Times New Roman" w:hAnsi="Times New Roman" w:eastAsia="Wingdings 2" w:cs="Times New Roman"/>
                <w:color w:val="auto"/>
                <w:kern w:val="0"/>
                <w:sz w:val="21"/>
                <w:szCs w:val="21"/>
                <w:lang w:bidi="ar"/>
              </w:rPr>
              <w:sym w:font="Wingdings 2" w:char="0052"/>
            </w:r>
            <w:r>
              <w:rPr>
                <w:rFonts w:hint="default" w:ascii="Times New Roman" w:hAnsi="Times New Roman" w:cs="Times New Roman"/>
                <w:color w:val="auto"/>
                <w:kern w:val="0"/>
                <w:sz w:val="21"/>
                <w:szCs w:val="21"/>
                <w:lang w:bidi="ar"/>
              </w:rPr>
              <w:t xml:space="preserve">；pH值 </w:t>
            </w:r>
            <w:r>
              <w:rPr>
                <w:rFonts w:hint="default" w:ascii="Times New Roman" w:hAnsi="Times New Roman" w:eastAsia="Wingdings 2" w:cs="Times New Roman"/>
                <w:color w:val="auto"/>
                <w:kern w:val="0"/>
                <w:sz w:val="21"/>
                <w:szCs w:val="21"/>
                <w:lang w:bidi="ar"/>
              </w:rPr>
              <w:sym w:font="Wingdings 2" w:char="0052"/>
            </w:r>
            <w:r>
              <w:rPr>
                <w:rFonts w:hint="default" w:ascii="Times New Roman" w:hAnsi="Times New Roman" w:cs="Times New Roman"/>
                <w:color w:val="auto"/>
                <w:kern w:val="0"/>
                <w:sz w:val="21"/>
                <w:szCs w:val="21"/>
                <w:lang w:bidi="ar"/>
              </w:rPr>
              <w:t>；热污染 □；富营养化 □；其他 □</w:t>
            </w:r>
          </w:p>
        </w:tc>
        <w:tc>
          <w:tcPr>
            <w:tcW w:w="3468" w:type="dxa"/>
            <w:gridSpan w:val="7"/>
            <w:tcBorders>
              <w:tl2br w:val="nil"/>
              <w:tr2bl w:val="nil"/>
            </w:tcBorders>
            <w:noWrap w:val="0"/>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水温 □；水位（水深） □；流速 □；流量 □；其他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285" w:type="dxa"/>
            <w:gridSpan w:val="2"/>
            <w:vMerge w:val="restart"/>
            <w:tcBorders>
              <w:tl2br w:val="nil"/>
              <w:tr2bl w:val="nil"/>
            </w:tcBorders>
            <w:noWrap/>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评价等级</w:t>
            </w:r>
          </w:p>
        </w:tc>
        <w:tc>
          <w:tcPr>
            <w:tcW w:w="3467" w:type="dxa"/>
            <w:gridSpan w:val="5"/>
            <w:tcBorders>
              <w:tl2br w:val="nil"/>
              <w:tr2bl w:val="nil"/>
            </w:tcBorders>
            <w:noWrap/>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水污染影响型</w:t>
            </w:r>
          </w:p>
        </w:tc>
        <w:tc>
          <w:tcPr>
            <w:tcW w:w="3468" w:type="dxa"/>
            <w:gridSpan w:val="7"/>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水文要素影响型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285" w:type="dxa"/>
            <w:gridSpan w:val="2"/>
            <w:vMerge w:val="continue"/>
            <w:tcBorders>
              <w:tl2br w:val="nil"/>
              <w:tr2bl w:val="nil"/>
            </w:tcBorders>
            <w:noWrap/>
            <w:vAlign w:val="center"/>
          </w:tcPr>
          <w:p>
            <w:pPr>
              <w:rPr>
                <w:rFonts w:hint="default" w:ascii="Times New Roman" w:hAnsi="Times New Roman" w:cs="Times New Roman"/>
                <w:color w:val="auto"/>
                <w:sz w:val="21"/>
                <w:szCs w:val="21"/>
              </w:rPr>
            </w:pPr>
          </w:p>
        </w:tc>
        <w:tc>
          <w:tcPr>
            <w:tcW w:w="3467" w:type="dxa"/>
            <w:gridSpan w:val="5"/>
            <w:tcBorders>
              <w:tl2br w:val="nil"/>
              <w:tr2bl w:val="nil"/>
            </w:tcBorders>
            <w:noWrap/>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 xml:space="preserve">一级 □；二级 □；三级A □；三级B </w:t>
            </w:r>
            <w:r>
              <w:rPr>
                <w:rFonts w:hint="default" w:ascii="Times New Roman" w:hAnsi="Times New Roman" w:eastAsia="Wingdings 2" w:cs="Times New Roman"/>
                <w:color w:val="auto"/>
                <w:kern w:val="0"/>
                <w:sz w:val="21"/>
                <w:szCs w:val="21"/>
                <w:lang w:bidi="ar"/>
              </w:rPr>
              <w:sym w:font="Wingdings 2" w:char="0052"/>
            </w:r>
          </w:p>
        </w:tc>
        <w:tc>
          <w:tcPr>
            <w:tcW w:w="3468" w:type="dxa"/>
            <w:gridSpan w:val="7"/>
            <w:tcBorders>
              <w:tl2br w:val="nil"/>
              <w:tr2bl w:val="nil"/>
            </w:tcBorders>
            <w:noWrap w:val="0"/>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一级 □；二级 □；三级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restart"/>
            <w:tcBorders>
              <w:tl2br w:val="nil"/>
              <w:tr2bl w:val="nil"/>
            </w:tcBorders>
            <w:noWrap/>
            <w:textDirection w:val="tbRlV"/>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现状调查</w:t>
            </w:r>
          </w:p>
        </w:tc>
        <w:tc>
          <w:tcPr>
            <w:tcW w:w="1577" w:type="dxa"/>
            <w:vMerge w:val="restart"/>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区域污染源</w:t>
            </w:r>
          </w:p>
        </w:tc>
        <w:tc>
          <w:tcPr>
            <w:tcW w:w="3467" w:type="dxa"/>
            <w:gridSpan w:val="5"/>
            <w:tcBorders>
              <w:tl2br w:val="nil"/>
              <w:tr2bl w:val="nil"/>
            </w:tcBorders>
            <w:noWrap/>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调查项目</w:t>
            </w:r>
          </w:p>
        </w:tc>
        <w:tc>
          <w:tcPr>
            <w:tcW w:w="3468" w:type="dxa"/>
            <w:gridSpan w:val="7"/>
            <w:tcBorders>
              <w:tl2br w:val="nil"/>
              <w:tr2bl w:val="nil"/>
            </w:tcBorders>
            <w:noWrap/>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数据来源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continue"/>
            <w:tcBorders>
              <w:tl2br w:val="nil"/>
              <w:tr2bl w:val="nil"/>
            </w:tcBorders>
            <w:noWrap/>
            <w:textDirection w:val="tbRlV"/>
            <w:vAlign w:val="center"/>
          </w:tcPr>
          <w:p>
            <w:pPr>
              <w:rPr>
                <w:rFonts w:hint="default" w:ascii="Times New Roman" w:hAnsi="Times New Roman" w:cs="Times New Roman"/>
                <w:color w:val="auto"/>
                <w:sz w:val="21"/>
                <w:szCs w:val="21"/>
              </w:rPr>
            </w:pPr>
          </w:p>
        </w:tc>
        <w:tc>
          <w:tcPr>
            <w:tcW w:w="1577" w:type="dxa"/>
            <w:vMerge w:val="continue"/>
            <w:tcBorders>
              <w:tl2br w:val="nil"/>
              <w:tr2bl w:val="nil"/>
            </w:tcBorders>
            <w:noWrap w:val="0"/>
            <w:vAlign w:val="center"/>
          </w:tcPr>
          <w:p>
            <w:pPr>
              <w:rPr>
                <w:rFonts w:hint="default" w:ascii="Times New Roman" w:hAnsi="Times New Roman" w:cs="Times New Roman"/>
                <w:color w:val="auto"/>
                <w:sz w:val="21"/>
                <w:szCs w:val="21"/>
              </w:rPr>
            </w:pPr>
          </w:p>
        </w:tc>
        <w:tc>
          <w:tcPr>
            <w:tcW w:w="1733" w:type="dxa"/>
            <w:gridSpan w:val="2"/>
            <w:tcBorders>
              <w:tl2br w:val="nil"/>
              <w:tr2bl w:val="nil"/>
            </w:tcBorders>
            <w:noWrap w:val="0"/>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已建 □；在建 □；拟建 □；其他 □</w:t>
            </w:r>
          </w:p>
        </w:tc>
        <w:tc>
          <w:tcPr>
            <w:tcW w:w="1734" w:type="dxa"/>
            <w:gridSpan w:val="3"/>
            <w:tcBorders>
              <w:tl2br w:val="nil"/>
              <w:tr2bl w:val="nil"/>
            </w:tcBorders>
            <w:noWrap w:val="0"/>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拟替代的污染源 □</w:t>
            </w:r>
          </w:p>
        </w:tc>
        <w:tc>
          <w:tcPr>
            <w:tcW w:w="3468" w:type="dxa"/>
            <w:gridSpan w:val="7"/>
            <w:tcBorders>
              <w:tl2br w:val="nil"/>
              <w:tr2bl w:val="nil"/>
            </w:tcBorders>
            <w:noWrap w:val="0"/>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排污许可证 □；环评 □；环保验收 □；既有实测 □；现场监测 □；入河排放口数据 □；其他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continue"/>
            <w:tcBorders>
              <w:tl2br w:val="nil"/>
              <w:tr2bl w:val="nil"/>
            </w:tcBorders>
            <w:noWrap/>
            <w:textDirection w:val="tbRlV"/>
            <w:vAlign w:val="center"/>
          </w:tcPr>
          <w:p>
            <w:pPr>
              <w:rPr>
                <w:rFonts w:hint="default" w:ascii="Times New Roman" w:hAnsi="Times New Roman" w:cs="Times New Roman"/>
                <w:color w:val="auto"/>
                <w:sz w:val="21"/>
                <w:szCs w:val="21"/>
              </w:rPr>
            </w:pPr>
          </w:p>
        </w:tc>
        <w:tc>
          <w:tcPr>
            <w:tcW w:w="1577" w:type="dxa"/>
            <w:vMerge w:val="restart"/>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受影响水体水环境质量　</w:t>
            </w:r>
          </w:p>
        </w:tc>
        <w:tc>
          <w:tcPr>
            <w:tcW w:w="3467" w:type="dxa"/>
            <w:gridSpan w:val="5"/>
            <w:tcBorders>
              <w:tl2br w:val="nil"/>
              <w:tr2bl w:val="nil"/>
            </w:tcBorders>
            <w:noWrap/>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调查时期</w:t>
            </w:r>
          </w:p>
        </w:tc>
        <w:tc>
          <w:tcPr>
            <w:tcW w:w="3468" w:type="dxa"/>
            <w:gridSpan w:val="7"/>
            <w:tcBorders>
              <w:tl2br w:val="nil"/>
              <w:tr2bl w:val="nil"/>
            </w:tcBorders>
            <w:noWrap/>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数据来源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continue"/>
            <w:tcBorders>
              <w:tl2br w:val="nil"/>
              <w:tr2bl w:val="nil"/>
            </w:tcBorders>
            <w:noWrap/>
            <w:textDirection w:val="tbRlV"/>
            <w:vAlign w:val="center"/>
          </w:tcPr>
          <w:p>
            <w:pPr>
              <w:rPr>
                <w:rFonts w:hint="default" w:ascii="Times New Roman" w:hAnsi="Times New Roman" w:cs="Times New Roman"/>
                <w:color w:val="auto"/>
                <w:sz w:val="21"/>
                <w:szCs w:val="21"/>
              </w:rPr>
            </w:pPr>
          </w:p>
        </w:tc>
        <w:tc>
          <w:tcPr>
            <w:tcW w:w="1577" w:type="dxa"/>
            <w:vMerge w:val="continue"/>
            <w:tcBorders>
              <w:tl2br w:val="nil"/>
              <w:tr2bl w:val="nil"/>
            </w:tcBorders>
            <w:noWrap w:val="0"/>
            <w:vAlign w:val="center"/>
          </w:tcPr>
          <w:p>
            <w:pPr>
              <w:rPr>
                <w:rFonts w:hint="default" w:ascii="Times New Roman" w:hAnsi="Times New Roman" w:cs="Times New Roman"/>
                <w:color w:val="auto"/>
                <w:sz w:val="21"/>
                <w:szCs w:val="21"/>
              </w:rPr>
            </w:pPr>
          </w:p>
        </w:tc>
        <w:tc>
          <w:tcPr>
            <w:tcW w:w="3467" w:type="dxa"/>
            <w:gridSpan w:val="5"/>
            <w:tcBorders>
              <w:tl2br w:val="nil"/>
              <w:tr2bl w:val="nil"/>
            </w:tcBorders>
            <w:noWrap w:val="0"/>
            <w:vAlign w:val="center"/>
          </w:tcPr>
          <w:p>
            <w:pPr>
              <w:widowControl/>
              <w:jc w:val="left"/>
              <w:rPr>
                <w:rFonts w:hint="eastAsia" w:ascii="Times New Roman" w:hAnsi="Times New Roman" w:cs="Times New Roman" w:eastAsiaTheme="minorEastAsia"/>
                <w:color w:val="auto"/>
                <w:kern w:val="0"/>
                <w:sz w:val="21"/>
                <w:szCs w:val="21"/>
                <w:lang w:eastAsia="zh-CN" w:bidi="ar"/>
              </w:rPr>
            </w:pPr>
            <w:r>
              <w:rPr>
                <w:rFonts w:hint="default" w:ascii="Times New Roman" w:hAnsi="Times New Roman" w:cs="Times New Roman"/>
                <w:color w:val="auto"/>
                <w:kern w:val="0"/>
                <w:sz w:val="21"/>
                <w:szCs w:val="21"/>
                <w:lang w:bidi="ar"/>
              </w:rPr>
              <w:t>丰水期 □；平水期 □；枯水期 □；冰封期 □</w:t>
            </w:r>
          </w:p>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 xml:space="preserve">春季 </w:t>
            </w:r>
            <w:r>
              <w:rPr>
                <w:rFonts w:hint="default" w:ascii="Times New Roman" w:hAnsi="Times New Roman" w:eastAsia="Wingdings 2" w:cs="Times New Roman"/>
                <w:color w:val="auto"/>
                <w:kern w:val="0"/>
                <w:sz w:val="21"/>
                <w:szCs w:val="21"/>
                <w:lang w:bidi="ar"/>
              </w:rPr>
              <w:sym w:font="Wingdings 2" w:char="0052"/>
            </w:r>
            <w:r>
              <w:rPr>
                <w:rFonts w:hint="default" w:ascii="Times New Roman" w:hAnsi="Times New Roman" w:cs="Times New Roman"/>
                <w:color w:val="auto"/>
                <w:kern w:val="0"/>
                <w:sz w:val="21"/>
                <w:szCs w:val="21"/>
                <w:lang w:bidi="ar"/>
              </w:rPr>
              <w:t>；夏季 □；秋季 □；冬季 □</w:t>
            </w:r>
          </w:p>
        </w:tc>
        <w:tc>
          <w:tcPr>
            <w:tcW w:w="3468" w:type="dxa"/>
            <w:gridSpan w:val="7"/>
            <w:tcBorders>
              <w:tl2br w:val="nil"/>
              <w:tr2bl w:val="nil"/>
            </w:tcBorders>
            <w:noWrap/>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 xml:space="preserve">生态环境保护主管部门 </w:t>
            </w:r>
            <w:r>
              <w:rPr>
                <w:rFonts w:hint="default" w:ascii="Times New Roman" w:hAnsi="Times New Roman" w:eastAsia="Wingdings 2" w:cs="Times New Roman"/>
                <w:color w:val="auto"/>
                <w:kern w:val="0"/>
                <w:sz w:val="21"/>
                <w:szCs w:val="21"/>
                <w:lang w:bidi="ar"/>
              </w:rPr>
              <w:sym w:font="Wingdings 2" w:char="0052"/>
            </w:r>
            <w:r>
              <w:rPr>
                <w:rFonts w:hint="default" w:ascii="Times New Roman" w:hAnsi="Times New Roman" w:cs="Times New Roman"/>
                <w:color w:val="auto"/>
                <w:kern w:val="0"/>
                <w:sz w:val="21"/>
                <w:szCs w:val="21"/>
                <w:lang w:bidi="ar"/>
              </w:rPr>
              <w:t>；补充监测 □；其他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continue"/>
            <w:tcBorders>
              <w:tl2br w:val="nil"/>
              <w:tr2bl w:val="nil"/>
            </w:tcBorders>
            <w:noWrap/>
            <w:textDirection w:val="tbRlV"/>
            <w:vAlign w:val="center"/>
          </w:tcPr>
          <w:p>
            <w:pPr>
              <w:rPr>
                <w:rFonts w:hint="default" w:ascii="Times New Roman" w:hAnsi="Times New Roman" w:cs="Times New Roman"/>
                <w:color w:val="auto"/>
                <w:sz w:val="21"/>
                <w:szCs w:val="21"/>
              </w:rPr>
            </w:pPr>
          </w:p>
        </w:tc>
        <w:tc>
          <w:tcPr>
            <w:tcW w:w="1577" w:type="dxa"/>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区域水资源开发利用状况</w:t>
            </w:r>
          </w:p>
        </w:tc>
        <w:tc>
          <w:tcPr>
            <w:tcW w:w="6935" w:type="dxa"/>
            <w:gridSpan w:val="12"/>
            <w:tcBorders>
              <w:tl2br w:val="nil"/>
              <w:tr2bl w:val="nil"/>
            </w:tcBorders>
            <w:noWrap/>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未开发 □；开发量40%以下 □；开发量40%以上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continue"/>
            <w:tcBorders>
              <w:tl2br w:val="nil"/>
              <w:tr2bl w:val="nil"/>
            </w:tcBorders>
            <w:noWrap/>
            <w:textDirection w:val="tbRlV"/>
            <w:vAlign w:val="center"/>
          </w:tcPr>
          <w:p>
            <w:pPr>
              <w:rPr>
                <w:rFonts w:hint="default" w:ascii="Times New Roman" w:hAnsi="Times New Roman" w:cs="Times New Roman"/>
                <w:color w:val="auto"/>
                <w:sz w:val="21"/>
                <w:szCs w:val="21"/>
              </w:rPr>
            </w:pPr>
          </w:p>
        </w:tc>
        <w:tc>
          <w:tcPr>
            <w:tcW w:w="1577" w:type="dxa"/>
            <w:vMerge w:val="restart"/>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水文情势调查　</w:t>
            </w:r>
          </w:p>
        </w:tc>
        <w:tc>
          <w:tcPr>
            <w:tcW w:w="3467" w:type="dxa"/>
            <w:gridSpan w:val="5"/>
            <w:tcBorders>
              <w:tl2br w:val="nil"/>
              <w:tr2bl w:val="nil"/>
            </w:tcBorders>
            <w:noWrap/>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调查时期</w:t>
            </w:r>
          </w:p>
        </w:tc>
        <w:tc>
          <w:tcPr>
            <w:tcW w:w="3468" w:type="dxa"/>
            <w:gridSpan w:val="7"/>
            <w:tcBorders>
              <w:tl2br w:val="nil"/>
              <w:tr2bl w:val="nil"/>
            </w:tcBorders>
            <w:noWrap/>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数据来源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continue"/>
            <w:tcBorders>
              <w:tl2br w:val="nil"/>
              <w:tr2bl w:val="nil"/>
            </w:tcBorders>
            <w:noWrap/>
            <w:textDirection w:val="tbRlV"/>
            <w:vAlign w:val="center"/>
          </w:tcPr>
          <w:p>
            <w:pPr>
              <w:rPr>
                <w:rFonts w:hint="default" w:ascii="Times New Roman" w:hAnsi="Times New Roman" w:cs="Times New Roman"/>
                <w:color w:val="auto"/>
                <w:sz w:val="21"/>
                <w:szCs w:val="21"/>
              </w:rPr>
            </w:pPr>
          </w:p>
        </w:tc>
        <w:tc>
          <w:tcPr>
            <w:tcW w:w="1577" w:type="dxa"/>
            <w:vMerge w:val="continue"/>
            <w:tcBorders>
              <w:tl2br w:val="nil"/>
              <w:tr2bl w:val="nil"/>
            </w:tcBorders>
            <w:noWrap w:val="0"/>
            <w:vAlign w:val="center"/>
          </w:tcPr>
          <w:p>
            <w:pPr>
              <w:rPr>
                <w:rFonts w:hint="default" w:ascii="Times New Roman" w:hAnsi="Times New Roman" w:cs="Times New Roman"/>
                <w:color w:val="auto"/>
                <w:sz w:val="21"/>
                <w:szCs w:val="21"/>
              </w:rPr>
            </w:pPr>
          </w:p>
        </w:tc>
        <w:tc>
          <w:tcPr>
            <w:tcW w:w="3467" w:type="dxa"/>
            <w:gridSpan w:val="5"/>
            <w:tcBorders>
              <w:tl2br w:val="nil"/>
              <w:tr2bl w:val="nil"/>
            </w:tcBorders>
            <w:noWrap w:val="0"/>
            <w:vAlign w:val="center"/>
          </w:tcPr>
          <w:p>
            <w:pPr>
              <w:widowControl/>
              <w:jc w:val="left"/>
              <w:rPr>
                <w:rFonts w:hint="eastAsia" w:ascii="Times New Roman" w:hAnsi="Times New Roman" w:cs="Times New Roman" w:eastAsiaTheme="minorEastAsia"/>
                <w:color w:val="auto"/>
                <w:kern w:val="0"/>
                <w:sz w:val="21"/>
                <w:szCs w:val="21"/>
                <w:lang w:eastAsia="zh-CN" w:bidi="ar"/>
              </w:rPr>
            </w:pPr>
            <w:r>
              <w:rPr>
                <w:rFonts w:hint="default" w:ascii="Times New Roman" w:hAnsi="Times New Roman" w:cs="Times New Roman"/>
                <w:color w:val="auto"/>
                <w:kern w:val="0"/>
                <w:sz w:val="21"/>
                <w:szCs w:val="21"/>
                <w:lang w:bidi="ar"/>
              </w:rPr>
              <w:t>丰水期 □；平水期 □；枯水期 □；冰封期 □</w:t>
            </w:r>
          </w:p>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春季 □；夏季 □；秋季 □；冬季 □</w:t>
            </w:r>
          </w:p>
        </w:tc>
        <w:tc>
          <w:tcPr>
            <w:tcW w:w="3468" w:type="dxa"/>
            <w:gridSpan w:val="7"/>
            <w:tcBorders>
              <w:tl2br w:val="nil"/>
              <w:tr2bl w:val="nil"/>
            </w:tcBorders>
            <w:noWrap/>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水行政主管部门 □；补充监测 □；其他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continue"/>
            <w:tcBorders>
              <w:tl2br w:val="nil"/>
              <w:tr2bl w:val="nil"/>
            </w:tcBorders>
            <w:noWrap/>
            <w:textDirection w:val="tbRlV"/>
            <w:vAlign w:val="center"/>
          </w:tcPr>
          <w:p>
            <w:pPr>
              <w:rPr>
                <w:rFonts w:hint="default" w:ascii="Times New Roman" w:hAnsi="Times New Roman" w:cs="Times New Roman"/>
                <w:color w:val="auto"/>
                <w:sz w:val="21"/>
                <w:szCs w:val="21"/>
              </w:rPr>
            </w:pPr>
          </w:p>
        </w:tc>
        <w:tc>
          <w:tcPr>
            <w:tcW w:w="1577" w:type="dxa"/>
            <w:vMerge w:val="restart"/>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补充监测　</w:t>
            </w:r>
          </w:p>
        </w:tc>
        <w:tc>
          <w:tcPr>
            <w:tcW w:w="3467" w:type="dxa"/>
            <w:gridSpan w:val="5"/>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监测时期</w:t>
            </w:r>
          </w:p>
        </w:tc>
        <w:tc>
          <w:tcPr>
            <w:tcW w:w="2114" w:type="dxa"/>
            <w:gridSpan w:val="5"/>
            <w:tcBorders>
              <w:tl2br w:val="nil"/>
              <w:tr2bl w:val="nil"/>
            </w:tcBorders>
            <w:noWrap/>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监测因子</w:t>
            </w:r>
          </w:p>
        </w:tc>
        <w:tc>
          <w:tcPr>
            <w:tcW w:w="1354" w:type="dxa"/>
            <w:gridSpan w:val="2"/>
            <w:tcBorders>
              <w:tl2br w:val="nil"/>
              <w:tr2bl w:val="nil"/>
            </w:tcBorders>
            <w:noWrap/>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监测断面或点位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continue"/>
            <w:tcBorders>
              <w:tl2br w:val="nil"/>
              <w:tr2bl w:val="nil"/>
            </w:tcBorders>
            <w:noWrap/>
            <w:textDirection w:val="tbRlV"/>
            <w:vAlign w:val="center"/>
          </w:tcPr>
          <w:p>
            <w:pPr>
              <w:rPr>
                <w:rFonts w:hint="default" w:ascii="Times New Roman" w:hAnsi="Times New Roman" w:cs="Times New Roman"/>
                <w:color w:val="auto"/>
                <w:sz w:val="21"/>
                <w:szCs w:val="21"/>
              </w:rPr>
            </w:pPr>
          </w:p>
        </w:tc>
        <w:tc>
          <w:tcPr>
            <w:tcW w:w="1577" w:type="dxa"/>
            <w:vMerge w:val="continue"/>
            <w:tcBorders>
              <w:tl2br w:val="nil"/>
              <w:tr2bl w:val="nil"/>
            </w:tcBorders>
            <w:noWrap w:val="0"/>
            <w:vAlign w:val="center"/>
          </w:tcPr>
          <w:p>
            <w:pPr>
              <w:rPr>
                <w:rFonts w:hint="default" w:ascii="Times New Roman" w:hAnsi="Times New Roman" w:cs="Times New Roman"/>
                <w:color w:val="auto"/>
                <w:sz w:val="21"/>
                <w:szCs w:val="21"/>
              </w:rPr>
            </w:pPr>
          </w:p>
        </w:tc>
        <w:tc>
          <w:tcPr>
            <w:tcW w:w="3467" w:type="dxa"/>
            <w:gridSpan w:val="5"/>
            <w:tcBorders>
              <w:tl2br w:val="nil"/>
              <w:tr2bl w:val="nil"/>
            </w:tcBorders>
            <w:noWrap w:val="0"/>
            <w:vAlign w:val="center"/>
          </w:tcPr>
          <w:p>
            <w:pPr>
              <w:widowControl/>
              <w:jc w:val="left"/>
              <w:rPr>
                <w:rFonts w:hint="eastAsia" w:ascii="Times New Roman" w:hAnsi="Times New Roman" w:cs="Times New Roman" w:eastAsiaTheme="minorEastAsia"/>
                <w:color w:val="auto"/>
                <w:kern w:val="0"/>
                <w:sz w:val="21"/>
                <w:szCs w:val="21"/>
                <w:lang w:eastAsia="zh-CN" w:bidi="ar"/>
              </w:rPr>
            </w:pPr>
            <w:r>
              <w:rPr>
                <w:rFonts w:hint="default" w:ascii="Times New Roman" w:hAnsi="Times New Roman" w:cs="Times New Roman"/>
                <w:color w:val="auto"/>
                <w:kern w:val="0"/>
                <w:sz w:val="21"/>
                <w:szCs w:val="21"/>
                <w:lang w:bidi="ar"/>
              </w:rPr>
              <w:t xml:space="preserve">丰水期 </w:t>
            </w:r>
            <w:r>
              <w:rPr>
                <w:rFonts w:hint="default" w:ascii="Times New Roman" w:hAnsi="Times New Roman" w:cs="Times New Roman"/>
                <w:color w:val="auto"/>
                <w:kern w:val="0"/>
                <w:sz w:val="21"/>
                <w:szCs w:val="21"/>
                <w:lang w:bidi="ar"/>
              </w:rPr>
              <w:sym w:font="Wingdings 2" w:char="0052"/>
            </w:r>
            <w:r>
              <w:rPr>
                <w:rFonts w:hint="default" w:ascii="Times New Roman" w:hAnsi="Times New Roman" w:cs="Times New Roman"/>
                <w:color w:val="auto"/>
                <w:kern w:val="0"/>
                <w:sz w:val="21"/>
                <w:szCs w:val="21"/>
                <w:lang w:bidi="ar"/>
              </w:rPr>
              <w:t>；平水期 □；枯水期 □；冰封期 □</w:t>
            </w:r>
          </w:p>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春季 □；夏季 □；秋季 □；冬季 □</w:t>
            </w:r>
          </w:p>
        </w:tc>
        <w:tc>
          <w:tcPr>
            <w:tcW w:w="2114" w:type="dxa"/>
            <w:gridSpan w:val="5"/>
            <w:tcBorders>
              <w:tl2br w:val="nil"/>
              <w:tr2bl w:val="nil"/>
            </w:tcBorders>
            <w:noWrap/>
            <w:vAlign w:val="center"/>
          </w:tcPr>
          <w:p>
            <w:pPr>
              <w:widowControl/>
              <w:ind w:firstLine="630" w:firstLineChars="300"/>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   ）</w:t>
            </w:r>
          </w:p>
        </w:tc>
        <w:tc>
          <w:tcPr>
            <w:tcW w:w="1354" w:type="dxa"/>
            <w:gridSpan w:val="2"/>
            <w:tcBorders>
              <w:tl2br w:val="nil"/>
              <w:tr2bl w:val="nil"/>
            </w:tcBorders>
            <w:noWrap/>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监测断面或点位个数（   ）个</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restart"/>
            <w:tcBorders>
              <w:tl2br w:val="nil"/>
              <w:tr2bl w:val="nil"/>
            </w:tcBorders>
            <w:noWrap/>
            <w:textDirection w:val="tbRlV"/>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现状评价</w:t>
            </w:r>
          </w:p>
        </w:tc>
        <w:tc>
          <w:tcPr>
            <w:tcW w:w="1577" w:type="dxa"/>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评价范围</w:t>
            </w:r>
          </w:p>
        </w:tc>
        <w:tc>
          <w:tcPr>
            <w:tcW w:w="6935" w:type="dxa"/>
            <w:gridSpan w:val="12"/>
            <w:tcBorders>
              <w:tl2br w:val="nil"/>
              <w:tr2bl w:val="nil"/>
            </w:tcBorders>
            <w:noWrap/>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河流：长度（   ）km；湖库、河口及近岸海域：面积（   ）km</w:t>
            </w:r>
            <w:r>
              <w:rPr>
                <w:rFonts w:hint="default" w:ascii="Times New Roman" w:hAnsi="Times New Roman" w:cs="Times New Roman"/>
                <w:color w:val="auto"/>
                <w:kern w:val="0"/>
                <w:sz w:val="21"/>
                <w:szCs w:val="21"/>
                <w:vertAlign w:val="superscript"/>
                <w:lang w:bidi="ar"/>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continue"/>
            <w:tcBorders>
              <w:tl2br w:val="nil"/>
              <w:tr2bl w:val="nil"/>
            </w:tcBorders>
            <w:noWrap/>
            <w:textDirection w:val="tbRlV"/>
            <w:vAlign w:val="center"/>
          </w:tcPr>
          <w:p>
            <w:pPr>
              <w:rPr>
                <w:rFonts w:hint="default" w:ascii="Times New Roman" w:hAnsi="Times New Roman" w:cs="Times New Roman"/>
                <w:color w:val="auto"/>
                <w:sz w:val="21"/>
                <w:szCs w:val="21"/>
              </w:rPr>
            </w:pPr>
          </w:p>
        </w:tc>
        <w:tc>
          <w:tcPr>
            <w:tcW w:w="1577" w:type="dxa"/>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评价因子</w:t>
            </w:r>
          </w:p>
        </w:tc>
        <w:tc>
          <w:tcPr>
            <w:tcW w:w="6935" w:type="dxa"/>
            <w:gridSpan w:val="12"/>
            <w:tcBorders>
              <w:tl2br w:val="nil"/>
              <w:tr2bl w:val="nil"/>
            </w:tcBorders>
            <w:noWrap/>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 pH、</w:t>
            </w:r>
            <w:r>
              <w:rPr>
                <w:rFonts w:hint="default" w:ascii="Times New Roman" w:hAnsi="Times New Roman" w:cs="Times New Roman"/>
                <w:color w:val="auto"/>
                <w:kern w:val="0"/>
                <w:sz w:val="21"/>
                <w:szCs w:val="21"/>
                <w:lang w:bidi="ar"/>
              </w:rPr>
              <w:tab/>
            </w:r>
            <w:r>
              <w:rPr>
                <w:rFonts w:hint="default" w:ascii="Times New Roman" w:hAnsi="Times New Roman" w:cs="Times New Roman"/>
                <w:color w:val="auto"/>
                <w:kern w:val="0"/>
                <w:sz w:val="21"/>
                <w:szCs w:val="21"/>
                <w:lang w:bidi="ar"/>
              </w:rPr>
              <w:t>COD、NH</w:t>
            </w:r>
            <w:r>
              <w:rPr>
                <w:rFonts w:hint="default" w:ascii="Times New Roman" w:hAnsi="Times New Roman" w:cs="Times New Roman"/>
                <w:color w:val="auto"/>
                <w:kern w:val="0"/>
                <w:sz w:val="21"/>
                <w:szCs w:val="21"/>
                <w:vertAlign w:val="subscript"/>
                <w:lang w:bidi="ar"/>
              </w:rPr>
              <w:t>3</w:t>
            </w:r>
            <w:r>
              <w:rPr>
                <w:rFonts w:hint="default" w:ascii="Times New Roman" w:hAnsi="Times New Roman" w:cs="Times New Roman"/>
                <w:color w:val="auto"/>
                <w:kern w:val="0"/>
                <w:sz w:val="21"/>
                <w:szCs w:val="21"/>
                <w:lang w:bidi="ar"/>
              </w:rPr>
              <w:t>-N、</w:t>
            </w:r>
            <w:r>
              <w:rPr>
                <w:rFonts w:hint="default" w:ascii="Times New Roman" w:hAnsi="Times New Roman" w:cs="Times New Roman"/>
                <w:color w:val="auto"/>
                <w:kern w:val="0"/>
                <w:sz w:val="21"/>
                <w:szCs w:val="21"/>
                <w:lang w:val="en-US" w:eastAsia="zh-CN" w:bidi="ar"/>
              </w:rPr>
              <w:t>B</w:t>
            </w:r>
            <w:r>
              <w:rPr>
                <w:rFonts w:hint="default" w:ascii="Times New Roman" w:hAnsi="Times New Roman" w:cs="Times New Roman"/>
                <w:color w:val="auto"/>
                <w:kern w:val="0"/>
                <w:sz w:val="21"/>
                <w:szCs w:val="21"/>
                <w:lang w:bidi="ar"/>
              </w:rPr>
              <w:t>O</w:t>
            </w:r>
            <w:r>
              <w:rPr>
                <w:rFonts w:hint="default" w:ascii="Times New Roman" w:hAnsi="Times New Roman" w:cs="Times New Roman"/>
                <w:color w:val="auto"/>
                <w:kern w:val="0"/>
                <w:sz w:val="21"/>
                <w:szCs w:val="21"/>
                <w:lang w:val="en-US" w:eastAsia="zh-CN" w:bidi="ar"/>
              </w:rPr>
              <w:t>D</w:t>
            </w:r>
            <w:r>
              <w:rPr>
                <w:rFonts w:hint="eastAsia" w:ascii="Times New Roman" w:hAnsi="Times New Roman" w:cs="Times New Roman"/>
                <w:color w:val="auto"/>
                <w:kern w:val="0"/>
                <w:sz w:val="21"/>
                <w:szCs w:val="21"/>
                <w:vertAlign w:val="subscript"/>
                <w:lang w:val="en-US" w:eastAsia="zh-CN" w:bidi="ar"/>
              </w:rPr>
              <w:t>5</w:t>
            </w:r>
            <w:r>
              <w:rPr>
                <w:rFonts w:hint="default" w:ascii="Times New Roman" w:hAnsi="Times New Roman" w:cs="Times New Roman"/>
                <w:color w:val="auto"/>
                <w:kern w:val="0"/>
                <w:sz w:val="21"/>
                <w:szCs w:val="21"/>
                <w:lang w:bidi="ar"/>
              </w:rPr>
              <w:t>、总磷 、</w:t>
            </w:r>
            <w:r>
              <w:rPr>
                <w:rFonts w:hint="default" w:ascii="Times New Roman" w:hAnsi="Times New Roman" w:cs="Times New Roman"/>
                <w:color w:val="auto"/>
                <w:kern w:val="0"/>
                <w:sz w:val="21"/>
                <w:szCs w:val="21"/>
                <w:lang w:eastAsia="zh-CN" w:bidi="ar"/>
              </w:rPr>
              <w:t>总氮</w:t>
            </w:r>
            <w:r>
              <w:rPr>
                <w:rFonts w:hint="default" w:ascii="Times New Roman" w:hAnsi="Times New Roman" w:cs="Times New Roman"/>
                <w:color w:val="auto"/>
                <w:kern w:val="0"/>
                <w:sz w:val="21"/>
                <w:szCs w:val="21"/>
                <w:lang w:bidi="ar"/>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continue"/>
            <w:tcBorders>
              <w:tl2br w:val="nil"/>
              <w:tr2bl w:val="nil"/>
            </w:tcBorders>
            <w:noWrap/>
            <w:textDirection w:val="tbRlV"/>
            <w:vAlign w:val="center"/>
          </w:tcPr>
          <w:p>
            <w:pPr>
              <w:rPr>
                <w:rFonts w:hint="default" w:ascii="Times New Roman" w:hAnsi="Times New Roman" w:cs="Times New Roman"/>
                <w:color w:val="auto"/>
                <w:sz w:val="21"/>
                <w:szCs w:val="21"/>
              </w:rPr>
            </w:pPr>
          </w:p>
        </w:tc>
        <w:tc>
          <w:tcPr>
            <w:tcW w:w="1577" w:type="dxa"/>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评价标准</w:t>
            </w:r>
          </w:p>
        </w:tc>
        <w:tc>
          <w:tcPr>
            <w:tcW w:w="6935" w:type="dxa"/>
            <w:gridSpan w:val="12"/>
            <w:tcBorders>
              <w:tl2br w:val="nil"/>
              <w:tr2bl w:val="nil"/>
            </w:tcBorders>
            <w:noWrap/>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 xml:space="preserve">河流、湖库、河口：Ⅰ类 □；Ⅱ类 □；Ⅲ类 </w:t>
            </w:r>
            <w:r>
              <w:rPr>
                <w:rFonts w:hint="default" w:ascii="Times New Roman" w:hAnsi="Times New Roman" w:eastAsia="Wingdings 2" w:cs="Times New Roman"/>
                <w:color w:val="auto"/>
                <w:kern w:val="0"/>
                <w:sz w:val="21"/>
                <w:szCs w:val="21"/>
                <w:lang w:bidi="ar"/>
              </w:rPr>
              <w:sym w:font="Wingdings 2" w:char="0052"/>
            </w:r>
            <w:r>
              <w:rPr>
                <w:rFonts w:hint="default" w:ascii="Times New Roman" w:hAnsi="Times New Roman" w:cs="Times New Roman"/>
                <w:color w:val="auto"/>
                <w:kern w:val="0"/>
                <w:sz w:val="21"/>
                <w:szCs w:val="21"/>
                <w:lang w:bidi="ar"/>
              </w:rPr>
              <w:t>；Ⅳ类 □；Ⅴ类 □</w:t>
            </w:r>
          </w:p>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近岸海域：第一类 □；第二类 □；第三类 □；第四类 □</w:t>
            </w:r>
          </w:p>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规划年评价标准（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continue"/>
            <w:tcBorders>
              <w:tl2br w:val="nil"/>
              <w:tr2bl w:val="nil"/>
            </w:tcBorders>
            <w:noWrap/>
            <w:textDirection w:val="tbRlV"/>
            <w:vAlign w:val="center"/>
          </w:tcPr>
          <w:p>
            <w:pPr>
              <w:rPr>
                <w:rFonts w:hint="default" w:ascii="Times New Roman" w:hAnsi="Times New Roman" w:cs="Times New Roman"/>
                <w:color w:val="auto"/>
                <w:sz w:val="21"/>
                <w:szCs w:val="21"/>
              </w:rPr>
            </w:pPr>
          </w:p>
        </w:tc>
        <w:tc>
          <w:tcPr>
            <w:tcW w:w="1577" w:type="dxa"/>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评价时期</w:t>
            </w:r>
          </w:p>
        </w:tc>
        <w:tc>
          <w:tcPr>
            <w:tcW w:w="6935" w:type="dxa"/>
            <w:gridSpan w:val="12"/>
            <w:tcBorders>
              <w:tl2br w:val="nil"/>
              <w:tr2bl w:val="nil"/>
            </w:tcBorders>
            <w:noWrap w:val="0"/>
            <w:vAlign w:val="center"/>
          </w:tcPr>
          <w:p>
            <w:pPr>
              <w:widowControl/>
              <w:jc w:val="left"/>
              <w:rPr>
                <w:rFonts w:hint="eastAsia" w:ascii="Times New Roman" w:hAnsi="Times New Roman" w:cs="Times New Roman" w:eastAsiaTheme="minorEastAsia"/>
                <w:color w:val="auto"/>
                <w:kern w:val="0"/>
                <w:sz w:val="21"/>
                <w:szCs w:val="21"/>
                <w:lang w:eastAsia="zh-CN" w:bidi="ar"/>
              </w:rPr>
            </w:pPr>
            <w:r>
              <w:rPr>
                <w:rFonts w:hint="default" w:ascii="Times New Roman" w:hAnsi="Times New Roman" w:cs="Times New Roman"/>
                <w:color w:val="auto"/>
                <w:kern w:val="0"/>
                <w:sz w:val="21"/>
                <w:szCs w:val="21"/>
                <w:lang w:bidi="ar"/>
              </w:rPr>
              <w:t>丰水期 □；平水期 □；枯水期 □；冰封期 □</w:t>
            </w:r>
          </w:p>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 xml:space="preserve">春季 </w:t>
            </w:r>
            <w:r>
              <w:rPr>
                <w:rFonts w:hint="default" w:ascii="Times New Roman" w:hAnsi="Times New Roman" w:eastAsia="Wingdings 2" w:cs="Times New Roman"/>
                <w:color w:val="auto"/>
                <w:kern w:val="0"/>
                <w:sz w:val="21"/>
                <w:szCs w:val="21"/>
                <w:lang w:bidi="ar"/>
              </w:rPr>
              <w:sym w:font="Wingdings 2" w:char="00A3"/>
            </w:r>
            <w:r>
              <w:rPr>
                <w:rFonts w:hint="default" w:ascii="Times New Roman" w:hAnsi="Times New Roman" w:cs="Times New Roman"/>
                <w:color w:val="auto"/>
                <w:kern w:val="0"/>
                <w:sz w:val="21"/>
                <w:szCs w:val="21"/>
                <w:lang w:bidi="ar"/>
              </w:rPr>
              <w:t xml:space="preserve">；夏季 □；秋季 □；冬季 </w:t>
            </w:r>
            <w:r>
              <w:rPr>
                <w:rFonts w:hint="default" w:ascii="Times New Roman" w:hAnsi="Times New Roman" w:eastAsia="Wingdings 2" w:cs="Times New Roman"/>
                <w:color w:val="auto"/>
                <w:kern w:val="0"/>
                <w:sz w:val="21"/>
                <w:szCs w:val="21"/>
                <w:lang w:bidi="ar"/>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continue"/>
            <w:tcBorders>
              <w:tl2br w:val="nil"/>
              <w:tr2bl w:val="nil"/>
            </w:tcBorders>
            <w:noWrap/>
            <w:textDirection w:val="tbRlV"/>
            <w:vAlign w:val="center"/>
          </w:tcPr>
          <w:p>
            <w:pPr>
              <w:rPr>
                <w:rFonts w:hint="default" w:ascii="Times New Roman" w:hAnsi="Times New Roman" w:cs="Times New Roman"/>
                <w:color w:val="auto"/>
                <w:sz w:val="21"/>
                <w:szCs w:val="21"/>
              </w:rPr>
            </w:pPr>
          </w:p>
        </w:tc>
        <w:tc>
          <w:tcPr>
            <w:tcW w:w="1577" w:type="dxa"/>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评价结论</w:t>
            </w:r>
          </w:p>
        </w:tc>
        <w:tc>
          <w:tcPr>
            <w:tcW w:w="5964" w:type="dxa"/>
            <w:gridSpan w:val="11"/>
            <w:tcBorders>
              <w:tl2br w:val="nil"/>
              <w:tr2bl w:val="nil"/>
            </w:tcBorders>
            <w:noWrap w:val="0"/>
            <w:vAlign w:val="center"/>
          </w:tcPr>
          <w:p>
            <w:pPr>
              <w:widowControl/>
              <w:jc w:val="left"/>
              <w:rPr>
                <w:rFonts w:hint="eastAsia" w:ascii="Times New Roman" w:hAnsi="Times New Roman" w:eastAsia="宋体" w:cs="Times New Roman"/>
                <w:color w:val="auto"/>
                <w:kern w:val="0"/>
                <w:sz w:val="21"/>
                <w:szCs w:val="21"/>
                <w:lang w:eastAsia="zh-CN" w:bidi="ar"/>
              </w:rPr>
            </w:pPr>
            <w:r>
              <w:rPr>
                <w:rFonts w:hint="default" w:ascii="Times New Roman" w:hAnsi="Times New Roman" w:cs="Times New Roman"/>
                <w:color w:val="auto"/>
                <w:kern w:val="0"/>
                <w:sz w:val="21"/>
                <w:szCs w:val="21"/>
                <w:lang w:bidi="ar"/>
              </w:rPr>
              <w:t>水环境功能区或水功能区、近岸海域环境功能区水质达标状况 ：达标</w:t>
            </w:r>
            <w:r>
              <w:rPr>
                <w:rFonts w:hint="default" w:ascii="Times New Roman" w:hAnsi="Times New Roman" w:eastAsia="Wingdings 2" w:cs="Times New Roman"/>
                <w:color w:val="auto"/>
                <w:kern w:val="0"/>
                <w:sz w:val="21"/>
                <w:szCs w:val="21"/>
                <w:lang w:bidi="ar"/>
              </w:rPr>
              <w:sym w:font="Wingdings 2" w:char="0052"/>
            </w:r>
            <w:r>
              <w:rPr>
                <w:rFonts w:hint="default" w:ascii="Times New Roman" w:hAnsi="Times New Roman" w:cs="Times New Roman"/>
                <w:color w:val="auto"/>
                <w:kern w:val="0"/>
                <w:sz w:val="21"/>
                <w:szCs w:val="21"/>
                <w:lang w:bidi="ar"/>
              </w:rPr>
              <w:t xml:space="preserve">；不达标 </w:t>
            </w:r>
            <w:r>
              <w:rPr>
                <w:rFonts w:hint="default" w:ascii="Times New Roman" w:hAnsi="Times New Roman" w:eastAsia="Wingdings 2" w:cs="Times New Roman"/>
                <w:color w:val="auto"/>
                <w:kern w:val="0"/>
                <w:sz w:val="21"/>
                <w:szCs w:val="21"/>
                <w:lang w:bidi="ar"/>
              </w:rPr>
              <w:sym w:font="Wingdings 2" w:char="00A3"/>
            </w:r>
          </w:p>
          <w:p>
            <w:pPr>
              <w:widowControl/>
              <w:jc w:val="left"/>
              <w:rPr>
                <w:rFonts w:hint="eastAsia" w:ascii="Times New Roman" w:hAnsi="Times New Roman" w:cs="Times New Roman" w:eastAsiaTheme="minorEastAsia"/>
                <w:color w:val="auto"/>
                <w:kern w:val="0"/>
                <w:sz w:val="21"/>
                <w:szCs w:val="21"/>
                <w:lang w:eastAsia="zh-CN" w:bidi="ar"/>
              </w:rPr>
            </w:pPr>
            <w:r>
              <w:rPr>
                <w:rFonts w:hint="default" w:ascii="Times New Roman" w:hAnsi="Times New Roman" w:cs="Times New Roman"/>
                <w:color w:val="auto"/>
                <w:kern w:val="0"/>
                <w:sz w:val="21"/>
                <w:szCs w:val="21"/>
                <w:lang w:bidi="ar"/>
              </w:rPr>
              <w:t>水环境控制单元或断面水质达标状况 □：达标 □；不达标 □</w:t>
            </w:r>
          </w:p>
          <w:p>
            <w:pPr>
              <w:widowControl/>
              <w:jc w:val="left"/>
              <w:rPr>
                <w:rFonts w:hint="eastAsia" w:ascii="Times New Roman" w:hAnsi="Times New Roman" w:cs="Times New Roman" w:eastAsiaTheme="minorEastAsia"/>
                <w:color w:val="auto"/>
                <w:kern w:val="0"/>
                <w:sz w:val="21"/>
                <w:szCs w:val="21"/>
                <w:lang w:eastAsia="zh-CN" w:bidi="ar"/>
              </w:rPr>
            </w:pPr>
            <w:r>
              <w:rPr>
                <w:rFonts w:hint="default" w:ascii="Times New Roman" w:hAnsi="Times New Roman" w:cs="Times New Roman"/>
                <w:color w:val="auto"/>
                <w:kern w:val="0"/>
                <w:sz w:val="21"/>
                <w:szCs w:val="21"/>
                <w:lang w:bidi="ar"/>
              </w:rPr>
              <w:t>水环境保护目标质量状况 □：达标 □；不达标 □</w:t>
            </w:r>
          </w:p>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对照断面、控制断面等代表性断面的水质状况 □：达标 □；不达标 □</w:t>
            </w:r>
          </w:p>
          <w:p>
            <w:pPr>
              <w:widowControl/>
              <w:jc w:val="left"/>
              <w:rPr>
                <w:rFonts w:hint="eastAsia" w:ascii="Times New Roman" w:hAnsi="Times New Roman" w:cs="Times New Roman" w:eastAsiaTheme="minorEastAsia"/>
                <w:color w:val="auto"/>
                <w:kern w:val="0"/>
                <w:sz w:val="21"/>
                <w:szCs w:val="21"/>
                <w:lang w:eastAsia="zh-CN" w:bidi="ar"/>
              </w:rPr>
            </w:pPr>
            <w:r>
              <w:rPr>
                <w:rFonts w:hint="default" w:ascii="Times New Roman" w:hAnsi="Times New Roman" w:cs="Times New Roman"/>
                <w:color w:val="auto"/>
                <w:kern w:val="0"/>
                <w:sz w:val="21"/>
                <w:szCs w:val="21"/>
                <w:lang w:bidi="ar"/>
              </w:rPr>
              <w:t>底泥污染评价 □</w:t>
            </w:r>
          </w:p>
          <w:p>
            <w:pPr>
              <w:widowControl/>
              <w:jc w:val="left"/>
              <w:rPr>
                <w:rFonts w:hint="eastAsia" w:ascii="Times New Roman" w:hAnsi="Times New Roman" w:cs="Times New Roman" w:eastAsiaTheme="minorEastAsia"/>
                <w:color w:val="auto"/>
                <w:kern w:val="0"/>
                <w:sz w:val="21"/>
                <w:szCs w:val="21"/>
                <w:lang w:eastAsia="zh-CN" w:bidi="ar"/>
              </w:rPr>
            </w:pPr>
            <w:r>
              <w:rPr>
                <w:rFonts w:hint="default" w:ascii="Times New Roman" w:hAnsi="Times New Roman" w:cs="Times New Roman"/>
                <w:color w:val="auto"/>
                <w:kern w:val="0"/>
                <w:sz w:val="21"/>
                <w:szCs w:val="21"/>
                <w:lang w:bidi="ar"/>
              </w:rPr>
              <w:t>水资源与开发利用程度及其水文情势评价 □</w:t>
            </w:r>
          </w:p>
          <w:p>
            <w:pPr>
              <w:widowControl/>
              <w:jc w:val="left"/>
              <w:rPr>
                <w:rFonts w:hint="eastAsia" w:ascii="Times New Roman" w:hAnsi="Times New Roman" w:cs="Times New Roman" w:eastAsiaTheme="minorEastAsia"/>
                <w:color w:val="auto"/>
                <w:kern w:val="0"/>
                <w:sz w:val="21"/>
                <w:szCs w:val="21"/>
                <w:lang w:eastAsia="zh-CN" w:bidi="ar"/>
              </w:rPr>
            </w:pPr>
            <w:r>
              <w:rPr>
                <w:rFonts w:hint="default" w:ascii="Times New Roman" w:hAnsi="Times New Roman" w:cs="Times New Roman"/>
                <w:color w:val="auto"/>
                <w:kern w:val="0"/>
                <w:sz w:val="21"/>
                <w:szCs w:val="21"/>
                <w:lang w:bidi="ar"/>
              </w:rPr>
              <w:t>水环境质量回顾评价 □</w:t>
            </w:r>
          </w:p>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流域（区域）水资源（包括水能资源）与开发利用总体状况、生态流量管理要求与现状满足程度、建设项目占用水域空间的水流状况与河湖演变状况 □</w:t>
            </w:r>
          </w:p>
        </w:tc>
        <w:tc>
          <w:tcPr>
            <w:tcW w:w="971" w:type="dxa"/>
            <w:tcBorders>
              <w:tl2br w:val="nil"/>
              <w:tr2bl w:val="nil"/>
            </w:tcBorders>
            <w:noWrap w:val="0"/>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 xml:space="preserve">达标区 </w:t>
            </w:r>
            <w:r>
              <w:rPr>
                <w:rFonts w:hint="default" w:ascii="Times New Roman" w:hAnsi="Times New Roman" w:eastAsia="Wingdings 2" w:cs="Times New Roman"/>
                <w:color w:val="auto"/>
                <w:kern w:val="0"/>
                <w:sz w:val="21"/>
                <w:szCs w:val="21"/>
                <w:lang w:bidi="ar"/>
              </w:rPr>
              <w:sym w:font="Wingdings 2" w:char="0052"/>
            </w:r>
          </w:p>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 xml:space="preserve">不达标区 </w:t>
            </w:r>
            <w:r>
              <w:rPr>
                <w:rFonts w:hint="default" w:ascii="Times New Roman" w:hAnsi="Times New Roman" w:eastAsia="Wingdings 2" w:cs="Times New Roman"/>
                <w:color w:val="auto"/>
                <w:kern w:val="0"/>
                <w:sz w:val="21"/>
                <w:szCs w:val="21"/>
                <w:lang w:bidi="ar"/>
              </w:rPr>
              <w:sym w:font="Wingdings 2" w:char="00A3"/>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restart"/>
            <w:tcBorders>
              <w:tl2br w:val="nil"/>
              <w:tr2bl w:val="nil"/>
            </w:tcBorders>
            <w:noWrap/>
            <w:textDirection w:val="tbRlV"/>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影响预测</w:t>
            </w:r>
          </w:p>
        </w:tc>
        <w:tc>
          <w:tcPr>
            <w:tcW w:w="1577" w:type="dxa"/>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预测范围</w:t>
            </w:r>
          </w:p>
        </w:tc>
        <w:tc>
          <w:tcPr>
            <w:tcW w:w="6935" w:type="dxa"/>
            <w:gridSpan w:val="12"/>
            <w:tcBorders>
              <w:tl2br w:val="nil"/>
              <w:tr2bl w:val="nil"/>
            </w:tcBorders>
            <w:noWrap/>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河流：长度（   ）km；湖库、河口及近岸海域：面积（   ）km</w:t>
            </w:r>
            <w:r>
              <w:rPr>
                <w:rFonts w:hint="default" w:ascii="Times New Roman" w:hAnsi="Times New Roman" w:cs="Times New Roman"/>
                <w:color w:val="auto"/>
                <w:kern w:val="0"/>
                <w:sz w:val="21"/>
                <w:szCs w:val="21"/>
                <w:vertAlign w:val="superscript"/>
                <w:lang w:bidi="ar"/>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continue"/>
            <w:tcBorders>
              <w:tl2br w:val="nil"/>
              <w:tr2bl w:val="nil"/>
            </w:tcBorders>
            <w:noWrap/>
            <w:textDirection w:val="tbRlV"/>
            <w:vAlign w:val="center"/>
          </w:tcPr>
          <w:p>
            <w:pPr>
              <w:rPr>
                <w:rFonts w:hint="default" w:ascii="Times New Roman" w:hAnsi="Times New Roman" w:cs="Times New Roman"/>
                <w:color w:val="auto"/>
                <w:sz w:val="21"/>
                <w:szCs w:val="21"/>
              </w:rPr>
            </w:pPr>
          </w:p>
        </w:tc>
        <w:tc>
          <w:tcPr>
            <w:tcW w:w="1577" w:type="dxa"/>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预测因子</w:t>
            </w:r>
          </w:p>
        </w:tc>
        <w:tc>
          <w:tcPr>
            <w:tcW w:w="6935" w:type="dxa"/>
            <w:gridSpan w:val="12"/>
            <w:tcBorders>
              <w:tl2br w:val="nil"/>
              <w:tr2bl w:val="nil"/>
            </w:tcBorders>
            <w:noWrap/>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continue"/>
            <w:tcBorders>
              <w:tl2br w:val="nil"/>
              <w:tr2bl w:val="nil"/>
            </w:tcBorders>
            <w:noWrap/>
            <w:textDirection w:val="tbRlV"/>
            <w:vAlign w:val="center"/>
          </w:tcPr>
          <w:p>
            <w:pPr>
              <w:rPr>
                <w:rFonts w:hint="default" w:ascii="Times New Roman" w:hAnsi="Times New Roman" w:cs="Times New Roman"/>
                <w:color w:val="auto"/>
                <w:sz w:val="21"/>
                <w:szCs w:val="21"/>
              </w:rPr>
            </w:pPr>
          </w:p>
        </w:tc>
        <w:tc>
          <w:tcPr>
            <w:tcW w:w="1577" w:type="dxa"/>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预测时期</w:t>
            </w:r>
          </w:p>
        </w:tc>
        <w:tc>
          <w:tcPr>
            <w:tcW w:w="6935" w:type="dxa"/>
            <w:gridSpan w:val="12"/>
            <w:tcBorders>
              <w:tl2br w:val="nil"/>
              <w:tr2bl w:val="nil"/>
            </w:tcBorders>
            <w:noWrap w:val="0"/>
            <w:vAlign w:val="center"/>
          </w:tcPr>
          <w:p>
            <w:pPr>
              <w:widowControl/>
              <w:jc w:val="left"/>
              <w:rPr>
                <w:rFonts w:hint="eastAsia" w:ascii="Times New Roman" w:hAnsi="Times New Roman" w:cs="Times New Roman" w:eastAsiaTheme="minorEastAsia"/>
                <w:color w:val="auto"/>
                <w:kern w:val="0"/>
                <w:sz w:val="21"/>
                <w:szCs w:val="21"/>
                <w:lang w:eastAsia="zh-CN" w:bidi="ar"/>
              </w:rPr>
            </w:pPr>
            <w:r>
              <w:rPr>
                <w:rFonts w:hint="default" w:ascii="Times New Roman" w:hAnsi="Times New Roman" w:cs="Times New Roman"/>
                <w:color w:val="auto"/>
                <w:kern w:val="0"/>
                <w:sz w:val="21"/>
                <w:szCs w:val="21"/>
                <w:lang w:bidi="ar"/>
              </w:rPr>
              <w:t>丰水期 □；平水期 □；枯水期 □；冰封期 □</w:t>
            </w:r>
          </w:p>
          <w:p>
            <w:pPr>
              <w:widowControl/>
              <w:jc w:val="left"/>
              <w:rPr>
                <w:rFonts w:hint="eastAsia" w:ascii="Times New Roman" w:hAnsi="Times New Roman" w:cs="Times New Roman" w:eastAsiaTheme="minorEastAsia"/>
                <w:color w:val="auto"/>
                <w:kern w:val="0"/>
                <w:sz w:val="21"/>
                <w:szCs w:val="21"/>
                <w:lang w:eastAsia="zh-CN" w:bidi="ar"/>
              </w:rPr>
            </w:pPr>
            <w:r>
              <w:rPr>
                <w:rFonts w:hint="default" w:ascii="Times New Roman" w:hAnsi="Times New Roman" w:cs="Times New Roman"/>
                <w:color w:val="auto"/>
                <w:kern w:val="0"/>
                <w:sz w:val="21"/>
                <w:szCs w:val="21"/>
                <w:lang w:bidi="ar"/>
              </w:rPr>
              <w:t>春季 □；夏季 □；秋季 □；冬季 □</w:t>
            </w:r>
          </w:p>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设计水文条件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continue"/>
            <w:tcBorders>
              <w:tl2br w:val="nil"/>
              <w:tr2bl w:val="nil"/>
            </w:tcBorders>
            <w:noWrap/>
            <w:textDirection w:val="tbRlV"/>
            <w:vAlign w:val="center"/>
          </w:tcPr>
          <w:p>
            <w:pPr>
              <w:rPr>
                <w:rFonts w:hint="default" w:ascii="Times New Roman" w:hAnsi="Times New Roman" w:cs="Times New Roman"/>
                <w:color w:val="auto"/>
                <w:sz w:val="21"/>
                <w:szCs w:val="21"/>
              </w:rPr>
            </w:pPr>
          </w:p>
        </w:tc>
        <w:tc>
          <w:tcPr>
            <w:tcW w:w="1577" w:type="dxa"/>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预测情景</w:t>
            </w:r>
          </w:p>
        </w:tc>
        <w:tc>
          <w:tcPr>
            <w:tcW w:w="6935" w:type="dxa"/>
            <w:gridSpan w:val="12"/>
            <w:tcBorders>
              <w:tl2br w:val="nil"/>
              <w:tr2bl w:val="nil"/>
            </w:tcBorders>
            <w:noWrap w:val="0"/>
            <w:vAlign w:val="center"/>
          </w:tcPr>
          <w:p>
            <w:pPr>
              <w:widowControl/>
              <w:jc w:val="left"/>
              <w:rPr>
                <w:rFonts w:hint="eastAsia" w:ascii="Times New Roman" w:hAnsi="Times New Roman" w:cs="Times New Roman" w:eastAsiaTheme="minorEastAsia"/>
                <w:color w:val="auto"/>
                <w:kern w:val="0"/>
                <w:sz w:val="21"/>
                <w:szCs w:val="21"/>
                <w:lang w:eastAsia="zh-CN" w:bidi="ar"/>
              </w:rPr>
            </w:pPr>
            <w:r>
              <w:rPr>
                <w:rFonts w:hint="default" w:ascii="Times New Roman" w:hAnsi="Times New Roman" w:cs="Times New Roman"/>
                <w:color w:val="auto"/>
                <w:kern w:val="0"/>
                <w:sz w:val="21"/>
                <w:szCs w:val="21"/>
                <w:lang w:bidi="ar"/>
              </w:rPr>
              <w:t>建设期 □；生产运行期 □；服务期满后 □</w:t>
            </w:r>
          </w:p>
          <w:p>
            <w:pPr>
              <w:widowControl/>
              <w:jc w:val="left"/>
              <w:rPr>
                <w:rFonts w:hint="eastAsia" w:ascii="Times New Roman" w:hAnsi="Times New Roman" w:cs="Times New Roman" w:eastAsiaTheme="minorEastAsia"/>
                <w:color w:val="auto"/>
                <w:kern w:val="0"/>
                <w:sz w:val="21"/>
                <w:szCs w:val="21"/>
                <w:lang w:eastAsia="zh-CN" w:bidi="ar"/>
              </w:rPr>
            </w:pPr>
            <w:r>
              <w:rPr>
                <w:rFonts w:hint="default" w:ascii="Times New Roman" w:hAnsi="Times New Roman" w:cs="Times New Roman"/>
                <w:color w:val="auto"/>
                <w:kern w:val="0"/>
                <w:sz w:val="21"/>
                <w:szCs w:val="21"/>
                <w:lang w:bidi="ar"/>
              </w:rPr>
              <w:t>正常工况 □；非正常工况 □</w:t>
            </w:r>
          </w:p>
          <w:p>
            <w:pPr>
              <w:widowControl/>
              <w:jc w:val="left"/>
              <w:rPr>
                <w:rFonts w:hint="eastAsia" w:ascii="Times New Roman" w:hAnsi="Times New Roman" w:cs="Times New Roman" w:eastAsiaTheme="minorEastAsia"/>
                <w:color w:val="auto"/>
                <w:kern w:val="0"/>
                <w:sz w:val="21"/>
                <w:szCs w:val="21"/>
                <w:lang w:eastAsia="zh-CN" w:bidi="ar"/>
              </w:rPr>
            </w:pPr>
            <w:r>
              <w:rPr>
                <w:rFonts w:hint="default" w:ascii="Times New Roman" w:hAnsi="Times New Roman" w:cs="Times New Roman"/>
                <w:color w:val="auto"/>
                <w:kern w:val="0"/>
                <w:sz w:val="21"/>
                <w:szCs w:val="21"/>
                <w:lang w:bidi="ar"/>
              </w:rPr>
              <w:t>污染控制和减缓措施方案 □</w:t>
            </w:r>
          </w:p>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区（流）域环境质量改善目标要求情景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continue"/>
            <w:tcBorders>
              <w:tl2br w:val="nil"/>
              <w:tr2bl w:val="nil"/>
            </w:tcBorders>
            <w:noWrap/>
            <w:textDirection w:val="tbRlV"/>
            <w:vAlign w:val="center"/>
          </w:tcPr>
          <w:p>
            <w:pPr>
              <w:rPr>
                <w:rFonts w:hint="default" w:ascii="Times New Roman" w:hAnsi="Times New Roman" w:cs="Times New Roman"/>
                <w:color w:val="auto"/>
                <w:sz w:val="21"/>
                <w:szCs w:val="21"/>
              </w:rPr>
            </w:pPr>
          </w:p>
        </w:tc>
        <w:tc>
          <w:tcPr>
            <w:tcW w:w="1577" w:type="dxa"/>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预测方法</w:t>
            </w:r>
          </w:p>
        </w:tc>
        <w:tc>
          <w:tcPr>
            <w:tcW w:w="6935" w:type="dxa"/>
            <w:gridSpan w:val="12"/>
            <w:tcBorders>
              <w:tl2br w:val="nil"/>
              <w:tr2bl w:val="nil"/>
            </w:tcBorders>
            <w:noWrap/>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数值解 □：解析解 □；其他 □</w:t>
            </w:r>
          </w:p>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导则推荐模式 □：其他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restart"/>
            <w:tcBorders>
              <w:tl2br w:val="nil"/>
              <w:tr2bl w:val="nil"/>
            </w:tcBorders>
            <w:noWrap/>
            <w:textDirection w:val="tbRlV"/>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影响评价</w:t>
            </w:r>
          </w:p>
        </w:tc>
        <w:tc>
          <w:tcPr>
            <w:tcW w:w="1577" w:type="dxa"/>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水污染控制和水环境影响减缓措施有效性评价</w:t>
            </w:r>
          </w:p>
        </w:tc>
        <w:tc>
          <w:tcPr>
            <w:tcW w:w="6935" w:type="dxa"/>
            <w:gridSpan w:val="12"/>
            <w:tcBorders>
              <w:tl2br w:val="nil"/>
              <w:tr2bl w:val="nil"/>
            </w:tcBorders>
            <w:noWrap/>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区（流）域水环境质量改善目标 □；替代削减源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continue"/>
            <w:tcBorders>
              <w:tl2br w:val="nil"/>
              <w:tr2bl w:val="nil"/>
            </w:tcBorders>
            <w:noWrap/>
            <w:textDirection w:val="tbRlV"/>
            <w:vAlign w:val="center"/>
          </w:tcPr>
          <w:p>
            <w:pPr>
              <w:rPr>
                <w:rFonts w:hint="default" w:ascii="Times New Roman" w:hAnsi="Times New Roman" w:cs="Times New Roman"/>
                <w:color w:val="auto"/>
                <w:sz w:val="21"/>
                <w:szCs w:val="21"/>
              </w:rPr>
            </w:pPr>
          </w:p>
        </w:tc>
        <w:tc>
          <w:tcPr>
            <w:tcW w:w="1577" w:type="dxa"/>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水环境影响评价</w:t>
            </w:r>
          </w:p>
        </w:tc>
        <w:tc>
          <w:tcPr>
            <w:tcW w:w="6935" w:type="dxa"/>
            <w:gridSpan w:val="12"/>
            <w:tcBorders>
              <w:tl2br w:val="nil"/>
              <w:tr2bl w:val="nil"/>
            </w:tcBorders>
            <w:noWrap w:val="0"/>
            <w:vAlign w:val="center"/>
          </w:tcPr>
          <w:p>
            <w:pPr>
              <w:widowControl/>
              <w:jc w:val="left"/>
              <w:rPr>
                <w:rFonts w:hint="eastAsia" w:ascii="Times New Roman" w:hAnsi="Times New Roman" w:cs="Times New Roman" w:eastAsiaTheme="minorEastAsia"/>
                <w:color w:val="auto"/>
                <w:kern w:val="0"/>
                <w:sz w:val="21"/>
                <w:szCs w:val="21"/>
                <w:lang w:eastAsia="zh-CN" w:bidi="ar"/>
              </w:rPr>
            </w:pPr>
            <w:r>
              <w:rPr>
                <w:rFonts w:hint="default" w:ascii="Times New Roman" w:hAnsi="Times New Roman" w:cs="Times New Roman"/>
                <w:color w:val="auto"/>
                <w:kern w:val="0"/>
                <w:sz w:val="21"/>
                <w:szCs w:val="21"/>
                <w:lang w:bidi="ar"/>
              </w:rPr>
              <w:t>排放口混合区外满足水环境管理要求 □</w:t>
            </w:r>
          </w:p>
          <w:p>
            <w:pPr>
              <w:widowControl/>
              <w:jc w:val="left"/>
              <w:rPr>
                <w:rFonts w:hint="eastAsia" w:ascii="Times New Roman" w:hAnsi="Times New Roman" w:cs="Times New Roman" w:eastAsiaTheme="minorEastAsia"/>
                <w:color w:val="auto"/>
                <w:kern w:val="0"/>
                <w:sz w:val="21"/>
                <w:szCs w:val="21"/>
                <w:lang w:eastAsia="zh-CN" w:bidi="ar"/>
              </w:rPr>
            </w:pPr>
            <w:r>
              <w:rPr>
                <w:rFonts w:hint="default" w:ascii="Times New Roman" w:hAnsi="Times New Roman" w:cs="Times New Roman"/>
                <w:color w:val="auto"/>
                <w:kern w:val="0"/>
                <w:sz w:val="21"/>
                <w:szCs w:val="21"/>
                <w:lang w:bidi="ar"/>
              </w:rPr>
              <w:t>水环境功能区或水功能区、近岸海域环境功能区水质达标 □</w:t>
            </w:r>
          </w:p>
          <w:p>
            <w:pPr>
              <w:widowControl/>
              <w:jc w:val="left"/>
              <w:rPr>
                <w:rFonts w:hint="eastAsia" w:ascii="Times New Roman" w:hAnsi="Times New Roman" w:cs="Times New Roman" w:eastAsiaTheme="minorEastAsia"/>
                <w:color w:val="auto"/>
                <w:kern w:val="0"/>
                <w:sz w:val="21"/>
                <w:szCs w:val="21"/>
                <w:lang w:eastAsia="zh-CN" w:bidi="ar"/>
              </w:rPr>
            </w:pPr>
            <w:r>
              <w:rPr>
                <w:rFonts w:hint="default" w:ascii="Times New Roman" w:hAnsi="Times New Roman" w:cs="Times New Roman"/>
                <w:color w:val="auto"/>
                <w:kern w:val="0"/>
                <w:sz w:val="21"/>
                <w:szCs w:val="21"/>
                <w:lang w:bidi="ar"/>
              </w:rPr>
              <w:t>满足水环境保护目标水域水环境质量要求 □</w:t>
            </w:r>
          </w:p>
          <w:p>
            <w:pPr>
              <w:widowControl/>
              <w:jc w:val="left"/>
              <w:rPr>
                <w:rFonts w:hint="eastAsia" w:ascii="Times New Roman" w:hAnsi="Times New Roman" w:cs="Times New Roman" w:eastAsiaTheme="minorEastAsia"/>
                <w:color w:val="auto"/>
                <w:kern w:val="0"/>
                <w:sz w:val="21"/>
                <w:szCs w:val="21"/>
                <w:lang w:eastAsia="zh-CN" w:bidi="ar"/>
              </w:rPr>
            </w:pPr>
            <w:r>
              <w:rPr>
                <w:rFonts w:hint="default" w:ascii="Times New Roman" w:hAnsi="Times New Roman" w:cs="Times New Roman"/>
                <w:color w:val="auto"/>
                <w:kern w:val="0"/>
                <w:sz w:val="21"/>
                <w:szCs w:val="21"/>
                <w:lang w:bidi="ar"/>
              </w:rPr>
              <w:t>水环境控制单元或断面水质达标 □</w:t>
            </w:r>
          </w:p>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满足重点水污染物排放总量控制指标要求，重点行业建设项目， 主要污染物排放满足等量或减量替代要求 □</w:t>
            </w:r>
          </w:p>
          <w:p>
            <w:pPr>
              <w:widowControl/>
              <w:jc w:val="left"/>
              <w:rPr>
                <w:rFonts w:hint="eastAsia" w:ascii="Times New Roman" w:hAnsi="Times New Roman" w:cs="Times New Roman" w:eastAsiaTheme="minorEastAsia"/>
                <w:color w:val="auto"/>
                <w:kern w:val="0"/>
                <w:sz w:val="21"/>
                <w:szCs w:val="21"/>
                <w:lang w:eastAsia="zh-CN" w:bidi="ar"/>
              </w:rPr>
            </w:pPr>
            <w:r>
              <w:rPr>
                <w:rFonts w:hint="default" w:ascii="Times New Roman" w:hAnsi="Times New Roman" w:cs="Times New Roman"/>
                <w:color w:val="auto"/>
                <w:kern w:val="0"/>
                <w:sz w:val="21"/>
                <w:szCs w:val="21"/>
                <w:lang w:bidi="ar"/>
              </w:rPr>
              <w:t>满足区（流）域水环境质量改善目标要求 □</w:t>
            </w:r>
          </w:p>
          <w:p>
            <w:pPr>
              <w:widowControl/>
              <w:jc w:val="left"/>
              <w:rPr>
                <w:rFonts w:hint="eastAsia" w:ascii="Times New Roman" w:hAnsi="Times New Roman" w:cs="Times New Roman" w:eastAsiaTheme="minorEastAsia"/>
                <w:color w:val="auto"/>
                <w:kern w:val="0"/>
                <w:sz w:val="21"/>
                <w:szCs w:val="21"/>
                <w:lang w:eastAsia="zh-CN" w:bidi="ar"/>
              </w:rPr>
            </w:pPr>
            <w:r>
              <w:rPr>
                <w:rFonts w:hint="default" w:ascii="Times New Roman" w:hAnsi="Times New Roman" w:cs="Times New Roman"/>
                <w:color w:val="auto"/>
                <w:kern w:val="0"/>
                <w:sz w:val="21"/>
                <w:szCs w:val="21"/>
                <w:lang w:bidi="ar"/>
              </w:rPr>
              <w:t>水文要素影响型建设项目同时应包括水文情势变化评价、主要水文特征值影响评价、生态流量符合性评价 □</w:t>
            </w:r>
          </w:p>
          <w:p>
            <w:pPr>
              <w:widowControl/>
              <w:jc w:val="left"/>
              <w:rPr>
                <w:rFonts w:hint="eastAsia" w:ascii="Times New Roman" w:hAnsi="Times New Roman" w:cs="Times New Roman" w:eastAsiaTheme="minorEastAsia"/>
                <w:color w:val="auto"/>
                <w:kern w:val="0"/>
                <w:sz w:val="21"/>
                <w:szCs w:val="21"/>
                <w:lang w:eastAsia="zh-CN" w:bidi="ar"/>
              </w:rPr>
            </w:pPr>
            <w:r>
              <w:rPr>
                <w:rFonts w:hint="default" w:ascii="Times New Roman" w:hAnsi="Times New Roman" w:cs="Times New Roman"/>
                <w:color w:val="auto"/>
                <w:kern w:val="0"/>
                <w:sz w:val="21"/>
                <w:szCs w:val="21"/>
                <w:lang w:bidi="ar"/>
              </w:rPr>
              <w:t>对于新设或调整入河（湖库、近岸海域）排放口的建设项目，应包括排放口设置的环境合理性评价 □</w:t>
            </w:r>
          </w:p>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满足生态保护红线、水环境质量底线、资源利用上线和环境准入清单管理要求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continue"/>
            <w:tcBorders>
              <w:tl2br w:val="nil"/>
              <w:tr2bl w:val="nil"/>
            </w:tcBorders>
            <w:noWrap/>
            <w:textDirection w:val="tbRlV"/>
            <w:vAlign w:val="center"/>
          </w:tcPr>
          <w:p>
            <w:pPr>
              <w:rPr>
                <w:rFonts w:hint="default" w:ascii="Times New Roman" w:hAnsi="Times New Roman" w:cs="Times New Roman"/>
                <w:color w:val="auto"/>
                <w:sz w:val="21"/>
                <w:szCs w:val="21"/>
              </w:rPr>
            </w:pPr>
          </w:p>
        </w:tc>
        <w:tc>
          <w:tcPr>
            <w:tcW w:w="1577" w:type="dxa"/>
            <w:vMerge w:val="restart"/>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污染源排放量核算</w:t>
            </w:r>
          </w:p>
        </w:tc>
        <w:tc>
          <w:tcPr>
            <w:tcW w:w="2311" w:type="dxa"/>
            <w:gridSpan w:val="3"/>
            <w:tcBorders>
              <w:tl2br w:val="nil"/>
              <w:tr2bl w:val="nil"/>
            </w:tcBorders>
            <w:noWrap/>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污染物名称</w:t>
            </w:r>
          </w:p>
        </w:tc>
        <w:tc>
          <w:tcPr>
            <w:tcW w:w="2311" w:type="dxa"/>
            <w:gridSpan w:val="5"/>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排放量/（t/a）</w:t>
            </w:r>
          </w:p>
        </w:tc>
        <w:tc>
          <w:tcPr>
            <w:tcW w:w="2313" w:type="dxa"/>
            <w:gridSpan w:val="4"/>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排放浓度/（mg/L）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continue"/>
            <w:tcBorders>
              <w:tl2br w:val="nil"/>
              <w:tr2bl w:val="nil"/>
            </w:tcBorders>
            <w:noWrap/>
            <w:textDirection w:val="tbRlV"/>
            <w:vAlign w:val="center"/>
          </w:tcPr>
          <w:p>
            <w:pPr>
              <w:rPr>
                <w:rFonts w:hint="default" w:ascii="Times New Roman" w:hAnsi="Times New Roman" w:cs="Times New Roman"/>
                <w:color w:val="auto"/>
                <w:sz w:val="21"/>
                <w:szCs w:val="21"/>
              </w:rPr>
            </w:pPr>
          </w:p>
        </w:tc>
        <w:tc>
          <w:tcPr>
            <w:tcW w:w="1577" w:type="dxa"/>
            <w:vMerge w:val="continue"/>
            <w:tcBorders>
              <w:tl2br w:val="nil"/>
              <w:tr2bl w:val="nil"/>
            </w:tcBorders>
            <w:noWrap w:val="0"/>
            <w:vAlign w:val="center"/>
          </w:tcPr>
          <w:p>
            <w:pPr>
              <w:rPr>
                <w:rFonts w:hint="default" w:ascii="Times New Roman" w:hAnsi="Times New Roman" w:cs="Times New Roman"/>
                <w:color w:val="auto"/>
                <w:sz w:val="21"/>
                <w:szCs w:val="21"/>
              </w:rPr>
            </w:pPr>
          </w:p>
        </w:tc>
        <w:tc>
          <w:tcPr>
            <w:tcW w:w="2311" w:type="dxa"/>
            <w:gridSpan w:val="3"/>
            <w:tcBorders>
              <w:tl2br w:val="nil"/>
              <w:tr2bl w:val="nil"/>
            </w:tcBorders>
            <w:noWrap/>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 COD、SS、NH</w:t>
            </w:r>
            <w:r>
              <w:rPr>
                <w:rFonts w:hint="default" w:ascii="Times New Roman" w:hAnsi="Times New Roman" w:cs="Times New Roman"/>
                <w:color w:val="auto"/>
                <w:kern w:val="0"/>
                <w:sz w:val="21"/>
                <w:szCs w:val="21"/>
                <w:vertAlign w:val="subscript"/>
                <w:lang w:bidi="ar"/>
              </w:rPr>
              <w:t>3</w:t>
            </w:r>
            <w:r>
              <w:rPr>
                <w:rFonts w:hint="default" w:ascii="Times New Roman" w:hAnsi="Times New Roman" w:cs="Times New Roman"/>
                <w:color w:val="auto"/>
                <w:kern w:val="0"/>
                <w:sz w:val="21"/>
                <w:szCs w:val="21"/>
                <w:lang w:bidi="ar"/>
              </w:rPr>
              <w:t>-N、BOD</w:t>
            </w:r>
            <w:r>
              <w:rPr>
                <w:rFonts w:hint="default" w:ascii="Times New Roman" w:hAnsi="Times New Roman" w:cs="Times New Roman"/>
                <w:color w:val="auto"/>
                <w:kern w:val="0"/>
                <w:sz w:val="21"/>
                <w:szCs w:val="21"/>
                <w:vertAlign w:val="subscript"/>
                <w:lang w:bidi="ar"/>
              </w:rPr>
              <w:t>5、</w:t>
            </w:r>
            <w:r>
              <w:rPr>
                <w:rFonts w:hint="default" w:ascii="Times New Roman" w:hAnsi="Times New Roman" w:cs="Times New Roman"/>
                <w:color w:val="auto"/>
                <w:kern w:val="0"/>
                <w:sz w:val="21"/>
                <w:szCs w:val="21"/>
                <w:lang w:eastAsia="zh-CN" w:bidi="ar"/>
              </w:rPr>
              <w:t>总磷、总氮</w:t>
            </w:r>
            <w:r>
              <w:rPr>
                <w:rFonts w:hint="default" w:ascii="Times New Roman" w:hAnsi="Times New Roman" w:cs="Times New Roman"/>
                <w:color w:val="auto"/>
                <w:kern w:val="0"/>
                <w:sz w:val="21"/>
                <w:szCs w:val="21"/>
                <w:lang w:bidi="ar"/>
              </w:rPr>
              <w:t>）</w:t>
            </w:r>
          </w:p>
        </w:tc>
        <w:tc>
          <w:tcPr>
            <w:tcW w:w="2311" w:type="dxa"/>
            <w:gridSpan w:val="5"/>
            <w:tcBorders>
              <w:tl2br w:val="nil"/>
              <w:tr2bl w:val="nil"/>
            </w:tcBorders>
            <w:noWrap w:val="0"/>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w:t>
            </w:r>
            <w:r>
              <w:rPr>
                <w:rFonts w:hint="default" w:ascii="Times New Roman" w:hAnsi="Times New Roman" w:cs="Times New Roman"/>
                <w:color w:val="auto"/>
                <w:kern w:val="0"/>
                <w:sz w:val="21"/>
                <w:szCs w:val="21"/>
                <w:lang w:val="en-US" w:eastAsia="zh-CN" w:bidi="ar"/>
              </w:rPr>
              <w:t>/</w:t>
            </w:r>
            <w:r>
              <w:rPr>
                <w:rFonts w:hint="default" w:ascii="Times New Roman" w:hAnsi="Times New Roman" w:cs="Times New Roman"/>
                <w:color w:val="auto"/>
                <w:kern w:val="0"/>
                <w:sz w:val="21"/>
                <w:szCs w:val="21"/>
                <w:lang w:bidi="ar"/>
              </w:rPr>
              <w:t>）</w:t>
            </w:r>
          </w:p>
        </w:tc>
        <w:tc>
          <w:tcPr>
            <w:tcW w:w="2313" w:type="dxa"/>
            <w:gridSpan w:val="4"/>
            <w:tcBorders>
              <w:tl2br w:val="nil"/>
              <w:tr2bl w:val="nil"/>
            </w:tcBorders>
            <w:noWrap w:val="0"/>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w:t>
            </w:r>
            <w:r>
              <w:rPr>
                <w:rFonts w:hint="default" w:ascii="Times New Roman" w:hAnsi="Times New Roman" w:cs="Times New Roman"/>
                <w:color w:val="auto"/>
                <w:kern w:val="0"/>
                <w:sz w:val="21"/>
                <w:szCs w:val="21"/>
                <w:lang w:val="en-US" w:eastAsia="zh-CN" w:bidi="ar"/>
              </w:rPr>
              <w:t>/</w:t>
            </w:r>
            <w:r>
              <w:rPr>
                <w:rFonts w:hint="default" w:ascii="Times New Roman" w:hAnsi="Times New Roman" w:cs="Times New Roman"/>
                <w:color w:val="auto"/>
                <w:kern w:val="0"/>
                <w:sz w:val="21"/>
                <w:szCs w:val="21"/>
                <w:lang w:bidi="ar"/>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continue"/>
            <w:tcBorders>
              <w:tl2br w:val="nil"/>
              <w:tr2bl w:val="nil"/>
            </w:tcBorders>
            <w:noWrap/>
            <w:textDirection w:val="tbRlV"/>
            <w:vAlign w:val="center"/>
          </w:tcPr>
          <w:p>
            <w:pPr>
              <w:rPr>
                <w:rFonts w:hint="default" w:ascii="Times New Roman" w:hAnsi="Times New Roman" w:cs="Times New Roman"/>
                <w:color w:val="auto"/>
                <w:sz w:val="21"/>
                <w:szCs w:val="21"/>
              </w:rPr>
            </w:pPr>
          </w:p>
        </w:tc>
        <w:tc>
          <w:tcPr>
            <w:tcW w:w="1577" w:type="dxa"/>
            <w:vMerge w:val="restart"/>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替代源排放情况</w:t>
            </w:r>
          </w:p>
        </w:tc>
        <w:tc>
          <w:tcPr>
            <w:tcW w:w="1387" w:type="dxa"/>
            <w:tcBorders>
              <w:tl2br w:val="nil"/>
              <w:tr2bl w:val="nil"/>
            </w:tcBorders>
            <w:noWrap/>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污染源名称</w:t>
            </w:r>
          </w:p>
        </w:tc>
        <w:tc>
          <w:tcPr>
            <w:tcW w:w="1385" w:type="dxa"/>
            <w:gridSpan w:val="3"/>
            <w:tcBorders>
              <w:tl2br w:val="nil"/>
              <w:tr2bl w:val="nil"/>
            </w:tcBorders>
            <w:noWrap w:val="0"/>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排污许可证编号</w:t>
            </w:r>
          </w:p>
        </w:tc>
        <w:tc>
          <w:tcPr>
            <w:tcW w:w="1388" w:type="dxa"/>
            <w:gridSpan w:val="2"/>
            <w:tcBorders>
              <w:tl2br w:val="nil"/>
              <w:tr2bl w:val="nil"/>
            </w:tcBorders>
            <w:noWrap w:val="0"/>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污染物名称</w:t>
            </w:r>
          </w:p>
        </w:tc>
        <w:tc>
          <w:tcPr>
            <w:tcW w:w="1386" w:type="dxa"/>
            <w:gridSpan w:val="3"/>
            <w:tcBorders>
              <w:tl2br w:val="nil"/>
              <w:tr2bl w:val="nil"/>
            </w:tcBorders>
            <w:noWrap w:val="0"/>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排放量/（t/a）</w:t>
            </w:r>
          </w:p>
        </w:tc>
        <w:tc>
          <w:tcPr>
            <w:tcW w:w="1389" w:type="dxa"/>
            <w:gridSpan w:val="3"/>
            <w:tcBorders>
              <w:tl2br w:val="nil"/>
              <w:tr2bl w:val="nil"/>
            </w:tcBorders>
            <w:noWrap w:val="0"/>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排放浓度/（mg/L）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continue"/>
            <w:tcBorders>
              <w:tl2br w:val="nil"/>
              <w:tr2bl w:val="nil"/>
            </w:tcBorders>
            <w:noWrap/>
            <w:textDirection w:val="tbRlV"/>
            <w:vAlign w:val="center"/>
          </w:tcPr>
          <w:p>
            <w:pPr>
              <w:rPr>
                <w:rFonts w:hint="default" w:ascii="Times New Roman" w:hAnsi="Times New Roman" w:cs="Times New Roman"/>
                <w:color w:val="auto"/>
                <w:sz w:val="21"/>
                <w:szCs w:val="21"/>
              </w:rPr>
            </w:pPr>
          </w:p>
        </w:tc>
        <w:tc>
          <w:tcPr>
            <w:tcW w:w="1577" w:type="dxa"/>
            <w:vMerge w:val="continue"/>
            <w:tcBorders>
              <w:tl2br w:val="nil"/>
              <w:tr2bl w:val="nil"/>
            </w:tcBorders>
            <w:noWrap w:val="0"/>
            <w:vAlign w:val="center"/>
          </w:tcPr>
          <w:p>
            <w:pPr>
              <w:rPr>
                <w:rFonts w:hint="default" w:ascii="Times New Roman" w:hAnsi="Times New Roman" w:cs="Times New Roman"/>
                <w:color w:val="auto"/>
                <w:sz w:val="21"/>
                <w:szCs w:val="21"/>
              </w:rPr>
            </w:pPr>
          </w:p>
        </w:tc>
        <w:tc>
          <w:tcPr>
            <w:tcW w:w="1387" w:type="dxa"/>
            <w:tcBorders>
              <w:tl2br w:val="nil"/>
              <w:tr2bl w:val="nil"/>
            </w:tcBorders>
            <w:noWrap/>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   ）</w:t>
            </w:r>
          </w:p>
        </w:tc>
        <w:tc>
          <w:tcPr>
            <w:tcW w:w="1385" w:type="dxa"/>
            <w:gridSpan w:val="3"/>
            <w:tcBorders>
              <w:tl2br w:val="nil"/>
              <w:tr2bl w:val="nil"/>
            </w:tcBorders>
            <w:noWrap w:val="0"/>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   ）</w:t>
            </w:r>
          </w:p>
        </w:tc>
        <w:tc>
          <w:tcPr>
            <w:tcW w:w="1388" w:type="dxa"/>
            <w:gridSpan w:val="2"/>
            <w:tcBorders>
              <w:tl2br w:val="nil"/>
              <w:tr2bl w:val="nil"/>
            </w:tcBorders>
            <w:noWrap w:val="0"/>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   ）</w:t>
            </w:r>
          </w:p>
        </w:tc>
        <w:tc>
          <w:tcPr>
            <w:tcW w:w="1386" w:type="dxa"/>
            <w:gridSpan w:val="3"/>
            <w:tcBorders>
              <w:tl2br w:val="nil"/>
              <w:tr2bl w:val="nil"/>
            </w:tcBorders>
            <w:noWrap w:val="0"/>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   ）</w:t>
            </w:r>
          </w:p>
        </w:tc>
        <w:tc>
          <w:tcPr>
            <w:tcW w:w="1389" w:type="dxa"/>
            <w:gridSpan w:val="3"/>
            <w:tcBorders>
              <w:tl2br w:val="nil"/>
              <w:tr2bl w:val="nil"/>
            </w:tcBorders>
            <w:noWrap w:val="0"/>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continue"/>
            <w:tcBorders>
              <w:tl2br w:val="nil"/>
              <w:tr2bl w:val="nil"/>
            </w:tcBorders>
            <w:noWrap/>
            <w:textDirection w:val="tbRlV"/>
            <w:vAlign w:val="center"/>
          </w:tcPr>
          <w:p>
            <w:pPr>
              <w:rPr>
                <w:rFonts w:hint="default" w:ascii="Times New Roman" w:hAnsi="Times New Roman" w:cs="Times New Roman"/>
                <w:color w:val="auto"/>
                <w:sz w:val="21"/>
                <w:szCs w:val="21"/>
              </w:rPr>
            </w:pPr>
          </w:p>
        </w:tc>
        <w:tc>
          <w:tcPr>
            <w:tcW w:w="1577" w:type="dxa"/>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生态流量确定</w:t>
            </w:r>
          </w:p>
        </w:tc>
        <w:tc>
          <w:tcPr>
            <w:tcW w:w="6935" w:type="dxa"/>
            <w:gridSpan w:val="12"/>
            <w:tcBorders>
              <w:tl2br w:val="nil"/>
              <w:tr2bl w:val="nil"/>
            </w:tcBorders>
            <w:noWrap/>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生态流量：一般水期（   ）m</w:t>
            </w:r>
            <w:r>
              <w:rPr>
                <w:rFonts w:hint="default" w:ascii="Times New Roman" w:hAnsi="Times New Roman" w:cs="Times New Roman"/>
                <w:color w:val="auto"/>
                <w:kern w:val="0"/>
                <w:sz w:val="21"/>
                <w:szCs w:val="21"/>
                <w:vertAlign w:val="superscript"/>
                <w:lang w:bidi="ar"/>
              </w:rPr>
              <w:t>3</w:t>
            </w:r>
            <w:r>
              <w:rPr>
                <w:rFonts w:hint="default" w:ascii="Times New Roman" w:hAnsi="Times New Roman" w:cs="Times New Roman"/>
                <w:color w:val="auto"/>
                <w:kern w:val="0"/>
                <w:sz w:val="21"/>
                <w:szCs w:val="21"/>
                <w:lang w:bidi="ar"/>
              </w:rPr>
              <w:t>/s；鱼类繁殖期（   ）m</w:t>
            </w:r>
            <w:r>
              <w:rPr>
                <w:rFonts w:hint="default" w:ascii="Times New Roman" w:hAnsi="Times New Roman" w:cs="Times New Roman"/>
                <w:color w:val="auto"/>
                <w:kern w:val="0"/>
                <w:sz w:val="21"/>
                <w:szCs w:val="21"/>
                <w:vertAlign w:val="superscript"/>
                <w:lang w:bidi="ar"/>
              </w:rPr>
              <w:t>3</w:t>
            </w:r>
            <w:r>
              <w:rPr>
                <w:rFonts w:hint="default" w:ascii="Times New Roman" w:hAnsi="Times New Roman" w:cs="Times New Roman"/>
                <w:color w:val="auto"/>
                <w:kern w:val="0"/>
                <w:sz w:val="21"/>
                <w:szCs w:val="21"/>
                <w:lang w:bidi="ar"/>
              </w:rPr>
              <w:t>/s；其他（   ）m</w:t>
            </w:r>
            <w:r>
              <w:rPr>
                <w:rFonts w:hint="default" w:ascii="Times New Roman" w:hAnsi="Times New Roman" w:cs="Times New Roman"/>
                <w:color w:val="auto"/>
                <w:kern w:val="0"/>
                <w:sz w:val="21"/>
                <w:szCs w:val="21"/>
                <w:vertAlign w:val="superscript"/>
                <w:lang w:bidi="ar"/>
              </w:rPr>
              <w:t>3</w:t>
            </w:r>
            <w:r>
              <w:rPr>
                <w:rFonts w:hint="default" w:ascii="Times New Roman" w:hAnsi="Times New Roman" w:cs="Times New Roman"/>
                <w:color w:val="auto"/>
                <w:kern w:val="0"/>
                <w:sz w:val="21"/>
                <w:szCs w:val="21"/>
                <w:lang w:bidi="ar"/>
              </w:rPr>
              <w:t>/s</w:t>
            </w:r>
          </w:p>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生态水位：一般水期（   ）m；鱼类繁殖期（   ）m；其他（   ）m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restart"/>
            <w:tcBorders>
              <w:tl2br w:val="nil"/>
              <w:tr2bl w:val="nil"/>
            </w:tcBorders>
            <w:noWrap/>
            <w:textDirection w:val="tbRlV"/>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防治措施</w:t>
            </w:r>
          </w:p>
        </w:tc>
        <w:tc>
          <w:tcPr>
            <w:tcW w:w="1577" w:type="dxa"/>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环保措施</w:t>
            </w:r>
          </w:p>
        </w:tc>
        <w:tc>
          <w:tcPr>
            <w:tcW w:w="6935" w:type="dxa"/>
            <w:gridSpan w:val="12"/>
            <w:tcBorders>
              <w:tl2br w:val="nil"/>
              <w:tr2bl w:val="nil"/>
            </w:tcBorders>
            <w:noWrap/>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 xml:space="preserve">污水处理设施 </w:t>
            </w:r>
            <w:r>
              <w:rPr>
                <w:rFonts w:hint="default" w:ascii="Times New Roman" w:hAnsi="Times New Roman" w:eastAsia="Wingdings 2" w:cs="Times New Roman"/>
                <w:color w:val="auto"/>
                <w:kern w:val="0"/>
                <w:sz w:val="21"/>
                <w:szCs w:val="21"/>
                <w:lang w:bidi="ar"/>
              </w:rPr>
              <w:sym w:font="Wingdings 2" w:char="0052"/>
            </w:r>
            <w:r>
              <w:rPr>
                <w:rFonts w:hint="default" w:ascii="Times New Roman" w:hAnsi="Times New Roman" w:cs="Times New Roman"/>
                <w:color w:val="auto"/>
                <w:kern w:val="0"/>
                <w:sz w:val="21"/>
                <w:szCs w:val="21"/>
                <w:lang w:bidi="ar"/>
              </w:rPr>
              <w:t>；水文减缓设施 □；生态流量保障设施 □；区域削减 □；依托其他工程措施 □；其他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continue"/>
            <w:tcBorders>
              <w:tl2br w:val="nil"/>
              <w:tr2bl w:val="nil"/>
            </w:tcBorders>
            <w:noWrap/>
            <w:textDirection w:val="tbRlV"/>
            <w:vAlign w:val="center"/>
          </w:tcPr>
          <w:p>
            <w:pPr>
              <w:rPr>
                <w:rFonts w:hint="default" w:ascii="Times New Roman" w:hAnsi="Times New Roman" w:cs="Times New Roman"/>
                <w:color w:val="auto"/>
                <w:sz w:val="21"/>
                <w:szCs w:val="21"/>
              </w:rPr>
            </w:pPr>
          </w:p>
        </w:tc>
        <w:tc>
          <w:tcPr>
            <w:tcW w:w="1577" w:type="dxa"/>
            <w:vMerge w:val="restart"/>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监测计划</w:t>
            </w:r>
          </w:p>
        </w:tc>
        <w:tc>
          <w:tcPr>
            <w:tcW w:w="1733" w:type="dxa"/>
            <w:gridSpan w:val="2"/>
            <w:tcBorders>
              <w:tl2br w:val="nil"/>
              <w:tr2bl w:val="nil"/>
            </w:tcBorders>
            <w:noWrap/>
            <w:vAlign w:val="center"/>
          </w:tcPr>
          <w:p>
            <w:pPr>
              <w:widowControl/>
              <w:jc w:val="center"/>
              <w:rPr>
                <w:rFonts w:hint="default" w:ascii="Times New Roman" w:hAnsi="Times New Roman" w:cs="Times New Roman"/>
                <w:color w:val="auto"/>
                <w:sz w:val="21"/>
                <w:szCs w:val="21"/>
              </w:rPr>
            </w:pPr>
          </w:p>
        </w:tc>
        <w:tc>
          <w:tcPr>
            <w:tcW w:w="2600" w:type="dxa"/>
            <w:gridSpan w:val="5"/>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环境质量</w:t>
            </w:r>
          </w:p>
        </w:tc>
        <w:tc>
          <w:tcPr>
            <w:tcW w:w="2602" w:type="dxa"/>
            <w:gridSpan w:val="5"/>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污染源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continue"/>
            <w:tcBorders>
              <w:tl2br w:val="nil"/>
              <w:tr2bl w:val="nil"/>
            </w:tcBorders>
            <w:noWrap/>
            <w:textDirection w:val="tbRlV"/>
            <w:vAlign w:val="center"/>
          </w:tcPr>
          <w:p>
            <w:pPr>
              <w:rPr>
                <w:rFonts w:hint="default" w:ascii="Times New Roman" w:hAnsi="Times New Roman" w:cs="Times New Roman"/>
                <w:color w:val="auto"/>
                <w:sz w:val="21"/>
                <w:szCs w:val="21"/>
              </w:rPr>
            </w:pPr>
          </w:p>
        </w:tc>
        <w:tc>
          <w:tcPr>
            <w:tcW w:w="1577" w:type="dxa"/>
            <w:vMerge w:val="continue"/>
            <w:tcBorders>
              <w:tl2br w:val="nil"/>
              <w:tr2bl w:val="nil"/>
            </w:tcBorders>
            <w:noWrap w:val="0"/>
            <w:vAlign w:val="center"/>
          </w:tcPr>
          <w:p>
            <w:pPr>
              <w:rPr>
                <w:rFonts w:hint="default" w:ascii="Times New Roman" w:hAnsi="Times New Roman" w:cs="Times New Roman"/>
                <w:color w:val="auto"/>
                <w:sz w:val="21"/>
                <w:szCs w:val="21"/>
              </w:rPr>
            </w:pPr>
          </w:p>
        </w:tc>
        <w:tc>
          <w:tcPr>
            <w:tcW w:w="1733" w:type="dxa"/>
            <w:gridSpan w:val="2"/>
            <w:tcBorders>
              <w:tl2br w:val="nil"/>
              <w:tr2bl w:val="nil"/>
            </w:tcBorders>
            <w:noWrap/>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监测方式</w:t>
            </w:r>
          </w:p>
        </w:tc>
        <w:tc>
          <w:tcPr>
            <w:tcW w:w="2600" w:type="dxa"/>
            <w:gridSpan w:val="5"/>
            <w:tcBorders>
              <w:tl2br w:val="nil"/>
              <w:tr2bl w:val="nil"/>
            </w:tcBorders>
            <w:noWrap w:val="0"/>
            <w:vAlign w:val="center"/>
          </w:tcPr>
          <w:p>
            <w:pPr>
              <w:widowControl/>
              <w:jc w:val="center"/>
              <w:rPr>
                <w:rFonts w:hint="default" w:ascii="Times New Roman" w:hAnsi="Times New Roman" w:cs="Times New Roman"/>
                <w:b/>
                <w:color w:val="auto"/>
                <w:sz w:val="21"/>
                <w:szCs w:val="21"/>
              </w:rPr>
            </w:pPr>
            <w:r>
              <w:rPr>
                <w:rFonts w:hint="default" w:ascii="Times New Roman" w:hAnsi="Times New Roman" w:cs="Times New Roman"/>
                <w:color w:val="auto"/>
                <w:kern w:val="0"/>
                <w:sz w:val="21"/>
                <w:szCs w:val="21"/>
                <w:lang w:bidi="ar"/>
              </w:rPr>
              <w:t xml:space="preserve">手动 □；自动 □；无监测 </w:t>
            </w:r>
            <w:r>
              <w:rPr>
                <w:rFonts w:hint="default" w:ascii="Times New Roman" w:hAnsi="Times New Roman" w:eastAsia="Wingdings 2" w:cs="Times New Roman"/>
                <w:color w:val="auto"/>
                <w:kern w:val="0"/>
                <w:sz w:val="21"/>
                <w:szCs w:val="21"/>
                <w:lang w:bidi="ar"/>
              </w:rPr>
              <w:sym w:font="Wingdings 2" w:char="0052"/>
            </w:r>
          </w:p>
        </w:tc>
        <w:tc>
          <w:tcPr>
            <w:tcW w:w="2602" w:type="dxa"/>
            <w:gridSpan w:val="5"/>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 xml:space="preserve">手动 □；自动 □；无监测 </w:t>
            </w:r>
            <w:r>
              <w:rPr>
                <w:rFonts w:hint="default" w:ascii="Times New Roman" w:hAnsi="Times New Roman" w:eastAsia="Wingdings 2" w:cs="Times New Roman"/>
                <w:color w:val="auto"/>
                <w:kern w:val="0"/>
                <w:sz w:val="21"/>
                <w:szCs w:val="21"/>
                <w:lang w:bidi="ar"/>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continue"/>
            <w:tcBorders>
              <w:tl2br w:val="nil"/>
              <w:tr2bl w:val="nil"/>
            </w:tcBorders>
            <w:noWrap/>
            <w:textDirection w:val="tbRlV"/>
            <w:vAlign w:val="center"/>
          </w:tcPr>
          <w:p>
            <w:pPr>
              <w:rPr>
                <w:rFonts w:hint="default" w:ascii="Times New Roman" w:hAnsi="Times New Roman" w:cs="Times New Roman"/>
                <w:color w:val="auto"/>
                <w:sz w:val="21"/>
                <w:szCs w:val="21"/>
              </w:rPr>
            </w:pPr>
          </w:p>
        </w:tc>
        <w:tc>
          <w:tcPr>
            <w:tcW w:w="1577" w:type="dxa"/>
            <w:vMerge w:val="continue"/>
            <w:tcBorders>
              <w:tl2br w:val="nil"/>
              <w:tr2bl w:val="nil"/>
            </w:tcBorders>
            <w:noWrap w:val="0"/>
            <w:vAlign w:val="center"/>
          </w:tcPr>
          <w:p>
            <w:pPr>
              <w:rPr>
                <w:rFonts w:hint="default" w:ascii="Times New Roman" w:hAnsi="Times New Roman" w:cs="Times New Roman"/>
                <w:color w:val="auto"/>
                <w:sz w:val="21"/>
                <w:szCs w:val="21"/>
              </w:rPr>
            </w:pPr>
          </w:p>
        </w:tc>
        <w:tc>
          <w:tcPr>
            <w:tcW w:w="1733" w:type="dxa"/>
            <w:gridSpan w:val="2"/>
            <w:tcBorders>
              <w:tl2br w:val="nil"/>
              <w:tr2bl w:val="nil"/>
            </w:tcBorders>
            <w:noWrap/>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监测点位</w:t>
            </w:r>
          </w:p>
        </w:tc>
        <w:tc>
          <w:tcPr>
            <w:tcW w:w="2600" w:type="dxa"/>
            <w:gridSpan w:val="5"/>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   ）</w:t>
            </w:r>
          </w:p>
        </w:tc>
        <w:tc>
          <w:tcPr>
            <w:tcW w:w="2602" w:type="dxa"/>
            <w:gridSpan w:val="5"/>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continue"/>
            <w:tcBorders>
              <w:tl2br w:val="nil"/>
              <w:tr2bl w:val="nil"/>
            </w:tcBorders>
            <w:noWrap/>
            <w:textDirection w:val="tbRlV"/>
            <w:vAlign w:val="center"/>
          </w:tcPr>
          <w:p>
            <w:pPr>
              <w:rPr>
                <w:rFonts w:hint="default" w:ascii="Times New Roman" w:hAnsi="Times New Roman" w:cs="Times New Roman"/>
                <w:color w:val="auto"/>
                <w:sz w:val="21"/>
                <w:szCs w:val="21"/>
              </w:rPr>
            </w:pPr>
          </w:p>
        </w:tc>
        <w:tc>
          <w:tcPr>
            <w:tcW w:w="1577" w:type="dxa"/>
            <w:vMerge w:val="continue"/>
            <w:tcBorders>
              <w:tl2br w:val="nil"/>
              <w:tr2bl w:val="nil"/>
            </w:tcBorders>
            <w:noWrap w:val="0"/>
            <w:vAlign w:val="center"/>
          </w:tcPr>
          <w:p>
            <w:pPr>
              <w:rPr>
                <w:rFonts w:hint="default" w:ascii="Times New Roman" w:hAnsi="Times New Roman" w:cs="Times New Roman"/>
                <w:color w:val="auto"/>
                <w:sz w:val="21"/>
                <w:szCs w:val="21"/>
              </w:rPr>
            </w:pPr>
          </w:p>
        </w:tc>
        <w:tc>
          <w:tcPr>
            <w:tcW w:w="1733" w:type="dxa"/>
            <w:gridSpan w:val="2"/>
            <w:tcBorders>
              <w:tl2br w:val="nil"/>
              <w:tr2bl w:val="nil"/>
            </w:tcBorders>
            <w:noWrap/>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监测因子</w:t>
            </w:r>
          </w:p>
        </w:tc>
        <w:tc>
          <w:tcPr>
            <w:tcW w:w="2600" w:type="dxa"/>
            <w:gridSpan w:val="5"/>
            <w:tcBorders>
              <w:tl2br w:val="nil"/>
              <w:tr2bl w:val="nil"/>
            </w:tcBorders>
            <w:noWrap w:val="0"/>
            <w:vAlign w:val="top"/>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   ）</w:t>
            </w:r>
          </w:p>
        </w:tc>
        <w:tc>
          <w:tcPr>
            <w:tcW w:w="2602" w:type="dxa"/>
            <w:gridSpan w:val="5"/>
            <w:tcBorders>
              <w:tl2br w:val="nil"/>
              <w:tr2bl w:val="nil"/>
            </w:tcBorders>
            <w:noWrap w:val="0"/>
            <w:vAlign w:val="top"/>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8" w:type="dxa"/>
            <w:vMerge w:val="continue"/>
            <w:tcBorders>
              <w:tl2br w:val="nil"/>
              <w:tr2bl w:val="nil"/>
            </w:tcBorders>
            <w:noWrap/>
            <w:textDirection w:val="tbRlV"/>
            <w:vAlign w:val="center"/>
          </w:tcPr>
          <w:p>
            <w:pPr>
              <w:rPr>
                <w:rFonts w:hint="default" w:ascii="Times New Roman" w:hAnsi="Times New Roman" w:cs="Times New Roman"/>
                <w:color w:val="auto"/>
                <w:sz w:val="21"/>
                <w:szCs w:val="21"/>
              </w:rPr>
            </w:pPr>
          </w:p>
        </w:tc>
        <w:tc>
          <w:tcPr>
            <w:tcW w:w="1577" w:type="dxa"/>
            <w:tcBorders>
              <w:tl2br w:val="nil"/>
              <w:tr2bl w:val="nil"/>
            </w:tcBorders>
            <w:noWrap w:val="0"/>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污染物排放清单</w:t>
            </w:r>
          </w:p>
        </w:tc>
        <w:tc>
          <w:tcPr>
            <w:tcW w:w="6935" w:type="dxa"/>
            <w:gridSpan w:val="12"/>
            <w:tcBorders>
              <w:tl2br w:val="nil"/>
              <w:tr2bl w:val="nil"/>
            </w:tcBorders>
            <w:noWrap/>
            <w:vAlign w:val="center"/>
          </w:tcPr>
          <w:p>
            <w:pPr>
              <w:widowControl/>
              <w:jc w:val="left"/>
              <w:rPr>
                <w:rFonts w:hint="default" w:ascii="Times New Roman" w:hAnsi="Times New Roman" w:cs="Times New Roman"/>
                <w:color w:val="auto"/>
                <w:sz w:val="21"/>
                <w:szCs w:val="21"/>
              </w:rPr>
            </w:pPr>
            <w:r>
              <w:rPr>
                <w:rFonts w:hint="default" w:ascii="Times New Roman" w:hAnsi="Times New Roman" w:eastAsia="Wingdings 2" w:cs="Times New Roman"/>
                <w:color w:val="auto"/>
                <w:kern w:val="0"/>
                <w:sz w:val="21"/>
                <w:szCs w:val="21"/>
                <w:lang w:bidi="ar"/>
              </w:rPr>
              <w:sym w:font="Wingdings 2" w:char="0052"/>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285" w:type="dxa"/>
            <w:gridSpan w:val="2"/>
            <w:tcBorders>
              <w:tl2br w:val="nil"/>
              <w:tr2bl w:val="nil"/>
            </w:tcBorders>
            <w:noWrap/>
            <w:vAlign w:val="center"/>
          </w:tcPr>
          <w:p>
            <w:pPr>
              <w:widowControl/>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评价结论</w:t>
            </w:r>
          </w:p>
        </w:tc>
        <w:tc>
          <w:tcPr>
            <w:tcW w:w="6935" w:type="dxa"/>
            <w:gridSpan w:val="12"/>
            <w:tcBorders>
              <w:tl2br w:val="nil"/>
              <w:tr2bl w:val="nil"/>
            </w:tcBorders>
            <w:noWrap/>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 xml:space="preserve">可以接受 </w:t>
            </w:r>
            <w:r>
              <w:rPr>
                <w:rFonts w:hint="default" w:ascii="Times New Roman" w:hAnsi="Times New Roman" w:eastAsia="Wingdings 2" w:cs="Times New Roman"/>
                <w:color w:val="auto"/>
                <w:kern w:val="0"/>
                <w:sz w:val="21"/>
                <w:szCs w:val="21"/>
                <w:lang w:bidi="ar"/>
              </w:rPr>
              <w:sym w:font="Wingdings 2" w:char="0052"/>
            </w:r>
            <w:r>
              <w:rPr>
                <w:rFonts w:hint="default" w:ascii="Times New Roman" w:hAnsi="Times New Roman" w:cs="Times New Roman"/>
                <w:color w:val="auto"/>
                <w:kern w:val="0"/>
                <w:sz w:val="21"/>
                <w:szCs w:val="21"/>
                <w:lang w:bidi="ar"/>
              </w:rPr>
              <w:t>；不可以接受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220" w:type="dxa"/>
            <w:gridSpan w:val="14"/>
            <w:tcBorders>
              <w:tl2br w:val="nil"/>
              <w:tr2bl w:val="nil"/>
            </w:tcBorders>
            <w:noWrap/>
            <w:vAlign w:val="center"/>
          </w:tcPr>
          <w:p>
            <w:pPr>
              <w:widowControl/>
              <w:jc w:val="left"/>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注：“□”为勾选项，可√；“（   ）”为内容填写项；“备注”为其他补充内容。</w:t>
            </w:r>
          </w:p>
        </w:tc>
      </w:tr>
    </w:tbl>
    <w:p>
      <w:pPr>
        <w:pStyle w:val="16"/>
        <w:adjustRightInd w:val="0"/>
        <w:snapToGrid w:val="0"/>
        <w:spacing w:line="360" w:lineRule="auto"/>
        <w:ind w:left="0" w:right="0" w:firstLine="261" w:firstLineChars="200"/>
        <w:jc w:val="both"/>
        <w:rPr>
          <w:color w:val="auto"/>
        </w:rPr>
      </w:pPr>
    </w:p>
    <w:p>
      <w:pPr>
        <w:pStyle w:val="6"/>
        <w:adjustRightInd w:val="0"/>
        <w:snapToGrid w:val="0"/>
        <w:spacing w:before="0" w:after="0" w:line="360" w:lineRule="auto"/>
        <w:rPr>
          <w:rFonts w:ascii="Times New Roman" w:hAnsi="Times New Roman" w:eastAsia="宋体"/>
          <w:color w:val="auto"/>
          <w:sz w:val="28"/>
          <w:szCs w:val="28"/>
        </w:rPr>
      </w:pPr>
      <w:bookmarkStart w:id="223" w:name="_Toc17254"/>
      <w:r>
        <w:rPr>
          <w:rFonts w:hint="eastAsia" w:ascii="Times New Roman" w:hAnsi="Times New Roman" w:eastAsia="宋体"/>
          <w:color w:val="auto"/>
          <w:sz w:val="28"/>
          <w:szCs w:val="28"/>
        </w:rPr>
        <w:t>5.2.3运营期地下水环境影响评价</w:t>
      </w:r>
      <w:bookmarkEnd w:id="223"/>
    </w:p>
    <w:p>
      <w:pPr>
        <w:adjustRightInd w:val="0"/>
        <w:snapToGrid w:val="0"/>
        <w:spacing w:line="360" w:lineRule="auto"/>
        <w:ind w:firstLine="482" w:firstLineChars="200"/>
        <w:rPr>
          <w:rFonts w:hint="eastAsia" w:ascii="Times New Roman" w:hAnsi="Times New Roman" w:eastAsia="宋体"/>
          <w:b/>
          <w:bCs/>
          <w:color w:val="auto"/>
          <w:sz w:val="24"/>
          <w:szCs w:val="24"/>
        </w:rPr>
      </w:pPr>
      <w:bookmarkStart w:id="224" w:name="_Toc459118469"/>
      <w:bookmarkStart w:id="225" w:name="_Toc22208"/>
      <w:r>
        <w:rPr>
          <w:rFonts w:hint="eastAsia" w:ascii="Times New Roman" w:hAnsi="Times New Roman" w:eastAsia="宋体"/>
          <w:b/>
          <w:bCs/>
          <w:color w:val="auto"/>
          <w:sz w:val="24"/>
          <w:szCs w:val="24"/>
        </w:rPr>
        <w:t>1、区域地下水水文地质条件</w:t>
      </w:r>
    </w:p>
    <w:p>
      <w:pPr>
        <w:adjustRightInd w:val="0"/>
        <w:snapToGrid w:val="0"/>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根据调查，本项目地处丘陵地带，区域地下水流场与地表水一致。项目区域地下水流向总体为自</w:t>
      </w:r>
      <w:r>
        <w:rPr>
          <w:rFonts w:hint="eastAsia" w:ascii="Times New Roman" w:hAnsi="Times New Roman" w:eastAsia="宋体"/>
          <w:color w:val="auto"/>
          <w:sz w:val="24"/>
          <w:szCs w:val="24"/>
          <w:lang w:eastAsia="zh-CN"/>
        </w:rPr>
        <w:t>西北向东南</w:t>
      </w:r>
      <w:r>
        <w:rPr>
          <w:rFonts w:hint="eastAsia" w:ascii="Times New Roman" w:hAnsi="Times New Roman" w:eastAsia="宋体"/>
          <w:color w:val="auto"/>
          <w:sz w:val="24"/>
          <w:szCs w:val="24"/>
        </w:rPr>
        <w:t>，项目场地雨水经</w:t>
      </w:r>
      <w:r>
        <w:rPr>
          <w:rFonts w:hint="eastAsia" w:ascii="Times New Roman" w:hAnsi="Times New Roman" w:eastAsia="宋体"/>
          <w:color w:val="auto"/>
          <w:sz w:val="24"/>
          <w:szCs w:val="24"/>
          <w:lang w:eastAsia="zh-CN"/>
        </w:rPr>
        <w:t>排水</w:t>
      </w:r>
      <w:r>
        <w:rPr>
          <w:rFonts w:hint="eastAsia" w:ascii="Times New Roman" w:hAnsi="Times New Roman" w:eastAsia="宋体"/>
          <w:color w:val="auto"/>
          <w:sz w:val="24"/>
          <w:szCs w:val="24"/>
        </w:rPr>
        <w:t>沟进入</w:t>
      </w:r>
      <w:r>
        <w:rPr>
          <w:rFonts w:hint="eastAsia" w:ascii="Times New Roman" w:hAnsi="Times New Roman" w:eastAsia="宋体"/>
          <w:color w:val="auto"/>
          <w:sz w:val="24"/>
          <w:szCs w:val="24"/>
          <w:lang w:eastAsia="zh-CN"/>
        </w:rPr>
        <w:t>场地外的无名沟渠</w:t>
      </w:r>
      <w:r>
        <w:rPr>
          <w:rFonts w:hint="eastAsia" w:ascii="Times New Roman" w:hAnsi="Times New Roman" w:eastAsia="宋体"/>
          <w:color w:val="auto"/>
          <w:sz w:val="24"/>
          <w:szCs w:val="24"/>
        </w:rPr>
        <w:t>，地下水流向基本与地面雨水流向一致。区域海拔高点位于本项目处，区域地下水由该处为高点，沿等高线下降方向流向。区域水源补给主要为降雨补给，水量较为充足</w:t>
      </w:r>
      <w:r>
        <w:rPr>
          <w:rFonts w:hint="eastAsia" w:ascii="Times New Roman" w:hAnsi="Times New Roman" w:eastAsia="宋体"/>
          <w:color w:val="auto"/>
          <w:sz w:val="24"/>
          <w:szCs w:val="24"/>
          <w:lang w:eastAsia="zh-CN"/>
        </w:rPr>
        <w:t>。</w:t>
      </w:r>
    </w:p>
    <w:p>
      <w:pPr>
        <w:adjustRightInd w:val="0"/>
        <w:snapToGrid w:val="0"/>
        <w:spacing w:line="360" w:lineRule="auto"/>
        <w:ind w:firstLine="480" w:firstLineChars="200"/>
        <w:rPr>
          <w:rFonts w:hint="eastAsia" w:ascii="Times New Roman" w:hAnsi="Times New Roman" w:eastAsia="宋体"/>
          <w:color w:val="auto"/>
          <w:sz w:val="24"/>
          <w:szCs w:val="24"/>
          <w:lang w:val="zh-CN"/>
        </w:rPr>
      </w:pPr>
      <w:r>
        <w:rPr>
          <w:rFonts w:hint="eastAsia" w:ascii="Times New Roman" w:hAnsi="Times New Roman" w:eastAsia="宋体"/>
          <w:color w:val="auto"/>
          <w:sz w:val="24"/>
          <w:szCs w:val="24"/>
        </w:rPr>
        <w:t>区内地下水的补给条件受多种因素控制，并以大气降水的渗入为主要补给来源，此外亦接受地表水体（池塘、河流、沟渠）的渗入补给，由于砂、泥岩多裸露地表，主要为风化裂隙储水，受水面积大，易于补给。</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工程区域地下水的循环模式主要属于自流斜地型，大气降水依地势补给至相对低洼的农田，一部分下渗补给地下水，一部分随地表径流流向低洼处。</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项目对区域地下水进行监测，根据监测结果，</w:t>
      </w:r>
      <w:r>
        <w:rPr>
          <w:rFonts w:hint="eastAsia" w:ascii="Times New Roman" w:hAnsi="Times New Roman" w:eastAsia="宋体"/>
          <w:color w:val="auto"/>
          <w:sz w:val="24"/>
          <w:szCs w:val="24"/>
          <w:lang w:eastAsia="zh-CN"/>
        </w:rPr>
        <w:t>除</w:t>
      </w:r>
      <w:r>
        <w:rPr>
          <w:rFonts w:hint="eastAsia" w:ascii="Times New Roman" w:hAnsi="Times New Roman" w:eastAsia="宋体"/>
          <w:color w:val="auto"/>
          <w:sz w:val="24"/>
          <w:szCs w:val="24"/>
        </w:rPr>
        <w:t>总大肠菌群数</w:t>
      </w:r>
      <w:r>
        <w:rPr>
          <w:rFonts w:hint="eastAsia" w:ascii="Times New Roman" w:hAnsi="Times New Roman" w:eastAsia="宋体"/>
          <w:color w:val="auto"/>
          <w:sz w:val="24"/>
          <w:szCs w:val="24"/>
          <w:lang w:eastAsia="zh-CN"/>
        </w:rPr>
        <w:t>外，其余</w:t>
      </w:r>
      <w:r>
        <w:rPr>
          <w:rFonts w:hint="eastAsia" w:ascii="Times New Roman" w:hAnsi="Times New Roman" w:eastAsia="宋体"/>
          <w:color w:val="auto"/>
          <w:sz w:val="24"/>
          <w:szCs w:val="24"/>
        </w:rPr>
        <w:t>各监测因子均满足《地下水质量标准》(GB/T14848-2017)Ⅲ类水质要求。</w:t>
      </w:r>
    </w:p>
    <w:p>
      <w:pPr>
        <w:adjustRightInd w:val="0"/>
        <w:snapToGrid w:val="0"/>
        <w:spacing w:line="360" w:lineRule="auto"/>
        <w:ind w:firstLine="482" w:firstLineChars="200"/>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rPr>
        <w:t>2、周边地下水取用水情况调查</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经现场勘察，项目厂区周边500m范围内存在分散式农户取水水井。本项目废水消纳区分布在项目四周，不在饮用水源保护区范围内，项目的实施对当地饮用水源地不会产生影响。</w:t>
      </w:r>
    </w:p>
    <w:p>
      <w:pPr>
        <w:adjustRightInd w:val="0"/>
        <w:snapToGrid w:val="0"/>
        <w:spacing w:line="360" w:lineRule="auto"/>
        <w:ind w:firstLine="482" w:firstLineChars="200"/>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rPr>
        <w:t>3、地下水污染途径</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污染物对地下水的影响主要是由于降雨或废水排放等通过垂直渗透进入包气带，进入包气带的污染物在物理、化学和生物的作用下经吸附、转化、迁移和分解后输入地下水。因此，包气带是联接地面污染物与地下含水层的主要通道和过渡带，既是污染物媒介体，又是污染物的净化场所和地下水的防护层。地下水能否被污染取决于污染物的种类和性质，以及包气带的防污性能。一般来说，土壤粒细而紧密，渗透性差, 则污染缓慢；反之，颗粒大而松散，渗透性能良好则污染快速；包气带厚度较小，地下水埋深浅，则污染物通过包气带进入含水层的可能性大，易造成地下水的污染。</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根据本项目工程设施分析，项目</w:t>
      </w:r>
      <w:r>
        <w:rPr>
          <w:rFonts w:hint="eastAsia" w:ascii="Times New Roman" w:hAnsi="Times New Roman" w:eastAsia="宋体"/>
          <w:color w:val="auto"/>
          <w:sz w:val="24"/>
          <w:szCs w:val="24"/>
          <w:lang w:eastAsia="zh-CN"/>
        </w:rPr>
        <w:t>猪舍</w:t>
      </w:r>
      <w:r>
        <w:rPr>
          <w:rFonts w:hint="eastAsia" w:ascii="Times New Roman" w:hAnsi="Times New Roman" w:eastAsia="宋体"/>
          <w:color w:val="auto"/>
          <w:sz w:val="24"/>
          <w:szCs w:val="24"/>
        </w:rPr>
        <w:t>等均为地上工程，而</w:t>
      </w:r>
      <w:r>
        <w:rPr>
          <w:rFonts w:hint="eastAsia" w:ascii="Times New Roman" w:hAnsi="Times New Roman" w:eastAsia="宋体"/>
          <w:color w:val="auto"/>
          <w:sz w:val="24"/>
          <w:szCs w:val="24"/>
          <w:lang w:eastAsia="zh-CN"/>
        </w:rPr>
        <w:t>污水处理区</w:t>
      </w:r>
      <w:r>
        <w:rPr>
          <w:rFonts w:hint="eastAsia" w:ascii="Times New Roman" w:hAnsi="Times New Roman" w:eastAsia="宋体"/>
          <w:color w:val="auto"/>
          <w:sz w:val="24"/>
          <w:szCs w:val="24"/>
        </w:rPr>
        <w:t>为半埋式地下设施，如发生泄漏不容易发现处理。非正常工况情况下可能发生泄漏的污染源主要集中在</w:t>
      </w:r>
      <w:r>
        <w:rPr>
          <w:rFonts w:hint="eastAsia" w:ascii="Times New Roman" w:hAnsi="Times New Roman" w:eastAsia="宋体"/>
          <w:color w:val="auto"/>
          <w:sz w:val="24"/>
          <w:szCs w:val="24"/>
          <w:lang w:eastAsia="zh-CN"/>
        </w:rPr>
        <w:t>污水处理区</w:t>
      </w:r>
      <w:r>
        <w:rPr>
          <w:rFonts w:hint="eastAsia" w:ascii="Times New Roman" w:hAnsi="Times New Roman" w:eastAsia="宋体"/>
          <w:color w:val="auto"/>
          <w:sz w:val="24"/>
          <w:szCs w:val="24"/>
        </w:rPr>
        <w:t>。</w:t>
      </w:r>
    </w:p>
    <w:p>
      <w:pPr>
        <w:adjustRightInd w:val="0"/>
        <w:snapToGrid w:val="0"/>
        <w:spacing w:line="360" w:lineRule="auto"/>
        <w:ind w:firstLine="482" w:firstLineChars="200"/>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rPr>
        <w:t>4、污染防控对策</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本项目地下水污染防治措施按照“源头控制、分区防控”的原则制定污染防治措施。</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（1）源头控制措施</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本项目场区内污水均采用密闭式污水管输送，产生的废水通过管道收集，由</w:t>
      </w:r>
      <w:r>
        <w:rPr>
          <w:rFonts w:hint="eastAsia" w:ascii="Times New Roman" w:hAnsi="Times New Roman" w:eastAsia="宋体"/>
          <w:color w:val="auto"/>
          <w:sz w:val="24"/>
          <w:szCs w:val="24"/>
          <w:lang w:eastAsia="zh-CN"/>
        </w:rPr>
        <w:t>污水处理区</w:t>
      </w:r>
      <w:r>
        <w:rPr>
          <w:rFonts w:hint="eastAsia" w:ascii="Times New Roman" w:hAnsi="Times New Roman" w:eastAsia="宋体"/>
          <w:color w:val="auto"/>
          <w:sz w:val="24"/>
          <w:szCs w:val="24"/>
        </w:rPr>
        <w:t>处理后</w:t>
      </w:r>
      <w:r>
        <w:rPr>
          <w:rFonts w:hint="eastAsia" w:ascii="Times New Roman" w:hAnsi="Times New Roman" w:eastAsia="宋体"/>
          <w:color w:val="auto"/>
          <w:sz w:val="24"/>
          <w:szCs w:val="24"/>
          <w:lang w:eastAsia="zh-CN"/>
        </w:rPr>
        <w:t>灌溉</w:t>
      </w:r>
      <w:r>
        <w:rPr>
          <w:rFonts w:hint="eastAsia" w:ascii="Times New Roman" w:hAnsi="Times New Roman" w:eastAsia="宋体"/>
          <w:color w:val="auto"/>
          <w:sz w:val="24"/>
          <w:szCs w:val="24"/>
        </w:rPr>
        <w:t>，不外排。为防止污水等的泄漏污染地下水，环评要求采取以下源头控制措施：</w:t>
      </w:r>
      <w:r>
        <w:rPr>
          <w:rFonts w:hint="eastAsia" w:ascii="Times New Roman" w:hAnsi="Times New Roman" w:eastAsia="宋体" w:cs="Times New Roman"/>
          <w:color w:val="auto"/>
          <w:sz w:val="24"/>
          <w:szCs w:val="24"/>
          <w:lang w:eastAsia="zh-CN"/>
        </w:rPr>
        <w:t>猪舍、污水处理区、危废暂存间、发电机房、粪污收集管道、化尸池</w:t>
      </w:r>
      <w:r>
        <w:rPr>
          <w:rFonts w:hint="eastAsia" w:ascii="Times New Roman" w:hAnsi="Times New Roman" w:eastAsia="宋体" w:cs="Times New Roman"/>
          <w:color w:val="auto"/>
          <w:sz w:val="24"/>
          <w:szCs w:val="24"/>
        </w:rPr>
        <w:t>等采取防渗</w:t>
      </w:r>
      <w:r>
        <w:rPr>
          <w:rFonts w:hint="eastAsia" w:ascii="Times New Roman" w:hAnsi="Times New Roman" w:eastAsia="宋体" w:cs="Times New Roman"/>
          <w:color w:val="auto"/>
          <w:sz w:val="24"/>
          <w:szCs w:val="24"/>
          <w:lang w:eastAsia="zh-CN"/>
        </w:rPr>
        <w:t>防</w:t>
      </w:r>
      <w:r>
        <w:rPr>
          <w:rFonts w:hint="eastAsia" w:ascii="Times New Roman" w:hAnsi="Times New Roman" w:eastAsia="宋体" w:cs="Times New Roman"/>
          <w:color w:val="auto"/>
          <w:sz w:val="24"/>
          <w:szCs w:val="24"/>
        </w:rPr>
        <w:t>漏处理</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rPr>
        <w:t>畜禽医疗垃圾等转运时须安全转移，防止撒漏，防止二次污染；强化各相关工程的转弯、承插、对接等处的防渗，作好隐蔽工程记录，强化防渗工程的环境管理</w:t>
      </w:r>
      <w:r>
        <w:rPr>
          <w:rFonts w:hint="eastAsia" w:ascii="Times New Roman" w:hAnsi="Times New Roman" w:eastAsia="宋体"/>
          <w:color w:val="auto"/>
          <w:sz w:val="24"/>
          <w:szCs w:val="24"/>
        </w:rPr>
        <w:t>。</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（2）分区防控措施</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根据平面布局，将厂区分为不同等级防渗区域。对不同等级污染防治区采取相应等级的防渗方案。</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①重点防渗区</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项目</w:t>
      </w:r>
      <w:r>
        <w:rPr>
          <w:rFonts w:hint="eastAsia" w:ascii="Times New Roman" w:hAnsi="Times New Roman" w:eastAsia="宋体"/>
          <w:color w:val="auto"/>
          <w:sz w:val="24"/>
          <w:szCs w:val="24"/>
          <w:lang w:val="en-US" w:eastAsia="zh-CN"/>
        </w:rPr>
        <w:t>猪舍、污水处理区、危废暂存间、发电机房、粪污收集管道、化尸池</w:t>
      </w:r>
      <w:r>
        <w:rPr>
          <w:rFonts w:hint="eastAsia" w:ascii="Times New Roman" w:hAnsi="Times New Roman" w:eastAsia="宋体"/>
          <w:color w:val="auto"/>
          <w:sz w:val="24"/>
          <w:szCs w:val="24"/>
        </w:rPr>
        <w:t>作为重点防渗区。污染区防渗措施：采用刚性+柔性防渗措施，即采用P8等级混凝土+2mmHDPE 膜防渗结构，地面防渗结构由下至上为：混凝土底板（厚度 300mm，抗渗等级为P8）、600g/m</w:t>
      </w:r>
      <w:r>
        <w:rPr>
          <w:rFonts w:hint="eastAsia" w:ascii="Times New Roman" w:hAnsi="Times New Roman" w:eastAsia="宋体"/>
          <w:color w:val="auto"/>
          <w:sz w:val="24"/>
          <w:szCs w:val="24"/>
          <w:vertAlign w:val="superscript"/>
        </w:rPr>
        <w:t>2</w:t>
      </w:r>
      <w:r>
        <w:rPr>
          <w:rFonts w:hint="eastAsia" w:ascii="Times New Roman" w:hAnsi="Times New Roman" w:eastAsia="宋体"/>
          <w:color w:val="auto"/>
          <w:sz w:val="24"/>
          <w:szCs w:val="24"/>
        </w:rPr>
        <w:t>土工布、2mm 厚 HDPE 防渗膜、600g/m</w:t>
      </w:r>
      <w:r>
        <w:rPr>
          <w:rFonts w:hint="eastAsia" w:ascii="Times New Roman" w:hAnsi="Times New Roman" w:eastAsia="宋体"/>
          <w:color w:val="auto"/>
          <w:sz w:val="24"/>
          <w:szCs w:val="24"/>
          <w:vertAlign w:val="superscript"/>
        </w:rPr>
        <w:t>2</w:t>
      </w:r>
      <w:r>
        <w:rPr>
          <w:rFonts w:hint="eastAsia" w:ascii="Times New Roman" w:hAnsi="Times New Roman" w:eastAsia="宋体"/>
          <w:color w:val="auto"/>
          <w:sz w:val="24"/>
          <w:szCs w:val="24"/>
        </w:rPr>
        <w:t>土工布、混凝土保护层（厚度 100mm）。地面采取粘土铺底，再在上层铺 10~15cm 的水泥进行硬化，并涂覆环氧树脂防腐防渗。</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②一般防渗区</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s="Times New Roman"/>
          <w:color w:val="auto"/>
          <w:sz w:val="24"/>
          <w:szCs w:val="24"/>
          <w:lang w:eastAsia="zh-CN"/>
        </w:rPr>
        <w:t>猪走道（污道）、固废暂存间</w:t>
      </w:r>
      <w:r>
        <w:rPr>
          <w:rFonts w:hint="eastAsia" w:ascii="Times New Roman" w:hAnsi="Times New Roman" w:eastAsia="宋体"/>
          <w:color w:val="auto"/>
          <w:sz w:val="24"/>
          <w:szCs w:val="24"/>
        </w:rPr>
        <w:t>为一般防渗区。污染区防渗措施：采用抗渗混钢筋混凝土+人工材料（HDPE）防渗层处理，渗透系数≤10</w:t>
      </w:r>
      <w:r>
        <w:rPr>
          <w:rFonts w:hint="eastAsia" w:ascii="Times New Roman" w:hAnsi="Times New Roman" w:eastAsia="宋体"/>
          <w:color w:val="auto"/>
          <w:sz w:val="24"/>
          <w:szCs w:val="24"/>
          <w:vertAlign w:val="superscript"/>
        </w:rPr>
        <w:t>-7</w:t>
      </w:r>
      <w:r>
        <w:rPr>
          <w:rFonts w:hint="eastAsia" w:ascii="Times New Roman" w:hAnsi="Times New Roman" w:eastAsia="宋体"/>
          <w:color w:val="auto"/>
          <w:sz w:val="24"/>
          <w:szCs w:val="24"/>
        </w:rPr>
        <w:t xml:space="preserve">cm/s；或者压实系数≥0.92的夯实基土，选取C25，P6防渗等级混凝土，随打随抹光（骨料用石灰石、白云石）。 </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 xml:space="preserve">③简单防渗区 </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项目</w:t>
      </w:r>
      <w:r>
        <w:rPr>
          <w:rFonts w:hint="eastAsia" w:ascii="Times New Roman" w:hAnsi="Times New Roman" w:eastAsia="宋体" w:cs="Times New Roman"/>
          <w:color w:val="auto"/>
          <w:sz w:val="24"/>
          <w:szCs w:val="24"/>
        </w:rPr>
        <w:t>办公宿舍楼、场内净道、绿地和空地</w:t>
      </w:r>
      <w:r>
        <w:rPr>
          <w:rFonts w:hint="eastAsia" w:ascii="Times New Roman" w:hAnsi="Times New Roman" w:eastAsia="宋体"/>
          <w:color w:val="auto"/>
          <w:sz w:val="24"/>
          <w:szCs w:val="24"/>
        </w:rPr>
        <w:t xml:space="preserve">等养殖区其余部分区域为简单防渗区。对于基本上不产生污染物的非污染防治区，仅进行一般地面硬化，不采取专门针对地下水污染的防治措施。 </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（3）防治措施</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项目周边的水井周边50m范围内不得进行灌溉与施肥，保证水井的水质。</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（4）监测与管理</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本项目</w:t>
      </w:r>
      <w:r>
        <w:rPr>
          <w:rFonts w:hint="eastAsia" w:ascii="Times New Roman" w:hAnsi="Times New Roman" w:eastAsia="宋体"/>
          <w:color w:val="auto"/>
          <w:sz w:val="24"/>
          <w:szCs w:val="24"/>
        </w:rPr>
        <w:t>应当将地下水污染防治工作作为公司安全工作的重中之重来抓，专门成立安全监督小组，由专人专职负责厂区安全生产、安全排污、安全储存等可能造成泄漏或污染事故的监督工作，做到每个生产环节、每个高危污染源都有安全检查记录，责任到人，杜绝安全隐患。</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 xml:space="preserve">在厂区上游及下游居民水井、企业自打井设置地下水观测井，监测常规及特征污染物COD、氨氮等，监测频率1次/季度。 </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 xml:space="preserve">（5）应急响应 </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 xml:space="preserve">环评要求一旦发生废液渗漏事故，立刻启动应急预案。在地下水流向的下游设置地下水监测设施和抽排水设施。检测井应安置报警系统，当检测出地下水质出现异常时，报警系统及时报警，同时相关人员应及时采取应急措施。一旦掌握地下水环境污染征兆或发生地下水环境污染时，知情单位和个人要立即向当地政府或其地下水环境污染主管部门、责任单位报告有关情况。应急指挥部要根据预案要求，组织和指挥参与现场应急工作各部门的行动，组织专家组根据事件原因、性质、危害程度等调查原因，分析发展趋势，并提出下一步预防和防治措施，迅速控制或切断事件灾害链，对污水进行封闭、截流，将损失降到最低限度。应急工作结束时，应协调相关职能部门和单位，做好善后工作，防止出现事件“放大效应”和次生、衍生灾害，尽快恢复当地正常秩序。 </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在发生污染事件时，建设单位应尽快将污水排入</w:t>
      </w:r>
      <w:r>
        <w:rPr>
          <w:rFonts w:hint="eastAsia" w:ascii="Times New Roman" w:hAnsi="Times New Roman" w:eastAsia="宋体"/>
          <w:color w:val="auto"/>
          <w:sz w:val="24"/>
          <w:szCs w:val="24"/>
          <w:lang w:eastAsia="zh-CN"/>
        </w:rPr>
        <w:t>应急池</w:t>
      </w:r>
      <w:r>
        <w:rPr>
          <w:rFonts w:hint="eastAsia" w:ascii="Times New Roman" w:hAnsi="Times New Roman" w:eastAsia="宋体"/>
          <w:color w:val="auto"/>
          <w:sz w:val="24"/>
          <w:szCs w:val="24"/>
        </w:rPr>
        <w:t xml:space="preserve">，并修缮发生污染的设施和防渗结构。同时，对已经渗入地下的污染物，建设单位将通过设置截获井的方式将污染物抽出并进行处理。一旦厂区发生事故泄漏，通过设置水污染截获井，做到地下水污染早发现，早治理、污染范围不出厂，将项目对地下水的污染降到最低。同时应采取如下污染治理措施，查明并切断污染源、探明地下水污染深度、范围和污染程度。依据探明的地下水污染情况，合理布置截渗井，并进行试抽工作。依据抽水设计方案进行施工，抽取被污染的地下水，并依据各井孔出水情况进行调整将抽取的地下水进行集中收集处理，并送实验室进行化验分析。当地下水中的特征污染物浓度满足地下水功能区划的标准后，逐步停止抽水，并进行土壤修复治理工作。 </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 xml:space="preserve">根据以上分析可知，项目对可能产生地下水影响的各项途径均进行有效预防，在确保各项防渗措施得以落实，并加强维护和厂区环境管理的前提下，可有效控制厂区内的废水污染物下渗现象，避免污染地下水，因此项目不会对区域地下水环境产生明显影响。 </w:t>
      </w:r>
    </w:p>
    <w:p>
      <w:pPr>
        <w:adjustRightInd w:val="0"/>
        <w:snapToGrid w:val="0"/>
        <w:spacing w:line="360" w:lineRule="auto"/>
        <w:ind w:firstLine="482" w:firstLineChars="200"/>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rPr>
        <w:t>5、对厂区周围居民分散饮用水的影响分析</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正常情况下，项目废水储存和废弃物收集处置构筑物采取有效的防渗措施的前提下，项目运营期废水或固体废物等不会对周围敏感点地下水环境造成二次污染影响。若建设项目的防渗设施或污粪处理系统蓄水池破裂、发生废水泄漏，外泄废水往低洼处漫流，可能会对区域低洼地区产生一定的影响。因此必须做好防渗措施。</w:t>
      </w:r>
    </w:p>
    <w:p>
      <w:pPr>
        <w:adjustRightInd w:val="0"/>
        <w:snapToGrid w:val="0"/>
        <w:spacing w:line="360" w:lineRule="auto"/>
        <w:ind w:firstLine="482" w:firstLineChars="200"/>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rPr>
        <w:t>6、固体废物堆放对地下水的影响</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本项目的固体废物主要来自于猪只粪便、病死猪尸体、生活垃圾等，其中病死猪尸体外</w:t>
      </w:r>
      <w:r>
        <w:rPr>
          <w:rFonts w:hint="eastAsia" w:ascii="Times New Roman" w:hAnsi="Times New Roman" w:eastAsia="宋体"/>
          <w:color w:val="auto"/>
          <w:sz w:val="24"/>
          <w:szCs w:val="24"/>
          <w:lang w:eastAsia="zh-CN"/>
        </w:rPr>
        <w:t>在场内的化尸池内进行无害化填埋</w:t>
      </w:r>
      <w:r>
        <w:rPr>
          <w:rFonts w:hint="eastAsia" w:ascii="Times New Roman" w:hAnsi="Times New Roman" w:eastAsia="宋体"/>
          <w:color w:val="auto"/>
          <w:sz w:val="24"/>
          <w:szCs w:val="24"/>
        </w:rPr>
        <w:t>，生活垃圾分类收集后定期清运至当地的垃圾收集点。对地下水可能产生影响的主要是粪便。本项目粪便采用重力式</w:t>
      </w:r>
      <w:r>
        <w:rPr>
          <w:rFonts w:hint="eastAsia" w:ascii="Times New Roman" w:hAnsi="Times New Roman" w:eastAsia="宋体"/>
          <w:color w:val="auto"/>
          <w:sz w:val="24"/>
          <w:szCs w:val="24"/>
          <w:lang w:eastAsia="zh-CN"/>
        </w:rPr>
        <w:t>干清粪</w:t>
      </w:r>
      <w:r>
        <w:rPr>
          <w:rFonts w:hint="eastAsia" w:ascii="Times New Roman" w:hAnsi="Times New Roman" w:eastAsia="宋体"/>
          <w:color w:val="auto"/>
          <w:sz w:val="24"/>
          <w:szCs w:val="24"/>
        </w:rPr>
        <w:t>清粪工艺，粪便产生后立即经固液分离机进行干湿分离，</w:t>
      </w:r>
      <w:r>
        <w:rPr>
          <w:rFonts w:hint="eastAsia" w:ascii="Times New Roman" w:hAnsi="Times New Roman" w:eastAsia="宋体"/>
          <w:color w:val="auto"/>
          <w:sz w:val="24"/>
          <w:szCs w:val="24"/>
          <w:lang w:eastAsia="zh-CN"/>
        </w:rPr>
        <w:t>干粪在堆粪间内好氧堆肥后还田利用</w:t>
      </w:r>
      <w:r>
        <w:rPr>
          <w:rFonts w:hint="eastAsia" w:ascii="Times New Roman" w:hAnsi="Times New Roman" w:eastAsia="宋体"/>
          <w:color w:val="auto"/>
          <w:sz w:val="24"/>
          <w:szCs w:val="24"/>
        </w:rPr>
        <w:t>，环评要求本项目对</w:t>
      </w:r>
      <w:r>
        <w:rPr>
          <w:rFonts w:hint="eastAsia" w:ascii="Times New Roman" w:hAnsi="Times New Roman" w:eastAsia="宋体"/>
          <w:color w:val="auto"/>
          <w:sz w:val="24"/>
          <w:szCs w:val="24"/>
          <w:lang w:eastAsia="zh-CN"/>
        </w:rPr>
        <w:t>堆粪间</w:t>
      </w:r>
      <w:r>
        <w:rPr>
          <w:rFonts w:hint="eastAsia" w:ascii="Times New Roman" w:hAnsi="Times New Roman" w:eastAsia="宋体"/>
          <w:color w:val="auto"/>
          <w:sz w:val="24"/>
          <w:szCs w:val="24"/>
        </w:rPr>
        <w:t>做重点防渗处理。因此，在做好污水处置设备防渗的基础下，粪便不会对地下水造成影响。</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此外，厂区周边需设置至少</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口地下水监测井，定期对区域地下水水质进行跟踪监测。采取上述治理措施后，本项目防渗措施基本满足《环境影响评价技术导则  地下水环境》（HJ610-2016）中防渗技术要求，可从污染源头和途径上减少因废水或物料泄漏渗、漏入地下水，不会对地下水环境造成明显影响。</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综上所述，项目区地下水敏感性一般，不涉及废水排放，养殖区废水产生位置均作重点防渗处理，在落实好防渗、防污措施后，项目污染物能得到有效治理，对地下水环境质量无明显影响。</w:t>
      </w:r>
    </w:p>
    <w:p>
      <w:pPr>
        <w:adjustRightInd w:val="0"/>
        <w:snapToGrid w:val="0"/>
        <w:spacing w:line="360" w:lineRule="auto"/>
        <w:ind w:firstLine="482" w:firstLineChars="200"/>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7</w:t>
      </w:r>
      <w:r>
        <w:rPr>
          <w:rFonts w:hint="eastAsia" w:ascii="Times New Roman" w:hAnsi="Times New Roman" w:eastAsia="宋体"/>
          <w:b/>
          <w:bCs/>
          <w:color w:val="auto"/>
          <w:sz w:val="24"/>
          <w:szCs w:val="24"/>
        </w:rPr>
        <w:t>、</w:t>
      </w:r>
      <w:r>
        <w:rPr>
          <w:rFonts w:hint="eastAsia" w:ascii="Times New Roman" w:hAnsi="Times New Roman" w:eastAsia="宋体"/>
          <w:b/>
          <w:bCs/>
          <w:color w:val="auto"/>
          <w:sz w:val="24"/>
          <w:szCs w:val="24"/>
          <w:lang w:eastAsia="zh-CN"/>
        </w:rPr>
        <w:t>消纳地</w:t>
      </w:r>
      <w:r>
        <w:rPr>
          <w:rFonts w:hint="eastAsia" w:ascii="Times New Roman" w:hAnsi="Times New Roman" w:eastAsia="宋体"/>
          <w:b/>
          <w:bCs/>
          <w:color w:val="auto"/>
          <w:sz w:val="24"/>
          <w:szCs w:val="24"/>
        </w:rPr>
        <w:t>地下水的影响</w:t>
      </w:r>
    </w:p>
    <w:p>
      <w:pPr>
        <w:adjustRightInd w:val="0"/>
        <w:snapToGrid w:val="0"/>
        <w:spacing w:line="360" w:lineRule="auto"/>
        <w:ind w:firstLine="480" w:firstLineChars="200"/>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本工程养殖废水采用“</w:t>
      </w:r>
      <w:r>
        <w:rPr>
          <w:rFonts w:hint="eastAsia" w:ascii="Times New Roman" w:hAnsi="Times New Roman" w:eastAsia="宋体" w:cstheme="minorBidi"/>
          <w:b w:val="0"/>
          <w:snapToGrid w:val="0"/>
          <w:color w:val="auto"/>
          <w:kern w:val="2"/>
          <w:sz w:val="24"/>
          <w:szCs w:val="22"/>
          <w:lang w:val="en-US" w:eastAsia="zh-CN" w:bidi="ar-SA"/>
        </w:rPr>
        <w:t>格栅井+集粪池+固液分离机+污泥池（调节池）+叠螺脱水机+预反应及预沉池+一级光氧塘+A/O组合池+二沉池+深度反应池+终沉池+氧化塘</w:t>
      </w:r>
      <w:r>
        <w:rPr>
          <w:rFonts w:hint="eastAsia" w:ascii="Times New Roman" w:hAnsi="Times New Roman" w:eastAsia="宋体"/>
          <w:b w:val="0"/>
          <w:bCs w:val="0"/>
          <w:color w:val="auto"/>
          <w:sz w:val="24"/>
          <w:szCs w:val="24"/>
          <w:lang w:eastAsia="zh-CN"/>
        </w:rPr>
        <w:t>”进行处理，在保证停留时间的前提下，废水出现超标排放的可能性很小。养殖废水用于周边农田灌溉，该情况下会对土壤质量造成一定影响。因本工程对果园灌溉用水，N、P 肥效不高，主要是灌溉用水为主，短时间内的事故排放对土壤质量影响不大，反而会增加土壤肥力。</w:t>
      </w:r>
    </w:p>
    <w:p>
      <w:pPr>
        <w:adjustRightInd w:val="0"/>
        <w:snapToGrid w:val="0"/>
        <w:spacing w:line="360" w:lineRule="auto"/>
        <w:ind w:firstLine="482" w:firstLineChars="200"/>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rPr>
        <w:t>综上所述，项目区地下水敏感性一般，不涉及废水排放，养殖区废水产生位置均作重点防渗处理，在落实好防渗、防污措施后，项目污染物能得到有效治理，对地下水环境质量无明显影响。</w:t>
      </w:r>
    </w:p>
    <w:p>
      <w:pPr>
        <w:pStyle w:val="6"/>
        <w:adjustRightInd w:val="0"/>
        <w:snapToGrid w:val="0"/>
        <w:spacing w:before="0" w:after="0" w:line="360" w:lineRule="auto"/>
        <w:rPr>
          <w:rFonts w:ascii="Times New Roman" w:hAnsi="Times New Roman" w:eastAsia="宋体"/>
          <w:color w:val="auto"/>
          <w:sz w:val="28"/>
          <w:szCs w:val="28"/>
        </w:rPr>
      </w:pPr>
      <w:r>
        <w:rPr>
          <w:rFonts w:hint="eastAsia" w:ascii="Times New Roman" w:hAnsi="Times New Roman" w:eastAsia="宋体"/>
          <w:color w:val="auto"/>
          <w:sz w:val="28"/>
          <w:szCs w:val="28"/>
        </w:rPr>
        <w:t>5.2.4</w:t>
      </w:r>
      <w:r>
        <w:rPr>
          <w:rFonts w:hint="eastAsia" w:ascii="Times New Roman" w:hAnsi="Times New Roman" w:eastAsia="宋体"/>
          <w:color w:val="auto"/>
          <w:sz w:val="28"/>
          <w:szCs w:val="28"/>
          <w:lang w:eastAsia="zh-CN"/>
        </w:rPr>
        <w:t>运</w:t>
      </w:r>
      <w:r>
        <w:rPr>
          <w:rFonts w:ascii="Times New Roman" w:hAnsi="Times New Roman" w:eastAsia="宋体"/>
          <w:color w:val="auto"/>
          <w:sz w:val="28"/>
          <w:szCs w:val="28"/>
        </w:rPr>
        <w:t>营期噪声环境影响</w:t>
      </w:r>
      <w:bookmarkEnd w:id="224"/>
      <w:r>
        <w:rPr>
          <w:rFonts w:hint="eastAsia" w:ascii="Times New Roman" w:hAnsi="Times New Roman" w:eastAsia="宋体"/>
          <w:color w:val="auto"/>
          <w:sz w:val="28"/>
          <w:szCs w:val="28"/>
        </w:rPr>
        <w:t>评价</w:t>
      </w:r>
      <w:bookmarkEnd w:id="225"/>
    </w:p>
    <w:p>
      <w:pPr>
        <w:numPr>
          <w:ilvl w:val="0"/>
          <w:numId w:val="27"/>
        </w:numPr>
        <w:adjustRightInd w:val="0"/>
        <w:snapToGrid w:val="0"/>
        <w:spacing w:line="360" w:lineRule="auto"/>
        <w:ind w:firstLine="482" w:firstLineChars="200"/>
        <w:rPr>
          <w:rFonts w:ascii="Times New Roman" w:hAnsi="Times New Roman" w:eastAsia="宋体" w:cs="Times New Roman"/>
          <w:b/>
          <w:bCs w:val="0"/>
          <w:color w:val="auto"/>
          <w:sz w:val="24"/>
          <w:szCs w:val="24"/>
        </w:rPr>
      </w:pPr>
      <w:r>
        <w:rPr>
          <w:rFonts w:hint="eastAsia" w:ascii="Times New Roman" w:hAnsi="Times New Roman" w:eastAsia="宋体" w:cs="Times New Roman"/>
          <w:b/>
          <w:bCs w:val="0"/>
          <w:color w:val="auto"/>
          <w:sz w:val="24"/>
          <w:szCs w:val="24"/>
          <w:lang w:eastAsia="zh-CN"/>
        </w:rPr>
        <w:t>主要</w:t>
      </w:r>
      <w:r>
        <w:rPr>
          <w:rFonts w:hint="eastAsia" w:ascii="Times New Roman" w:hAnsi="Times New Roman" w:eastAsia="宋体" w:cs="Times New Roman"/>
          <w:b/>
          <w:bCs w:val="0"/>
          <w:color w:val="auto"/>
          <w:sz w:val="24"/>
          <w:szCs w:val="24"/>
        </w:rPr>
        <w:t>噪声源</w:t>
      </w:r>
    </w:p>
    <w:p>
      <w:pPr>
        <w:pStyle w:val="48"/>
        <w:snapToGrid w:val="0"/>
        <w:spacing w:line="360" w:lineRule="auto"/>
        <w:ind w:firstLine="480" w:firstLineChars="200"/>
        <w:jc w:val="both"/>
        <w:rPr>
          <w:rFonts w:hint="default" w:ascii="Times New Roman" w:hAnsi="Times New Roman"/>
          <w:color w:val="auto"/>
        </w:rPr>
      </w:pPr>
      <w:r>
        <w:rPr>
          <w:rFonts w:ascii="Times New Roman" w:hAnsi="Times New Roman"/>
          <w:color w:val="auto"/>
        </w:rPr>
        <w:t>采取措施后，项目噪声源强见</w:t>
      </w:r>
      <w:r>
        <w:rPr>
          <w:rFonts w:ascii="Times New Roman" w:hAnsi="Times New Roman"/>
          <w:color w:val="auto"/>
          <w:szCs w:val="24"/>
        </w:rPr>
        <w:t>下表：</w:t>
      </w:r>
    </w:p>
    <w:p>
      <w:pPr>
        <w:spacing w:line="360" w:lineRule="auto"/>
        <w:jc w:val="center"/>
        <w:rPr>
          <w:rFonts w:ascii="Times New Roman" w:hAnsi="Times New Roman" w:eastAsia="宋体" w:cs="Times New Roman"/>
          <w:b/>
          <w:color w:val="auto"/>
          <w:sz w:val="22"/>
          <w:szCs w:val="22"/>
        </w:rPr>
      </w:pPr>
      <w:r>
        <w:rPr>
          <w:rFonts w:ascii="Times New Roman" w:hAnsi="Times New Roman" w:eastAsia="宋体" w:cs="Times New Roman"/>
          <w:b/>
          <w:color w:val="auto"/>
          <w:sz w:val="21"/>
          <w:szCs w:val="21"/>
        </w:rPr>
        <w:t>表</w:t>
      </w:r>
      <w:r>
        <w:rPr>
          <w:rFonts w:hint="eastAsia" w:ascii="Times New Roman" w:hAnsi="Times New Roman" w:eastAsia="宋体" w:cs="Times New Roman"/>
          <w:b/>
          <w:color w:val="auto"/>
          <w:sz w:val="21"/>
          <w:szCs w:val="21"/>
        </w:rPr>
        <w:t>5.2</w:t>
      </w:r>
      <w:r>
        <w:rPr>
          <w:rFonts w:ascii="Times New Roman" w:hAnsi="Times New Roman" w:eastAsia="宋体" w:cs="Times New Roman"/>
          <w:b/>
          <w:color w:val="auto"/>
          <w:sz w:val="21"/>
          <w:szCs w:val="21"/>
        </w:rPr>
        <w:t>-</w:t>
      </w:r>
      <w:r>
        <w:rPr>
          <w:rFonts w:hint="eastAsia" w:ascii="Times New Roman" w:hAnsi="Times New Roman" w:eastAsia="宋体" w:cs="Times New Roman"/>
          <w:b/>
          <w:color w:val="auto"/>
          <w:sz w:val="21"/>
          <w:szCs w:val="21"/>
          <w:lang w:val="en-US" w:eastAsia="zh-CN"/>
        </w:rPr>
        <w:t xml:space="preserve">18  </w:t>
      </w:r>
      <w:r>
        <w:rPr>
          <w:rFonts w:hint="eastAsia" w:ascii="Times New Roman" w:hAnsi="Times New Roman" w:eastAsia="宋体" w:cs="Times New Roman"/>
          <w:b/>
          <w:color w:val="auto"/>
          <w:sz w:val="21"/>
          <w:szCs w:val="21"/>
        </w:rPr>
        <w:t>运营期噪声源强</w:t>
      </w:r>
    </w:p>
    <w:tbl>
      <w:tblPr>
        <w:tblStyle w:val="35"/>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06"/>
        <w:gridCol w:w="1906"/>
        <w:gridCol w:w="1814"/>
        <w:gridCol w:w="2144"/>
        <w:gridCol w:w="214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654" w:type="pct"/>
            <w:tcBorders>
              <w:tl2br w:val="nil"/>
              <w:tr2bl w:val="nil"/>
            </w:tcBorders>
            <w:vAlign w:val="center"/>
          </w:tcPr>
          <w:p>
            <w:pPr>
              <w:jc w:val="center"/>
              <w:rPr>
                <w:rFonts w:ascii="Times New Roman" w:hAnsi="Times New Roman" w:eastAsia="宋体" w:cs="Times New Roman"/>
                <w:b/>
                <w:bCs w:val="0"/>
                <w:color w:val="auto"/>
                <w:szCs w:val="21"/>
              </w:rPr>
            </w:pPr>
            <w:r>
              <w:rPr>
                <w:rFonts w:hint="eastAsia" w:ascii="Times New Roman" w:hAnsi="Times New Roman" w:eastAsia="宋体" w:cs="Times New Roman"/>
                <w:b/>
                <w:bCs w:val="0"/>
                <w:color w:val="auto"/>
                <w:szCs w:val="21"/>
              </w:rPr>
              <w:t>序号</w:t>
            </w:r>
          </w:p>
        </w:tc>
        <w:tc>
          <w:tcPr>
            <w:tcW w:w="1034" w:type="pct"/>
            <w:tcBorders>
              <w:tl2br w:val="nil"/>
              <w:tr2bl w:val="nil"/>
            </w:tcBorders>
            <w:vAlign w:val="center"/>
          </w:tcPr>
          <w:p>
            <w:pPr>
              <w:jc w:val="center"/>
              <w:rPr>
                <w:rFonts w:ascii="Times New Roman" w:hAnsi="Times New Roman" w:eastAsia="宋体" w:cs="Times New Roman"/>
                <w:b/>
                <w:bCs w:val="0"/>
                <w:color w:val="auto"/>
                <w:szCs w:val="21"/>
              </w:rPr>
            </w:pPr>
            <w:r>
              <w:rPr>
                <w:rFonts w:hint="eastAsia" w:ascii="Times New Roman" w:hAnsi="Times New Roman" w:eastAsia="宋体" w:cs="Times New Roman"/>
                <w:b/>
                <w:bCs w:val="0"/>
                <w:color w:val="auto"/>
                <w:szCs w:val="21"/>
              </w:rPr>
              <w:t>名称</w:t>
            </w:r>
          </w:p>
        </w:tc>
        <w:tc>
          <w:tcPr>
            <w:tcW w:w="984" w:type="pct"/>
            <w:tcBorders>
              <w:tl2br w:val="nil"/>
              <w:tr2bl w:val="nil"/>
            </w:tcBorders>
            <w:vAlign w:val="center"/>
          </w:tcPr>
          <w:p>
            <w:pPr>
              <w:jc w:val="center"/>
              <w:rPr>
                <w:rFonts w:ascii="Times New Roman" w:hAnsi="Times New Roman" w:eastAsia="宋体" w:cs="Times New Roman"/>
                <w:b/>
                <w:bCs w:val="0"/>
                <w:color w:val="auto"/>
                <w:szCs w:val="21"/>
              </w:rPr>
            </w:pPr>
            <w:r>
              <w:rPr>
                <w:rFonts w:hint="eastAsia" w:ascii="Times New Roman" w:hAnsi="Times New Roman" w:eastAsia="宋体" w:cs="Times New Roman"/>
                <w:b/>
                <w:bCs w:val="0"/>
                <w:color w:val="auto"/>
                <w:szCs w:val="21"/>
              </w:rPr>
              <w:t>单台源强</w:t>
            </w:r>
          </w:p>
        </w:tc>
        <w:tc>
          <w:tcPr>
            <w:tcW w:w="1163" w:type="pct"/>
            <w:tcBorders>
              <w:tl2br w:val="nil"/>
              <w:tr2bl w:val="nil"/>
            </w:tcBorders>
            <w:vAlign w:val="center"/>
          </w:tcPr>
          <w:p>
            <w:pPr>
              <w:jc w:val="center"/>
              <w:rPr>
                <w:rFonts w:ascii="Times New Roman" w:hAnsi="Times New Roman" w:eastAsia="宋体" w:cs="Times New Roman"/>
                <w:b/>
                <w:bCs w:val="0"/>
                <w:color w:val="auto"/>
                <w:szCs w:val="21"/>
              </w:rPr>
            </w:pPr>
            <w:r>
              <w:rPr>
                <w:rFonts w:hint="eastAsia" w:ascii="Times New Roman" w:hAnsi="Times New Roman" w:eastAsia="宋体" w:cs="Times New Roman"/>
                <w:b/>
                <w:bCs w:val="0"/>
                <w:color w:val="auto"/>
                <w:szCs w:val="21"/>
              </w:rPr>
              <w:t>治理后声级</w:t>
            </w:r>
          </w:p>
        </w:tc>
        <w:tc>
          <w:tcPr>
            <w:tcW w:w="1163" w:type="pct"/>
            <w:tcBorders>
              <w:tl2br w:val="nil"/>
              <w:tr2bl w:val="nil"/>
            </w:tcBorders>
            <w:vAlign w:val="center"/>
          </w:tcPr>
          <w:p>
            <w:pPr>
              <w:jc w:val="center"/>
              <w:rPr>
                <w:rFonts w:hint="eastAsia" w:ascii="Times New Roman" w:hAnsi="Times New Roman" w:eastAsia="宋体" w:cs="Times New Roman"/>
                <w:b/>
                <w:bCs w:val="0"/>
                <w:color w:val="auto"/>
                <w:szCs w:val="21"/>
                <w:lang w:val="en-US" w:eastAsia="zh-CN"/>
              </w:rPr>
            </w:pPr>
            <w:r>
              <w:rPr>
                <w:rFonts w:hint="eastAsia" w:ascii="Times New Roman" w:hAnsi="Times New Roman" w:eastAsia="宋体" w:cs="Times New Roman"/>
                <w:b/>
                <w:bCs w:val="0"/>
                <w:color w:val="auto"/>
                <w:szCs w:val="21"/>
                <w:lang w:val="en-US" w:eastAsia="zh-CN"/>
              </w:rPr>
              <w:t>设备数量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4" w:type="pct"/>
            <w:tcBorders>
              <w:tl2br w:val="nil"/>
              <w:tr2bl w:val="nil"/>
            </w:tcBorders>
            <w:vAlign w:val="center"/>
          </w:tcPr>
          <w:p>
            <w:pPr>
              <w:jc w:val="center"/>
              <w:rPr>
                <w:rFonts w:ascii="Times New Roman" w:hAnsi="Times New Roman" w:eastAsia="宋体" w:cs="Times New Roman"/>
                <w:bCs/>
                <w:color w:val="auto"/>
                <w:szCs w:val="21"/>
              </w:rPr>
            </w:pPr>
            <w:r>
              <w:rPr>
                <w:rFonts w:hint="eastAsia" w:ascii="Times New Roman" w:hAnsi="Times New Roman" w:eastAsia="宋体" w:cs="Times New Roman"/>
                <w:bCs/>
                <w:color w:val="auto"/>
                <w:szCs w:val="21"/>
              </w:rPr>
              <w:t>1</w:t>
            </w:r>
          </w:p>
        </w:tc>
        <w:tc>
          <w:tcPr>
            <w:tcW w:w="1906" w:type="dxa"/>
            <w:tcBorders>
              <w:tl2br w:val="nil"/>
              <w:tr2bl w:val="nil"/>
            </w:tcBorders>
            <w:vAlign w:val="center"/>
          </w:tcPr>
          <w:p>
            <w:pPr>
              <w:jc w:val="center"/>
              <w:rPr>
                <w:rFonts w:ascii="Times New Roman" w:hAnsi="Times New Roman" w:eastAsia="宋体" w:cs="Times New Roman"/>
                <w:bCs/>
                <w:color w:val="auto"/>
                <w:szCs w:val="21"/>
              </w:rPr>
            </w:pPr>
            <w:r>
              <w:rPr>
                <w:rFonts w:hint="eastAsia" w:ascii="Times New Roman" w:hAnsi="Times New Roman" w:eastAsia="宋体" w:cs="Times New Roman"/>
                <w:bCs/>
                <w:color w:val="auto"/>
                <w:szCs w:val="21"/>
              </w:rPr>
              <w:t>泵类</w:t>
            </w:r>
          </w:p>
        </w:tc>
        <w:tc>
          <w:tcPr>
            <w:tcW w:w="1814" w:type="dxa"/>
            <w:tcBorders>
              <w:tl2br w:val="nil"/>
              <w:tr2bl w:val="nil"/>
            </w:tcBorders>
            <w:vAlign w:val="center"/>
          </w:tcPr>
          <w:p>
            <w:pPr>
              <w:jc w:val="center"/>
              <w:rPr>
                <w:rFonts w:hint="eastAsia" w:ascii="Times New Roman" w:hAnsi="Times New Roman" w:eastAsia="宋体" w:cs="Times New Roman"/>
                <w:bCs/>
                <w:color w:val="auto"/>
                <w:szCs w:val="21"/>
              </w:rPr>
            </w:pPr>
            <w:r>
              <w:rPr>
                <w:rFonts w:hint="eastAsia" w:ascii="Times New Roman" w:hAnsi="Times New Roman" w:eastAsia="宋体" w:cs="Times New Roman"/>
                <w:bCs/>
                <w:color w:val="auto"/>
                <w:szCs w:val="21"/>
              </w:rPr>
              <w:t>85dB（A）</w:t>
            </w:r>
          </w:p>
        </w:tc>
        <w:tc>
          <w:tcPr>
            <w:tcW w:w="2144" w:type="dxa"/>
            <w:tcBorders>
              <w:tl2br w:val="nil"/>
              <w:tr2bl w:val="nil"/>
            </w:tcBorders>
            <w:vAlign w:val="center"/>
          </w:tcPr>
          <w:p>
            <w:pPr>
              <w:jc w:val="center"/>
              <w:rPr>
                <w:rFonts w:hint="eastAsia" w:ascii="Times New Roman" w:hAnsi="Times New Roman" w:eastAsia="宋体" w:cs="Times New Roman"/>
                <w:bCs/>
                <w:color w:val="auto"/>
                <w:szCs w:val="21"/>
              </w:rPr>
            </w:pPr>
            <w:r>
              <w:rPr>
                <w:rFonts w:hint="eastAsia" w:ascii="Times New Roman" w:hAnsi="Times New Roman" w:eastAsia="宋体"/>
                <w:bCs/>
                <w:color w:val="auto"/>
                <w:szCs w:val="21"/>
                <w:lang w:val="en-US" w:eastAsia="zh-CN"/>
              </w:rPr>
              <w:t>70</w:t>
            </w:r>
            <w:r>
              <w:rPr>
                <w:rFonts w:hint="eastAsia" w:ascii="Times New Roman" w:hAnsi="Times New Roman" w:eastAsia="宋体" w:cs="Times New Roman"/>
                <w:bCs/>
                <w:color w:val="auto"/>
                <w:szCs w:val="21"/>
              </w:rPr>
              <w:t>dB（A）</w:t>
            </w:r>
          </w:p>
        </w:tc>
        <w:tc>
          <w:tcPr>
            <w:tcW w:w="1163" w:type="pct"/>
            <w:tcBorders>
              <w:tl2br w:val="nil"/>
              <w:tr2bl w:val="nil"/>
            </w:tcBorders>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4" w:type="pct"/>
            <w:tcBorders>
              <w:tl2br w:val="nil"/>
              <w:tr2bl w:val="nil"/>
            </w:tcBorders>
            <w:vAlign w:val="center"/>
          </w:tcPr>
          <w:p>
            <w:pPr>
              <w:jc w:val="center"/>
              <w:rPr>
                <w:rFonts w:ascii="Times New Roman" w:hAnsi="Times New Roman" w:eastAsia="宋体" w:cs="Times New Roman"/>
                <w:bCs/>
                <w:color w:val="auto"/>
                <w:szCs w:val="21"/>
              </w:rPr>
            </w:pPr>
            <w:r>
              <w:rPr>
                <w:rFonts w:hint="eastAsia" w:ascii="Times New Roman" w:hAnsi="Times New Roman" w:eastAsia="宋体" w:cs="Times New Roman"/>
                <w:bCs/>
                <w:color w:val="auto"/>
                <w:szCs w:val="21"/>
              </w:rPr>
              <w:t>2</w:t>
            </w:r>
          </w:p>
        </w:tc>
        <w:tc>
          <w:tcPr>
            <w:tcW w:w="1906" w:type="dxa"/>
            <w:tcBorders>
              <w:tl2br w:val="nil"/>
              <w:tr2bl w:val="nil"/>
            </w:tcBorders>
            <w:vAlign w:val="center"/>
          </w:tcPr>
          <w:p>
            <w:pPr>
              <w:jc w:val="center"/>
              <w:rPr>
                <w:rFonts w:ascii="Times New Roman" w:hAnsi="Times New Roman" w:eastAsia="宋体" w:cs="Times New Roman"/>
                <w:bCs/>
                <w:color w:val="auto"/>
                <w:szCs w:val="21"/>
              </w:rPr>
            </w:pPr>
            <w:r>
              <w:rPr>
                <w:rFonts w:hint="eastAsia" w:ascii="Times New Roman" w:hAnsi="Times New Roman" w:eastAsia="宋体" w:cs="Times New Roman"/>
                <w:bCs/>
                <w:color w:val="auto"/>
                <w:szCs w:val="21"/>
                <w:lang w:eastAsia="zh-CN"/>
              </w:rPr>
              <w:t>猪叫</w:t>
            </w:r>
          </w:p>
        </w:tc>
        <w:tc>
          <w:tcPr>
            <w:tcW w:w="1814" w:type="dxa"/>
            <w:tcBorders>
              <w:tl2br w:val="nil"/>
              <w:tr2bl w:val="nil"/>
            </w:tcBorders>
            <w:vAlign w:val="center"/>
          </w:tcPr>
          <w:p>
            <w:pPr>
              <w:jc w:val="center"/>
              <w:rPr>
                <w:rFonts w:hint="eastAsia" w:ascii="Times New Roman" w:hAnsi="Times New Roman" w:eastAsia="宋体" w:cs="Times New Roman"/>
                <w:bCs/>
                <w:color w:val="auto"/>
                <w:szCs w:val="21"/>
              </w:rPr>
            </w:pPr>
            <w:r>
              <w:rPr>
                <w:rFonts w:ascii="Times New Roman" w:hAnsi="Times New Roman" w:eastAsia="宋体"/>
                <w:bCs/>
                <w:color w:val="auto"/>
                <w:szCs w:val="21"/>
              </w:rPr>
              <w:t>8</w:t>
            </w:r>
            <w:r>
              <w:rPr>
                <w:rFonts w:hint="eastAsia" w:ascii="Times New Roman" w:hAnsi="Times New Roman" w:eastAsia="宋体"/>
                <w:bCs/>
                <w:color w:val="auto"/>
                <w:szCs w:val="21"/>
                <w:lang w:val="en-US" w:eastAsia="zh-CN"/>
              </w:rPr>
              <w:t>0</w:t>
            </w:r>
            <w:r>
              <w:rPr>
                <w:rFonts w:hint="eastAsia" w:ascii="Times New Roman" w:hAnsi="Times New Roman" w:eastAsia="宋体" w:cs="Times New Roman"/>
                <w:bCs/>
                <w:color w:val="auto"/>
                <w:szCs w:val="21"/>
              </w:rPr>
              <w:t>dB（A）</w:t>
            </w:r>
          </w:p>
        </w:tc>
        <w:tc>
          <w:tcPr>
            <w:tcW w:w="2144" w:type="dxa"/>
            <w:tcBorders>
              <w:tl2br w:val="nil"/>
              <w:tr2bl w:val="nil"/>
            </w:tcBorders>
            <w:vAlign w:val="center"/>
          </w:tcPr>
          <w:p>
            <w:pPr>
              <w:jc w:val="center"/>
              <w:rPr>
                <w:rFonts w:hint="eastAsia" w:ascii="Times New Roman" w:hAnsi="Times New Roman" w:eastAsia="宋体" w:cs="Times New Roman"/>
                <w:bCs/>
                <w:color w:val="auto"/>
                <w:szCs w:val="21"/>
              </w:rPr>
            </w:pPr>
            <w:r>
              <w:rPr>
                <w:rFonts w:hint="eastAsia" w:ascii="Times New Roman" w:hAnsi="Times New Roman" w:eastAsia="宋体"/>
                <w:bCs/>
                <w:color w:val="auto"/>
                <w:szCs w:val="21"/>
                <w:lang w:val="en-US" w:eastAsia="zh-CN"/>
              </w:rPr>
              <w:t>70</w:t>
            </w:r>
            <w:r>
              <w:rPr>
                <w:rFonts w:hint="eastAsia" w:ascii="Times New Roman" w:hAnsi="Times New Roman" w:eastAsia="宋体" w:cs="Times New Roman"/>
                <w:bCs/>
                <w:color w:val="auto"/>
                <w:szCs w:val="21"/>
              </w:rPr>
              <w:t>dB（A）</w:t>
            </w:r>
          </w:p>
        </w:tc>
        <w:tc>
          <w:tcPr>
            <w:tcW w:w="1163" w:type="pct"/>
            <w:tcBorders>
              <w:tl2br w:val="nil"/>
              <w:tr2bl w:val="nil"/>
            </w:tcBorders>
            <w:vAlign w:val="center"/>
          </w:tcPr>
          <w:p>
            <w:pPr>
              <w:jc w:val="center"/>
              <w:rPr>
                <w:rFonts w:hint="default" w:ascii="Times New Roman" w:hAnsi="Times New Roman" w:eastAsia="宋体"/>
                <w:bCs/>
                <w:color w:val="auto"/>
                <w:szCs w:val="21"/>
                <w:lang w:val="en-US" w:eastAsia="zh-CN"/>
              </w:rPr>
            </w:pPr>
            <w:r>
              <w:rPr>
                <w:rFonts w:hint="eastAsia" w:ascii="Times New Roman" w:hAnsi="Times New Roman" w:eastAsia="宋体"/>
                <w:bCs/>
                <w:color w:val="auto"/>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4" w:type="pct"/>
            <w:tcBorders>
              <w:tl2br w:val="nil"/>
              <w:tr2bl w:val="nil"/>
            </w:tcBorders>
            <w:vAlign w:val="center"/>
          </w:tcPr>
          <w:p>
            <w:pPr>
              <w:jc w:val="center"/>
              <w:rPr>
                <w:rFonts w:ascii="Times New Roman" w:hAnsi="Times New Roman" w:eastAsia="宋体" w:cs="Times New Roman"/>
                <w:bCs/>
                <w:color w:val="auto"/>
                <w:szCs w:val="21"/>
              </w:rPr>
            </w:pPr>
            <w:r>
              <w:rPr>
                <w:rFonts w:hint="eastAsia" w:ascii="Times New Roman" w:hAnsi="Times New Roman" w:eastAsia="宋体" w:cs="Times New Roman"/>
                <w:bCs/>
                <w:color w:val="auto"/>
                <w:szCs w:val="21"/>
              </w:rPr>
              <w:t>3</w:t>
            </w:r>
          </w:p>
        </w:tc>
        <w:tc>
          <w:tcPr>
            <w:tcW w:w="1906" w:type="dxa"/>
            <w:tcBorders>
              <w:tl2br w:val="nil"/>
              <w:tr2bl w:val="nil"/>
            </w:tcBorders>
            <w:vAlign w:val="center"/>
          </w:tcPr>
          <w:p>
            <w:pPr>
              <w:jc w:val="center"/>
              <w:rPr>
                <w:rFonts w:ascii="Times New Roman" w:hAnsi="Times New Roman" w:eastAsia="宋体"/>
                <w:bCs/>
                <w:color w:val="auto"/>
                <w:szCs w:val="21"/>
              </w:rPr>
            </w:pPr>
            <w:r>
              <w:rPr>
                <w:rFonts w:hint="eastAsia" w:ascii="Times New Roman" w:hAnsi="Times New Roman" w:eastAsia="宋体"/>
                <w:bCs/>
                <w:color w:val="auto"/>
                <w:szCs w:val="21"/>
              </w:rPr>
              <w:t>风机</w:t>
            </w:r>
          </w:p>
        </w:tc>
        <w:tc>
          <w:tcPr>
            <w:tcW w:w="1814" w:type="dxa"/>
            <w:tcBorders>
              <w:tl2br w:val="nil"/>
              <w:tr2bl w:val="nil"/>
            </w:tcBorders>
            <w:vAlign w:val="center"/>
          </w:tcPr>
          <w:p>
            <w:pPr>
              <w:jc w:val="center"/>
              <w:rPr>
                <w:rFonts w:hint="eastAsia" w:ascii="Times New Roman" w:hAnsi="Times New Roman" w:eastAsia="宋体" w:cs="Times New Roman"/>
                <w:bCs/>
                <w:color w:val="auto"/>
                <w:szCs w:val="21"/>
              </w:rPr>
            </w:pPr>
            <w:r>
              <w:rPr>
                <w:rFonts w:hint="eastAsia" w:ascii="Times New Roman" w:hAnsi="Times New Roman" w:eastAsia="宋体" w:cs="Times New Roman"/>
                <w:bCs/>
                <w:color w:val="auto"/>
                <w:szCs w:val="21"/>
                <w:lang w:val="en-US" w:eastAsia="zh-CN"/>
              </w:rPr>
              <w:t>70</w:t>
            </w:r>
            <w:r>
              <w:rPr>
                <w:rFonts w:hint="eastAsia" w:ascii="Times New Roman" w:hAnsi="Times New Roman" w:eastAsia="宋体" w:cs="Times New Roman"/>
                <w:bCs/>
                <w:color w:val="auto"/>
                <w:szCs w:val="21"/>
              </w:rPr>
              <w:t>dB（A）</w:t>
            </w:r>
          </w:p>
        </w:tc>
        <w:tc>
          <w:tcPr>
            <w:tcW w:w="2144" w:type="dxa"/>
            <w:tcBorders>
              <w:tl2br w:val="nil"/>
              <w:tr2bl w:val="nil"/>
            </w:tcBorders>
            <w:vAlign w:val="center"/>
          </w:tcPr>
          <w:p>
            <w:pPr>
              <w:jc w:val="center"/>
              <w:rPr>
                <w:rFonts w:hint="eastAsia" w:ascii="Times New Roman" w:hAnsi="Times New Roman" w:eastAsia="宋体" w:cs="Times New Roman"/>
                <w:bCs/>
                <w:color w:val="auto"/>
                <w:szCs w:val="21"/>
              </w:rPr>
            </w:pPr>
            <w:r>
              <w:rPr>
                <w:rFonts w:hint="eastAsia" w:ascii="Times New Roman" w:hAnsi="Times New Roman" w:eastAsia="宋体" w:cs="Times New Roman"/>
                <w:bCs/>
                <w:color w:val="auto"/>
                <w:szCs w:val="21"/>
                <w:lang w:val="en-US" w:eastAsia="zh-CN"/>
              </w:rPr>
              <w:t>60</w:t>
            </w:r>
            <w:r>
              <w:rPr>
                <w:rFonts w:hint="eastAsia" w:ascii="Times New Roman" w:hAnsi="Times New Roman" w:eastAsia="宋体" w:cs="Times New Roman"/>
                <w:bCs/>
                <w:color w:val="auto"/>
                <w:szCs w:val="21"/>
              </w:rPr>
              <w:t>dB（A）</w:t>
            </w:r>
          </w:p>
        </w:tc>
        <w:tc>
          <w:tcPr>
            <w:tcW w:w="1163" w:type="pct"/>
            <w:tcBorders>
              <w:tl2br w:val="nil"/>
              <w:tr2bl w:val="nil"/>
            </w:tcBorders>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4" w:type="pct"/>
            <w:tcBorders>
              <w:tl2br w:val="nil"/>
              <w:tr2bl w:val="nil"/>
            </w:tcBorders>
            <w:vAlign w:val="center"/>
          </w:tcPr>
          <w:p>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4</w:t>
            </w:r>
          </w:p>
        </w:tc>
        <w:tc>
          <w:tcPr>
            <w:tcW w:w="1906" w:type="dxa"/>
            <w:tcBorders>
              <w:tl2br w:val="nil"/>
              <w:tr2bl w:val="nil"/>
            </w:tcBorders>
            <w:vAlign w:val="center"/>
          </w:tcPr>
          <w:p>
            <w:pPr>
              <w:jc w:val="center"/>
              <w:rPr>
                <w:rFonts w:hint="eastAsia" w:ascii="Times New Roman" w:hAnsi="Times New Roman" w:eastAsia="宋体"/>
                <w:bCs/>
                <w:color w:val="auto"/>
                <w:szCs w:val="21"/>
              </w:rPr>
            </w:pPr>
            <w:r>
              <w:rPr>
                <w:rFonts w:eastAsia="宋体"/>
                <w:color w:val="auto"/>
                <w:sz w:val="21"/>
                <w:szCs w:val="21"/>
                <w:highlight w:val="none"/>
              </w:rPr>
              <w:t>高压清洗机</w:t>
            </w:r>
          </w:p>
        </w:tc>
        <w:tc>
          <w:tcPr>
            <w:tcW w:w="1814" w:type="dxa"/>
            <w:tcBorders>
              <w:tl2br w:val="nil"/>
              <w:tr2bl w:val="nil"/>
            </w:tcBorders>
            <w:vAlign w:val="center"/>
          </w:tcPr>
          <w:p>
            <w:pPr>
              <w:jc w:val="center"/>
              <w:rPr>
                <w:rFonts w:hint="eastAsia" w:ascii="Times New Roman" w:hAnsi="Times New Roman" w:eastAsia="宋体" w:cs="Times New Roman"/>
                <w:bCs/>
                <w:color w:val="auto"/>
                <w:szCs w:val="21"/>
              </w:rPr>
            </w:pPr>
            <w:r>
              <w:rPr>
                <w:rFonts w:hint="eastAsia" w:ascii="Times New Roman" w:hAnsi="Times New Roman" w:eastAsia="宋体" w:cs="Times New Roman"/>
                <w:bCs/>
                <w:color w:val="auto"/>
                <w:szCs w:val="21"/>
                <w:lang w:val="en-US" w:eastAsia="zh-CN"/>
              </w:rPr>
              <w:t>70</w:t>
            </w:r>
            <w:r>
              <w:rPr>
                <w:rFonts w:hint="eastAsia" w:ascii="Times New Roman" w:hAnsi="Times New Roman" w:eastAsia="宋体" w:cs="Times New Roman"/>
                <w:bCs/>
                <w:color w:val="auto"/>
                <w:szCs w:val="21"/>
              </w:rPr>
              <w:t>dB（A）</w:t>
            </w:r>
          </w:p>
        </w:tc>
        <w:tc>
          <w:tcPr>
            <w:tcW w:w="2144" w:type="dxa"/>
            <w:tcBorders>
              <w:tl2br w:val="nil"/>
              <w:tr2bl w:val="nil"/>
            </w:tcBorders>
            <w:vAlign w:val="center"/>
          </w:tcPr>
          <w:p>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60</w:t>
            </w:r>
            <w:r>
              <w:rPr>
                <w:rFonts w:hint="eastAsia" w:ascii="Times New Roman" w:hAnsi="Times New Roman" w:eastAsia="宋体" w:cs="Times New Roman"/>
                <w:bCs/>
                <w:color w:val="auto"/>
                <w:szCs w:val="21"/>
              </w:rPr>
              <w:t>dB（A）</w:t>
            </w:r>
          </w:p>
        </w:tc>
        <w:tc>
          <w:tcPr>
            <w:tcW w:w="1163" w:type="pct"/>
            <w:tcBorders>
              <w:tl2br w:val="nil"/>
              <w:tr2bl w:val="nil"/>
            </w:tcBorders>
            <w:vAlign w:val="center"/>
          </w:tcPr>
          <w:p>
            <w:pPr>
              <w:jc w:val="center"/>
              <w:rPr>
                <w:rFonts w:hint="default" w:ascii="Times New Roman" w:hAnsi="Times New Roman" w:eastAsia="宋体"/>
                <w:bCs/>
                <w:color w:val="auto"/>
                <w:szCs w:val="21"/>
                <w:lang w:val="en-US" w:eastAsia="zh-CN"/>
              </w:rPr>
            </w:pPr>
            <w:r>
              <w:rPr>
                <w:rFonts w:hint="eastAsia" w:ascii="Times New Roman" w:hAnsi="Times New Roman" w:eastAsia="宋体"/>
                <w:bCs/>
                <w:color w:val="auto"/>
                <w:szCs w:val="21"/>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4" w:type="pct"/>
            <w:tcBorders>
              <w:tl2br w:val="nil"/>
              <w:tr2bl w:val="nil"/>
            </w:tcBorders>
            <w:vAlign w:val="center"/>
          </w:tcPr>
          <w:p>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5</w:t>
            </w:r>
          </w:p>
        </w:tc>
        <w:tc>
          <w:tcPr>
            <w:tcW w:w="1906" w:type="dxa"/>
            <w:tcBorders>
              <w:tl2br w:val="nil"/>
              <w:tr2bl w:val="nil"/>
            </w:tcBorders>
            <w:vAlign w:val="center"/>
          </w:tcPr>
          <w:p>
            <w:pPr>
              <w:jc w:val="center"/>
              <w:rPr>
                <w:rFonts w:hint="eastAsia" w:ascii="Times New Roman" w:hAnsi="Times New Roman" w:eastAsia="宋体"/>
                <w:bCs/>
                <w:color w:val="auto"/>
                <w:szCs w:val="21"/>
              </w:rPr>
            </w:pPr>
            <w:r>
              <w:rPr>
                <w:rFonts w:hint="eastAsia" w:ascii="Times New Roman" w:hAnsi="Times New Roman" w:eastAsia="宋体" w:cs="Times New Roman"/>
                <w:bCs/>
                <w:color w:val="auto"/>
                <w:szCs w:val="21"/>
              </w:rPr>
              <w:t>排气扇</w:t>
            </w:r>
          </w:p>
        </w:tc>
        <w:tc>
          <w:tcPr>
            <w:tcW w:w="1814" w:type="dxa"/>
            <w:tcBorders>
              <w:tl2br w:val="nil"/>
              <w:tr2bl w:val="nil"/>
            </w:tcBorders>
            <w:vAlign w:val="center"/>
          </w:tcPr>
          <w:p>
            <w:pPr>
              <w:jc w:val="center"/>
              <w:rPr>
                <w:rFonts w:hint="eastAsia" w:ascii="Times New Roman" w:hAnsi="Times New Roman" w:eastAsia="宋体" w:cs="Times New Roman"/>
                <w:bCs/>
                <w:color w:val="auto"/>
                <w:szCs w:val="21"/>
              </w:rPr>
            </w:pPr>
            <w:r>
              <w:rPr>
                <w:rFonts w:hint="eastAsia" w:ascii="Times New Roman" w:hAnsi="Times New Roman" w:eastAsia="宋体" w:cs="Times New Roman"/>
                <w:bCs/>
                <w:color w:val="auto"/>
                <w:szCs w:val="21"/>
              </w:rPr>
              <w:t>70dB（A）</w:t>
            </w:r>
          </w:p>
        </w:tc>
        <w:tc>
          <w:tcPr>
            <w:tcW w:w="2144" w:type="dxa"/>
            <w:tcBorders>
              <w:tl2br w:val="nil"/>
              <w:tr2bl w:val="nil"/>
            </w:tcBorders>
            <w:vAlign w:val="center"/>
          </w:tcPr>
          <w:p>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60</w:t>
            </w:r>
            <w:r>
              <w:rPr>
                <w:rFonts w:hint="eastAsia" w:ascii="Times New Roman" w:hAnsi="Times New Roman" w:eastAsia="宋体" w:cs="Times New Roman"/>
                <w:bCs/>
                <w:color w:val="auto"/>
                <w:szCs w:val="21"/>
              </w:rPr>
              <w:t>dB（A）</w:t>
            </w:r>
          </w:p>
        </w:tc>
        <w:tc>
          <w:tcPr>
            <w:tcW w:w="1163" w:type="pct"/>
            <w:tcBorders>
              <w:tl2br w:val="nil"/>
              <w:tr2bl w:val="nil"/>
            </w:tcBorders>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4" w:type="pct"/>
            <w:tcBorders>
              <w:tl2br w:val="nil"/>
              <w:tr2bl w:val="nil"/>
            </w:tcBorders>
            <w:vAlign w:val="center"/>
          </w:tcPr>
          <w:p>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6</w:t>
            </w:r>
          </w:p>
        </w:tc>
        <w:tc>
          <w:tcPr>
            <w:tcW w:w="1906" w:type="dxa"/>
            <w:tcBorders>
              <w:tl2br w:val="nil"/>
              <w:tr2bl w:val="nil"/>
            </w:tcBorders>
            <w:vAlign w:val="center"/>
          </w:tcPr>
          <w:p>
            <w:pPr>
              <w:jc w:val="center"/>
              <w:rPr>
                <w:rFonts w:hint="eastAsia" w:ascii="Times New Roman" w:hAnsi="Times New Roman" w:eastAsia="宋体"/>
                <w:bCs/>
                <w:color w:val="auto"/>
                <w:szCs w:val="21"/>
              </w:rPr>
            </w:pPr>
            <w:r>
              <w:rPr>
                <w:rFonts w:hint="eastAsia" w:ascii="Times New Roman" w:hAnsi="Times New Roman" w:eastAsia="宋体" w:cs="Times New Roman"/>
                <w:bCs/>
                <w:color w:val="auto"/>
                <w:szCs w:val="21"/>
              </w:rPr>
              <w:t>发电机</w:t>
            </w:r>
          </w:p>
        </w:tc>
        <w:tc>
          <w:tcPr>
            <w:tcW w:w="1814" w:type="dxa"/>
            <w:tcBorders>
              <w:tl2br w:val="nil"/>
              <w:tr2bl w:val="nil"/>
            </w:tcBorders>
            <w:vAlign w:val="center"/>
          </w:tcPr>
          <w:p>
            <w:pPr>
              <w:jc w:val="center"/>
              <w:rPr>
                <w:rFonts w:hint="eastAsia" w:ascii="Times New Roman" w:hAnsi="Times New Roman" w:eastAsia="宋体" w:cs="Times New Roman"/>
                <w:bCs/>
                <w:color w:val="auto"/>
                <w:szCs w:val="21"/>
              </w:rPr>
            </w:pPr>
            <w:r>
              <w:rPr>
                <w:rFonts w:hint="eastAsia" w:ascii="Times New Roman" w:hAnsi="Times New Roman" w:eastAsia="宋体" w:cs="Times New Roman"/>
                <w:bCs/>
                <w:color w:val="auto"/>
                <w:szCs w:val="21"/>
              </w:rPr>
              <w:t>85dB（A）</w:t>
            </w:r>
          </w:p>
        </w:tc>
        <w:tc>
          <w:tcPr>
            <w:tcW w:w="2144" w:type="dxa"/>
            <w:tcBorders>
              <w:tl2br w:val="nil"/>
              <w:tr2bl w:val="nil"/>
            </w:tcBorders>
            <w:vAlign w:val="center"/>
          </w:tcPr>
          <w:p>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bCs/>
                <w:color w:val="auto"/>
                <w:szCs w:val="21"/>
                <w:lang w:val="en-US" w:eastAsia="zh-CN"/>
              </w:rPr>
              <w:t>70</w:t>
            </w:r>
            <w:r>
              <w:rPr>
                <w:rFonts w:hint="eastAsia" w:ascii="Times New Roman" w:hAnsi="Times New Roman" w:eastAsia="宋体" w:cs="Times New Roman"/>
                <w:bCs/>
                <w:color w:val="auto"/>
                <w:szCs w:val="21"/>
              </w:rPr>
              <w:t>dB（A）</w:t>
            </w:r>
          </w:p>
        </w:tc>
        <w:tc>
          <w:tcPr>
            <w:tcW w:w="1163" w:type="pct"/>
            <w:tcBorders>
              <w:tl2br w:val="nil"/>
              <w:tr2bl w:val="nil"/>
            </w:tcBorders>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4" w:type="pct"/>
            <w:tcBorders>
              <w:tl2br w:val="nil"/>
              <w:tr2bl w:val="nil"/>
            </w:tcBorders>
            <w:vAlign w:val="center"/>
          </w:tcPr>
          <w:p>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7</w:t>
            </w:r>
          </w:p>
        </w:tc>
        <w:tc>
          <w:tcPr>
            <w:tcW w:w="1906" w:type="dxa"/>
            <w:tcBorders>
              <w:tl2br w:val="nil"/>
              <w:tr2bl w:val="nil"/>
            </w:tcBorders>
            <w:vAlign w:val="center"/>
          </w:tcPr>
          <w:p>
            <w:pPr>
              <w:jc w:val="center"/>
              <w:rPr>
                <w:rFonts w:hint="eastAsia" w:ascii="Times New Roman" w:hAnsi="Times New Roman" w:eastAsia="宋体"/>
                <w:bCs/>
                <w:color w:val="auto"/>
                <w:szCs w:val="21"/>
              </w:rPr>
            </w:pPr>
            <w:r>
              <w:rPr>
                <w:rFonts w:hint="eastAsia" w:ascii="Times New Roman" w:hAnsi="Times New Roman" w:eastAsia="宋体" w:cs="Times New Roman"/>
                <w:bCs/>
                <w:color w:val="auto"/>
                <w:szCs w:val="21"/>
              </w:rPr>
              <w:t>固液分离机</w:t>
            </w:r>
          </w:p>
        </w:tc>
        <w:tc>
          <w:tcPr>
            <w:tcW w:w="1814" w:type="dxa"/>
            <w:tcBorders>
              <w:tl2br w:val="nil"/>
              <w:tr2bl w:val="nil"/>
            </w:tcBorders>
            <w:vAlign w:val="center"/>
          </w:tcPr>
          <w:p>
            <w:pPr>
              <w:jc w:val="center"/>
              <w:rPr>
                <w:rFonts w:hint="eastAsia" w:ascii="Times New Roman" w:hAnsi="Times New Roman" w:eastAsia="宋体" w:cs="Times New Roman"/>
                <w:bCs/>
                <w:color w:val="auto"/>
                <w:szCs w:val="21"/>
              </w:rPr>
            </w:pPr>
            <w:r>
              <w:rPr>
                <w:rFonts w:hint="eastAsia" w:ascii="Times New Roman" w:hAnsi="Times New Roman" w:eastAsia="宋体" w:cs="Times New Roman"/>
                <w:bCs/>
                <w:color w:val="auto"/>
                <w:szCs w:val="21"/>
              </w:rPr>
              <w:t>70dB（A）</w:t>
            </w:r>
          </w:p>
        </w:tc>
        <w:tc>
          <w:tcPr>
            <w:tcW w:w="2144" w:type="dxa"/>
            <w:tcBorders>
              <w:tl2br w:val="nil"/>
              <w:tr2bl w:val="nil"/>
            </w:tcBorders>
            <w:vAlign w:val="center"/>
          </w:tcPr>
          <w:p>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60</w:t>
            </w:r>
            <w:r>
              <w:rPr>
                <w:rFonts w:hint="eastAsia" w:ascii="Times New Roman" w:hAnsi="Times New Roman" w:eastAsia="宋体" w:cs="Times New Roman"/>
                <w:bCs/>
                <w:color w:val="auto"/>
                <w:szCs w:val="21"/>
              </w:rPr>
              <w:t>dB（A）</w:t>
            </w:r>
          </w:p>
        </w:tc>
        <w:tc>
          <w:tcPr>
            <w:tcW w:w="1163" w:type="pct"/>
            <w:tcBorders>
              <w:tl2br w:val="nil"/>
              <w:tr2bl w:val="nil"/>
            </w:tcBorders>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4" w:type="pct"/>
            <w:tcBorders>
              <w:tl2br w:val="nil"/>
              <w:tr2bl w:val="nil"/>
            </w:tcBorders>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8</w:t>
            </w:r>
          </w:p>
        </w:tc>
        <w:tc>
          <w:tcPr>
            <w:tcW w:w="1906" w:type="dxa"/>
            <w:tcBorders>
              <w:tl2br w:val="nil"/>
              <w:tr2bl w:val="nil"/>
            </w:tcBorders>
            <w:vAlign w:val="center"/>
          </w:tcPr>
          <w:p>
            <w:pPr>
              <w:jc w:val="center"/>
              <w:rPr>
                <w:rFonts w:hint="eastAsia" w:ascii="Times New Roman" w:hAnsi="Times New Roman" w:eastAsia="宋体" w:cs="Times New Roman"/>
                <w:bCs/>
                <w:color w:val="auto"/>
                <w:szCs w:val="21"/>
              </w:rPr>
            </w:pPr>
            <w:r>
              <w:rPr>
                <w:color w:val="auto"/>
                <w:kern w:val="0"/>
                <w:sz w:val="21"/>
                <w:szCs w:val="21"/>
                <w:highlight w:val="none"/>
              </w:rPr>
              <w:t>潜水搅拌机</w:t>
            </w:r>
          </w:p>
        </w:tc>
        <w:tc>
          <w:tcPr>
            <w:tcW w:w="1814" w:type="dxa"/>
            <w:tcBorders>
              <w:tl2br w:val="nil"/>
              <w:tr2bl w:val="nil"/>
            </w:tcBorders>
            <w:vAlign w:val="center"/>
          </w:tcPr>
          <w:p>
            <w:pPr>
              <w:jc w:val="center"/>
              <w:rPr>
                <w:rFonts w:hint="eastAsia" w:ascii="Times New Roman" w:hAnsi="Times New Roman" w:eastAsia="宋体" w:cs="Times New Roman"/>
                <w:bCs/>
                <w:color w:val="auto"/>
                <w:szCs w:val="21"/>
              </w:rPr>
            </w:pPr>
            <w:r>
              <w:rPr>
                <w:rFonts w:hint="eastAsia" w:ascii="Times New Roman" w:hAnsi="Times New Roman" w:eastAsia="宋体" w:cs="Times New Roman"/>
                <w:bCs/>
                <w:color w:val="auto"/>
                <w:kern w:val="2"/>
                <w:sz w:val="21"/>
                <w:szCs w:val="21"/>
                <w:lang w:val="en-US" w:eastAsia="zh-CN" w:bidi="ar-SA"/>
              </w:rPr>
              <w:t>70</w:t>
            </w:r>
            <w:r>
              <w:rPr>
                <w:rFonts w:hint="eastAsia" w:ascii="Times New Roman" w:hAnsi="Times New Roman" w:eastAsia="宋体" w:cs="Times New Roman"/>
                <w:bCs/>
                <w:color w:val="auto"/>
                <w:szCs w:val="21"/>
              </w:rPr>
              <w:t>dB（A）</w:t>
            </w:r>
          </w:p>
        </w:tc>
        <w:tc>
          <w:tcPr>
            <w:tcW w:w="2144" w:type="dxa"/>
            <w:tcBorders>
              <w:tl2br w:val="nil"/>
              <w:tr2bl w:val="nil"/>
            </w:tcBorders>
            <w:vAlign w:val="center"/>
          </w:tcPr>
          <w:p>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55</w:t>
            </w:r>
            <w:r>
              <w:rPr>
                <w:rFonts w:hint="eastAsia" w:ascii="Times New Roman" w:hAnsi="Times New Roman" w:eastAsia="宋体" w:cs="Times New Roman"/>
                <w:bCs/>
                <w:color w:val="auto"/>
                <w:szCs w:val="21"/>
              </w:rPr>
              <w:t>dB（A）</w:t>
            </w:r>
          </w:p>
        </w:tc>
        <w:tc>
          <w:tcPr>
            <w:tcW w:w="1163" w:type="pct"/>
            <w:tcBorders>
              <w:tl2br w:val="nil"/>
              <w:tr2bl w:val="nil"/>
            </w:tcBorders>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4" w:type="pct"/>
            <w:tcBorders>
              <w:tl2br w:val="nil"/>
              <w:tr2bl w:val="nil"/>
            </w:tcBorders>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9</w:t>
            </w:r>
          </w:p>
        </w:tc>
        <w:tc>
          <w:tcPr>
            <w:tcW w:w="1906" w:type="dxa"/>
            <w:tcBorders>
              <w:tl2br w:val="nil"/>
              <w:tr2bl w:val="nil"/>
            </w:tcBorders>
            <w:vAlign w:val="center"/>
          </w:tcPr>
          <w:p>
            <w:pPr>
              <w:jc w:val="center"/>
              <w:rPr>
                <w:rFonts w:hint="eastAsia" w:ascii="Times New Roman" w:hAnsi="Times New Roman" w:eastAsia="宋体" w:cs="Times New Roman"/>
                <w:bCs/>
                <w:color w:val="auto"/>
                <w:szCs w:val="21"/>
              </w:rPr>
            </w:pPr>
            <w:r>
              <w:rPr>
                <w:color w:val="auto"/>
                <w:kern w:val="0"/>
                <w:sz w:val="21"/>
                <w:szCs w:val="21"/>
                <w:highlight w:val="none"/>
              </w:rPr>
              <w:t>污泥脱水机</w:t>
            </w:r>
          </w:p>
        </w:tc>
        <w:tc>
          <w:tcPr>
            <w:tcW w:w="1814" w:type="dxa"/>
            <w:tcBorders>
              <w:tl2br w:val="nil"/>
              <w:tr2bl w:val="nil"/>
            </w:tcBorders>
            <w:vAlign w:val="center"/>
          </w:tcPr>
          <w:p>
            <w:pPr>
              <w:jc w:val="center"/>
              <w:rPr>
                <w:rFonts w:hint="eastAsia" w:ascii="Times New Roman" w:hAnsi="Times New Roman" w:eastAsia="宋体" w:cs="Times New Roman"/>
                <w:bCs/>
                <w:color w:val="auto"/>
                <w:szCs w:val="21"/>
              </w:rPr>
            </w:pPr>
            <w:r>
              <w:rPr>
                <w:rFonts w:hint="eastAsia" w:ascii="Times New Roman" w:hAnsi="Times New Roman" w:eastAsia="宋体" w:cs="Times New Roman"/>
                <w:bCs/>
                <w:color w:val="auto"/>
                <w:szCs w:val="21"/>
              </w:rPr>
              <w:t>85dB（A）</w:t>
            </w:r>
          </w:p>
        </w:tc>
        <w:tc>
          <w:tcPr>
            <w:tcW w:w="2144" w:type="dxa"/>
            <w:tcBorders>
              <w:tl2br w:val="nil"/>
              <w:tr2bl w:val="nil"/>
            </w:tcBorders>
            <w:vAlign w:val="center"/>
          </w:tcPr>
          <w:p>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bCs/>
                <w:color w:val="auto"/>
                <w:szCs w:val="21"/>
                <w:lang w:val="en-US" w:eastAsia="zh-CN"/>
              </w:rPr>
              <w:t>70</w:t>
            </w:r>
            <w:r>
              <w:rPr>
                <w:rFonts w:hint="eastAsia" w:ascii="Times New Roman" w:hAnsi="Times New Roman" w:eastAsia="宋体" w:cs="Times New Roman"/>
                <w:bCs/>
                <w:color w:val="auto"/>
                <w:szCs w:val="21"/>
              </w:rPr>
              <w:t>dB（A）</w:t>
            </w:r>
          </w:p>
        </w:tc>
        <w:tc>
          <w:tcPr>
            <w:tcW w:w="1163" w:type="pct"/>
            <w:tcBorders>
              <w:tl2br w:val="nil"/>
              <w:tr2bl w:val="nil"/>
            </w:tcBorders>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4" w:type="pct"/>
            <w:tcBorders>
              <w:tl2br w:val="nil"/>
              <w:tr2bl w:val="nil"/>
            </w:tcBorders>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10</w:t>
            </w:r>
          </w:p>
        </w:tc>
        <w:tc>
          <w:tcPr>
            <w:tcW w:w="1906" w:type="dxa"/>
            <w:tcBorders>
              <w:tl2br w:val="nil"/>
              <w:tr2bl w:val="nil"/>
            </w:tcBorders>
            <w:vAlign w:val="center"/>
          </w:tcPr>
          <w:p>
            <w:pPr>
              <w:jc w:val="center"/>
              <w:rPr>
                <w:rFonts w:hint="eastAsia" w:ascii="Times New Roman" w:hAnsi="Times New Roman" w:eastAsia="宋体" w:cs="Times New Roman"/>
                <w:bCs/>
                <w:color w:val="auto"/>
                <w:szCs w:val="21"/>
              </w:rPr>
            </w:pPr>
            <w:r>
              <w:rPr>
                <w:rFonts w:hint="eastAsia" w:ascii="Times New Roman" w:hAnsi="Times New Roman" w:eastAsia="宋体" w:cs="Times New Roman"/>
                <w:bCs/>
                <w:color w:val="auto"/>
                <w:szCs w:val="21"/>
              </w:rPr>
              <w:t>汽车噪声</w:t>
            </w:r>
          </w:p>
        </w:tc>
        <w:tc>
          <w:tcPr>
            <w:tcW w:w="1814" w:type="dxa"/>
            <w:tcBorders>
              <w:tl2br w:val="nil"/>
              <w:tr2bl w:val="nil"/>
            </w:tcBorders>
            <w:vAlign w:val="center"/>
          </w:tcPr>
          <w:p>
            <w:pPr>
              <w:jc w:val="center"/>
              <w:rPr>
                <w:rFonts w:hint="eastAsia" w:ascii="Times New Roman" w:hAnsi="Times New Roman" w:eastAsia="宋体" w:cs="Times New Roman"/>
                <w:bCs/>
                <w:color w:val="auto"/>
                <w:szCs w:val="21"/>
              </w:rPr>
            </w:pPr>
            <w:r>
              <w:rPr>
                <w:rFonts w:hint="eastAsia" w:ascii="Times New Roman" w:hAnsi="Times New Roman" w:eastAsia="宋体" w:cs="Times New Roman"/>
                <w:bCs/>
                <w:color w:val="auto"/>
                <w:szCs w:val="21"/>
              </w:rPr>
              <w:t>70dB（A）</w:t>
            </w:r>
          </w:p>
        </w:tc>
        <w:tc>
          <w:tcPr>
            <w:tcW w:w="2144" w:type="dxa"/>
            <w:tcBorders>
              <w:tl2br w:val="nil"/>
              <w:tr2bl w:val="nil"/>
            </w:tcBorders>
            <w:vAlign w:val="center"/>
          </w:tcPr>
          <w:p>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60</w:t>
            </w:r>
            <w:r>
              <w:rPr>
                <w:rFonts w:hint="eastAsia" w:ascii="Times New Roman" w:hAnsi="Times New Roman" w:eastAsia="宋体" w:cs="Times New Roman"/>
                <w:bCs/>
                <w:color w:val="auto"/>
                <w:szCs w:val="21"/>
              </w:rPr>
              <w:t>dB（A）</w:t>
            </w:r>
          </w:p>
        </w:tc>
        <w:tc>
          <w:tcPr>
            <w:tcW w:w="1163" w:type="pct"/>
            <w:tcBorders>
              <w:tl2br w:val="nil"/>
              <w:tr2bl w:val="nil"/>
            </w:tcBorders>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w:t>
            </w:r>
          </w:p>
        </w:tc>
      </w:tr>
    </w:tbl>
    <w:p>
      <w:pPr>
        <w:autoSpaceDE w:val="0"/>
        <w:autoSpaceDN w:val="0"/>
        <w:spacing w:line="360" w:lineRule="auto"/>
        <w:ind w:firstLine="482" w:firstLineChars="200"/>
        <w:rPr>
          <w:rFonts w:hint="eastAsia" w:ascii="Times New Roman" w:hAnsi="Times New Roman" w:eastAsia="宋体"/>
          <w:b/>
          <w:bCs/>
          <w:color w:val="auto"/>
          <w:sz w:val="24"/>
          <w:lang w:eastAsia="zh-CN"/>
        </w:rPr>
      </w:pPr>
      <w:r>
        <w:rPr>
          <w:rFonts w:hint="eastAsia" w:ascii="Times New Roman" w:hAnsi="Times New Roman" w:eastAsia="宋体"/>
          <w:b/>
          <w:bCs/>
          <w:color w:val="auto"/>
          <w:sz w:val="24"/>
        </w:rPr>
        <w:t>2、</w:t>
      </w:r>
      <w:r>
        <w:rPr>
          <w:rFonts w:hint="eastAsia" w:ascii="Times New Roman" w:hAnsi="Times New Roman" w:eastAsia="宋体"/>
          <w:b/>
          <w:bCs/>
          <w:color w:val="auto"/>
          <w:sz w:val="24"/>
          <w:lang w:eastAsia="zh-CN"/>
        </w:rPr>
        <w:t>噪声影响分析</w:t>
      </w:r>
    </w:p>
    <w:p>
      <w:pPr>
        <w:autoSpaceDE w:val="0"/>
        <w:autoSpaceDN w:val="0"/>
        <w:spacing w:line="360" w:lineRule="auto"/>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①评价等级</w:t>
      </w:r>
    </w:p>
    <w:p>
      <w:pPr>
        <w:autoSpaceDE w:val="0"/>
        <w:autoSpaceDN w:val="0"/>
        <w:spacing w:line="360" w:lineRule="auto"/>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本工程位于</w:t>
      </w:r>
      <w:r>
        <w:rPr>
          <w:rFonts w:hint="eastAsia" w:ascii="Times New Roman" w:hAnsi="Times New Roman" w:eastAsia="宋体"/>
          <w:color w:val="auto"/>
          <w:sz w:val="24"/>
          <w:lang w:eastAsia="zh-CN"/>
        </w:rPr>
        <w:t>眉山市丹棱县仁美镇雄义村5组</w:t>
      </w:r>
      <w:r>
        <w:rPr>
          <w:rFonts w:hint="eastAsia" w:ascii="Times New Roman" w:hAnsi="Times New Roman" w:eastAsia="宋体"/>
          <w:color w:val="auto"/>
          <w:sz w:val="24"/>
        </w:rPr>
        <w:t>，评价区域属于《声环境质量标准》（GB3096-2008）2 类标准区域。项目采取噪声治理措施后噪声级增加不大，受影响的人口数不多。根据《环境影响评价技术导则  声环境》（HJ2.4-2009）中的“建设项目所处的声环境功能区为GB3096 规定的 1 类、2 类地区，或建设项目建设前后评价范围内敏感目标噪声级增高量达 3～5dB（A）〔含 5 dB（A）〕，”本项目噪声主要为</w:t>
      </w:r>
      <w:r>
        <w:rPr>
          <w:rFonts w:hint="eastAsia" w:ascii="Times New Roman" w:hAnsi="Times New Roman" w:eastAsia="宋体"/>
          <w:color w:val="auto"/>
          <w:sz w:val="24"/>
          <w:lang w:eastAsia="zh-CN"/>
        </w:rPr>
        <w:t>养殖区</w:t>
      </w:r>
      <w:r>
        <w:rPr>
          <w:rFonts w:hint="eastAsia" w:ascii="Times New Roman" w:hAnsi="Times New Roman" w:eastAsia="宋体"/>
          <w:color w:val="auto"/>
          <w:sz w:val="24"/>
        </w:rPr>
        <w:t>设备运行噪声，项目建设前后评价范围内敏感目标噪声级增高量在 5dB（A）以下，且受影响人口数量变化不大，根据《环境影响评价技术导则 声环境》（HJ2.4-2009）中的规定，本评价噪声等级定为二级。</w:t>
      </w:r>
    </w:p>
    <w:p>
      <w:pPr>
        <w:autoSpaceDE w:val="0"/>
        <w:autoSpaceDN w:val="0"/>
        <w:spacing w:line="360" w:lineRule="auto"/>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②预测分析</w:t>
      </w:r>
    </w:p>
    <w:p>
      <w:pPr>
        <w:autoSpaceDE w:val="0"/>
        <w:autoSpaceDN w:val="0"/>
        <w:spacing w:line="360" w:lineRule="auto"/>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本项目的噪声源主要是</w:t>
      </w:r>
      <w:r>
        <w:rPr>
          <w:rFonts w:hint="eastAsia" w:ascii="Times New Roman" w:hAnsi="Times New Roman" w:eastAsia="宋体"/>
          <w:color w:val="auto"/>
          <w:sz w:val="24"/>
          <w:lang w:eastAsia="zh-CN"/>
        </w:rPr>
        <w:t>猪叫、风机、泵类</w:t>
      </w:r>
      <w:r>
        <w:rPr>
          <w:rFonts w:hint="eastAsia" w:ascii="Times New Roman" w:hAnsi="Times New Roman" w:eastAsia="宋体"/>
          <w:color w:val="auto"/>
          <w:sz w:val="24"/>
        </w:rPr>
        <w:t>等设备运行噪声，此类生产设备的噪声源声级值一般在70~</w:t>
      </w:r>
      <w:r>
        <w:rPr>
          <w:rFonts w:hint="eastAsia" w:ascii="Times New Roman" w:hAnsi="Times New Roman" w:eastAsia="宋体"/>
          <w:color w:val="auto"/>
          <w:sz w:val="24"/>
          <w:lang w:val="en-US" w:eastAsia="zh-CN"/>
        </w:rPr>
        <w:t>85</w:t>
      </w:r>
      <w:r>
        <w:rPr>
          <w:rFonts w:hint="eastAsia" w:ascii="Times New Roman" w:hAnsi="Times New Roman" w:eastAsia="宋体"/>
          <w:color w:val="auto"/>
          <w:sz w:val="24"/>
        </w:rPr>
        <w:t>dB(A)之间，为减少设备噪声对操作人员及周围环境的影响，环评采取措施如下：</w:t>
      </w:r>
    </w:p>
    <w:p>
      <w:pPr>
        <w:autoSpaceDE w:val="0"/>
        <w:autoSpaceDN w:val="0"/>
        <w:spacing w:line="360" w:lineRule="auto"/>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1）在设备选型时优先选择高效、低噪声的设备，加强营运期间对各种机械的维修保养，保持其良好的运行效果；</w:t>
      </w:r>
    </w:p>
    <w:p>
      <w:pPr>
        <w:autoSpaceDE w:val="0"/>
        <w:autoSpaceDN w:val="0"/>
        <w:spacing w:line="360" w:lineRule="auto"/>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2）做好建筑墙体的隔音措施；</w:t>
      </w:r>
    </w:p>
    <w:p>
      <w:pPr>
        <w:autoSpaceDE w:val="0"/>
        <w:autoSpaceDN w:val="0"/>
        <w:spacing w:line="360" w:lineRule="auto"/>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3）设备安装时采取减震措施；</w:t>
      </w:r>
    </w:p>
    <w:p>
      <w:pPr>
        <w:autoSpaceDE w:val="0"/>
        <w:autoSpaceDN w:val="0"/>
        <w:spacing w:line="360" w:lineRule="auto"/>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4）进一步优化布局，保证噪声源远离厂界和敏感点；</w:t>
      </w:r>
    </w:p>
    <w:p>
      <w:pPr>
        <w:autoSpaceDE w:val="0"/>
        <w:autoSpaceDN w:val="0"/>
        <w:spacing w:line="360" w:lineRule="auto"/>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5）强化绿化措施，绿化带多种植高大树种；</w:t>
      </w:r>
    </w:p>
    <w:p>
      <w:pPr>
        <w:autoSpaceDE w:val="0"/>
        <w:autoSpaceDN w:val="0"/>
        <w:spacing w:line="360" w:lineRule="auto"/>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6）噪声控制设备必须满足防火、防潮、防尘等工艺与安全卫生要求；</w:t>
      </w:r>
    </w:p>
    <w:p>
      <w:pPr>
        <w:autoSpaceDE w:val="0"/>
        <w:autoSpaceDN w:val="0"/>
        <w:spacing w:line="360" w:lineRule="auto"/>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7）</w:t>
      </w:r>
      <w:r>
        <w:rPr>
          <w:rFonts w:hint="eastAsia" w:ascii="Times New Roman" w:hAnsi="Times New Roman" w:eastAsia="宋体"/>
          <w:color w:val="auto"/>
          <w:sz w:val="24"/>
          <w:lang w:eastAsia="zh-CN"/>
        </w:rPr>
        <w:t>加强管理，定时进出猪舍</w:t>
      </w:r>
      <w:r>
        <w:rPr>
          <w:rFonts w:hint="eastAsia" w:ascii="Times New Roman" w:hAnsi="Times New Roman" w:eastAsia="宋体"/>
          <w:color w:val="auto"/>
          <w:sz w:val="24"/>
        </w:rPr>
        <w:t>。</w:t>
      </w:r>
    </w:p>
    <w:p>
      <w:pPr>
        <w:autoSpaceDE w:val="0"/>
        <w:autoSpaceDN w:val="0"/>
        <w:spacing w:line="360" w:lineRule="auto"/>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用如下公式计算以上设备叠加的总声级：</w:t>
      </w:r>
    </w:p>
    <w:p>
      <w:pPr>
        <w:autoSpaceDE w:val="0"/>
        <w:autoSpaceDN w:val="0"/>
        <w:spacing w:line="360" w:lineRule="auto"/>
        <w:ind w:firstLine="480" w:firstLineChars="200"/>
        <w:jc w:val="center"/>
        <w:rPr>
          <w:rFonts w:hint="eastAsia" w:ascii="Times New Roman" w:hAnsi="Times New Roman" w:eastAsia="宋体"/>
          <w:color w:val="auto"/>
          <w:sz w:val="24"/>
        </w:rPr>
      </w:pPr>
      <w:r>
        <w:rPr>
          <w:color w:val="auto"/>
          <w:position w:val="-32"/>
          <w:sz w:val="24"/>
        </w:rPr>
        <w:object>
          <v:shape id="_x0000_i1036" o:spt="75" type="#_x0000_t75" style="height:38.25pt;width:98.25pt;" o:ole="t" filled="f" stroked="f" coordsize="21600,21600">
            <v:path/>
            <v:fill on="f" focussize="0,0"/>
            <v:stroke on="f"/>
            <v:imagedata r:id="rId63" o:title=""/>
            <o:lock v:ext="edit" grouping="f" rotation="f" text="f" aspectratio="t"/>
            <w10:wrap type="none"/>
            <w10:anchorlock/>
          </v:shape>
          <o:OLEObject Type="Embed" ProgID="Equation.DSMT4" ShapeID="_x0000_i1036" DrawAspect="Content" ObjectID="_1468075736" r:id="rId62">
            <o:LockedField>false</o:LockedField>
          </o:OLEObject>
        </w:object>
      </w:r>
    </w:p>
    <w:p>
      <w:pPr>
        <w:autoSpaceDE w:val="0"/>
        <w:autoSpaceDN w:val="0"/>
        <w:spacing w:line="360" w:lineRule="auto"/>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式中：L总：几个声压级相加后的总声压级，dB（A）；</w:t>
      </w:r>
    </w:p>
    <w:p>
      <w:pPr>
        <w:autoSpaceDE w:val="0"/>
        <w:autoSpaceDN w:val="0"/>
        <w:spacing w:line="360" w:lineRule="auto"/>
        <w:ind w:firstLine="1200" w:firstLineChars="500"/>
        <w:rPr>
          <w:rFonts w:hint="eastAsia" w:ascii="Times New Roman" w:hAnsi="Times New Roman" w:eastAsia="宋体"/>
          <w:color w:val="auto"/>
          <w:sz w:val="24"/>
        </w:rPr>
      </w:pPr>
      <w:r>
        <w:rPr>
          <w:rFonts w:hint="eastAsia" w:ascii="Times New Roman" w:hAnsi="Times New Roman" w:eastAsia="宋体"/>
          <w:color w:val="auto"/>
          <w:sz w:val="24"/>
        </w:rPr>
        <w:t>Li：某一个声压级，dB（A）。</w:t>
      </w:r>
    </w:p>
    <w:p>
      <w:pPr>
        <w:autoSpaceDE w:val="0"/>
        <w:autoSpaceDN w:val="0"/>
        <w:spacing w:line="360" w:lineRule="auto"/>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根据表</w:t>
      </w:r>
      <w:r>
        <w:rPr>
          <w:rFonts w:hint="eastAsia" w:ascii="Times New Roman" w:hAnsi="Times New Roman" w:eastAsia="宋体"/>
          <w:color w:val="auto"/>
          <w:sz w:val="24"/>
          <w:lang w:val="en-US" w:eastAsia="zh-CN"/>
        </w:rPr>
        <w:t>5.2-17</w:t>
      </w:r>
      <w:r>
        <w:rPr>
          <w:rFonts w:hint="eastAsia" w:ascii="Times New Roman" w:hAnsi="Times New Roman" w:eastAsia="宋体"/>
          <w:color w:val="auto"/>
          <w:sz w:val="24"/>
        </w:rPr>
        <w:t>，可知，本项目噪声叠加值为</w:t>
      </w:r>
      <w:r>
        <w:rPr>
          <w:rFonts w:hint="eastAsia" w:ascii="Times New Roman" w:hAnsi="Times New Roman" w:eastAsia="宋体"/>
          <w:color w:val="auto"/>
          <w:sz w:val="24"/>
          <w:lang w:val="en-US" w:eastAsia="zh-CN"/>
        </w:rPr>
        <w:t>83.22</w:t>
      </w:r>
      <w:r>
        <w:rPr>
          <w:rFonts w:hint="eastAsia" w:ascii="Times New Roman" w:hAnsi="Times New Roman" w:eastAsia="宋体"/>
          <w:color w:val="auto"/>
          <w:sz w:val="24"/>
        </w:rPr>
        <w:t>dB（A）。</w:t>
      </w:r>
    </w:p>
    <w:p>
      <w:pPr>
        <w:autoSpaceDE w:val="0"/>
        <w:autoSpaceDN w:val="0"/>
        <w:spacing w:line="360" w:lineRule="auto"/>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③预测模式</w:t>
      </w:r>
    </w:p>
    <w:p>
      <w:pPr>
        <w:autoSpaceDE w:val="0"/>
        <w:autoSpaceDN w:val="0"/>
        <w:spacing w:line="360" w:lineRule="auto"/>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假定各噪声源以自由声场的形式传播，从最为不利的情况出发，即当噪声源同时运行时，按照“导则”中推荐的预测模式：</w:t>
      </w:r>
    </w:p>
    <w:p>
      <w:pPr>
        <w:autoSpaceDE w:val="0"/>
        <w:autoSpaceDN w:val="0"/>
        <w:spacing w:line="360" w:lineRule="auto"/>
        <w:ind w:firstLine="480" w:firstLineChars="200"/>
        <w:jc w:val="center"/>
        <w:rPr>
          <w:rFonts w:hint="eastAsia" w:ascii="Times New Roman" w:hAnsi="Times New Roman" w:eastAsia="宋体"/>
          <w:color w:val="auto"/>
          <w:sz w:val="24"/>
          <w:lang w:val="zh-CN"/>
        </w:rPr>
      </w:pPr>
      <w:r>
        <w:rPr>
          <w:rFonts w:hint="eastAsia" w:ascii="Times New Roman" w:hAnsi="Times New Roman" w:eastAsia="宋体"/>
          <w:color w:val="auto"/>
          <w:sz w:val="24"/>
          <w:lang w:val="zh-CN"/>
        </w:rPr>
        <w:t>L</w:t>
      </w:r>
      <w:r>
        <w:rPr>
          <w:rFonts w:hint="eastAsia" w:ascii="Times New Roman" w:hAnsi="Times New Roman" w:eastAsia="宋体"/>
          <w:color w:val="auto"/>
          <w:sz w:val="24"/>
          <w:vertAlign w:val="subscript"/>
          <w:lang w:val="zh-CN"/>
        </w:rPr>
        <w:t>2</w:t>
      </w:r>
      <w:r>
        <w:rPr>
          <w:rFonts w:hint="eastAsia" w:ascii="Times New Roman" w:hAnsi="Times New Roman" w:eastAsia="宋体"/>
          <w:color w:val="auto"/>
          <w:sz w:val="24"/>
          <w:lang w:val="zh-CN"/>
        </w:rPr>
        <w:t>＝L</w:t>
      </w:r>
      <w:r>
        <w:rPr>
          <w:rFonts w:hint="eastAsia" w:ascii="Times New Roman" w:hAnsi="Times New Roman" w:eastAsia="宋体"/>
          <w:color w:val="auto"/>
          <w:sz w:val="24"/>
          <w:vertAlign w:val="subscript"/>
          <w:lang w:val="zh-CN"/>
        </w:rPr>
        <w:t>1</w:t>
      </w:r>
      <w:r>
        <w:rPr>
          <w:rFonts w:hint="eastAsia" w:ascii="Times New Roman" w:hAnsi="Times New Roman" w:eastAsia="宋体"/>
          <w:color w:val="auto"/>
          <w:sz w:val="24"/>
          <w:lang w:val="zh-CN"/>
        </w:rPr>
        <w:t>－klgr＝L</w:t>
      </w:r>
      <w:r>
        <w:rPr>
          <w:rFonts w:hint="eastAsia" w:ascii="Times New Roman" w:hAnsi="Times New Roman" w:eastAsia="宋体"/>
          <w:color w:val="auto"/>
          <w:sz w:val="24"/>
          <w:vertAlign w:val="subscript"/>
          <w:lang w:val="zh-CN"/>
        </w:rPr>
        <w:t>1</w:t>
      </w:r>
      <w:r>
        <w:rPr>
          <w:rFonts w:hint="eastAsia" w:ascii="Times New Roman" w:hAnsi="Times New Roman" w:eastAsia="宋体"/>
          <w:color w:val="auto"/>
          <w:sz w:val="24"/>
          <w:lang w:val="zh-CN"/>
        </w:rPr>
        <w:t>－20lgr</w:t>
      </w:r>
    </w:p>
    <w:p>
      <w:pPr>
        <w:autoSpaceDE w:val="0"/>
        <w:autoSpaceDN w:val="0"/>
        <w:spacing w:line="360" w:lineRule="auto"/>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式中：L</w:t>
      </w:r>
      <w:r>
        <w:rPr>
          <w:rFonts w:hint="eastAsia" w:ascii="Times New Roman" w:hAnsi="Times New Roman" w:eastAsia="宋体"/>
          <w:color w:val="auto"/>
          <w:sz w:val="24"/>
          <w:vertAlign w:val="subscript"/>
        </w:rPr>
        <w:t>2</w:t>
      </w:r>
      <w:r>
        <w:rPr>
          <w:rFonts w:hint="eastAsia" w:ascii="Times New Roman" w:hAnsi="Times New Roman" w:eastAsia="宋体"/>
          <w:color w:val="auto"/>
          <w:sz w:val="24"/>
        </w:rPr>
        <w:t>---------距噪声源不同距离处的声级值，dB（A）；</w:t>
      </w:r>
    </w:p>
    <w:p>
      <w:pPr>
        <w:autoSpaceDE w:val="0"/>
        <w:autoSpaceDN w:val="0"/>
        <w:spacing w:line="360" w:lineRule="auto"/>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 xml:space="preserve">      L</w:t>
      </w:r>
      <w:r>
        <w:rPr>
          <w:rFonts w:hint="eastAsia" w:ascii="Times New Roman" w:hAnsi="Times New Roman" w:eastAsia="宋体"/>
          <w:color w:val="auto"/>
          <w:sz w:val="24"/>
          <w:vertAlign w:val="subscript"/>
        </w:rPr>
        <w:t>1</w:t>
      </w:r>
      <w:r>
        <w:rPr>
          <w:rFonts w:hint="eastAsia" w:ascii="Times New Roman" w:hAnsi="Times New Roman" w:eastAsia="宋体"/>
          <w:color w:val="auto"/>
          <w:sz w:val="24"/>
        </w:rPr>
        <w:t>---------噪声源的源强值；</w:t>
      </w:r>
    </w:p>
    <w:p>
      <w:pPr>
        <w:autoSpaceDE w:val="0"/>
        <w:autoSpaceDN w:val="0"/>
        <w:spacing w:line="360" w:lineRule="auto"/>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 xml:space="preserve"> </w:t>
      </w:r>
      <w:r>
        <w:rPr>
          <w:rFonts w:hint="eastAsia" w:ascii="Times New Roman" w:hAnsi="Times New Roman" w:eastAsia="宋体"/>
          <w:color w:val="auto"/>
          <w:sz w:val="24"/>
          <w:lang w:val="en-US" w:eastAsia="zh-CN"/>
        </w:rPr>
        <w:t xml:space="preserve">  </w:t>
      </w:r>
      <w:r>
        <w:rPr>
          <w:rFonts w:hint="eastAsia" w:ascii="Times New Roman" w:hAnsi="Times New Roman" w:eastAsia="宋体"/>
          <w:color w:val="auto"/>
          <w:sz w:val="24"/>
        </w:rPr>
        <w:t xml:space="preserve">   r----------预测点到噪声源的距离。</w:t>
      </w:r>
    </w:p>
    <w:p>
      <w:pPr>
        <w:autoSpaceDE w:val="0"/>
        <w:autoSpaceDN w:val="0"/>
        <w:spacing w:line="360" w:lineRule="auto"/>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根据监测布点，各预测点到声源的距离见下表。</w:t>
      </w:r>
    </w:p>
    <w:p>
      <w:pPr>
        <w:spacing w:line="360" w:lineRule="auto"/>
        <w:jc w:val="center"/>
        <w:rPr>
          <w:rFonts w:ascii="Times New Roman" w:hAnsi="Times New Roman" w:eastAsia="宋体" w:cs="Times New Roman"/>
          <w:b/>
          <w:color w:val="auto"/>
          <w:sz w:val="22"/>
          <w:szCs w:val="22"/>
        </w:rPr>
      </w:pPr>
      <w:r>
        <w:rPr>
          <w:rFonts w:ascii="Times New Roman" w:hAnsi="Times New Roman" w:eastAsia="宋体" w:cs="Times New Roman"/>
          <w:b/>
          <w:color w:val="auto"/>
          <w:sz w:val="21"/>
          <w:szCs w:val="21"/>
        </w:rPr>
        <w:t>表</w:t>
      </w:r>
      <w:r>
        <w:rPr>
          <w:rFonts w:hint="eastAsia" w:ascii="Times New Roman" w:hAnsi="Times New Roman" w:eastAsia="宋体" w:cs="Times New Roman"/>
          <w:b/>
          <w:color w:val="auto"/>
          <w:sz w:val="21"/>
          <w:szCs w:val="21"/>
        </w:rPr>
        <w:t>5.2</w:t>
      </w:r>
      <w:r>
        <w:rPr>
          <w:rFonts w:ascii="Times New Roman" w:hAnsi="Times New Roman" w:eastAsia="宋体" w:cs="Times New Roman"/>
          <w:b/>
          <w:color w:val="auto"/>
          <w:sz w:val="21"/>
          <w:szCs w:val="21"/>
        </w:rPr>
        <w:t>-</w:t>
      </w:r>
      <w:r>
        <w:rPr>
          <w:rFonts w:hint="eastAsia" w:ascii="Times New Roman" w:hAnsi="Times New Roman" w:eastAsia="宋体" w:cs="Times New Roman"/>
          <w:b/>
          <w:color w:val="auto"/>
          <w:sz w:val="21"/>
          <w:szCs w:val="21"/>
          <w:lang w:val="en-US" w:eastAsia="zh-CN"/>
        </w:rPr>
        <w:t xml:space="preserve">19  </w:t>
      </w:r>
      <w:r>
        <w:rPr>
          <w:rFonts w:hint="eastAsia" w:ascii="Times New Roman" w:hAnsi="Times New Roman" w:eastAsia="宋体" w:cs="Times New Roman"/>
          <w:b/>
          <w:color w:val="auto"/>
          <w:sz w:val="21"/>
          <w:szCs w:val="21"/>
        </w:rPr>
        <w:t>声源到各预测点的距离</w:t>
      </w:r>
    </w:p>
    <w:tbl>
      <w:tblPr>
        <w:tblStyle w:val="34"/>
        <w:tblpPr w:leftFromText="180" w:rightFromText="180" w:vertAnchor="text" w:horzAnchor="page" w:tblpXSpec="center" w:tblpY="305"/>
        <w:tblOverlap w:val="never"/>
        <w:tblW w:w="0" w:type="auto"/>
        <w:jc w:val="center"/>
        <w:tblBorders>
          <w:top w:val="single" w:color="auto" w:sz="4" w:space="0"/>
          <w:left w:val="none" w:color="auto" w:sz="0" w:space="0"/>
          <w:bottom w:val="single" w:color="auto" w:sz="4" w:space="0"/>
          <w:right w:val="none" w:color="auto" w:sz="0" w:space="0"/>
          <w:insideH w:val="single" w:color="auto" w:sz="2" w:space="0"/>
          <w:insideV w:val="single" w:color="auto" w:sz="6" w:space="0"/>
        </w:tblBorders>
        <w:tblLayout w:type="fixed"/>
        <w:tblCellMar>
          <w:top w:w="0" w:type="dxa"/>
          <w:left w:w="108" w:type="dxa"/>
          <w:bottom w:w="0" w:type="dxa"/>
          <w:right w:w="108" w:type="dxa"/>
        </w:tblCellMar>
      </w:tblPr>
      <w:tblGrid>
        <w:gridCol w:w="898"/>
        <w:gridCol w:w="1059"/>
        <w:gridCol w:w="1718"/>
        <w:gridCol w:w="1753"/>
        <w:gridCol w:w="1619"/>
        <w:gridCol w:w="1737"/>
      </w:tblGrid>
      <w:tr>
        <w:tblPrEx>
          <w:tblBorders>
            <w:top w:val="single" w:color="auto" w:sz="4" w:space="0"/>
            <w:left w:val="none" w:color="auto" w:sz="0" w:space="0"/>
            <w:bottom w:val="single" w:color="auto" w:sz="4" w:space="0"/>
            <w:right w:val="none" w:color="auto" w:sz="0" w:space="0"/>
            <w:insideH w:val="single" w:color="auto" w:sz="2" w:space="0"/>
            <w:insideV w:val="single" w:color="auto" w:sz="6" w:space="0"/>
          </w:tblBorders>
          <w:tblCellMar>
            <w:top w:w="0" w:type="dxa"/>
            <w:left w:w="108" w:type="dxa"/>
            <w:bottom w:w="0" w:type="dxa"/>
            <w:right w:w="108" w:type="dxa"/>
          </w:tblCellMar>
        </w:tblPrEx>
        <w:trPr>
          <w:trHeight w:val="397" w:hRule="atLeast"/>
          <w:jc w:val="center"/>
        </w:trPr>
        <w:tc>
          <w:tcPr>
            <w:tcW w:w="1957" w:type="dxa"/>
            <w:gridSpan w:val="2"/>
            <w:vMerge w:val="restart"/>
            <w:tcBorders>
              <w:tl2br w:val="single" w:color="auto" w:sz="4" w:space="0"/>
            </w:tcBorders>
            <w:noWrap w:val="0"/>
            <w:vAlign w:val="center"/>
          </w:tcPr>
          <w:p>
            <w:pPr>
              <w:jc w:val="center"/>
              <w:rPr>
                <w:rFonts w:hint="eastAsia" w:ascii="Times New Roman" w:hAnsi="Times New Roman" w:eastAsia="宋体" w:cs="Times New Roman"/>
                <w:b/>
                <w:bCs w:val="0"/>
                <w:color w:val="auto"/>
                <w:szCs w:val="21"/>
              </w:rPr>
            </w:pPr>
            <w:r>
              <w:rPr>
                <w:rFonts w:hint="eastAsia" w:ascii="Times New Roman" w:hAnsi="Times New Roman" w:eastAsia="宋体" w:cs="Times New Roman"/>
                <w:b/>
                <w:bCs w:val="0"/>
                <w:color w:val="auto"/>
                <w:szCs w:val="21"/>
              </w:rPr>
              <w:t>评价点位</w:t>
            </w:r>
          </w:p>
          <w:p>
            <w:pPr>
              <w:jc w:val="both"/>
              <w:rPr>
                <w:rFonts w:ascii="Times New Roman" w:hAnsi="Times New Roman" w:eastAsia="宋体" w:cs="Times New Roman"/>
                <w:b/>
                <w:bCs w:val="0"/>
                <w:color w:val="auto"/>
                <w:szCs w:val="21"/>
              </w:rPr>
            </w:pPr>
            <w:r>
              <w:rPr>
                <w:rFonts w:hint="eastAsia" w:ascii="Times New Roman" w:hAnsi="Times New Roman" w:eastAsia="宋体" w:cs="Times New Roman"/>
                <w:b/>
                <w:bCs w:val="0"/>
                <w:color w:val="auto"/>
                <w:szCs w:val="21"/>
              </w:rPr>
              <w:t>源强</w:t>
            </w:r>
          </w:p>
          <w:p>
            <w:pPr>
              <w:jc w:val="both"/>
              <w:rPr>
                <w:rFonts w:ascii="Times New Roman" w:hAnsi="Times New Roman" w:eastAsia="宋体" w:cs="Times New Roman"/>
                <w:b/>
                <w:bCs w:val="0"/>
                <w:color w:val="auto"/>
                <w:szCs w:val="21"/>
              </w:rPr>
            </w:pPr>
            <w:r>
              <w:rPr>
                <w:rFonts w:hint="eastAsia" w:ascii="Times New Roman" w:hAnsi="Times New Roman" w:eastAsia="宋体" w:cs="Times New Roman"/>
                <w:b/>
                <w:bCs w:val="0"/>
                <w:color w:val="auto"/>
                <w:szCs w:val="21"/>
              </w:rPr>
              <w:t>项目</w:t>
            </w:r>
          </w:p>
        </w:tc>
        <w:tc>
          <w:tcPr>
            <w:tcW w:w="1718" w:type="dxa"/>
            <w:noWrap w:val="0"/>
            <w:vAlign w:val="center"/>
          </w:tcPr>
          <w:p>
            <w:pPr>
              <w:jc w:val="center"/>
              <w:rPr>
                <w:rFonts w:ascii="Times New Roman" w:hAnsi="Times New Roman" w:eastAsia="宋体" w:cs="Times New Roman"/>
                <w:b/>
                <w:bCs w:val="0"/>
                <w:color w:val="auto"/>
                <w:szCs w:val="21"/>
              </w:rPr>
            </w:pPr>
            <w:r>
              <w:rPr>
                <w:rFonts w:hint="eastAsia" w:ascii="Times New Roman" w:hAnsi="Times New Roman" w:eastAsia="宋体" w:cs="Times New Roman"/>
                <w:b/>
                <w:bCs w:val="0"/>
                <w:color w:val="auto"/>
                <w:szCs w:val="21"/>
              </w:rPr>
              <w:t>1#</w:t>
            </w:r>
          </w:p>
        </w:tc>
        <w:tc>
          <w:tcPr>
            <w:tcW w:w="1753" w:type="dxa"/>
            <w:noWrap w:val="0"/>
            <w:vAlign w:val="center"/>
          </w:tcPr>
          <w:p>
            <w:pPr>
              <w:jc w:val="center"/>
              <w:rPr>
                <w:rFonts w:ascii="Times New Roman" w:hAnsi="Times New Roman" w:eastAsia="宋体" w:cs="Times New Roman"/>
                <w:b/>
                <w:bCs w:val="0"/>
                <w:color w:val="auto"/>
                <w:szCs w:val="21"/>
              </w:rPr>
            </w:pPr>
            <w:r>
              <w:rPr>
                <w:rFonts w:hint="eastAsia" w:ascii="Times New Roman" w:hAnsi="Times New Roman" w:eastAsia="宋体" w:cs="Times New Roman"/>
                <w:b/>
                <w:bCs w:val="0"/>
                <w:color w:val="auto"/>
                <w:szCs w:val="21"/>
              </w:rPr>
              <w:t>2#</w:t>
            </w:r>
          </w:p>
        </w:tc>
        <w:tc>
          <w:tcPr>
            <w:tcW w:w="1619" w:type="dxa"/>
            <w:noWrap w:val="0"/>
            <w:vAlign w:val="center"/>
          </w:tcPr>
          <w:p>
            <w:pPr>
              <w:jc w:val="center"/>
              <w:rPr>
                <w:rFonts w:ascii="Times New Roman" w:hAnsi="Times New Roman" w:eastAsia="宋体" w:cs="Times New Roman"/>
                <w:b/>
                <w:bCs w:val="0"/>
                <w:color w:val="auto"/>
                <w:szCs w:val="21"/>
              </w:rPr>
            </w:pPr>
            <w:r>
              <w:rPr>
                <w:rFonts w:hint="eastAsia" w:ascii="Times New Roman" w:hAnsi="Times New Roman" w:eastAsia="宋体" w:cs="Times New Roman"/>
                <w:b/>
                <w:bCs w:val="0"/>
                <w:color w:val="auto"/>
                <w:szCs w:val="21"/>
              </w:rPr>
              <w:t>3#</w:t>
            </w:r>
          </w:p>
        </w:tc>
        <w:tc>
          <w:tcPr>
            <w:tcW w:w="1737" w:type="dxa"/>
            <w:noWrap w:val="0"/>
            <w:vAlign w:val="center"/>
          </w:tcPr>
          <w:p>
            <w:pPr>
              <w:jc w:val="center"/>
              <w:rPr>
                <w:rFonts w:ascii="Times New Roman" w:hAnsi="Times New Roman" w:eastAsia="宋体" w:cs="Times New Roman"/>
                <w:b/>
                <w:bCs w:val="0"/>
                <w:color w:val="auto"/>
                <w:szCs w:val="21"/>
              </w:rPr>
            </w:pPr>
            <w:r>
              <w:rPr>
                <w:rFonts w:hint="eastAsia" w:ascii="Times New Roman" w:hAnsi="Times New Roman" w:eastAsia="宋体" w:cs="Times New Roman"/>
                <w:b/>
                <w:bCs w:val="0"/>
                <w:color w:val="auto"/>
                <w:szCs w:val="21"/>
              </w:rPr>
              <w:t>4#</w:t>
            </w:r>
          </w:p>
        </w:tc>
      </w:tr>
      <w:tr>
        <w:tblPrEx>
          <w:tblBorders>
            <w:top w:val="single" w:color="auto" w:sz="4" w:space="0"/>
            <w:left w:val="none" w:color="auto" w:sz="0" w:space="0"/>
            <w:bottom w:val="single" w:color="auto" w:sz="4" w:space="0"/>
            <w:right w:val="none" w:color="auto" w:sz="0" w:space="0"/>
            <w:insideH w:val="single" w:color="auto" w:sz="2" w:space="0"/>
            <w:insideV w:val="single" w:color="auto" w:sz="6" w:space="0"/>
          </w:tblBorders>
          <w:tblCellMar>
            <w:top w:w="0" w:type="dxa"/>
            <w:left w:w="108" w:type="dxa"/>
            <w:bottom w:w="0" w:type="dxa"/>
            <w:right w:w="108" w:type="dxa"/>
          </w:tblCellMar>
        </w:tblPrEx>
        <w:trPr>
          <w:trHeight w:val="489" w:hRule="atLeast"/>
          <w:jc w:val="center"/>
        </w:trPr>
        <w:tc>
          <w:tcPr>
            <w:tcW w:w="1957" w:type="dxa"/>
            <w:gridSpan w:val="2"/>
            <w:vMerge w:val="continue"/>
            <w:noWrap w:val="0"/>
            <w:vAlign w:val="center"/>
          </w:tcPr>
          <w:p>
            <w:pPr>
              <w:jc w:val="center"/>
              <w:rPr>
                <w:rFonts w:ascii="Times New Roman" w:hAnsi="Times New Roman" w:eastAsia="宋体" w:cs="Times New Roman"/>
                <w:b/>
                <w:bCs w:val="0"/>
                <w:color w:val="auto"/>
                <w:szCs w:val="21"/>
              </w:rPr>
            </w:pPr>
          </w:p>
        </w:tc>
        <w:tc>
          <w:tcPr>
            <w:tcW w:w="1718" w:type="dxa"/>
            <w:noWrap w:val="0"/>
            <w:vAlign w:val="center"/>
          </w:tcPr>
          <w:p>
            <w:pPr>
              <w:jc w:val="center"/>
              <w:rPr>
                <w:rFonts w:ascii="Times New Roman" w:hAnsi="Times New Roman" w:eastAsia="宋体" w:cs="Times New Roman"/>
                <w:b/>
                <w:bCs w:val="0"/>
                <w:color w:val="auto"/>
                <w:szCs w:val="21"/>
              </w:rPr>
            </w:pPr>
            <w:r>
              <w:rPr>
                <w:rFonts w:hint="eastAsia" w:ascii="Times New Roman" w:hAnsi="Times New Roman" w:eastAsia="宋体" w:cs="Times New Roman"/>
                <w:b/>
                <w:bCs w:val="0"/>
                <w:color w:val="auto"/>
                <w:szCs w:val="21"/>
              </w:rPr>
              <w:t>厂界东面</w:t>
            </w:r>
          </w:p>
        </w:tc>
        <w:tc>
          <w:tcPr>
            <w:tcW w:w="1753" w:type="dxa"/>
            <w:noWrap w:val="0"/>
            <w:vAlign w:val="center"/>
          </w:tcPr>
          <w:p>
            <w:pPr>
              <w:jc w:val="center"/>
              <w:rPr>
                <w:rFonts w:ascii="Times New Roman" w:hAnsi="Times New Roman" w:eastAsia="宋体" w:cs="Times New Roman"/>
                <w:b/>
                <w:bCs w:val="0"/>
                <w:color w:val="auto"/>
                <w:szCs w:val="21"/>
              </w:rPr>
            </w:pPr>
            <w:r>
              <w:rPr>
                <w:rFonts w:hint="eastAsia" w:ascii="Times New Roman" w:hAnsi="Times New Roman" w:eastAsia="宋体" w:cs="Times New Roman"/>
                <w:b/>
                <w:bCs w:val="0"/>
                <w:color w:val="auto"/>
                <w:szCs w:val="21"/>
              </w:rPr>
              <w:t>厂界南面</w:t>
            </w:r>
          </w:p>
        </w:tc>
        <w:tc>
          <w:tcPr>
            <w:tcW w:w="1619" w:type="dxa"/>
            <w:noWrap w:val="0"/>
            <w:vAlign w:val="center"/>
          </w:tcPr>
          <w:p>
            <w:pPr>
              <w:jc w:val="center"/>
              <w:rPr>
                <w:rFonts w:ascii="Times New Roman" w:hAnsi="Times New Roman" w:eastAsia="宋体" w:cs="Times New Roman"/>
                <w:b/>
                <w:bCs w:val="0"/>
                <w:color w:val="auto"/>
                <w:szCs w:val="21"/>
              </w:rPr>
            </w:pPr>
            <w:r>
              <w:rPr>
                <w:rFonts w:hint="eastAsia" w:ascii="Times New Roman" w:hAnsi="Times New Roman" w:eastAsia="宋体" w:cs="Times New Roman"/>
                <w:b/>
                <w:bCs w:val="0"/>
                <w:color w:val="auto"/>
                <w:szCs w:val="21"/>
              </w:rPr>
              <w:t>厂界西面</w:t>
            </w:r>
          </w:p>
        </w:tc>
        <w:tc>
          <w:tcPr>
            <w:tcW w:w="1737" w:type="dxa"/>
            <w:noWrap w:val="0"/>
            <w:vAlign w:val="center"/>
          </w:tcPr>
          <w:p>
            <w:pPr>
              <w:jc w:val="center"/>
              <w:rPr>
                <w:rFonts w:ascii="Times New Roman" w:hAnsi="Times New Roman" w:eastAsia="宋体" w:cs="Times New Roman"/>
                <w:b/>
                <w:bCs w:val="0"/>
                <w:color w:val="auto"/>
                <w:szCs w:val="21"/>
              </w:rPr>
            </w:pPr>
            <w:r>
              <w:rPr>
                <w:rFonts w:hint="eastAsia" w:ascii="Times New Roman" w:hAnsi="Times New Roman" w:eastAsia="宋体" w:cs="Times New Roman"/>
                <w:b/>
                <w:bCs w:val="0"/>
                <w:color w:val="auto"/>
                <w:szCs w:val="21"/>
              </w:rPr>
              <w:t>厂界北面</w:t>
            </w:r>
          </w:p>
        </w:tc>
      </w:tr>
      <w:tr>
        <w:tblPrEx>
          <w:tblBorders>
            <w:top w:val="single" w:color="auto" w:sz="4" w:space="0"/>
            <w:left w:val="none" w:color="auto" w:sz="0" w:space="0"/>
            <w:bottom w:val="single" w:color="auto" w:sz="4" w:space="0"/>
            <w:right w:val="none" w:color="auto" w:sz="0" w:space="0"/>
            <w:insideH w:val="single" w:color="auto" w:sz="2" w:space="0"/>
            <w:insideV w:val="single" w:color="auto" w:sz="6" w:space="0"/>
          </w:tblBorders>
          <w:tblCellMar>
            <w:top w:w="0" w:type="dxa"/>
            <w:left w:w="108" w:type="dxa"/>
            <w:bottom w:w="0" w:type="dxa"/>
            <w:right w:w="108" w:type="dxa"/>
          </w:tblCellMar>
        </w:tblPrEx>
        <w:trPr>
          <w:trHeight w:val="397" w:hRule="atLeast"/>
          <w:jc w:val="center"/>
        </w:trPr>
        <w:tc>
          <w:tcPr>
            <w:tcW w:w="1957" w:type="dxa"/>
            <w:gridSpan w:val="2"/>
            <w:noWrap w:val="0"/>
            <w:vAlign w:val="center"/>
          </w:tcPr>
          <w:p>
            <w:pPr>
              <w:jc w:val="center"/>
              <w:rPr>
                <w:rFonts w:ascii="Times New Roman" w:hAnsi="Times New Roman" w:eastAsia="宋体" w:cs="Times New Roman"/>
                <w:bCs/>
                <w:color w:val="auto"/>
                <w:szCs w:val="21"/>
              </w:rPr>
            </w:pPr>
            <w:r>
              <w:rPr>
                <w:rFonts w:hint="eastAsia" w:ascii="Times New Roman" w:hAnsi="Times New Roman" w:eastAsia="宋体" w:cs="Times New Roman"/>
                <w:bCs/>
                <w:color w:val="auto"/>
                <w:szCs w:val="21"/>
              </w:rPr>
              <w:t>噪声源距厂界距离</w:t>
            </w:r>
          </w:p>
        </w:tc>
        <w:tc>
          <w:tcPr>
            <w:tcW w:w="1718" w:type="dxa"/>
            <w:noWrap w:val="0"/>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108</w:t>
            </w:r>
          </w:p>
        </w:tc>
        <w:tc>
          <w:tcPr>
            <w:tcW w:w="1753" w:type="dxa"/>
            <w:noWrap w:val="0"/>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77</w:t>
            </w:r>
          </w:p>
        </w:tc>
        <w:tc>
          <w:tcPr>
            <w:tcW w:w="1619" w:type="dxa"/>
            <w:noWrap w:val="0"/>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105</w:t>
            </w:r>
          </w:p>
        </w:tc>
        <w:tc>
          <w:tcPr>
            <w:tcW w:w="1737" w:type="dxa"/>
            <w:noWrap w:val="0"/>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85</w:t>
            </w:r>
          </w:p>
        </w:tc>
      </w:tr>
      <w:tr>
        <w:tblPrEx>
          <w:tblBorders>
            <w:top w:val="single" w:color="auto" w:sz="4" w:space="0"/>
            <w:left w:val="none" w:color="auto" w:sz="0" w:space="0"/>
            <w:bottom w:val="single" w:color="auto" w:sz="4" w:space="0"/>
            <w:right w:val="none" w:color="auto" w:sz="0" w:space="0"/>
            <w:insideH w:val="single" w:color="auto" w:sz="2" w:space="0"/>
            <w:insideV w:val="single" w:color="auto" w:sz="6" w:space="0"/>
          </w:tblBorders>
          <w:tblCellMar>
            <w:top w:w="0" w:type="dxa"/>
            <w:left w:w="108" w:type="dxa"/>
            <w:bottom w:w="0" w:type="dxa"/>
            <w:right w:w="108" w:type="dxa"/>
          </w:tblCellMar>
        </w:tblPrEx>
        <w:trPr>
          <w:trHeight w:val="397" w:hRule="atLeast"/>
          <w:jc w:val="center"/>
        </w:trPr>
        <w:tc>
          <w:tcPr>
            <w:tcW w:w="1957" w:type="dxa"/>
            <w:gridSpan w:val="2"/>
            <w:noWrap w:val="0"/>
            <w:vAlign w:val="center"/>
          </w:tcPr>
          <w:p>
            <w:pPr>
              <w:jc w:val="center"/>
              <w:rPr>
                <w:rFonts w:ascii="Times New Roman" w:hAnsi="Times New Roman" w:eastAsia="宋体" w:cs="Times New Roman"/>
                <w:bCs/>
                <w:color w:val="auto"/>
                <w:szCs w:val="21"/>
              </w:rPr>
            </w:pPr>
            <w:r>
              <w:rPr>
                <w:rFonts w:hint="eastAsia" w:ascii="Times New Roman" w:hAnsi="Times New Roman" w:eastAsia="宋体" w:cs="Times New Roman"/>
                <w:bCs/>
                <w:color w:val="auto"/>
                <w:szCs w:val="21"/>
              </w:rPr>
              <w:t>贡献值</w:t>
            </w:r>
          </w:p>
        </w:tc>
        <w:tc>
          <w:tcPr>
            <w:tcW w:w="1718" w:type="dxa"/>
            <w:noWrap w:val="0"/>
            <w:vAlign w:val="center"/>
          </w:tcPr>
          <w:p>
            <w:pPr>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42.55</w:t>
            </w:r>
          </w:p>
        </w:tc>
        <w:tc>
          <w:tcPr>
            <w:tcW w:w="1753" w:type="dxa"/>
            <w:noWrap w:val="0"/>
            <w:vAlign w:val="center"/>
          </w:tcPr>
          <w:p>
            <w:pPr>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45.49</w:t>
            </w:r>
          </w:p>
        </w:tc>
        <w:tc>
          <w:tcPr>
            <w:tcW w:w="1619" w:type="dxa"/>
            <w:noWrap w:val="0"/>
            <w:vAlign w:val="center"/>
          </w:tcPr>
          <w:p>
            <w:pPr>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42.79</w:t>
            </w:r>
          </w:p>
        </w:tc>
        <w:tc>
          <w:tcPr>
            <w:tcW w:w="1737" w:type="dxa"/>
            <w:noWrap w:val="0"/>
            <w:vAlign w:val="center"/>
          </w:tcPr>
          <w:p>
            <w:pPr>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44.63</w:t>
            </w:r>
          </w:p>
        </w:tc>
      </w:tr>
      <w:tr>
        <w:tblPrEx>
          <w:tblBorders>
            <w:top w:val="single" w:color="auto" w:sz="4" w:space="0"/>
            <w:left w:val="none" w:color="auto" w:sz="0" w:space="0"/>
            <w:bottom w:val="single" w:color="auto" w:sz="4" w:space="0"/>
            <w:right w:val="none" w:color="auto" w:sz="0" w:space="0"/>
            <w:insideH w:val="single" w:color="auto" w:sz="2" w:space="0"/>
            <w:insideV w:val="single" w:color="auto" w:sz="6" w:space="0"/>
          </w:tblBorders>
          <w:tblCellMar>
            <w:top w:w="0" w:type="dxa"/>
            <w:left w:w="108" w:type="dxa"/>
            <w:bottom w:w="0" w:type="dxa"/>
            <w:right w:w="108" w:type="dxa"/>
          </w:tblCellMar>
        </w:tblPrEx>
        <w:trPr>
          <w:trHeight w:val="397" w:hRule="atLeast"/>
          <w:jc w:val="center"/>
        </w:trPr>
        <w:tc>
          <w:tcPr>
            <w:tcW w:w="898" w:type="dxa"/>
            <w:noWrap w:val="0"/>
            <w:vAlign w:val="center"/>
          </w:tcPr>
          <w:p>
            <w:pPr>
              <w:jc w:val="center"/>
              <w:rPr>
                <w:rFonts w:ascii="Times New Roman" w:hAnsi="Times New Roman" w:eastAsia="宋体" w:cs="Times New Roman"/>
                <w:bCs/>
                <w:color w:val="auto"/>
                <w:szCs w:val="21"/>
              </w:rPr>
            </w:pPr>
            <w:r>
              <w:rPr>
                <w:rFonts w:hint="eastAsia" w:ascii="Times New Roman" w:hAnsi="Times New Roman" w:eastAsia="宋体" w:cs="Times New Roman"/>
                <w:bCs/>
                <w:color w:val="auto"/>
                <w:szCs w:val="21"/>
              </w:rPr>
              <w:t>标准值</w:t>
            </w:r>
          </w:p>
        </w:tc>
        <w:tc>
          <w:tcPr>
            <w:tcW w:w="1059" w:type="dxa"/>
            <w:noWrap w:val="0"/>
            <w:vAlign w:val="center"/>
          </w:tcPr>
          <w:p>
            <w:pPr>
              <w:jc w:val="center"/>
              <w:rPr>
                <w:rFonts w:ascii="Times New Roman" w:hAnsi="Times New Roman" w:eastAsia="宋体" w:cs="Times New Roman"/>
                <w:bCs/>
                <w:color w:val="auto"/>
                <w:szCs w:val="21"/>
              </w:rPr>
            </w:pPr>
            <w:r>
              <w:rPr>
                <w:rFonts w:hint="eastAsia" w:ascii="Times New Roman" w:hAnsi="Times New Roman" w:eastAsia="宋体" w:cs="Times New Roman"/>
                <w:bCs/>
                <w:color w:val="auto"/>
                <w:szCs w:val="21"/>
              </w:rPr>
              <w:t>昼\夜</w:t>
            </w:r>
          </w:p>
        </w:tc>
        <w:tc>
          <w:tcPr>
            <w:tcW w:w="6827" w:type="dxa"/>
            <w:gridSpan w:val="4"/>
            <w:noWrap w:val="0"/>
            <w:vAlign w:val="center"/>
          </w:tcPr>
          <w:p>
            <w:pPr>
              <w:jc w:val="center"/>
              <w:rPr>
                <w:rFonts w:ascii="Times New Roman" w:hAnsi="Times New Roman" w:eastAsia="宋体" w:cs="Times New Roman"/>
                <w:bCs/>
                <w:color w:val="auto"/>
                <w:szCs w:val="21"/>
              </w:rPr>
            </w:pPr>
            <w:r>
              <w:rPr>
                <w:rFonts w:ascii="Times New Roman" w:hAnsi="Times New Roman" w:eastAsia="宋体" w:cs="Times New Roman"/>
                <w:bCs/>
                <w:color w:val="auto"/>
                <w:szCs w:val="21"/>
              </w:rPr>
              <w:t>《工业企业厂界环境噪声排放标准》（GB12348-2008）中</w:t>
            </w:r>
            <w:r>
              <w:rPr>
                <w:rFonts w:hint="eastAsia" w:ascii="Times New Roman" w:hAnsi="Times New Roman" w:eastAsia="宋体" w:cs="Times New Roman"/>
                <w:bCs/>
                <w:color w:val="auto"/>
                <w:szCs w:val="21"/>
                <w:lang w:val="en-US" w:eastAsia="zh-CN"/>
              </w:rPr>
              <w:t>2</w:t>
            </w:r>
            <w:r>
              <w:rPr>
                <w:rFonts w:ascii="Times New Roman" w:hAnsi="Times New Roman" w:eastAsia="宋体" w:cs="Times New Roman"/>
                <w:bCs/>
                <w:color w:val="auto"/>
                <w:szCs w:val="21"/>
              </w:rPr>
              <w:t>类标准，即昼间6</w:t>
            </w:r>
            <w:r>
              <w:rPr>
                <w:rFonts w:hint="eastAsia" w:ascii="Times New Roman" w:hAnsi="Times New Roman" w:eastAsia="宋体" w:cs="Times New Roman"/>
                <w:bCs/>
                <w:color w:val="auto"/>
                <w:szCs w:val="21"/>
                <w:lang w:val="en-US" w:eastAsia="zh-CN"/>
              </w:rPr>
              <w:t>0</w:t>
            </w:r>
            <w:r>
              <w:rPr>
                <w:rFonts w:ascii="Times New Roman" w:hAnsi="Times New Roman" w:eastAsia="宋体" w:cs="Times New Roman"/>
                <w:bCs/>
                <w:color w:val="auto"/>
                <w:szCs w:val="21"/>
              </w:rPr>
              <w:t xml:space="preserve">dB(A)，夜间 </w:t>
            </w:r>
            <w:r>
              <w:rPr>
                <w:rFonts w:hint="eastAsia" w:ascii="Times New Roman" w:hAnsi="Times New Roman" w:eastAsia="宋体" w:cs="Times New Roman"/>
                <w:bCs/>
                <w:color w:val="auto"/>
                <w:szCs w:val="21"/>
                <w:lang w:val="en-US" w:eastAsia="zh-CN"/>
              </w:rPr>
              <w:t>50</w:t>
            </w:r>
            <w:r>
              <w:rPr>
                <w:rFonts w:ascii="Times New Roman" w:hAnsi="Times New Roman" w:eastAsia="宋体" w:cs="Times New Roman"/>
                <w:bCs/>
                <w:color w:val="auto"/>
                <w:szCs w:val="21"/>
              </w:rPr>
              <w:t>dB(A)</w:t>
            </w:r>
          </w:p>
        </w:tc>
      </w:tr>
    </w:tbl>
    <w:p>
      <w:pPr>
        <w:spacing w:line="360" w:lineRule="auto"/>
        <w:jc w:val="center"/>
        <w:rPr>
          <w:rFonts w:ascii="Times New Roman" w:hAnsi="Times New Roman" w:eastAsia="宋体" w:cs="Times New Roman"/>
          <w:b/>
          <w:color w:val="auto"/>
          <w:sz w:val="22"/>
          <w:szCs w:val="22"/>
        </w:rPr>
      </w:pPr>
      <w:r>
        <w:rPr>
          <w:rFonts w:ascii="Times New Roman" w:hAnsi="Times New Roman" w:eastAsia="宋体" w:cs="Times New Roman"/>
          <w:b/>
          <w:color w:val="auto"/>
          <w:sz w:val="21"/>
          <w:szCs w:val="21"/>
        </w:rPr>
        <w:t>表</w:t>
      </w:r>
      <w:r>
        <w:rPr>
          <w:rFonts w:hint="eastAsia" w:ascii="Times New Roman" w:hAnsi="Times New Roman" w:eastAsia="宋体" w:cs="Times New Roman"/>
          <w:b/>
          <w:color w:val="auto"/>
          <w:sz w:val="21"/>
          <w:szCs w:val="21"/>
        </w:rPr>
        <w:t>5.2</w:t>
      </w:r>
      <w:r>
        <w:rPr>
          <w:rFonts w:ascii="Times New Roman" w:hAnsi="Times New Roman" w:eastAsia="宋体" w:cs="Times New Roman"/>
          <w:b/>
          <w:color w:val="auto"/>
          <w:sz w:val="21"/>
          <w:szCs w:val="21"/>
        </w:rPr>
        <w:t>-</w:t>
      </w:r>
      <w:r>
        <w:rPr>
          <w:rFonts w:hint="eastAsia" w:ascii="Times New Roman" w:hAnsi="Times New Roman" w:eastAsia="宋体" w:cs="Times New Roman"/>
          <w:b/>
          <w:color w:val="auto"/>
          <w:sz w:val="21"/>
          <w:szCs w:val="21"/>
          <w:lang w:val="en-US" w:eastAsia="zh-CN"/>
        </w:rPr>
        <w:t xml:space="preserve">20  </w:t>
      </w:r>
      <w:r>
        <w:rPr>
          <w:rFonts w:hint="eastAsia" w:ascii="Times New Roman" w:hAnsi="Times New Roman" w:eastAsia="宋体" w:cs="Times New Roman"/>
          <w:b/>
          <w:color w:val="auto"/>
          <w:sz w:val="21"/>
          <w:szCs w:val="21"/>
        </w:rPr>
        <w:t>噪声影响预测结果    单位：dB(A)</w:t>
      </w:r>
    </w:p>
    <w:tbl>
      <w:tblPr>
        <w:tblStyle w:val="3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3"/>
        <w:gridCol w:w="832"/>
        <w:gridCol w:w="1147"/>
        <w:gridCol w:w="1518"/>
        <w:gridCol w:w="1518"/>
        <w:gridCol w:w="1518"/>
        <w:gridCol w:w="15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1083" w:type="pct"/>
            <w:gridSpan w:val="2"/>
            <w:noWrap w:val="0"/>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预测点位置</w:t>
            </w:r>
          </w:p>
        </w:tc>
        <w:tc>
          <w:tcPr>
            <w:tcW w:w="622" w:type="pct"/>
            <w:noWrap w:val="0"/>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贡献值</w:t>
            </w:r>
          </w:p>
        </w:tc>
        <w:tc>
          <w:tcPr>
            <w:tcW w:w="823" w:type="pct"/>
            <w:noWrap w:val="0"/>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现状值</w:t>
            </w:r>
          </w:p>
        </w:tc>
        <w:tc>
          <w:tcPr>
            <w:tcW w:w="823" w:type="pct"/>
            <w:noWrap w:val="0"/>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预测值</w:t>
            </w:r>
          </w:p>
        </w:tc>
        <w:tc>
          <w:tcPr>
            <w:tcW w:w="823" w:type="pct"/>
            <w:noWrap w:val="0"/>
            <w:vAlign w:val="center"/>
          </w:tcPr>
          <w:p>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标准值</w:t>
            </w:r>
          </w:p>
        </w:tc>
        <w:tc>
          <w:tcPr>
            <w:tcW w:w="823" w:type="pct"/>
            <w:noWrap w:val="0"/>
            <w:vAlign w:val="center"/>
          </w:tcPr>
          <w:p>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评价结果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631" w:type="pct"/>
            <w:vMerge w:val="restart"/>
            <w:noWrap w:val="0"/>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厂界东面</w:t>
            </w:r>
          </w:p>
        </w:tc>
        <w:tc>
          <w:tcPr>
            <w:tcW w:w="451" w:type="pct"/>
            <w:noWrap w:val="0"/>
            <w:vAlign w:val="center"/>
          </w:tcPr>
          <w:p>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昼间</w:t>
            </w:r>
          </w:p>
        </w:tc>
        <w:tc>
          <w:tcPr>
            <w:tcW w:w="622" w:type="pct"/>
            <w:vMerge w:val="restart"/>
            <w:noWrap w:val="0"/>
            <w:vAlign w:val="center"/>
          </w:tcPr>
          <w:p>
            <w:pPr>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42.55</w:t>
            </w:r>
          </w:p>
        </w:tc>
        <w:tc>
          <w:tcPr>
            <w:tcW w:w="1518"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i w:val="0"/>
                <w:iCs w:val="0"/>
                <w:color w:val="auto"/>
                <w:kern w:val="0"/>
                <w:sz w:val="22"/>
                <w:szCs w:val="22"/>
                <w:u w:val="none"/>
                <w:lang w:val="en-US" w:eastAsia="zh-CN" w:bidi="ar"/>
              </w:rPr>
              <w:t>45</w:t>
            </w:r>
          </w:p>
        </w:tc>
        <w:tc>
          <w:tcPr>
            <w:tcW w:w="823" w:type="pct"/>
            <w:noWrap w:val="0"/>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46.96</w:t>
            </w:r>
          </w:p>
        </w:tc>
        <w:tc>
          <w:tcPr>
            <w:tcW w:w="823" w:type="pct"/>
            <w:noWrap w:val="0"/>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昼间60</w:t>
            </w:r>
          </w:p>
        </w:tc>
        <w:tc>
          <w:tcPr>
            <w:tcW w:w="823" w:type="pct"/>
            <w:noWrap w:val="0"/>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631" w:type="pct"/>
            <w:vMerge w:val="continue"/>
            <w:noWrap w:val="0"/>
            <w:vAlign w:val="center"/>
          </w:tcPr>
          <w:p>
            <w:pPr>
              <w:jc w:val="center"/>
              <w:rPr>
                <w:rFonts w:hint="eastAsia" w:ascii="Times New Roman" w:hAnsi="Times New Roman" w:eastAsia="宋体" w:cs="Times New Roman"/>
                <w:bCs/>
                <w:color w:val="auto"/>
                <w:szCs w:val="21"/>
                <w:lang w:val="en-US" w:eastAsia="zh-CN"/>
              </w:rPr>
            </w:pPr>
          </w:p>
        </w:tc>
        <w:tc>
          <w:tcPr>
            <w:tcW w:w="451" w:type="pct"/>
            <w:noWrap w:val="0"/>
            <w:vAlign w:val="center"/>
          </w:tcPr>
          <w:p>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夜间</w:t>
            </w:r>
          </w:p>
        </w:tc>
        <w:tc>
          <w:tcPr>
            <w:tcW w:w="622" w:type="pct"/>
            <w:vMerge w:val="continue"/>
            <w:noWrap w:val="0"/>
            <w:vAlign w:val="center"/>
          </w:tcPr>
          <w:p>
            <w:pPr>
              <w:jc w:val="center"/>
              <w:rPr>
                <w:rFonts w:hint="eastAsia" w:ascii="Times New Roman" w:hAnsi="Times New Roman" w:eastAsia="宋体" w:cs="Times New Roman"/>
                <w:bCs/>
                <w:color w:val="auto"/>
                <w:szCs w:val="21"/>
                <w:lang w:val="en-US" w:eastAsia="zh-CN"/>
              </w:rPr>
            </w:pPr>
          </w:p>
        </w:tc>
        <w:tc>
          <w:tcPr>
            <w:tcW w:w="1518"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i w:val="0"/>
                <w:iCs w:val="0"/>
                <w:color w:val="auto"/>
                <w:kern w:val="0"/>
                <w:sz w:val="22"/>
                <w:szCs w:val="22"/>
                <w:u w:val="none"/>
                <w:lang w:val="en-US" w:eastAsia="zh-CN" w:bidi="ar"/>
              </w:rPr>
              <w:t>43</w:t>
            </w:r>
          </w:p>
        </w:tc>
        <w:tc>
          <w:tcPr>
            <w:tcW w:w="823" w:type="pct"/>
            <w:noWrap w:val="0"/>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45.79</w:t>
            </w:r>
          </w:p>
        </w:tc>
        <w:tc>
          <w:tcPr>
            <w:tcW w:w="823" w:type="pct"/>
            <w:noWrap w:val="0"/>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夜间50</w:t>
            </w:r>
          </w:p>
        </w:tc>
        <w:tc>
          <w:tcPr>
            <w:tcW w:w="823" w:type="pct"/>
            <w:noWrap w:val="0"/>
            <w:vAlign w:val="center"/>
          </w:tcPr>
          <w:p>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631" w:type="pct"/>
            <w:vMerge w:val="restart"/>
            <w:noWrap w:val="0"/>
            <w:vAlign w:val="center"/>
          </w:tcPr>
          <w:p>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厂界南面</w:t>
            </w:r>
          </w:p>
        </w:tc>
        <w:tc>
          <w:tcPr>
            <w:tcW w:w="451" w:type="pct"/>
            <w:noWrap w:val="0"/>
            <w:vAlign w:val="center"/>
          </w:tcPr>
          <w:p>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昼间</w:t>
            </w:r>
          </w:p>
        </w:tc>
        <w:tc>
          <w:tcPr>
            <w:tcW w:w="622" w:type="pct"/>
            <w:vMerge w:val="restart"/>
            <w:noWrap w:val="0"/>
            <w:vAlign w:val="center"/>
          </w:tcPr>
          <w:p>
            <w:pPr>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45.49</w:t>
            </w:r>
          </w:p>
        </w:tc>
        <w:tc>
          <w:tcPr>
            <w:tcW w:w="1518"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i w:val="0"/>
                <w:iCs w:val="0"/>
                <w:color w:val="auto"/>
                <w:kern w:val="0"/>
                <w:sz w:val="22"/>
                <w:szCs w:val="22"/>
                <w:u w:val="none"/>
                <w:lang w:val="en-US" w:eastAsia="zh-CN" w:bidi="ar"/>
              </w:rPr>
              <w:t>46</w:t>
            </w:r>
          </w:p>
        </w:tc>
        <w:tc>
          <w:tcPr>
            <w:tcW w:w="823" w:type="pct"/>
            <w:noWrap w:val="0"/>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48.76</w:t>
            </w:r>
          </w:p>
        </w:tc>
        <w:tc>
          <w:tcPr>
            <w:tcW w:w="823" w:type="pct"/>
            <w:noWrap w:val="0"/>
            <w:vAlign w:val="center"/>
          </w:tcPr>
          <w:p>
            <w:pPr>
              <w:jc w:val="center"/>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val="en-US" w:eastAsia="zh-CN"/>
              </w:rPr>
              <w:t>昼间60</w:t>
            </w:r>
          </w:p>
        </w:tc>
        <w:tc>
          <w:tcPr>
            <w:tcW w:w="823" w:type="pct"/>
            <w:noWrap w:val="0"/>
            <w:vAlign w:val="center"/>
          </w:tcPr>
          <w:p>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631" w:type="pct"/>
            <w:vMerge w:val="continue"/>
            <w:noWrap w:val="0"/>
            <w:vAlign w:val="center"/>
          </w:tcPr>
          <w:p>
            <w:pPr>
              <w:jc w:val="center"/>
              <w:rPr>
                <w:rFonts w:hint="eastAsia" w:ascii="Times New Roman" w:hAnsi="Times New Roman" w:eastAsia="宋体" w:cs="Times New Roman"/>
                <w:bCs/>
                <w:color w:val="auto"/>
                <w:szCs w:val="21"/>
                <w:lang w:val="en-US" w:eastAsia="zh-CN"/>
              </w:rPr>
            </w:pPr>
          </w:p>
        </w:tc>
        <w:tc>
          <w:tcPr>
            <w:tcW w:w="451" w:type="pct"/>
            <w:noWrap w:val="0"/>
            <w:vAlign w:val="center"/>
          </w:tcPr>
          <w:p>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夜间</w:t>
            </w:r>
          </w:p>
        </w:tc>
        <w:tc>
          <w:tcPr>
            <w:tcW w:w="622" w:type="pct"/>
            <w:vMerge w:val="continue"/>
            <w:noWrap w:val="0"/>
            <w:vAlign w:val="center"/>
          </w:tcPr>
          <w:p>
            <w:pPr>
              <w:jc w:val="center"/>
              <w:rPr>
                <w:rFonts w:hint="eastAsia" w:ascii="Times New Roman" w:hAnsi="Times New Roman" w:eastAsia="宋体" w:cs="Times New Roman"/>
                <w:bCs/>
                <w:color w:val="auto"/>
                <w:szCs w:val="21"/>
                <w:lang w:val="en-US" w:eastAsia="zh-CN"/>
              </w:rPr>
            </w:pPr>
          </w:p>
        </w:tc>
        <w:tc>
          <w:tcPr>
            <w:tcW w:w="1518"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i w:val="0"/>
                <w:iCs w:val="0"/>
                <w:color w:val="auto"/>
                <w:kern w:val="0"/>
                <w:sz w:val="22"/>
                <w:szCs w:val="22"/>
                <w:u w:val="none"/>
                <w:lang w:val="en-US" w:eastAsia="zh-CN" w:bidi="ar"/>
              </w:rPr>
              <w:t>45</w:t>
            </w:r>
          </w:p>
        </w:tc>
        <w:tc>
          <w:tcPr>
            <w:tcW w:w="823" w:type="pct"/>
            <w:noWrap w:val="0"/>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48.26</w:t>
            </w:r>
          </w:p>
        </w:tc>
        <w:tc>
          <w:tcPr>
            <w:tcW w:w="823" w:type="pct"/>
            <w:noWrap w:val="0"/>
            <w:vAlign w:val="center"/>
          </w:tcPr>
          <w:p>
            <w:pPr>
              <w:jc w:val="center"/>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val="en-US" w:eastAsia="zh-CN"/>
              </w:rPr>
              <w:t>夜间50</w:t>
            </w:r>
          </w:p>
        </w:tc>
        <w:tc>
          <w:tcPr>
            <w:tcW w:w="823" w:type="pct"/>
            <w:noWrap w:val="0"/>
            <w:vAlign w:val="center"/>
          </w:tcPr>
          <w:p>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631" w:type="pct"/>
            <w:vMerge w:val="restart"/>
            <w:noWrap w:val="0"/>
            <w:vAlign w:val="center"/>
          </w:tcPr>
          <w:p>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厂界西面</w:t>
            </w:r>
          </w:p>
        </w:tc>
        <w:tc>
          <w:tcPr>
            <w:tcW w:w="451" w:type="pct"/>
            <w:noWrap w:val="0"/>
            <w:vAlign w:val="center"/>
          </w:tcPr>
          <w:p>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昼间</w:t>
            </w:r>
          </w:p>
        </w:tc>
        <w:tc>
          <w:tcPr>
            <w:tcW w:w="622" w:type="pct"/>
            <w:vMerge w:val="restart"/>
            <w:noWrap w:val="0"/>
            <w:vAlign w:val="center"/>
          </w:tcPr>
          <w:p>
            <w:pPr>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42.79</w:t>
            </w:r>
          </w:p>
        </w:tc>
        <w:tc>
          <w:tcPr>
            <w:tcW w:w="1518"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i w:val="0"/>
                <w:iCs w:val="0"/>
                <w:color w:val="auto"/>
                <w:kern w:val="0"/>
                <w:sz w:val="22"/>
                <w:szCs w:val="22"/>
                <w:u w:val="none"/>
                <w:lang w:val="en-US" w:eastAsia="zh-CN" w:bidi="ar"/>
              </w:rPr>
              <w:t>43</w:t>
            </w:r>
          </w:p>
        </w:tc>
        <w:tc>
          <w:tcPr>
            <w:tcW w:w="823" w:type="pct"/>
            <w:noWrap w:val="0"/>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45.91</w:t>
            </w:r>
          </w:p>
        </w:tc>
        <w:tc>
          <w:tcPr>
            <w:tcW w:w="823" w:type="pct"/>
            <w:noWrap w:val="0"/>
            <w:vAlign w:val="center"/>
          </w:tcPr>
          <w:p>
            <w:pPr>
              <w:jc w:val="center"/>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val="en-US" w:eastAsia="zh-CN"/>
              </w:rPr>
              <w:t>昼间60</w:t>
            </w:r>
          </w:p>
        </w:tc>
        <w:tc>
          <w:tcPr>
            <w:tcW w:w="823" w:type="pct"/>
            <w:noWrap w:val="0"/>
            <w:vAlign w:val="center"/>
          </w:tcPr>
          <w:p>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631" w:type="pct"/>
            <w:vMerge w:val="continue"/>
            <w:noWrap w:val="0"/>
            <w:vAlign w:val="center"/>
          </w:tcPr>
          <w:p>
            <w:pPr>
              <w:jc w:val="center"/>
              <w:rPr>
                <w:rFonts w:hint="eastAsia" w:ascii="Times New Roman" w:hAnsi="Times New Roman" w:eastAsia="宋体" w:cs="Times New Roman"/>
                <w:bCs/>
                <w:color w:val="auto"/>
                <w:szCs w:val="21"/>
                <w:lang w:val="en-US" w:eastAsia="zh-CN"/>
              </w:rPr>
            </w:pPr>
          </w:p>
        </w:tc>
        <w:tc>
          <w:tcPr>
            <w:tcW w:w="451" w:type="pct"/>
            <w:noWrap w:val="0"/>
            <w:vAlign w:val="center"/>
          </w:tcPr>
          <w:p>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夜间</w:t>
            </w:r>
          </w:p>
        </w:tc>
        <w:tc>
          <w:tcPr>
            <w:tcW w:w="622" w:type="pct"/>
            <w:vMerge w:val="continue"/>
            <w:noWrap w:val="0"/>
            <w:vAlign w:val="center"/>
          </w:tcPr>
          <w:p>
            <w:pPr>
              <w:jc w:val="center"/>
              <w:rPr>
                <w:rFonts w:hint="eastAsia" w:ascii="Times New Roman" w:hAnsi="Times New Roman" w:eastAsia="宋体" w:cs="Times New Roman"/>
                <w:bCs/>
                <w:color w:val="auto"/>
                <w:szCs w:val="21"/>
                <w:lang w:val="en-US" w:eastAsia="zh-CN"/>
              </w:rPr>
            </w:pPr>
          </w:p>
        </w:tc>
        <w:tc>
          <w:tcPr>
            <w:tcW w:w="1518"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i w:val="0"/>
                <w:iCs w:val="0"/>
                <w:color w:val="auto"/>
                <w:kern w:val="0"/>
                <w:sz w:val="22"/>
                <w:szCs w:val="22"/>
                <w:u w:val="none"/>
                <w:lang w:val="en-US" w:eastAsia="zh-CN" w:bidi="ar"/>
              </w:rPr>
              <w:t>42</w:t>
            </w:r>
          </w:p>
        </w:tc>
        <w:tc>
          <w:tcPr>
            <w:tcW w:w="823" w:type="pct"/>
            <w:noWrap w:val="0"/>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45.42</w:t>
            </w:r>
          </w:p>
        </w:tc>
        <w:tc>
          <w:tcPr>
            <w:tcW w:w="823" w:type="pct"/>
            <w:noWrap w:val="0"/>
            <w:vAlign w:val="center"/>
          </w:tcPr>
          <w:p>
            <w:pPr>
              <w:jc w:val="center"/>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val="en-US" w:eastAsia="zh-CN"/>
              </w:rPr>
              <w:t>夜间50</w:t>
            </w:r>
          </w:p>
        </w:tc>
        <w:tc>
          <w:tcPr>
            <w:tcW w:w="823" w:type="pct"/>
            <w:noWrap w:val="0"/>
            <w:vAlign w:val="center"/>
          </w:tcPr>
          <w:p>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631" w:type="pct"/>
            <w:vMerge w:val="restart"/>
            <w:noWrap w:val="0"/>
            <w:vAlign w:val="center"/>
          </w:tcPr>
          <w:p>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厂界北面</w:t>
            </w:r>
          </w:p>
        </w:tc>
        <w:tc>
          <w:tcPr>
            <w:tcW w:w="451" w:type="pct"/>
            <w:noWrap w:val="0"/>
            <w:vAlign w:val="center"/>
          </w:tcPr>
          <w:p>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昼间</w:t>
            </w:r>
          </w:p>
        </w:tc>
        <w:tc>
          <w:tcPr>
            <w:tcW w:w="622" w:type="pct"/>
            <w:vMerge w:val="restart"/>
            <w:noWrap w:val="0"/>
            <w:vAlign w:val="center"/>
          </w:tcPr>
          <w:p>
            <w:pPr>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44.63</w:t>
            </w:r>
          </w:p>
        </w:tc>
        <w:tc>
          <w:tcPr>
            <w:tcW w:w="1518"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i w:val="0"/>
                <w:iCs w:val="0"/>
                <w:color w:val="auto"/>
                <w:kern w:val="0"/>
                <w:sz w:val="22"/>
                <w:szCs w:val="22"/>
                <w:u w:val="none"/>
                <w:lang w:val="en-US" w:eastAsia="zh-CN" w:bidi="ar"/>
              </w:rPr>
              <w:t>46</w:t>
            </w:r>
          </w:p>
        </w:tc>
        <w:tc>
          <w:tcPr>
            <w:tcW w:w="823" w:type="pct"/>
            <w:noWrap w:val="0"/>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48.38</w:t>
            </w:r>
          </w:p>
        </w:tc>
        <w:tc>
          <w:tcPr>
            <w:tcW w:w="823" w:type="pct"/>
            <w:noWrap w:val="0"/>
            <w:vAlign w:val="center"/>
          </w:tcPr>
          <w:p>
            <w:pPr>
              <w:jc w:val="center"/>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val="en-US" w:eastAsia="zh-CN"/>
              </w:rPr>
              <w:t>昼间60</w:t>
            </w:r>
          </w:p>
        </w:tc>
        <w:tc>
          <w:tcPr>
            <w:tcW w:w="823" w:type="pct"/>
            <w:noWrap w:val="0"/>
            <w:vAlign w:val="center"/>
          </w:tcPr>
          <w:p>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631" w:type="pct"/>
            <w:vMerge w:val="continue"/>
            <w:noWrap w:val="0"/>
            <w:vAlign w:val="center"/>
          </w:tcPr>
          <w:p>
            <w:pPr>
              <w:jc w:val="center"/>
              <w:rPr>
                <w:rFonts w:hint="eastAsia" w:ascii="Times New Roman" w:hAnsi="Times New Roman" w:eastAsia="宋体" w:cs="Times New Roman"/>
                <w:bCs/>
                <w:color w:val="auto"/>
                <w:szCs w:val="21"/>
                <w:lang w:val="en-US" w:eastAsia="zh-CN"/>
              </w:rPr>
            </w:pPr>
          </w:p>
        </w:tc>
        <w:tc>
          <w:tcPr>
            <w:tcW w:w="451" w:type="pct"/>
            <w:noWrap w:val="0"/>
            <w:vAlign w:val="center"/>
          </w:tcPr>
          <w:p>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夜间</w:t>
            </w:r>
          </w:p>
        </w:tc>
        <w:tc>
          <w:tcPr>
            <w:tcW w:w="622" w:type="pct"/>
            <w:vMerge w:val="continue"/>
            <w:noWrap w:val="0"/>
            <w:vAlign w:val="center"/>
          </w:tcPr>
          <w:p>
            <w:pPr>
              <w:jc w:val="center"/>
              <w:rPr>
                <w:rFonts w:hint="eastAsia" w:ascii="Times New Roman" w:hAnsi="Times New Roman" w:eastAsia="宋体" w:cs="Times New Roman"/>
                <w:bCs/>
                <w:color w:val="auto"/>
                <w:szCs w:val="21"/>
                <w:lang w:val="en-US" w:eastAsia="zh-CN"/>
              </w:rPr>
            </w:pPr>
          </w:p>
        </w:tc>
        <w:tc>
          <w:tcPr>
            <w:tcW w:w="1518"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i w:val="0"/>
                <w:iCs w:val="0"/>
                <w:color w:val="auto"/>
                <w:kern w:val="0"/>
                <w:sz w:val="22"/>
                <w:szCs w:val="22"/>
                <w:u w:val="none"/>
                <w:lang w:val="en-US" w:eastAsia="zh-CN" w:bidi="ar"/>
              </w:rPr>
              <w:t>43</w:t>
            </w:r>
          </w:p>
        </w:tc>
        <w:tc>
          <w:tcPr>
            <w:tcW w:w="823" w:type="pct"/>
            <w:noWrap w:val="0"/>
            <w:vAlign w:val="center"/>
          </w:tcPr>
          <w:p>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46.90</w:t>
            </w:r>
          </w:p>
        </w:tc>
        <w:tc>
          <w:tcPr>
            <w:tcW w:w="823" w:type="pct"/>
            <w:noWrap w:val="0"/>
            <w:vAlign w:val="center"/>
          </w:tcPr>
          <w:p>
            <w:pPr>
              <w:jc w:val="center"/>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val="en-US" w:eastAsia="zh-CN"/>
              </w:rPr>
              <w:t>夜间50</w:t>
            </w:r>
          </w:p>
        </w:tc>
        <w:tc>
          <w:tcPr>
            <w:tcW w:w="823" w:type="pct"/>
            <w:noWrap w:val="0"/>
            <w:vAlign w:val="center"/>
          </w:tcPr>
          <w:p>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达标</w:t>
            </w:r>
          </w:p>
        </w:tc>
      </w:tr>
    </w:tbl>
    <w:p>
      <w:pPr>
        <w:autoSpaceDE w:val="0"/>
        <w:autoSpaceDN w:val="0"/>
        <w:spacing w:line="360" w:lineRule="auto"/>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④评价结果</w:t>
      </w:r>
    </w:p>
    <w:p>
      <w:pPr>
        <w:autoSpaceDE w:val="0"/>
        <w:autoSpaceDN w:val="0"/>
        <w:spacing w:line="360" w:lineRule="auto"/>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本项目对噪声的评价为厂界噪声贡献值。根据以上结果可知，在厂房经过隔声、建筑物合理布局等措施处理后，项目地四周厂界昼夜噪声值均能达到《工业企业厂界环境噪声排放标准》（GB12348-2008）中规定的2类区域标准。本环评建议建设单位合理安排生产时间，减少本项目的噪声对外环境造成影响。并且，根据类比同类项目，通过采取“选取低噪声设备、合理布局、设备基础减震”等措施后能够实现噪声的达标排放。</w:t>
      </w:r>
    </w:p>
    <w:p>
      <w:pPr>
        <w:autoSpaceDE w:val="0"/>
        <w:autoSpaceDN w:val="0"/>
        <w:spacing w:line="360" w:lineRule="auto"/>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因此，项目运营期产生的噪声不会对周围声环境造成影响。</w:t>
      </w:r>
    </w:p>
    <w:p>
      <w:pPr>
        <w:pStyle w:val="6"/>
        <w:adjustRightInd w:val="0"/>
        <w:snapToGrid w:val="0"/>
        <w:spacing w:before="0" w:after="0" w:line="360" w:lineRule="auto"/>
        <w:rPr>
          <w:rFonts w:ascii="Times New Roman" w:hAnsi="Times New Roman" w:eastAsia="宋体"/>
          <w:color w:val="auto"/>
          <w:sz w:val="28"/>
          <w:szCs w:val="28"/>
        </w:rPr>
      </w:pPr>
      <w:bookmarkStart w:id="226" w:name="_Toc459118470"/>
      <w:bookmarkStart w:id="227" w:name="_Toc15923"/>
      <w:r>
        <w:rPr>
          <w:rFonts w:hint="eastAsia" w:ascii="Times New Roman" w:hAnsi="Times New Roman" w:eastAsia="宋体"/>
          <w:color w:val="auto"/>
          <w:sz w:val="28"/>
          <w:szCs w:val="28"/>
        </w:rPr>
        <w:t>5.2</w:t>
      </w:r>
      <w:r>
        <w:rPr>
          <w:rFonts w:ascii="Times New Roman" w:hAnsi="Times New Roman" w:eastAsia="宋体"/>
          <w:color w:val="auto"/>
          <w:sz w:val="28"/>
          <w:szCs w:val="28"/>
        </w:rPr>
        <w:t>.</w:t>
      </w:r>
      <w:r>
        <w:rPr>
          <w:rFonts w:hint="eastAsia" w:ascii="Times New Roman" w:hAnsi="Times New Roman" w:eastAsia="宋体"/>
          <w:color w:val="auto"/>
          <w:sz w:val="28"/>
          <w:szCs w:val="28"/>
        </w:rPr>
        <w:t>5</w:t>
      </w:r>
      <w:r>
        <w:rPr>
          <w:rFonts w:ascii="Times New Roman" w:hAnsi="Times New Roman" w:eastAsia="宋体"/>
          <w:color w:val="auto"/>
          <w:sz w:val="28"/>
          <w:szCs w:val="28"/>
        </w:rPr>
        <w:t>运营期固体废物影响</w:t>
      </w:r>
      <w:bookmarkEnd w:id="226"/>
      <w:r>
        <w:rPr>
          <w:rFonts w:hint="eastAsia" w:ascii="Times New Roman" w:hAnsi="Times New Roman" w:eastAsia="宋体"/>
          <w:color w:val="auto"/>
          <w:sz w:val="28"/>
          <w:szCs w:val="28"/>
        </w:rPr>
        <w:t>评价</w:t>
      </w:r>
      <w:bookmarkEnd w:id="227"/>
    </w:p>
    <w:p>
      <w:p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本项目固体废弃物有废包装袋、废包</w:t>
      </w:r>
      <w:r>
        <w:rPr>
          <w:rFonts w:hint="eastAsia" w:ascii="Times New Roman" w:hAnsi="Times New Roman" w:eastAsia="宋体" w:cs="Times New Roman"/>
          <w:bCs/>
          <w:color w:val="auto"/>
          <w:sz w:val="24"/>
          <w:szCs w:val="24"/>
          <w:lang w:eastAsia="zh-CN"/>
        </w:rPr>
        <w:t>装材料等</w:t>
      </w:r>
      <w:r>
        <w:rPr>
          <w:rFonts w:hint="eastAsia" w:ascii="Times New Roman" w:hAnsi="Times New Roman" w:eastAsia="宋体" w:cs="Times New Roman"/>
          <w:bCs/>
          <w:color w:val="auto"/>
          <w:sz w:val="24"/>
          <w:szCs w:val="24"/>
        </w:rPr>
        <w:t>。</w:t>
      </w:r>
    </w:p>
    <w:p>
      <w:pPr>
        <w:pStyle w:val="33"/>
        <w:keepNext w:val="0"/>
        <w:keepLines w:val="0"/>
        <w:pageBreakBefore w:val="0"/>
        <w:widowControl w:val="0"/>
        <w:kinsoku/>
        <w:wordWrap/>
        <w:overflowPunct/>
        <w:topLinePunct w:val="0"/>
        <w:autoSpaceDE/>
        <w:autoSpaceDN/>
        <w:bidi w:val="0"/>
        <w:adjustRightInd/>
        <w:snapToGrid/>
        <w:spacing w:after="0"/>
        <w:ind w:left="0" w:leftChars="0"/>
        <w:jc w:val="center"/>
        <w:textAlignment w:val="auto"/>
        <w:rPr>
          <w:color w:val="auto"/>
        </w:rPr>
      </w:pPr>
      <w:r>
        <w:rPr>
          <w:rFonts w:ascii="Times New Roman" w:hAnsi="Times New Roman" w:eastAsia="宋体" w:cs="Times New Roman"/>
          <w:b/>
          <w:color w:val="auto"/>
          <w:sz w:val="21"/>
          <w:szCs w:val="21"/>
        </w:rPr>
        <w:t>表</w:t>
      </w:r>
      <w:r>
        <w:rPr>
          <w:rFonts w:hint="eastAsia" w:ascii="Times New Roman" w:hAnsi="Times New Roman" w:eastAsia="宋体" w:cs="Times New Roman"/>
          <w:b/>
          <w:color w:val="auto"/>
          <w:sz w:val="21"/>
          <w:szCs w:val="21"/>
        </w:rPr>
        <w:t>5</w:t>
      </w:r>
      <w:r>
        <w:rPr>
          <w:rFonts w:hint="eastAsia" w:ascii="Times New Roman" w:hAnsi="Times New Roman" w:eastAsia="宋体" w:cs="Times New Roman"/>
          <w:b/>
          <w:color w:val="auto"/>
          <w:sz w:val="21"/>
          <w:szCs w:val="21"/>
          <w:lang w:val="en-US" w:eastAsia="zh-CN"/>
        </w:rPr>
        <w:t>.2-21</w:t>
      </w:r>
      <w:r>
        <w:rPr>
          <w:rFonts w:ascii="Times New Roman" w:hAnsi="Times New Roman" w:eastAsia="宋体" w:cs="Times New Roman"/>
          <w:b/>
          <w:color w:val="auto"/>
          <w:sz w:val="21"/>
          <w:szCs w:val="21"/>
        </w:rPr>
        <w:t xml:space="preserve">  </w:t>
      </w:r>
      <w:r>
        <w:rPr>
          <w:rFonts w:hint="eastAsia" w:ascii="Times New Roman" w:hAnsi="Times New Roman" w:eastAsia="宋体" w:cs="Times New Roman"/>
          <w:b/>
          <w:color w:val="auto"/>
          <w:sz w:val="21"/>
          <w:szCs w:val="21"/>
          <w:lang w:eastAsia="zh-CN"/>
        </w:rPr>
        <w:t>固体废物</w:t>
      </w:r>
      <w:r>
        <w:rPr>
          <w:rFonts w:ascii="Times New Roman" w:hAnsi="Times New Roman" w:eastAsia="宋体" w:cs="Times New Roman"/>
          <w:b/>
          <w:color w:val="auto"/>
          <w:sz w:val="21"/>
          <w:szCs w:val="21"/>
        </w:rPr>
        <w:t>结果一览表</w:t>
      </w:r>
    </w:p>
    <w:tbl>
      <w:tblPr>
        <w:tblStyle w:val="35"/>
        <w:tblW w:w="9220"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305"/>
        <w:gridCol w:w="2074"/>
        <w:gridCol w:w="1337"/>
        <w:gridCol w:w="350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305" w:type="dxa"/>
            <w:tcBorders>
              <w:tl2br w:val="nil"/>
              <w:tr2bl w:val="nil"/>
            </w:tcBorders>
            <w:vAlign w:val="center"/>
          </w:tcPr>
          <w:p>
            <w:pPr>
              <w:keepNext w:val="0"/>
              <w:keepLines w:val="0"/>
              <w:pageBreakBefore w:val="0"/>
              <w:widowControl w:val="0"/>
              <w:kinsoku/>
              <w:wordWrap/>
              <w:overflowPunct/>
              <w:topLinePunct w:val="0"/>
              <w:autoSpaceDE/>
              <w:autoSpaceDN/>
              <w:bidi w:val="0"/>
              <w:spacing w:line="240" w:lineRule="auto"/>
              <w:ind w:left="0" w:right="0"/>
              <w:jc w:val="center"/>
              <w:textAlignment w:val="auto"/>
              <w:rPr>
                <w:rFonts w:ascii="Times New Roman" w:hAnsi="Times New Roman" w:eastAsia="宋体" w:cs="Times New Roman"/>
                <w:bCs/>
                <w:color w:val="auto"/>
                <w:sz w:val="24"/>
                <w:szCs w:val="24"/>
                <w:vertAlign w:val="baseline"/>
              </w:rPr>
            </w:pPr>
            <w:r>
              <w:rPr>
                <w:rFonts w:ascii="Times New Roman" w:hAnsi="Times New Roman" w:eastAsia="宋体" w:cs="Times New Roman"/>
                <w:b/>
                <w:bCs w:val="0"/>
                <w:color w:val="auto"/>
                <w:szCs w:val="21"/>
              </w:rPr>
              <w:t>名称</w:t>
            </w:r>
          </w:p>
        </w:tc>
        <w:tc>
          <w:tcPr>
            <w:tcW w:w="2074" w:type="dxa"/>
            <w:tcBorders>
              <w:tl2br w:val="nil"/>
              <w:tr2bl w:val="nil"/>
            </w:tcBorders>
            <w:vAlign w:val="center"/>
          </w:tcPr>
          <w:p>
            <w:pPr>
              <w:keepNext w:val="0"/>
              <w:keepLines w:val="0"/>
              <w:pageBreakBefore w:val="0"/>
              <w:widowControl w:val="0"/>
              <w:kinsoku/>
              <w:wordWrap/>
              <w:overflowPunct/>
              <w:topLinePunct w:val="0"/>
              <w:autoSpaceDE/>
              <w:autoSpaceDN/>
              <w:bidi w:val="0"/>
              <w:spacing w:line="240" w:lineRule="auto"/>
              <w:ind w:left="0" w:right="0"/>
              <w:jc w:val="center"/>
              <w:textAlignment w:val="auto"/>
              <w:rPr>
                <w:rFonts w:hint="eastAsia" w:ascii="Times New Roman" w:hAnsi="Times New Roman" w:eastAsia="宋体" w:cs="Times New Roman"/>
                <w:bCs/>
                <w:color w:val="auto"/>
                <w:sz w:val="24"/>
                <w:szCs w:val="24"/>
                <w:vertAlign w:val="baseline"/>
                <w:lang w:eastAsia="zh-CN"/>
              </w:rPr>
            </w:pPr>
            <w:r>
              <w:rPr>
                <w:rFonts w:hint="eastAsia" w:ascii="Times New Roman" w:hAnsi="Times New Roman" w:eastAsia="宋体" w:cs="Times New Roman"/>
                <w:b/>
                <w:bCs w:val="0"/>
                <w:color w:val="auto"/>
                <w:szCs w:val="21"/>
                <w:lang w:eastAsia="zh-CN"/>
              </w:rPr>
              <w:t>预计</w:t>
            </w:r>
            <w:r>
              <w:rPr>
                <w:rFonts w:ascii="Times New Roman" w:hAnsi="Times New Roman" w:eastAsia="宋体" w:cs="Times New Roman"/>
                <w:b/>
                <w:bCs w:val="0"/>
                <w:color w:val="auto"/>
                <w:szCs w:val="21"/>
              </w:rPr>
              <w:t>产生量</w:t>
            </w:r>
            <w:r>
              <w:rPr>
                <w:rFonts w:hint="eastAsia" w:ascii="Times New Roman" w:hAnsi="Times New Roman" w:eastAsia="宋体" w:cs="Times New Roman"/>
                <w:b/>
                <w:bCs w:val="0"/>
                <w:color w:val="auto"/>
                <w:szCs w:val="21"/>
                <w:lang w:eastAsia="zh-CN"/>
              </w:rPr>
              <w:t>（</w:t>
            </w:r>
            <w:r>
              <w:rPr>
                <w:rFonts w:hint="eastAsia" w:ascii="Times New Roman" w:hAnsi="Times New Roman" w:eastAsia="宋体" w:cs="Times New Roman"/>
                <w:b/>
                <w:bCs w:val="0"/>
                <w:color w:val="auto"/>
                <w:szCs w:val="21"/>
                <w:lang w:val="en-US" w:eastAsia="zh-CN"/>
              </w:rPr>
              <w:t>t/a</w:t>
            </w:r>
            <w:r>
              <w:rPr>
                <w:rFonts w:hint="eastAsia" w:ascii="Times New Roman" w:hAnsi="Times New Roman" w:eastAsia="宋体" w:cs="Times New Roman"/>
                <w:b/>
                <w:bCs w:val="0"/>
                <w:color w:val="auto"/>
                <w:szCs w:val="21"/>
                <w:lang w:eastAsia="zh-CN"/>
              </w:rPr>
              <w:t>）</w:t>
            </w:r>
          </w:p>
        </w:tc>
        <w:tc>
          <w:tcPr>
            <w:tcW w:w="1337" w:type="dxa"/>
            <w:tcBorders>
              <w:tl2br w:val="nil"/>
              <w:tr2bl w:val="nil"/>
            </w:tcBorders>
            <w:vAlign w:val="center"/>
          </w:tcPr>
          <w:p>
            <w:pPr>
              <w:keepNext w:val="0"/>
              <w:keepLines w:val="0"/>
              <w:pageBreakBefore w:val="0"/>
              <w:widowControl w:val="0"/>
              <w:kinsoku/>
              <w:wordWrap/>
              <w:overflowPunct/>
              <w:topLinePunct w:val="0"/>
              <w:autoSpaceDE/>
              <w:autoSpaceDN/>
              <w:bidi w:val="0"/>
              <w:spacing w:line="240" w:lineRule="auto"/>
              <w:ind w:left="0" w:right="0"/>
              <w:jc w:val="center"/>
              <w:textAlignment w:val="auto"/>
              <w:rPr>
                <w:rFonts w:ascii="Times New Roman" w:hAnsi="Times New Roman" w:eastAsia="宋体" w:cs="Times New Roman"/>
                <w:bCs/>
                <w:color w:val="auto"/>
                <w:sz w:val="24"/>
                <w:szCs w:val="24"/>
                <w:vertAlign w:val="baseline"/>
              </w:rPr>
            </w:pPr>
            <w:r>
              <w:rPr>
                <w:rFonts w:ascii="Times New Roman" w:hAnsi="Times New Roman" w:eastAsia="宋体" w:cs="Times New Roman"/>
                <w:b/>
                <w:bCs w:val="0"/>
                <w:color w:val="auto"/>
                <w:szCs w:val="21"/>
              </w:rPr>
              <w:t>性质</w:t>
            </w:r>
          </w:p>
        </w:tc>
        <w:tc>
          <w:tcPr>
            <w:tcW w:w="3504" w:type="dxa"/>
            <w:tcBorders>
              <w:tl2br w:val="nil"/>
              <w:tr2bl w:val="nil"/>
            </w:tcBorders>
            <w:vAlign w:val="center"/>
          </w:tcPr>
          <w:p>
            <w:pPr>
              <w:keepNext w:val="0"/>
              <w:keepLines w:val="0"/>
              <w:pageBreakBefore w:val="0"/>
              <w:widowControl w:val="0"/>
              <w:kinsoku/>
              <w:wordWrap/>
              <w:overflowPunct/>
              <w:topLinePunct w:val="0"/>
              <w:autoSpaceDE/>
              <w:autoSpaceDN/>
              <w:bidi w:val="0"/>
              <w:spacing w:line="240" w:lineRule="auto"/>
              <w:ind w:left="0" w:right="0"/>
              <w:jc w:val="center"/>
              <w:textAlignment w:val="auto"/>
              <w:rPr>
                <w:rFonts w:ascii="Times New Roman" w:hAnsi="Times New Roman" w:eastAsia="宋体" w:cs="Times New Roman"/>
                <w:bCs/>
                <w:color w:val="auto"/>
                <w:sz w:val="24"/>
                <w:szCs w:val="24"/>
                <w:vertAlign w:val="baseline"/>
              </w:rPr>
            </w:pPr>
            <w:r>
              <w:rPr>
                <w:rFonts w:ascii="Times New Roman" w:hAnsi="Times New Roman" w:eastAsia="宋体" w:cs="Times New Roman"/>
                <w:b/>
                <w:bCs w:val="0"/>
                <w:color w:val="auto"/>
                <w:szCs w:val="21"/>
              </w:rPr>
              <w:t>去向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305" w:type="dxa"/>
            <w:tcBorders>
              <w:tl2br w:val="nil"/>
              <w:tr2bl w:val="nil"/>
            </w:tcBorders>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干粪</w:t>
            </w:r>
          </w:p>
        </w:tc>
        <w:tc>
          <w:tcPr>
            <w:tcW w:w="2074" w:type="dxa"/>
            <w:tcBorders>
              <w:tl2br w:val="nil"/>
              <w:tr2bl w:val="nil"/>
            </w:tcBorders>
            <w:vAlign w:val="center"/>
          </w:tcPr>
          <w:p>
            <w:pPr>
              <w:pStyle w:val="128"/>
              <w:spacing w:line="240" w:lineRule="auto"/>
              <w:ind w:firstLine="0" w:firstLineChars="0"/>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color w:val="auto"/>
                <w:kern w:val="2"/>
                <w:sz w:val="21"/>
                <w:szCs w:val="21"/>
                <w:highlight w:val="none"/>
                <w:lang w:val="en-US" w:eastAsia="zh-CN" w:bidi="ar-SA"/>
              </w:rPr>
              <w:t>10950</w:t>
            </w:r>
          </w:p>
        </w:tc>
        <w:tc>
          <w:tcPr>
            <w:tcW w:w="1337"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spacing w:line="240" w:lineRule="auto"/>
              <w:ind w:left="0" w:right="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一般固废</w:t>
            </w:r>
          </w:p>
        </w:tc>
        <w:tc>
          <w:tcPr>
            <w:tcW w:w="3504" w:type="dxa"/>
            <w:tcBorders>
              <w:tl2br w:val="nil"/>
              <w:tr2bl w:val="nil"/>
            </w:tcBorders>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好氧堆肥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305" w:type="dxa"/>
            <w:tcBorders>
              <w:tl2br w:val="nil"/>
              <w:tr2bl w:val="nil"/>
            </w:tcBorders>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病死猪</w:t>
            </w:r>
          </w:p>
        </w:tc>
        <w:tc>
          <w:tcPr>
            <w:tcW w:w="2074" w:type="dxa"/>
            <w:tcBorders>
              <w:tl2br w:val="nil"/>
              <w:tr2bl w:val="nil"/>
            </w:tcBorders>
            <w:vAlign w:val="center"/>
          </w:tcPr>
          <w:p>
            <w:pPr>
              <w:pStyle w:val="128"/>
              <w:spacing w:line="240" w:lineRule="auto"/>
              <w:ind w:firstLine="0" w:firstLineChars="0"/>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color w:val="auto"/>
                <w:kern w:val="2"/>
                <w:sz w:val="21"/>
                <w:szCs w:val="21"/>
                <w:highlight w:val="none"/>
                <w:lang w:val="en-US" w:eastAsia="zh-CN" w:bidi="ar-SA"/>
              </w:rPr>
              <w:t>42</w:t>
            </w:r>
          </w:p>
        </w:tc>
        <w:tc>
          <w:tcPr>
            <w:tcW w:w="133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spacing w:line="240" w:lineRule="auto"/>
              <w:ind w:left="0" w:right="0"/>
              <w:jc w:val="center"/>
              <w:textAlignment w:val="auto"/>
              <w:rPr>
                <w:rFonts w:hint="eastAsia" w:ascii="Times New Roman" w:hAnsi="Times New Roman" w:eastAsia="宋体" w:cs="Times New Roman"/>
                <w:bCs/>
                <w:color w:val="auto"/>
                <w:szCs w:val="21"/>
                <w:lang w:val="en-US" w:eastAsia="zh-CN"/>
              </w:rPr>
            </w:pPr>
          </w:p>
        </w:tc>
        <w:tc>
          <w:tcPr>
            <w:tcW w:w="3504" w:type="dxa"/>
            <w:tcBorders>
              <w:tl2br w:val="nil"/>
              <w:tr2bl w:val="nil"/>
            </w:tcBorders>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场内化尸池无害化填埋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305" w:type="dxa"/>
            <w:tcBorders>
              <w:tl2br w:val="nil"/>
              <w:tr2bl w:val="nil"/>
            </w:tcBorders>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生活垃圾</w:t>
            </w:r>
          </w:p>
        </w:tc>
        <w:tc>
          <w:tcPr>
            <w:tcW w:w="2074" w:type="dxa"/>
            <w:tcBorders>
              <w:tl2br w:val="nil"/>
              <w:tr2bl w:val="nil"/>
            </w:tcBorders>
            <w:vAlign w:val="center"/>
          </w:tcPr>
          <w:p>
            <w:pPr>
              <w:pStyle w:val="128"/>
              <w:spacing w:line="240" w:lineRule="auto"/>
              <w:ind w:firstLine="0" w:firstLineChars="0"/>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color w:val="auto"/>
                <w:kern w:val="2"/>
                <w:sz w:val="21"/>
                <w:szCs w:val="21"/>
                <w:highlight w:val="none"/>
                <w:lang w:val="en-US" w:eastAsia="zh-CN" w:bidi="ar-SA"/>
              </w:rPr>
              <w:t>9.125</w:t>
            </w:r>
          </w:p>
        </w:tc>
        <w:tc>
          <w:tcPr>
            <w:tcW w:w="133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spacing w:line="240" w:lineRule="auto"/>
              <w:ind w:left="0" w:right="0"/>
              <w:jc w:val="center"/>
              <w:textAlignment w:val="auto"/>
              <w:rPr>
                <w:rFonts w:hint="eastAsia" w:ascii="Times New Roman" w:hAnsi="Times New Roman" w:eastAsia="宋体" w:cs="Times New Roman"/>
                <w:bCs/>
                <w:color w:val="auto"/>
                <w:szCs w:val="21"/>
                <w:lang w:val="en-US" w:eastAsia="zh-CN"/>
              </w:rPr>
            </w:pPr>
          </w:p>
        </w:tc>
        <w:tc>
          <w:tcPr>
            <w:tcW w:w="3504" w:type="dxa"/>
            <w:vMerge w:val="restart"/>
            <w:tcBorders>
              <w:tl2br w:val="nil"/>
              <w:tr2bl w:val="nil"/>
            </w:tcBorders>
            <w:vAlign w:val="center"/>
          </w:tcPr>
          <w:p>
            <w:pPr>
              <w:pStyle w:val="128"/>
              <w:spacing w:line="240" w:lineRule="auto"/>
              <w:ind w:firstLine="0" w:firstLineChars="0"/>
              <w:jc w:val="center"/>
              <w:rPr>
                <w:rFonts w:hint="eastAsia" w:ascii="Times New Roman" w:hAnsi="Times New Roman" w:eastAsia="宋体" w:cs="Times New Roman"/>
                <w:bCs/>
                <w:color w:val="auto"/>
                <w:szCs w:val="21"/>
                <w:lang w:val="en-US" w:eastAsia="zh-CN"/>
              </w:rPr>
            </w:pPr>
            <w:r>
              <w:rPr>
                <w:rFonts w:hint="default" w:ascii="Times New Roman" w:hAnsi="Times New Roman" w:eastAsia="宋体" w:cs="Times New Roman"/>
                <w:color w:val="auto"/>
                <w:kern w:val="2"/>
                <w:sz w:val="21"/>
                <w:szCs w:val="21"/>
                <w:highlight w:val="none"/>
                <w:lang w:val="en-US" w:eastAsia="zh-CN" w:bidi="ar-SA"/>
              </w:rPr>
              <w:t>收集后由村环卫部门清运至定点垃圾收集点再行转运处理中转站，由环卫部门统一清运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305" w:type="dxa"/>
            <w:tcBorders>
              <w:tl2br w:val="nil"/>
              <w:tr2bl w:val="nil"/>
            </w:tcBorders>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食堂废油脂</w:t>
            </w:r>
          </w:p>
        </w:tc>
        <w:tc>
          <w:tcPr>
            <w:tcW w:w="2074" w:type="dxa"/>
            <w:tcBorders>
              <w:tl2br w:val="nil"/>
              <w:tr2bl w:val="nil"/>
            </w:tcBorders>
            <w:vAlign w:val="center"/>
          </w:tcPr>
          <w:p>
            <w:pPr>
              <w:pStyle w:val="128"/>
              <w:spacing w:line="240" w:lineRule="auto"/>
              <w:ind w:firstLine="0" w:firstLineChars="0"/>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color w:val="auto"/>
                <w:kern w:val="2"/>
                <w:sz w:val="21"/>
                <w:szCs w:val="21"/>
                <w:highlight w:val="none"/>
                <w:lang w:val="en-US" w:eastAsia="zh-CN" w:bidi="ar-SA"/>
              </w:rPr>
              <w:t>0.055</w:t>
            </w:r>
          </w:p>
        </w:tc>
        <w:tc>
          <w:tcPr>
            <w:tcW w:w="133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spacing w:line="240" w:lineRule="auto"/>
              <w:ind w:left="0" w:right="0"/>
              <w:jc w:val="center"/>
              <w:textAlignment w:val="auto"/>
              <w:rPr>
                <w:rFonts w:hint="eastAsia" w:ascii="Times New Roman" w:hAnsi="Times New Roman" w:eastAsia="宋体" w:cs="Times New Roman"/>
                <w:bCs/>
                <w:color w:val="auto"/>
                <w:szCs w:val="21"/>
                <w:lang w:val="en-US" w:eastAsia="zh-CN"/>
              </w:rPr>
            </w:pPr>
          </w:p>
        </w:tc>
        <w:tc>
          <w:tcPr>
            <w:tcW w:w="3504" w:type="dxa"/>
            <w:vMerge w:val="continue"/>
            <w:tcBorders>
              <w:tl2br w:val="nil"/>
              <w:tr2bl w:val="nil"/>
            </w:tcBorders>
            <w:vAlign w:val="center"/>
          </w:tcPr>
          <w:p>
            <w:pPr>
              <w:pStyle w:val="103"/>
              <w:jc w:val="center"/>
              <w:rPr>
                <w:rFonts w:hint="eastAsia" w:ascii="Times New Roman" w:hAnsi="Times New Roman" w:eastAsia="宋体" w:cs="Times New Roman"/>
                <w:b/>
                <w:bCs w:val="0"/>
                <w:color w:val="auto"/>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305" w:type="dxa"/>
            <w:tcBorders>
              <w:tl2br w:val="nil"/>
              <w:tr2bl w:val="nil"/>
            </w:tcBorders>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废包装材料</w:t>
            </w:r>
          </w:p>
        </w:tc>
        <w:tc>
          <w:tcPr>
            <w:tcW w:w="2074" w:type="dxa"/>
            <w:tcBorders>
              <w:tl2br w:val="nil"/>
              <w:tr2bl w:val="nil"/>
            </w:tcBorders>
            <w:vAlign w:val="center"/>
          </w:tcPr>
          <w:p>
            <w:pPr>
              <w:pStyle w:val="128"/>
              <w:spacing w:line="240" w:lineRule="auto"/>
              <w:ind w:firstLine="0" w:firstLineChars="0"/>
              <w:jc w:val="center"/>
              <w:rPr>
                <w:rFonts w:hint="eastAsia" w:ascii="Times New Roman" w:hAnsi="Times New Roman" w:eastAsia="宋体" w:cstheme="minorBidi"/>
                <w:snapToGrid w:val="0"/>
                <w:color w:val="auto"/>
                <w:kern w:val="0"/>
                <w:sz w:val="21"/>
                <w:szCs w:val="21"/>
                <w:lang w:val="en-US" w:eastAsia="zh-CN" w:bidi="ar-SA"/>
              </w:rPr>
            </w:pPr>
            <w:r>
              <w:rPr>
                <w:rFonts w:hint="eastAsia" w:ascii="Times New Roman" w:hAnsi="Times New Roman" w:eastAsia="宋体" w:cs="Times New Roman"/>
                <w:color w:val="auto"/>
                <w:kern w:val="2"/>
                <w:sz w:val="21"/>
                <w:szCs w:val="21"/>
                <w:highlight w:val="none"/>
                <w:lang w:val="en-US" w:eastAsia="zh-CN" w:bidi="ar-SA"/>
              </w:rPr>
              <w:t>5.0</w:t>
            </w:r>
          </w:p>
        </w:tc>
        <w:tc>
          <w:tcPr>
            <w:tcW w:w="133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spacing w:line="240" w:lineRule="auto"/>
              <w:ind w:left="0" w:right="0"/>
              <w:jc w:val="center"/>
              <w:textAlignment w:val="auto"/>
              <w:rPr>
                <w:rFonts w:hint="eastAsia" w:ascii="Times New Roman" w:hAnsi="Times New Roman" w:eastAsia="宋体" w:cs="Times New Roman"/>
                <w:bCs/>
                <w:color w:val="auto"/>
                <w:szCs w:val="21"/>
                <w:lang w:val="en-US" w:eastAsia="zh-CN"/>
              </w:rPr>
            </w:pPr>
          </w:p>
        </w:tc>
        <w:tc>
          <w:tcPr>
            <w:tcW w:w="3504" w:type="dxa"/>
            <w:tcBorders>
              <w:tl2br w:val="nil"/>
              <w:tr2bl w:val="nil"/>
            </w:tcBorders>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收集后外售废品回收站回收利用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305" w:type="dxa"/>
            <w:tcBorders>
              <w:tl2br w:val="nil"/>
              <w:tr2bl w:val="nil"/>
            </w:tcBorders>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污泥</w:t>
            </w:r>
          </w:p>
        </w:tc>
        <w:tc>
          <w:tcPr>
            <w:tcW w:w="2074" w:type="dxa"/>
            <w:tcBorders>
              <w:tl2br w:val="nil"/>
              <w:tr2bl w:val="nil"/>
            </w:tcBorders>
            <w:vAlign w:val="center"/>
          </w:tcPr>
          <w:p>
            <w:pPr>
              <w:pStyle w:val="128"/>
              <w:spacing w:line="240" w:lineRule="auto"/>
              <w:ind w:firstLine="0" w:firstLineChars="0"/>
              <w:jc w:val="center"/>
              <w:rPr>
                <w:rFonts w:hint="default" w:ascii="Times New Roman" w:hAnsi="Times New Roman" w:eastAsia="宋体" w:cstheme="minorBidi"/>
                <w:snapToGrid w:val="0"/>
                <w:color w:val="auto"/>
                <w:kern w:val="0"/>
                <w:sz w:val="21"/>
                <w:szCs w:val="21"/>
                <w:lang w:val="en-US" w:eastAsia="zh-CN" w:bidi="ar-SA"/>
              </w:rPr>
            </w:pPr>
            <w:r>
              <w:rPr>
                <w:rFonts w:hint="eastAsia" w:ascii="Times New Roman" w:hAnsi="Times New Roman" w:eastAsia="宋体" w:cs="Times New Roman"/>
                <w:color w:val="auto"/>
                <w:kern w:val="2"/>
                <w:sz w:val="21"/>
                <w:szCs w:val="21"/>
                <w:highlight w:val="none"/>
                <w:lang w:val="en-US" w:eastAsia="zh-CN" w:bidi="ar-SA"/>
              </w:rPr>
              <w:t>13.37</w:t>
            </w:r>
          </w:p>
        </w:tc>
        <w:tc>
          <w:tcPr>
            <w:tcW w:w="133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spacing w:line="240" w:lineRule="auto"/>
              <w:ind w:left="0" w:right="0"/>
              <w:jc w:val="center"/>
              <w:textAlignment w:val="auto"/>
              <w:rPr>
                <w:rFonts w:hint="eastAsia" w:ascii="Times New Roman" w:hAnsi="Times New Roman" w:eastAsia="宋体" w:cs="Times New Roman"/>
                <w:bCs/>
                <w:color w:val="auto"/>
                <w:szCs w:val="21"/>
                <w:lang w:val="en-US" w:eastAsia="zh-CN"/>
              </w:rPr>
            </w:pPr>
          </w:p>
        </w:tc>
        <w:tc>
          <w:tcPr>
            <w:tcW w:w="3504" w:type="dxa"/>
            <w:tcBorders>
              <w:tl2br w:val="nil"/>
              <w:tr2bl w:val="nil"/>
            </w:tcBorders>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好氧堆肥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305" w:type="dxa"/>
            <w:tcBorders>
              <w:tl2br w:val="nil"/>
              <w:tr2bl w:val="nil"/>
            </w:tcBorders>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医疗废物</w:t>
            </w:r>
          </w:p>
        </w:tc>
        <w:tc>
          <w:tcPr>
            <w:tcW w:w="2074" w:type="dxa"/>
            <w:tcBorders>
              <w:tl2br w:val="nil"/>
              <w:tr2bl w:val="nil"/>
            </w:tcBorders>
            <w:vAlign w:val="center"/>
          </w:tcPr>
          <w:p>
            <w:pPr>
              <w:pStyle w:val="128"/>
              <w:spacing w:line="240" w:lineRule="auto"/>
              <w:ind w:firstLine="0" w:firstLineChars="0"/>
              <w:jc w:val="center"/>
              <w:rPr>
                <w:rFonts w:hint="default" w:ascii="Times New Roman" w:hAnsi="Times New Roman" w:eastAsia="宋体"/>
                <w:color w:val="auto"/>
                <w:lang w:val="en-US" w:eastAsia="zh-CN"/>
              </w:rPr>
            </w:pPr>
            <w:r>
              <w:rPr>
                <w:rFonts w:hint="eastAsia" w:ascii="Times New Roman" w:hAnsi="Times New Roman" w:eastAsia="宋体" w:cs="Times New Roman"/>
                <w:color w:val="auto"/>
                <w:kern w:val="2"/>
                <w:sz w:val="21"/>
                <w:szCs w:val="21"/>
                <w:highlight w:val="none"/>
                <w:lang w:val="en-US" w:eastAsia="zh-CN" w:bidi="ar-SA"/>
              </w:rPr>
              <w:t>0.075</w:t>
            </w:r>
          </w:p>
        </w:tc>
        <w:tc>
          <w:tcPr>
            <w:tcW w:w="1337" w:type="dxa"/>
            <w:tcBorders>
              <w:tl2br w:val="nil"/>
              <w:tr2bl w:val="nil"/>
            </w:tcBorders>
            <w:vAlign w:val="center"/>
          </w:tcPr>
          <w:p>
            <w:pPr>
              <w:keepNext w:val="0"/>
              <w:keepLines w:val="0"/>
              <w:pageBreakBefore w:val="0"/>
              <w:widowControl w:val="0"/>
              <w:kinsoku/>
              <w:wordWrap/>
              <w:overflowPunct/>
              <w:topLinePunct w:val="0"/>
              <w:autoSpaceDE/>
              <w:autoSpaceDN/>
              <w:bidi w:val="0"/>
              <w:spacing w:line="240" w:lineRule="auto"/>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kern w:val="2"/>
                <w:sz w:val="21"/>
                <w:szCs w:val="21"/>
                <w:lang w:val="en-US" w:eastAsia="zh-CN" w:bidi="ar-SA"/>
              </w:rPr>
              <w:t>危险废物</w:t>
            </w:r>
          </w:p>
        </w:tc>
        <w:tc>
          <w:tcPr>
            <w:tcW w:w="3504" w:type="dxa"/>
            <w:tcBorders>
              <w:tl2br w:val="nil"/>
              <w:tr2bl w:val="nil"/>
            </w:tcBorders>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交有资质单位处置</w:t>
            </w:r>
          </w:p>
        </w:tc>
      </w:tr>
    </w:tbl>
    <w:p>
      <w:pPr>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综上，项目运营期的固体废物均受到妥善的处置，由此可见，</w:t>
      </w:r>
      <w:r>
        <w:rPr>
          <w:rFonts w:hint="eastAsia" w:ascii="Times New Roman" w:hAnsi="Times New Roman" w:eastAsia="宋体" w:cs="Times New Roman"/>
          <w:bCs/>
          <w:color w:val="auto"/>
          <w:sz w:val="24"/>
          <w:szCs w:val="24"/>
          <w:lang w:eastAsia="zh-CN"/>
        </w:rPr>
        <w:t>本项目</w:t>
      </w:r>
      <w:r>
        <w:rPr>
          <w:rFonts w:hint="eastAsia" w:ascii="Times New Roman" w:hAnsi="Times New Roman" w:eastAsia="宋体" w:cs="Times New Roman"/>
          <w:bCs/>
          <w:color w:val="auto"/>
          <w:sz w:val="24"/>
          <w:szCs w:val="24"/>
        </w:rPr>
        <w:t>的固体废物全部进行了有效的回收利用和合理的处置，体现了“变废为宝、综合利用”的原则，项目固体废物不直接对外排放，对环境的影响较小。</w:t>
      </w:r>
    </w:p>
    <w:p>
      <w:pPr>
        <w:pStyle w:val="6"/>
        <w:adjustRightInd w:val="0"/>
        <w:snapToGrid w:val="0"/>
        <w:spacing w:before="0" w:after="0" w:line="360" w:lineRule="auto"/>
        <w:rPr>
          <w:rFonts w:ascii="Times New Roman" w:hAnsi="Times New Roman" w:eastAsia="宋体"/>
          <w:color w:val="auto"/>
          <w:sz w:val="28"/>
          <w:szCs w:val="28"/>
        </w:rPr>
      </w:pPr>
      <w:r>
        <w:rPr>
          <w:rFonts w:hint="eastAsia" w:ascii="Times New Roman" w:hAnsi="Times New Roman" w:eastAsia="宋体"/>
          <w:color w:val="auto"/>
          <w:sz w:val="28"/>
          <w:szCs w:val="28"/>
        </w:rPr>
        <w:t>5.2</w:t>
      </w:r>
      <w:r>
        <w:rPr>
          <w:rFonts w:ascii="Times New Roman" w:hAnsi="Times New Roman" w:eastAsia="宋体"/>
          <w:color w:val="auto"/>
          <w:sz w:val="28"/>
          <w:szCs w:val="28"/>
        </w:rPr>
        <w:t>.</w:t>
      </w:r>
      <w:r>
        <w:rPr>
          <w:rFonts w:hint="eastAsia" w:ascii="Times New Roman" w:hAnsi="Times New Roman" w:eastAsia="宋体"/>
          <w:color w:val="auto"/>
          <w:sz w:val="28"/>
          <w:szCs w:val="28"/>
          <w:lang w:val="en-US" w:eastAsia="zh-CN"/>
        </w:rPr>
        <w:t>6</w:t>
      </w:r>
      <w:r>
        <w:rPr>
          <w:rFonts w:ascii="Times New Roman" w:hAnsi="Times New Roman" w:eastAsia="宋体"/>
          <w:color w:val="auto"/>
          <w:sz w:val="28"/>
          <w:szCs w:val="28"/>
        </w:rPr>
        <w:t>运营期</w:t>
      </w:r>
      <w:r>
        <w:rPr>
          <w:rFonts w:hint="eastAsia" w:ascii="Times New Roman" w:hAnsi="Times New Roman" w:eastAsia="宋体"/>
          <w:color w:val="auto"/>
          <w:sz w:val="28"/>
          <w:szCs w:val="28"/>
          <w:lang w:eastAsia="zh-CN"/>
        </w:rPr>
        <w:t>土壤</w:t>
      </w:r>
      <w:r>
        <w:rPr>
          <w:rFonts w:ascii="Times New Roman" w:hAnsi="Times New Roman" w:eastAsia="宋体"/>
          <w:color w:val="auto"/>
          <w:sz w:val="28"/>
          <w:szCs w:val="28"/>
        </w:rPr>
        <w:t>环境影响</w:t>
      </w:r>
      <w:r>
        <w:rPr>
          <w:rFonts w:hint="eastAsia" w:ascii="Times New Roman" w:hAnsi="Times New Roman" w:eastAsia="宋体"/>
          <w:color w:val="auto"/>
          <w:sz w:val="28"/>
          <w:szCs w:val="28"/>
        </w:rPr>
        <w:t>评价</w:t>
      </w:r>
    </w:p>
    <w:p>
      <w:pPr>
        <w:pStyle w:val="16"/>
        <w:adjustRightInd w:val="0"/>
        <w:snapToGrid w:val="0"/>
        <w:spacing w:line="360" w:lineRule="auto"/>
        <w:ind w:right="0"/>
        <w:jc w:val="both"/>
        <w:outlineLvl w:val="3"/>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5.2.6.</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土壤</w:t>
      </w:r>
      <w:r>
        <w:rPr>
          <w:rFonts w:hint="eastAsia" w:ascii="Times New Roman" w:hAnsi="Times New Roman" w:eastAsia="宋体"/>
          <w:color w:val="auto"/>
          <w:sz w:val="24"/>
          <w:szCs w:val="24"/>
          <w:lang w:eastAsia="zh-CN"/>
        </w:rPr>
        <w:t>影响分析</w:t>
      </w:r>
    </w:p>
    <w:p>
      <w:pPr>
        <w:widowControl/>
        <w:tabs>
          <w:tab w:val="left" w:pos="437"/>
          <w:tab w:val="left" w:pos="720"/>
        </w:tabs>
        <w:spacing w:line="360" w:lineRule="auto"/>
        <w:ind w:firstLine="480" w:firstLineChars="200"/>
        <w:rPr>
          <w:rFonts w:hint="eastAsia" w:ascii="Times New Roman" w:hAnsi="Times New Roman"/>
          <w:bCs/>
          <w:color w:val="auto"/>
          <w:sz w:val="24"/>
          <w:szCs w:val="24"/>
          <w:lang w:val="en-US" w:eastAsia="zh-CN"/>
        </w:rPr>
      </w:pPr>
      <w:r>
        <w:rPr>
          <w:rFonts w:hint="eastAsia" w:ascii="Times New Roman" w:hAnsi="Times New Roman"/>
          <w:bCs/>
          <w:color w:val="auto"/>
          <w:sz w:val="24"/>
          <w:szCs w:val="24"/>
          <w:lang w:val="en-US" w:eastAsia="zh-CN"/>
        </w:rPr>
        <w:t>土壤环境污染是指人类活动所产生的物质(污染物)，通过各种途径进入土壤，其数量和速度超过了土壤的容纳能力和净化速度的现象。土壤污染可使土壤的性质、组成及性状等发生变化，使污染物质的积累过程逐渐占据优势，破坏土壤的自然动态平衡，从而导致土壤自然正常功能失调，土壤质量恶化，影响作物的生长发育，以致造成产量和质量的下降，并可通过食物链危害生物和人类健康。</w:t>
      </w:r>
    </w:p>
    <w:p>
      <w:pPr>
        <w:widowControl/>
        <w:tabs>
          <w:tab w:val="left" w:pos="437"/>
          <w:tab w:val="left" w:pos="720"/>
        </w:tabs>
        <w:spacing w:line="360" w:lineRule="auto"/>
        <w:ind w:firstLine="480" w:firstLineChars="200"/>
        <w:rPr>
          <w:rFonts w:hint="eastAsia" w:ascii="Times New Roman" w:hAnsi="Times New Roman"/>
          <w:bCs/>
          <w:color w:val="auto"/>
          <w:sz w:val="24"/>
          <w:szCs w:val="24"/>
          <w:lang w:val="en-US" w:eastAsia="zh-CN"/>
        </w:rPr>
      </w:pPr>
      <w:r>
        <w:rPr>
          <w:rFonts w:hint="eastAsia" w:ascii="Times New Roman" w:hAnsi="Times New Roman"/>
          <w:bCs/>
          <w:color w:val="auto"/>
          <w:sz w:val="24"/>
          <w:szCs w:val="24"/>
          <w:lang w:val="en-US" w:eastAsia="zh-CN"/>
        </w:rPr>
        <w:t>污染物可以通过多种途径进入土壤，主要类型有以下三种。</w:t>
      </w:r>
    </w:p>
    <w:p>
      <w:pPr>
        <w:widowControl/>
        <w:numPr>
          <w:ilvl w:val="0"/>
          <w:numId w:val="28"/>
        </w:numPr>
        <w:tabs>
          <w:tab w:val="left" w:pos="437"/>
          <w:tab w:val="left" w:pos="720"/>
        </w:tabs>
        <w:spacing w:line="360" w:lineRule="auto"/>
        <w:ind w:firstLine="480" w:firstLineChars="200"/>
        <w:rPr>
          <w:rFonts w:hint="eastAsia" w:ascii="Times New Roman" w:hAnsi="Times New Roman"/>
          <w:bCs/>
          <w:color w:val="auto"/>
          <w:sz w:val="24"/>
          <w:szCs w:val="24"/>
          <w:lang w:val="en-US" w:eastAsia="zh-CN"/>
        </w:rPr>
      </w:pPr>
      <w:r>
        <w:rPr>
          <w:rFonts w:hint="eastAsia" w:ascii="Times New Roman" w:hAnsi="Times New Roman"/>
          <w:bCs/>
          <w:color w:val="auto"/>
          <w:sz w:val="24"/>
          <w:szCs w:val="24"/>
          <w:lang w:val="en-US" w:eastAsia="zh-CN"/>
        </w:rPr>
        <w:t>大气沉降：大气沉降是土壤重金属污染的途径之一。能源、运输、冶金和建筑材料生产产生的气体和粉尘中含有大量的重金属，除汞以外，其他重金属基本上是以气溶胶的形态进入大气，经过干湿沉降进入土壤。它们降落到地表可引起土壤土质发生变化，破坏土壤肥力与生态系统的平衡。</w:t>
      </w:r>
    </w:p>
    <w:p>
      <w:pPr>
        <w:widowControl/>
        <w:numPr>
          <w:ilvl w:val="0"/>
          <w:numId w:val="28"/>
        </w:numPr>
        <w:tabs>
          <w:tab w:val="left" w:pos="437"/>
          <w:tab w:val="left" w:pos="720"/>
        </w:tabs>
        <w:spacing w:line="360" w:lineRule="auto"/>
        <w:ind w:firstLine="480" w:firstLineChars="200"/>
        <w:rPr>
          <w:rFonts w:hint="eastAsia" w:ascii="Times New Roman" w:hAnsi="Times New Roman"/>
          <w:bCs/>
          <w:color w:val="auto"/>
          <w:sz w:val="24"/>
          <w:szCs w:val="24"/>
        </w:rPr>
      </w:pPr>
      <w:r>
        <w:rPr>
          <w:rFonts w:hint="eastAsia" w:ascii="Times New Roman" w:hAnsi="Times New Roman"/>
          <w:bCs/>
          <w:color w:val="auto"/>
          <w:sz w:val="24"/>
          <w:szCs w:val="24"/>
          <w:lang w:val="en-US" w:eastAsia="zh-CN"/>
        </w:rPr>
        <w:t>地面漫流：废水事故状态下不能循环利用直接排入外环境，或发生泄漏致使土壤受到无机盐、有机物和病原体的污染。</w:t>
      </w:r>
    </w:p>
    <w:p>
      <w:pPr>
        <w:widowControl/>
        <w:numPr>
          <w:ilvl w:val="0"/>
          <w:numId w:val="28"/>
        </w:numPr>
        <w:tabs>
          <w:tab w:val="left" w:pos="437"/>
          <w:tab w:val="left" w:pos="720"/>
        </w:tabs>
        <w:spacing w:line="360" w:lineRule="auto"/>
        <w:ind w:firstLine="480" w:firstLineChars="200"/>
        <w:rPr>
          <w:rFonts w:hint="eastAsia" w:ascii="Times New Roman" w:hAnsi="Times New Roman"/>
          <w:bCs/>
          <w:color w:val="auto"/>
          <w:sz w:val="24"/>
          <w:szCs w:val="24"/>
        </w:rPr>
      </w:pPr>
      <w:r>
        <w:rPr>
          <w:rFonts w:hint="eastAsia" w:ascii="Times New Roman" w:hAnsi="Times New Roman"/>
          <w:bCs/>
          <w:color w:val="auto"/>
          <w:sz w:val="24"/>
          <w:szCs w:val="24"/>
          <w:lang w:val="en-US" w:eastAsia="zh-CN"/>
        </w:rPr>
        <w:t>固体废物污染型：固废等在堆放、运输过程中通过扩散、降水淋洗等直接或间接的影响土壤。结合本项目特点，本项目对土壤的影响类型、影响途径、影响源及影响因子见下表：</w:t>
      </w:r>
    </w:p>
    <w:p>
      <w:pPr>
        <w:spacing w:line="360" w:lineRule="auto"/>
        <w:ind w:firstLine="480" w:firstLineChars="200"/>
        <w:rPr>
          <w:rFonts w:hint="eastAsia" w:ascii="Times New Roman" w:hAnsi="Times New Roman"/>
          <w:bCs/>
          <w:color w:val="auto"/>
          <w:sz w:val="24"/>
          <w:szCs w:val="24"/>
        </w:rPr>
      </w:pPr>
      <w:r>
        <w:rPr>
          <w:rFonts w:hint="eastAsia" w:ascii="Times New Roman" w:hAnsi="Times New Roman"/>
          <w:bCs/>
          <w:color w:val="auto"/>
          <w:sz w:val="24"/>
          <w:szCs w:val="24"/>
        </w:rPr>
        <w:t>本项目对土壤的影响类型和途径见表</w:t>
      </w:r>
      <w:r>
        <w:rPr>
          <w:rFonts w:hint="eastAsia" w:ascii="Times New Roman" w:hAnsi="Times New Roman"/>
          <w:bCs/>
          <w:color w:val="auto"/>
          <w:sz w:val="24"/>
          <w:szCs w:val="24"/>
          <w:lang w:val="en-US" w:eastAsia="zh-CN"/>
        </w:rPr>
        <w:t>5.2-22</w:t>
      </w:r>
      <w:r>
        <w:rPr>
          <w:rFonts w:hint="eastAsia" w:ascii="Times New Roman" w:hAnsi="Times New Roman"/>
          <w:bCs/>
          <w:color w:val="auto"/>
          <w:sz w:val="24"/>
          <w:szCs w:val="24"/>
        </w:rPr>
        <w:t>。本项目土壤环境影响识别见表</w:t>
      </w:r>
      <w:r>
        <w:rPr>
          <w:rFonts w:hint="eastAsia" w:ascii="Times New Roman" w:hAnsi="Times New Roman"/>
          <w:bCs/>
          <w:color w:val="auto"/>
          <w:sz w:val="24"/>
          <w:szCs w:val="24"/>
          <w:lang w:val="en-US" w:eastAsia="zh-CN"/>
        </w:rPr>
        <w:t>5.2-23</w:t>
      </w:r>
      <w:r>
        <w:rPr>
          <w:rFonts w:hint="eastAsia" w:ascii="Times New Roman" w:hAnsi="Times New Roman"/>
          <w:bCs/>
          <w:color w:val="auto"/>
          <w:sz w:val="24"/>
          <w:szCs w:val="24"/>
        </w:rPr>
        <w:t xml:space="preserve">。 </w:t>
      </w:r>
    </w:p>
    <w:p>
      <w:pPr>
        <w:adjustRightInd w:val="0"/>
        <w:snapToGrid w:val="0"/>
        <w:spacing w:line="360" w:lineRule="auto"/>
        <w:ind w:firstLine="422" w:firstLineChars="200"/>
        <w:jc w:val="center"/>
        <w:rPr>
          <w:rFonts w:ascii="Times New Roman" w:hAnsi="Times New Roman"/>
          <w:b/>
          <w:color w:val="auto"/>
          <w:szCs w:val="21"/>
        </w:rPr>
      </w:pPr>
      <w:r>
        <w:rPr>
          <w:rFonts w:ascii="Times New Roman" w:hAnsi="Times New Roman"/>
          <w:b/>
          <w:color w:val="auto"/>
          <w:szCs w:val="21"/>
        </w:rPr>
        <w:t>表</w:t>
      </w:r>
      <w:r>
        <w:rPr>
          <w:rFonts w:hint="eastAsia" w:ascii="Times New Roman" w:hAnsi="Times New Roman"/>
          <w:b/>
          <w:color w:val="auto"/>
          <w:szCs w:val="21"/>
        </w:rPr>
        <w:t>5.2-</w:t>
      </w:r>
      <w:r>
        <w:rPr>
          <w:rFonts w:ascii="Times New Roman" w:hAnsi="Times New Roman"/>
          <w:b/>
          <w:color w:val="auto"/>
          <w:szCs w:val="21"/>
        </w:rPr>
        <w:t>2</w:t>
      </w:r>
      <w:r>
        <w:rPr>
          <w:rFonts w:hint="eastAsia" w:ascii="Times New Roman" w:hAnsi="Times New Roman"/>
          <w:b/>
          <w:color w:val="auto"/>
          <w:szCs w:val="21"/>
          <w:lang w:val="en-US" w:eastAsia="zh-CN"/>
        </w:rPr>
        <w:t>2</w:t>
      </w:r>
      <w:r>
        <w:rPr>
          <w:rFonts w:ascii="Times New Roman" w:hAnsi="Times New Roman"/>
          <w:b/>
          <w:color w:val="auto"/>
          <w:szCs w:val="21"/>
        </w:rPr>
        <w:t xml:space="preserve"> </w:t>
      </w:r>
      <w:r>
        <w:rPr>
          <w:rFonts w:hint="eastAsia" w:ascii="Times New Roman" w:hAnsi="Times New Roman"/>
          <w:b/>
          <w:color w:val="auto"/>
          <w:szCs w:val="21"/>
          <w:lang w:eastAsia="zh-CN"/>
        </w:rPr>
        <w:t>本项目土壤影响类型与途径</w:t>
      </w:r>
      <w:r>
        <w:rPr>
          <w:rFonts w:ascii="Times New Roman" w:hAnsi="Times New Roman"/>
          <w:b/>
          <w:color w:val="auto"/>
          <w:szCs w:val="21"/>
        </w:rPr>
        <w:t>表</w:t>
      </w:r>
    </w:p>
    <w:tbl>
      <w:tblPr>
        <w:tblStyle w:val="34"/>
        <w:tblW w:w="9220"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2802"/>
        <w:gridCol w:w="1946"/>
        <w:gridCol w:w="2195"/>
        <w:gridCol w:w="2277"/>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48" w:hRule="atLeast"/>
          <w:jc w:val="center"/>
        </w:trPr>
        <w:tc>
          <w:tcPr>
            <w:tcW w:w="2802" w:type="dxa"/>
            <w:vMerge w:val="restart"/>
            <w:noWrap w:val="0"/>
            <w:vAlign w:val="center"/>
          </w:tcPr>
          <w:p>
            <w:pPr>
              <w:jc w:val="center"/>
              <w:rPr>
                <w:rFonts w:hint="eastAsia" w:ascii="Times New Roman" w:hAnsi="Times New Roman" w:eastAsia="宋体"/>
                <w:b/>
                <w:color w:val="auto"/>
                <w:szCs w:val="21"/>
                <w:lang w:eastAsia="zh-CN"/>
              </w:rPr>
            </w:pPr>
            <w:r>
              <w:rPr>
                <w:rFonts w:hint="eastAsia" w:ascii="Times New Roman" w:hAnsi="Times New Roman"/>
                <w:b/>
                <w:color w:val="auto"/>
                <w:szCs w:val="21"/>
                <w:lang w:eastAsia="zh-CN"/>
              </w:rPr>
              <w:t>不同时段</w:t>
            </w:r>
          </w:p>
        </w:tc>
        <w:tc>
          <w:tcPr>
            <w:tcW w:w="6418" w:type="dxa"/>
            <w:gridSpan w:val="3"/>
            <w:tcBorders>
              <w:bottom w:val="single" w:color="auto" w:sz="4" w:space="0"/>
            </w:tcBorders>
            <w:noWrap w:val="0"/>
            <w:vAlign w:val="center"/>
          </w:tcPr>
          <w:p>
            <w:pPr>
              <w:jc w:val="center"/>
              <w:rPr>
                <w:rFonts w:hint="eastAsia" w:ascii="Times New Roman" w:hAnsi="Times New Roman" w:eastAsia="宋体"/>
                <w:b/>
                <w:color w:val="auto"/>
                <w:szCs w:val="21"/>
                <w:lang w:eastAsia="zh-CN"/>
              </w:rPr>
            </w:pPr>
            <w:r>
              <w:rPr>
                <w:rFonts w:hint="eastAsia" w:ascii="Times New Roman" w:hAnsi="Times New Roman"/>
                <w:b/>
                <w:color w:val="auto"/>
                <w:szCs w:val="21"/>
                <w:lang w:eastAsia="zh-CN"/>
              </w:rPr>
              <w:t>污染影响型</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03" w:hRule="atLeast"/>
          <w:jc w:val="center"/>
        </w:trPr>
        <w:tc>
          <w:tcPr>
            <w:tcW w:w="2802" w:type="dxa"/>
            <w:vMerge w:val="continue"/>
            <w:noWrap w:val="0"/>
            <w:vAlign w:val="center"/>
          </w:tcPr>
          <w:p>
            <w:pPr>
              <w:jc w:val="center"/>
              <w:rPr>
                <w:rFonts w:hint="eastAsia" w:ascii="Times New Roman" w:hAnsi="Times New Roman"/>
                <w:b/>
                <w:color w:val="auto"/>
                <w:szCs w:val="21"/>
                <w:lang w:eastAsia="zh-CN"/>
              </w:rPr>
            </w:pPr>
          </w:p>
        </w:tc>
        <w:tc>
          <w:tcPr>
            <w:tcW w:w="1946" w:type="dxa"/>
            <w:tcBorders>
              <w:top w:val="single" w:color="auto" w:sz="4" w:space="0"/>
              <w:right w:val="single" w:color="auto" w:sz="4" w:space="0"/>
            </w:tcBorders>
            <w:noWrap w:val="0"/>
            <w:vAlign w:val="center"/>
          </w:tcPr>
          <w:p>
            <w:pPr>
              <w:jc w:val="center"/>
              <w:rPr>
                <w:rFonts w:hint="eastAsia" w:ascii="Times New Roman" w:hAnsi="Times New Roman" w:eastAsia="宋体"/>
                <w:b/>
                <w:color w:val="auto"/>
                <w:szCs w:val="21"/>
                <w:lang w:eastAsia="zh-CN"/>
              </w:rPr>
            </w:pPr>
            <w:r>
              <w:rPr>
                <w:rFonts w:hint="eastAsia" w:ascii="Times New Roman" w:hAnsi="Times New Roman"/>
                <w:b/>
                <w:color w:val="auto"/>
                <w:szCs w:val="21"/>
                <w:lang w:eastAsia="zh-CN"/>
              </w:rPr>
              <w:t>大气沉降</w:t>
            </w:r>
          </w:p>
        </w:tc>
        <w:tc>
          <w:tcPr>
            <w:tcW w:w="2195" w:type="dxa"/>
            <w:tcBorders>
              <w:top w:val="single" w:color="auto" w:sz="4" w:space="0"/>
              <w:left w:val="single" w:color="auto" w:sz="4" w:space="0"/>
              <w:right w:val="single" w:color="auto" w:sz="4" w:space="0"/>
            </w:tcBorders>
            <w:noWrap w:val="0"/>
            <w:vAlign w:val="center"/>
          </w:tcPr>
          <w:p>
            <w:pPr>
              <w:jc w:val="center"/>
              <w:rPr>
                <w:rFonts w:hint="eastAsia" w:ascii="Times New Roman" w:hAnsi="Times New Roman" w:eastAsia="宋体"/>
                <w:b/>
                <w:color w:val="auto"/>
                <w:szCs w:val="21"/>
                <w:lang w:eastAsia="zh-CN"/>
              </w:rPr>
            </w:pPr>
            <w:r>
              <w:rPr>
                <w:rFonts w:hint="eastAsia" w:ascii="Times New Roman" w:hAnsi="Times New Roman"/>
                <w:b/>
                <w:color w:val="auto"/>
                <w:szCs w:val="21"/>
                <w:lang w:eastAsia="zh-CN"/>
              </w:rPr>
              <w:t>地面漫流</w:t>
            </w:r>
          </w:p>
        </w:tc>
        <w:tc>
          <w:tcPr>
            <w:tcW w:w="2277" w:type="dxa"/>
            <w:tcBorders>
              <w:top w:val="single" w:color="auto" w:sz="4" w:space="0"/>
              <w:left w:val="single" w:color="auto" w:sz="4" w:space="0"/>
            </w:tcBorders>
            <w:noWrap w:val="0"/>
            <w:vAlign w:val="center"/>
          </w:tcPr>
          <w:p>
            <w:pPr>
              <w:jc w:val="center"/>
              <w:rPr>
                <w:rFonts w:hint="eastAsia" w:ascii="Times New Roman" w:hAnsi="Times New Roman" w:eastAsia="宋体"/>
                <w:b/>
                <w:color w:val="auto"/>
                <w:szCs w:val="21"/>
                <w:lang w:eastAsia="zh-CN"/>
              </w:rPr>
            </w:pPr>
            <w:r>
              <w:rPr>
                <w:rFonts w:hint="eastAsia" w:ascii="Times New Roman" w:hAnsi="Times New Roman"/>
                <w:b/>
                <w:color w:val="auto"/>
                <w:szCs w:val="21"/>
                <w:lang w:eastAsia="zh-CN"/>
              </w:rPr>
              <w:t>垂直入渗</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jc w:val="center"/>
        </w:trPr>
        <w:tc>
          <w:tcPr>
            <w:tcW w:w="2802" w:type="dxa"/>
            <w:noWrap w:val="0"/>
            <w:vAlign w:val="top"/>
          </w:tcPr>
          <w:p>
            <w:pPr>
              <w:pStyle w:val="16"/>
              <w:spacing w:line="240" w:lineRule="auto"/>
              <w:rPr>
                <w:rFonts w:hint="eastAsia" w:ascii="Times New Roman" w:hAnsi="Times New Roman" w:eastAsia="宋体"/>
                <w:b w:val="0"/>
                <w:bCs w:val="0"/>
                <w:color w:val="auto"/>
                <w:sz w:val="21"/>
                <w:szCs w:val="21"/>
                <w:lang w:eastAsia="zh-CN"/>
              </w:rPr>
            </w:pPr>
            <w:r>
              <w:rPr>
                <w:rFonts w:hint="eastAsia" w:ascii="Times New Roman" w:hAnsi="Times New Roman"/>
                <w:b w:val="0"/>
                <w:bCs w:val="0"/>
                <w:color w:val="auto"/>
                <w:sz w:val="21"/>
                <w:szCs w:val="21"/>
                <w:lang w:eastAsia="zh-CN"/>
              </w:rPr>
              <w:t>建设期</w:t>
            </w:r>
          </w:p>
        </w:tc>
        <w:tc>
          <w:tcPr>
            <w:tcW w:w="1946" w:type="dxa"/>
            <w:noWrap w:val="0"/>
            <w:vAlign w:val="center"/>
          </w:tcPr>
          <w:p>
            <w:pPr>
              <w:jc w:val="center"/>
              <w:rPr>
                <w:rFonts w:hint="eastAsia" w:ascii="Times New Roman" w:hAnsi="Times New Roman" w:eastAsia="宋体"/>
                <w:b w:val="0"/>
                <w:bCs w:val="0"/>
                <w:color w:val="auto"/>
                <w:szCs w:val="21"/>
                <w:lang w:val="en-US" w:eastAsia="zh-CN"/>
              </w:rPr>
            </w:pPr>
          </w:p>
        </w:tc>
        <w:tc>
          <w:tcPr>
            <w:tcW w:w="2195" w:type="dxa"/>
            <w:tcBorders>
              <w:right w:val="single" w:color="auto" w:sz="4" w:space="0"/>
            </w:tcBorders>
            <w:noWrap w:val="0"/>
            <w:vAlign w:val="center"/>
          </w:tcPr>
          <w:p>
            <w:pPr>
              <w:jc w:val="center"/>
              <w:rPr>
                <w:rFonts w:hint="eastAsia" w:ascii="Times New Roman" w:hAnsi="Times New Roman" w:eastAsia="宋体"/>
                <w:b w:val="0"/>
                <w:bCs w:val="0"/>
                <w:color w:val="auto"/>
                <w:szCs w:val="21"/>
                <w:lang w:eastAsia="zh-CN"/>
              </w:rPr>
            </w:pPr>
          </w:p>
        </w:tc>
        <w:tc>
          <w:tcPr>
            <w:tcW w:w="2277" w:type="dxa"/>
            <w:tcBorders>
              <w:left w:val="single" w:color="auto" w:sz="4" w:space="0"/>
            </w:tcBorders>
            <w:noWrap w:val="0"/>
            <w:vAlign w:val="center"/>
          </w:tcPr>
          <w:p>
            <w:pPr>
              <w:jc w:val="center"/>
              <w:rPr>
                <w:rFonts w:ascii="Times New Roman" w:hAnsi="Times New Roman"/>
                <w:b w:val="0"/>
                <w:bCs w:val="0"/>
                <w:color w:val="auto"/>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jc w:val="center"/>
        </w:trPr>
        <w:tc>
          <w:tcPr>
            <w:tcW w:w="2802" w:type="dxa"/>
            <w:noWrap w:val="0"/>
            <w:vAlign w:val="top"/>
          </w:tcPr>
          <w:p>
            <w:pPr>
              <w:pStyle w:val="16"/>
              <w:spacing w:line="240" w:lineRule="auto"/>
              <w:rPr>
                <w:rFonts w:hint="eastAsia" w:ascii="Times New Roman" w:hAnsi="Times New Roman" w:eastAsia="宋体"/>
                <w:b w:val="0"/>
                <w:bCs w:val="0"/>
                <w:color w:val="auto"/>
                <w:sz w:val="21"/>
                <w:szCs w:val="21"/>
                <w:lang w:eastAsia="zh-CN"/>
              </w:rPr>
            </w:pPr>
            <w:r>
              <w:rPr>
                <w:rFonts w:hint="eastAsia" w:ascii="Times New Roman" w:hAnsi="Times New Roman"/>
                <w:b w:val="0"/>
                <w:bCs w:val="0"/>
                <w:color w:val="auto"/>
                <w:sz w:val="21"/>
                <w:szCs w:val="21"/>
                <w:lang w:eastAsia="zh-CN"/>
              </w:rPr>
              <w:t>运营期</w:t>
            </w:r>
          </w:p>
        </w:tc>
        <w:tc>
          <w:tcPr>
            <w:tcW w:w="1946" w:type="dxa"/>
            <w:noWrap w:val="0"/>
            <w:vAlign w:val="center"/>
          </w:tcPr>
          <w:p>
            <w:pPr>
              <w:jc w:val="center"/>
              <w:rPr>
                <w:rFonts w:hint="eastAsia" w:ascii="Times New Roman" w:hAnsi="Times New Roman" w:eastAsia="宋体"/>
                <w:b w:val="0"/>
                <w:bCs w:val="0"/>
                <w:color w:val="auto"/>
                <w:szCs w:val="21"/>
                <w:lang w:eastAsia="zh-CN"/>
              </w:rPr>
            </w:pPr>
            <w:r>
              <w:rPr>
                <w:rFonts w:hint="eastAsia" w:ascii="Times New Roman" w:hAnsi="Times New Roman" w:eastAsia="宋体"/>
                <w:b w:val="0"/>
                <w:bCs w:val="0"/>
                <w:color w:val="auto"/>
                <w:szCs w:val="21"/>
                <w:lang w:eastAsia="zh-CN"/>
              </w:rPr>
              <w:t>√</w:t>
            </w:r>
          </w:p>
        </w:tc>
        <w:tc>
          <w:tcPr>
            <w:tcW w:w="2195" w:type="dxa"/>
            <w:tcBorders>
              <w:right w:val="single" w:color="auto" w:sz="4" w:space="0"/>
            </w:tcBorders>
            <w:noWrap w:val="0"/>
            <w:vAlign w:val="center"/>
          </w:tcPr>
          <w:p>
            <w:pPr>
              <w:jc w:val="center"/>
              <w:rPr>
                <w:rFonts w:ascii="Times New Roman" w:hAnsi="Times New Roman"/>
                <w:b w:val="0"/>
                <w:bCs w:val="0"/>
                <w:color w:val="auto"/>
                <w:szCs w:val="21"/>
              </w:rPr>
            </w:pPr>
            <w:r>
              <w:rPr>
                <w:rFonts w:hint="eastAsia" w:ascii="Times New Roman" w:hAnsi="Times New Roman" w:eastAsia="宋体"/>
                <w:b w:val="0"/>
                <w:bCs w:val="0"/>
                <w:color w:val="auto"/>
                <w:szCs w:val="21"/>
                <w:lang w:eastAsia="zh-CN"/>
              </w:rPr>
              <w:t>√</w:t>
            </w:r>
          </w:p>
        </w:tc>
        <w:tc>
          <w:tcPr>
            <w:tcW w:w="2277" w:type="dxa"/>
            <w:tcBorders>
              <w:left w:val="single" w:color="auto" w:sz="4" w:space="0"/>
            </w:tcBorders>
            <w:noWrap w:val="0"/>
            <w:vAlign w:val="center"/>
          </w:tcPr>
          <w:p>
            <w:pPr>
              <w:jc w:val="center"/>
              <w:rPr>
                <w:rFonts w:hint="eastAsia" w:ascii="Times New Roman" w:hAnsi="Times New Roman" w:eastAsia="宋体"/>
                <w:b w:val="0"/>
                <w:bCs w:val="0"/>
                <w:color w:val="auto"/>
                <w:szCs w:val="21"/>
                <w:lang w:val="en-US" w:eastAsia="zh-CN"/>
              </w:rPr>
            </w:pPr>
            <w:r>
              <w:rPr>
                <w:rFonts w:hint="eastAsia" w:ascii="Times New Roman" w:hAnsi="Times New Roman" w:eastAsia="宋体"/>
                <w:b w:val="0"/>
                <w:bCs w:val="0"/>
                <w:color w:val="auto"/>
                <w:szCs w:val="21"/>
                <w:lang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jc w:val="center"/>
        </w:trPr>
        <w:tc>
          <w:tcPr>
            <w:tcW w:w="2802" w:type="dxa"/>
            <w:noWrap w:val="0"/>
            <w:vAlign w:val="top"/>
          </w:tcPr>
          <w:p>
            <w:pPr>
              <w:pStyle w:val="16"/>
              <w:spacing w:line="240" w:lineRule="auto"/>
              <w:rPr>
                <w:rFonts w:hint="eastAsia" w:ascii="Times New Roman" w:hAnsi="Times New Roman" w:eastAsia="宋体"/>
                <w:b w:val="0"/>
                <w:bCs w:val="0"/>
                <w:color w:val="auto"/>
                <w:sz w:val="21"/>
                <w:szCs w:val="21"/>
                <w:lang w:eastAsia="zh-CN"/>
              </w:rPr>
            </w:pPr>
            <w:r>
              <w:rPr>
                <w:rFonts w:hint="eastAsia" w:ascii="Times New Roman" w:hAnsi="Times New Roman"/>
                <w:b w:val="0"/>
                <w:bCs w:val="0"/>
                <w:color w:val="auto"/>
                <w:sz w:val="21"/>
                <w:szCs w:val="21"/>
                <w:lang w:eastAsia="zh-CN"/>
              </w:rPr>
              <w:t>服务期满后</w:t>
            </w:r>
          </w:p>
        </w:tc>
        <w:tc>
          <w:tcPr>
            <w:tcW w:w="1946" w:type="dxa"/>
            <w:noWrap w:val="0"/>
            <w:vAlign w:val="center"/>
          </w:tcPr>
          <w:p>
            <w:pPr>
              <w:jc w:val="center"/>
              <w:rPr>
                <w:rFonts w:hint="eastAsia" w:ascii="Times New Roman" w:hAnsi="Times New Roman" w:eastAsia="宋体"/>
                <w:b w:val="0"/>
                <w:bCs w:val="0"/>
                <w:color w:val="auto"/>
                <w:szCs w:val="21"/>
                <w:lang w:val="en-US" w:eastAsia="zh-CN"/>
              </w:rPr>
            </w:pPr>
          </w:p>
        </w:tc>
        <w:tc>
          <w:tcPr>
            <w:tcW w:w="2195" w:type="dxa"/>
            <w:tcBorders>
              <w:right w:val="single" w:color="auto" w:sz="4" w:space="0"/>
            </w:tcBorders>
            <w:noWrap w:val="0"/>
            <w:vAlign w:val="center"/>
          </w:tcPr>
          <w:p>
            <w:pPr>
              <w:jc w:val="center"/>
              <w:rPr>
                <w:rFonts w:hint="eastAsia" w:ascii="Times New Roman" w:hAnsi="Times New Roman" w:eastAsia="宋体"/>
                <w:b w:val="0"/>
                <w:bCs w:val="0"/>
                <w:color w:val="auto"/>
                <w:szCs w:val="21"/>
                <w:lang w:val="en-US" w:eastAsia="zh-CN"/>
              </w:rPr>
            </w:pPr>
          </w:p>
        </w:tc>
        <w:tc>
          <w:tcPr>
            <w:tcW w:w="2277" w:type="dxa"/>
            <w:tcBorders>
              <w:left w:val="single" w:color="auto" w:sz="4" w:space="0"/>
            </w:tcBorders>
            <w:noWrap w:val="0"/>
            <w:vAlign w:val="center"/>
          </w:tcPr>
          <w:p>
            <w:pPr>
              <w:jc w:val="center"/>
              <w:rPr>
                <w:rFonts w:hint="eastAsia" w:ascii="Times New Roman" w:hAnsi="Times New Roman" w:eastAsia="宋体"/>
                <w:b w:val="0"/>
                <w:bCs w:val="0"/>
                <w:color w:val="auto"/>
                <w:szCs w:val="21"/>
                <w:lang w:val="en-US" w:eastAsia="zh-CN"/>
              </w:rPr>
            </w:pPr>
          </w:p>
        </w:tc>
      </w:tr>
    </w:tbl>
    <w:p>
      <w:pPr>
        <w:jc w:val="center"/>
        <w:rPr>
          <w:rFonts w:ascii="Times New Roman" w:hAnsi="Times New Roman"/>
          <w:b/>
          <w:color w:val="auto"/>
          <w:szCs w:val="21"/>
        </w:rPr>
      </w:pPr>
    </w:p>
    <w:p>
      <w:pPr>
        <w:jc w:val="center"/>
        <w:rPr>
          <w:rFonts w:hint="eastAsia" w:ascii="Times New Roman" w:hAnsi="Times New Roman"/>
          <w:b/>
          <w:color w:val="auto"/>
          <w:szCs w:val="21"/>
          <w:vertAlign w:val="baseline"/>
          <w:lang w:eastAsia="zh-CN"/>
        </w:rPr>
      </w:pPr>
      <w:r>
        <w:rPr>
          <w:rFonts w:ascii="Times New Roman" w:hAnsi="Times New Roman"/>
          <w:b/>
          <w:color w:val="auto"/>
          <w:szCs w:val="21"/>
        </w:rPr>
        <w:t>表</w:t>
      </w:r>
      <w:r>
        <w:rPr>
          <w:rFonts w:hint="eastAsia" w:ascii="Times New Roman" w:hAnsi="Times New Roman"/>
          <w:b/>
          <w:color w:val="auto"/>
          <w:szCs w:val="21"/>
        </w:rPr>
        <w:t>5.2-</w:t>
      </w:r>
      <w:r>
        <w:rPr>
          <w:rFonts w:ascii="Times New Roman" w:hAnsi="Times New Roman"/>
          <w:b/>
          <w:color w:val="auto"/>
          <w:szCs w:val="21"/>
        </w:rPr>
        <w:t>2</w:t>
      </w:r>
      <w:r>
        <w:rPr>
          <w:rFonts w:hint="eastAsia" w:ascii="Times New Roman" w:hAnsi="Times New Roman"/>
          <w:b/>
          <w:color w:val="auto"/>
          <w:szCs w:val="21"/>
          <w:lang w:val="en-US" w:eastAsia="zh-CN"/>
        </w:rPr>
        <w:t xml:space="preserve">3 </w:t>
      </w:r>
      <w:r>
        <w:rPr>
          <w:rFonts w:hint="eastAsia" w:ascii="Times New Roman" w:hAnsi="Times New Roman"/>
          <w:b/>
          <w:color w:val="auto"/>
          <w:szCs w:val="21"/>
          <w:lang w:eastAsia="zh-CN"/>
        </w:rPr>
        <w:t>本项目土壤环境影响源及影响因子识别表</w:t>
      </w:r>
    </w:p>
    <w:tbl>
      <w:tblPr>
        <w:tblStyle w:val="35"/>
        <w:tblW w:w="9220"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36"/>
        <w:gridCol w:w="1536"/>
        <w:gridCol w:w="1537"/>
        <w:gridCol w:w="1537"/>
        <w:gridCol w:w="1537"/>
        <w:gridCol w:w="153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36" w:type="dxa"/>
            <w:tcBorders>
              <w:tl2br w:val="nil"/>
              <w:tr2bl w:val="nil"/>
            </w:tcBorders>
            <w:vAlign w:val="center"/>
          </w:tcPr>
          <w:p>
            <w:pPr>
              <w:jc w:val="center"/>
              <w:rPr>
                <w:rFonts w:hint="eastAsia" w:ascii="Times New Roman" w:hAnsi="Times New Roman"/>
                <w:b/>
                <w:bCs/>
                <w:color w:val="auto"/>
                <w:szCs w:val="21"/>
                <w:vertAlign w:val="baseline"/>
                <w:lang w:eastAsia="zh-CN"/>
              </w:rPr>
            </w:pPr>
            <w:r>
              <w:rPr>
                <w:rFonts w:hint="default" w:ascii="Times New Roman" w:hAnsi="Times New Roman" w:cs="Times New Roman"/>
                <w:b/>
                <w:bCs/>
                <w:color w:val="auto"/>
                <w:vertAlign w:val="baseline"/>
                <w:lang w:eastAsia="zh-CN"/>
              </w:rPr>
              <w:t>污染源</w:t>
            </w:r>
          </w:p>
        </w:tc>
        <w:tc>
          <w:tcPr>
            <w:tcW w:w="1536" w:type="dxa"/>
            <w:tcBorders>
              <w:tl2br w:val="nil"/>
              <w:tr2bl w:val="nil"/>
            </w:tcBorders>
            <w:vAlign w:val="center"/>
          </w:tcPr>
          <w:p>
            <w:pPr>
              <w:jc w:val="center"/>
              <w:rPr>
                <w:rFonts w:hint="eastAsia" w:ascii="Times New Roman" w:hAnsi="Times New Roman"/>
                <w:b/>
                <w:bCs/>
                <w:color w:val="auto"/>
                <w:szCs w:val="21"/>
                <w:vertAlign w:val="baseline"/>
                <w:lang w:eastAsia="zh-CN"/>
              </w:rPr>
            </w:pPr>
            <w:r>
              <w:rPr>
                <w:rFonts w:hint="default" w:ascii="Times New Roman" w:hAnsi="Times New Roman" w:cs="Times New Roman"/>
                <w:b/>
                <w:bCs/>
                <w:color w:val="auto"/>
                <w:vertAlign w:val="baseline"/>
                <w:lang w:eastAsia="zh-CN"/>
              </w:rPr>
              <w:t>工艺流程</w:t>
            </w:r>
            <w:r>
              <w:rPr>
                <w:rFonts w:hint="default" w:ascii="Times New Roman" w:hAnsi="Times New Roman" w:cs="Times New Roman"/>
                <w:b/>
                <w:bCs/>
                <w:color w:val="auto"/>
                <w:vertAlign w:val="baseline"/>
                <w:lang w:val="en-US" w:eastAsia="zh-CN"/>
              </w:rPr>
              <w:t>/节点</w:t>
            </w:r>
          </w:p>
        </w:tc>
        <w:tc>
          <w:tcPr>
            <w:tcW w:w="1537" w:type="dxa"/>
            <w:tcBorders>
              <w:tl2br w:val="nil"/>
              <w:tr2bl w:val="nil"/>
            </w:tcBorders>
            <w:vAlign w:val="center"/>
          </w:tcPr>
          <w:p>
            <w:pPr>
              <w:jc w:val="center"/>
              <w:rPr>
                <w:rFonts w:hint="eastAsia" w:ascii="Times New Roman" w:hAnsi="Times New Roman"/>
                <w:b/>
                <w:bCs/>
                <w:color w:val="auto"/>
                <w:szCs w:val="21"/>
                <w:vertAlign w:val="baseline"/>
                <w:lang w:eastAsia="zh-CN"/>
              </w:rPr>
            </w:pPr>
            <w:r>
              <w:rPr>
                <w:rFonts w:hint="default" w:ascii="Times New Roman" w:hAnsi="Times New Roman" w:cs="Times New Roman"/>
                <w:b/>
                <w:bCs/>
                <w:color w:val="auto"/>
                <w:vertAlign w:val="baseline"/>
                <w:lang w:eastAsia="zh-CN"/>
              </w:rPr>
              <w:t>污染途径</w:t>
            </w:r>
          </w:p>
        </w:tc>
        <w:tc>
          <w:tcPr>
            <w:tcW w:w="1537" w:type="dxa"/>
            <w:tcBorders>
              <w:tl2br w:val="nil"/>
              <w:tr2bl w:val="nil"/>
            </w:tcBorders>
            <w:vAlign w:val="center"/>
          </w:tcPr>
          <w:p>
            <w:pPr>
              <w:jc w:val="center"/>
              <w:rPr>
                <w:rFonts w:hint="eastAsia" w:ascii="Times New Roman" w:hAnsi="Times New Roman"/>
                <w:b/>
                <w:bCs/>
                <w:color w:val="auto"/>
                <w:szCs w:val="21"/>
                <w:vertAlign w:val="baseline"/>
                <w:lang w:eastAsia="zh-CN"/>
              </w:rPr>
            </w:pPr>
            <w:r>
              <w:rPr>
                <w:rFonts w:hint="default" w:ascii="Times New Roman" w:hAnsi="Times New Roman" w:cs="Times New Roman"/>
                <w:b/>
                <w:bCs/>
                <w:color w:val="auto"/>
                <w:vertAlign w:val="baseline"/>
                <w:lang w:eastAsia="zh-CN"/>
              </w:rPr>
              <w:t>全部污染物指标</w:t>
            </w:r>
          </w:p>
        </w:tc>
        <w:tc>
          <w:tcPr>
            <w:tcW w:w="1537" w:type="dxa"/>
            <w:tcBorders>
              <w:tl2br w:val="nil"/>
              <w:tr2bl w:val="nil"/>
            </w:tcBorders>
            <w:vAlign w:val="center"/>
          </w:tcPr>
          <w:p>
            <w:pPr>
              <w:jc w:val="center"/>
              <w:rPr>
                <w:rFonts w:hint="eastAsia" w:ascii="Times New Roman" w:hAnsi="Times New Roman"/>
                <w:b/>
                <w:bCs/>
                <w:color w:val="auto"/>
                <w:szCs w:val="21"/>
                <w:vertAlign w:val="baseline"/>
                <w:lang w:eastAsia="zh-CN"/>
              </w:rPr>
            </w:pPr>
            <w:r>
              <w:rPr>
                <w:rFonts w:hint="default" w:ascii="Times New Roman" w:hAnsi="Times New Roman" w:cs="Times New Roman"/>
                <w:b/>
                <w:bCs/>
                <w:color w:val="auto"/>
                <w:vertAlign w:val="baseline"/>
                <w:lang w:eastAsia="zh-CN"/>
              </w:rPr>
              <w:t>特征因子</w:t>
            </w:r>
          </w:p>
        </w:tc>
        <w:tc>
          <w:tcPr>
            <w:tcW w:w="1537" w:type="dxa"/>
            <w:tcBorders>
              <w:tl2br w:val="nil"/>
              <w:tr2bl w:val="nil"/>
            </w:tcBorders>
            <w:vAlign w:val="center"/>
          </w:tcPr>
          <w:p>
            <w:pPr>
              <w:jc w:val="center"/>
              <w:rPr>
                <w:rFonts w:hint="eastAsia" w:ascii="Times New Roman" w:hAnsi="Times New Roman"/>
                <w:b/>
                <w:bCs/>
                <w:color w:val="auto"/>
                <w:szCs w:val="21"/>
                <w:vertAlign w:val="baseline"/>
                <w:lang w:eastAsia="zh-CN"/>
              </w:rPr>
            </w:pPr>
            <w:r>
              <w:rPr>
                <w:rFonts w:hint="default" w:ascii="Times New Roman" w:hAnsi="Times New Roman" w:cs="Times New Roman"/>
                <w:b/>
                <w:bCs/>
                <w:color w:val="auto"/>
                <w:vertAlign w:val="baseline"/>
                <w:lang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3" w:hRule="atLeast"/>
        </w:trPr>
        <w:tc>
          <w:tcPr>
            <w:tcW w:w="1536" w:type="dxa"/>
            <w:tcBorders>
              <w:tl2br w:val="nil"/>
              <w:tr2bl w:val="nil"/>
            </w:tcBorders>
            <w:vAlign w:val="center"/>
          </w:tcPr>
          <w:p>
            <w:pPr>
              <w:spacing w:line="240" w:lineRule="auto"/>
              <w:ind w:firstLine="0" w:firstLineChars="0"/>
              <w:jc w:val="center"/>
              <w:rPr>
                <w:rFonts w:hint="eastAsia" w:ascii="Times New Roman" w:hAnsi="Times New Roman" w:eastAsiaTheme="minorEastAsia"/>
                <w:b w:val="0"/>
                <w:bCs w:val="0"/>
                <w:color w:val="auto"/>
                <w:szCs w:val="21"/>
                <w:vertAlign w:val="baseline"/>
                <w:lang w:eastAsia="zh-CN"/>
              </w:rPr>
            </w:pPr>
            <w:r>
              <w:rPr>
                <w:rFonts w:hint="eastAsia"/>
                <w:color w:val="auto"/>
                <w:sz w:val="21"/>
                <w:szCs w:val="21"/>
                <w:lang w:eastAsia="zh-CN"/>
              </w:rPr>
              <w:t>集粪池</w:t>
            </w:r>
            <w:r>
              <w:rPr>
                <w:rFonts w:hint="eastAsia"/>
                <w:color w:val="auto"/>
                <w:sz w:val="21"/>
                <w:szCs w:val="21"/>
              </w:rPr>
              <w:t>、</w:t>
            </w:r>
            <w:r>
              <w:rPr>
                <w:rFonts w:hint="eastAsia"/>
                <w:color w:val="auto"/>
                <w:sz w:val="21"/>
                <w:szCs w:val="21"/>
                <w:lang w:eastAsia="zh-CN"/>
              </w:rPr>
              <w:t>氧化塘（储蓄池）</w:t>
            </w:r>
          </w:p>
        </w:tc>
        <w:tc>
          <w:tcPr>
            <w:tcW w:w="1536" w:type="dxa"/>
            <w:tcBorders>
              <w:tl2br w:val="nil"/>
              <w:tr2bl w:val="nil"/>
            </w:tcBorders>
            <w:vAlign w:val="center"/>
          </w:tcPr>
          <w:p>
            <w:pPr>
              <w:spacing w:line="240" w:lineRule="auto"/>
              <w:ind w:firstLine="0" w:firstLineChars="0"/>
              <w:jc w:val="center"/>
              <w:rPr>
                <w:rFonts w:hint="eastAsia" w:ascii="Times New Roman" w:hAnsi="Times New Roman"/>
                <w:b w:val="0"/>
                <w:bCs w:val="0"/>
                <w:color w:val="auto"/>
                <w:szCs w:val="21"/>
                <w:vertAlign w:val="baseline"/>
                <w:lang w:eastAsia="zh-CN"/>
              </w:rPr>
            </w:pPr>
            <w:r>
              <w:rPr>
                <w:rFonts w:hint="eastAsia"/>
                <w:color w:val="auto"/>
                <w:sz w:val="21"/>
                <w:szCs w:val="21"/>
              </w:rPr>
              <w:t>粪污收集</w:t>
            </w:r>
          </w:p>
        </w:tc>
        <w:tc>
          <w:tcPr>
            <w:tcW w:w="1537" w:type="dxa"/>
            <w:tcBorders>
              <w:tl2br w:val="nil"/>
              <w:tr2bl w:val="nil"/>
            </w:tcBorders>
            <w:vAlign w:val="center"/>
          </w:tcPr>
          <w:p>
            <w:pPr>
              <w:spacing w:line="240" w:lineRule="auto"/>
              <w:ind w:firstLine="0" w:firstLineChars="0"/>
              <w:jc w:val="center"/>
              <w:rPr>
                <w:rFonts w:hint="eastAsia" w:ascii="Times New Roman" w:hAnsi="Times New Roman"/>
                <w:b w:val="0"/>
                <w:bCs w:val="0"/>
                <w:color w:val="auto"/>
                <w:szCs w:val="21"/>
                <w:vertAlign w:val="baseline"/>
                <w:lang w:eastAsia="zh-CN"/>
              </w:rPr>
            </w:pPr>
            <w:r>
              <w:rPr>
                <w:rFonts w:hint="eastAsia"/>
                <w:color w:val="auto"/>
                <w:sz w:val="21"/>
                <w:szCs w:val="21"/>
              </w:rPr>
              <w:t>地面漫流</w:t>
            </w:r>
          </w:p>
        </w:tc>
        <w:tc>
          <w:tcPr>
            <w:tcW w:w="1537" w:type="dxa"/>
            <w:vMerge w:val="restart"/>
            <w:tcBorders>
              <w:tl2br w:val="nil"/>
              <w:tr2bl w:val="nil"/>
            </w:tcBorders>
            <w:vAlign w:val="center"/>
          </w:tcPr>
          <w:p>
            <w:pPr>
              <w:jc w:val="center"/>
              <w:rPr>
                <w:rFonts w:hint="default" w:ascii="Times New Roman" w:hAnsi="Times New Roman"/>
                <w:b w:val="0"/>
                <w:bCs w:val="0"/>
                <w:color w:val="auto"/>
                <w:szCs w:val="21"/>
                <w:vertAlign w:val="baseline"/>
                <w:lang w:val="en-US" w:eastAsia="zh-CN"/>
              </w:rPr>
            </w:pPr>
            <w:r>
              <w:rPr>
                <w:rFonts w:hint="eastAsia" w:ascii="Times New Roman" w:hAnsi="Times New Roman"/>
                <w:b w:val="0"/>
                <w:bCs w:val="0"/>
                <w:color w:val="auto"/>
                <w:szCs w:val="21"/>
                <w:vertAlign w:val="baseline"/>
                <w:lang w:val="en-US" w:eastAsia="zh-CN"/>
              </w:rPr>
              <w:t>COD、BOD</w:t>
            </w:r>
            <w:r>
              <w:rPr>
                <w:rFonts w:hint="eastAsia" w:ascii="Times New Roman" w:hAnsi="Times New Roman"/>
                <w:b w:val="0"/>
                <w:bCs w:val="0"/>
                <w:color w:val="auto"/>
                <w:szCs w:val="21"/>
                <w:vertAlign w:val="subscript"/>
                <w:lang w:val="en-US" w:eastAsia="zh-CN"/>
              </w:rPr>
              <w:t>5</w:t>
            </w:r>
            <w:r>
              <w:rPr>
                <w:rFonts w:hint="eastAsia" w:ascii="Times New Roman" w:hAnsi="Times New Roman"/>
                <w:b w:val="0"/>
                <w:bCs w:val="0"/>
                <w:color w:val="auto"/>
                <w:szCs w:val="21"/>
                <w:vertAlign w:val="baseline"/>
                <w:lang w:val="en-US" w:eastAsia="zh-CN"/>
              </w:rPr>
              <w:t>、SS、NH</w:t>
            </w:r>
            <w:r>
              <w:rPr>
                <w:rFonts w:hint="eastAsia" w:ascii="Times New Roman" w:hAnsi="Times New Roman"/>
                <w:b w:val="0"/>
                <w:bCs w:val="0"/>
                <w:color w:val="auto"/>
                <w:szCs w:val="21"/>
                <w:vertAlign w:val="subscript"/>
                <w:lang w:val="en-US" w:eastAsia="zh-CN"/>
              </w:rPr>
              <w:t>3</w:t>
            </w:r>
            <w:r>
              <w:rPr>
                <w:rFonts w:hint="eastAsia" w:ascii="Times New Roman" w:hAnsi="Times New Roman"/>
                <w:b w:val="0"/>
                <w:bCs w:val="0"/>
                <w:color w:val="auto"/>
                <w:szCs w:val="21"/>
                <w:vertAlign w:val="baseline"/>
                <w:lang w:val="en-US" w:eastAsia="zh-CN"/>
              </w:rPr>
              <w:t>-N、类大肠菌群</w:t>
            </w:r>
          </w:p>
        </w:tc>
        <w:tc>
          <w:tcPr>
            <w:tcW w:w="1537" w:type="dxa"/>
            <w:vMerge w:val="restart"/>
            <w:tcBorders>
              <w:tl2br w:val="nil"/>
              <w:tr2bl w:val="nil"/>
            </w:tcBorders>
            <w:vAlign w:val="center"/>
          </w:tcPr>
          <w:p>
            <w:pPr>
              <w:jc w:val="center"/>
              <w:rPr>
                <w:rFonts w:hint="eastAsia" w:ascii="Times New Roman" w:hAnsi="Times New Roman"/>
                <w:b w:val="0"/>
                <w:bCs w:val="0"/>
                <w:color w:val="auto"/>
                <w:szCs w:val="21"/>
                <w:vertAlign w:val="baseline"/>
                <w:lang w:eastAsia="zh-CN"/>
              </w:rPr>
            </w:pPr>
            <w:r>
              <w:rPr>
                <w:rFonts w:hint="eastAsia" w:ascii="Times New Roman" w:hAnsi="Times New Roman"/>
                <w:b w:val="0"/>
                <w:bCs w:val="0"/>
                <w:color w:val="auto"/>
                <w:szCs w:val="21"/>
                <w:vertAlign w:val="baseline"/>
                <w:lang w:val="en-US" w:eastAsia="zh-CN"/>
              </w:rPr>
              <w:t>COD、BOD</w:t>
            </w:r>
            <w:r>
              <w:rPr>
                <w:rFonts w:hint="eastAsia" w:ascii="Times New Roman" w:hAnsi="Times New Roman"/>
                <w:b w:val="0"/>
                <w:bCs w:val="0"/>
                <w:color w:val="auto"/>
                <w:szCs w:val="21"/>
                <w:vertAlign w:val="subscript"/>
                <w:lang w:val="en-US" w:eastAsia="zh-CN"/>
              </w:rPr>
              <w:t>5</w:t>
            </w:r>
            <w:r>
              <w:rPr>
                <w:rFonts w:hint="eastAsia" w:ascii="Times New Roman" w:hAnsi="Times New Roman"/>
                <w:b w:val="0"/>
                <w:bCs w:val="0"/>
                <w:color w:val="auto"/>
                <w:szCs w:val="21"/>
                <w:vertAlign w:val="baseline"/>
                <w:lang w:val="en-US" w:eastAsia="zh-CN"/>
              </w:rPr>
              <w:t>、SS、NH</w:t>
            </w:r>
            <w:r>
              <w:rPr>
                <w:rFonts w:hint="eastAsia" w:ascii="Times New Roman" w:hAnsi="Times New Roman"/>
                <w:b w:val="0"/>
                <w:bCs w:val="0"/>
                <w:color w:val="auto"/>
                <w:szCs w:val="21"/>
                <w:vertAlign w:val="subscript"/>
                <w:lang w:val="en-US" w:eastAsia="zh-CN"/>
              </w:rPr>
              <w:t>3</w:t>
            </w:r>
            <w:r>
              <w:rPr>
                <w:rFonts w:hint="eastAsia" w:ascii="Times New Roman" w:hAnsi="Times New Roman"/>
                <w:b w:val="0"/>
                <w:bCs w:val="0"/>
                <w:color w:val="auto"/>
                <w:szCs w:val="21"/>
                <w:vertAlign w:val="baseline"/>
                <w:lang w:val="en-US" w:eastAsia="zh-CN"/>
              </w:rPr>
              <w:t>-N、类大肠菌群</w:t>
            </w:r>
          </w:p>
        </w:tc>
        <w:tc>
          <w:tcPr>
            <w:tcW w:w="1537" w:type="dxa"/>
            <w:tcBorders>
              <w:tl2br w:val="nil"/>
              <w:tr2bl w:val="nil"/>
            </w:tcBorders>
            <w:vAlign w:val="center"/>
          </w:tcPr>
          <w:p>
            <w:pPr>
              <w:jc w:val="center"/>
              <w:rPr>
                <w:rFonts w:hint="eastAsia" w:ascii="Times New Roman" w:hAnsi="Times New Roman"/>
                <w:b w:val="0"/>
                <w:bCs w:val="0"/>
                <w:color w:val="auto"/>
                <w:szCs w:val="21"/>
                <w:vertAlign w:val="baseline"/>
                <w:lang w:eastAsia="zh-CN"/>
              </w:rPr>
            </w:pPr>
            <w:r>
              <w:rPr>
                <w:rFonts w:hint="eastAsia" w:ascii="Times New Roman" w:hAnsi="Times New Roman"/>
                <w:b w:val="0"/>
                <w:bCs w:val="0"/>
                <w:color w:val="auto"/>
                <w:szCs w:val="21"/>
                <w:vertAlign w:val="baseline"/>
                <w:lang w:eastAsia="zh-CN"/>
              </w:rPr>
              <w:t>事故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36" w:type="dxa"/>
            <w:tcBorders>
              <w:tl2br w:val="nil"/>
              <w:tr2bl w:val="nil"/>
            </w:tcBorders>
            <w:vAlign w:val="center"/>
          </w:tcPr>
          <w:p>
            <w:pPr>
              <w:spacing w:line="240" w:lineRule="auto"/>
              <w:ind w:firstLine="0" w:firstLineChars="0"/>
              <w:jc w:val="center"/>
              <w:rPr>
                <w:rFonts w:hint="eastAsia" w:ascii="Times New Roman" w:hAnsi="Times New Roman"/>
                <w:b w:val="0"/>
                <w:bCs w:val="0"/>
                <w:color w:val="auto"/>
                <w:szCs w:val="21"/>
                <w:vertAlign w:val="baseline"/>
                <w:lang w:eastAsia="zh-CN"/>
              </w:rPr>
            </w:pPr>
            <w:r>
              <w:rPr>
                <w:rFonts w:hint="eastAsia"/>
                <w:color w:val="auto"/>
                <w:sz w:val="21"/>
                <w:szCs w:val="21"/>
                <w:lang w:eastAsia="zh-CN"/>
              </w:rPr>
              <w:t>组合</w:t>
            </w:r>
            <w:r>
              <w:rPr>
                <w:rFonts w:hint="eastAsia"/>
                <w:color w:val="auto"/>
                <w:sz w:val="21"/>
                <w:szCs w:val="21"/>
              </w:rPr>
              <w:t>池</w:t>
            </w:r>
          </w:p>
        </w:tc>
        <w:tc>
          <w:tcPr>
            <w:tcW w:w="1536" w:type="dxa"/>
            <w:tcBorders>
              <w:tl2br w:val="nil"/>
              <w:tr2bl w:val="nil"/>
            </w:tcBorders>
            <w:vAlign w:val="center"/>
          </w:tcPr>
          <w:p>
            <w:pPr>
              <w:spacing w:line="240" w:lineRule="auto"/>
              <w:ind w:firstLine="0" w:firstLineChars="0"/>
              <w:jc w:val="center"/>
              <w:rPr>
                <w:rFonts w:hint="eastAsia" w:ascii="Times New Roman" w:hAnsi="Times New Roman" w:eastAsiaTheme="minorEastAsia"/>
                <w:b w:val="0"/>
                <w:bCs w:val="0"/>
                <w:color w:val="auto"/>
                <w:szCs w:val="21"/>
                <w:vertAlign w:val="baseline"/>
                <w:lang w:eastAsia="zh-CN"/>
              </w:rPr>
            </w:pPr>
            <w:r>
              <w:rPr>
                <w:rFonts w:hint="eastAsia"/>
                <w:color w:val="auto"/>
                <w:sz w:val="21"/>
                <w:szCs w:val="21"/>
                <w:lang w:eastAsia="zh-CN"/>
              </w:rPr>
              <w:t>污水处理</w:t>
            </w:r>
          </w:p>
        </w:tc>
        <w:tc>
          <w:tcPr>
            <w:tcW w:w="1537" w:type="dxa"/>
            <w:tcBorders>
              <w:tl2br w:val="nil"/>
              <w:tr2bl w:val="nil"/>
            </w:tcBorders>
            <w:vAlign w:val="center"/>
          </w:tcPr>
          <w:p>
            <w:pPr>
              <w:spacing w:line="240" w:lineRule="auto"/>
              <w:ind w:firstLine="0" w:firstLineChars="0"/>
              <w:jc w:val="center"/>
              <w:rPr>
                <w:rFonts w:hint="eastAsia" w:ascii="Times New Roman" w:hAnsi="Times New Roman"/>
                <w:b w:val="0"/>
                <w:bCs w:val="0"/>
                <w:color w:val="auto"/>
                <w:szCs w:val="21"/>
                <w:vertAlign w:val="baseline"/>
                <w:lang w:eastAsia="zh-CN"/>
              </w:rPr>
            </w:pPr>
            <w:r>
              <w:rPr>
                <w:rFonts w:hint="eastAsia"/>
                <w:color w:val="auto"/>
                <w:sz w:val="21"/>
                <w:szCs w:val="21"/>
              </w:rPr>
              <w:t>垂直入渗</w:t>
            </w:r>
          </w:p>
        </w:tc>
        <w:tc>
          <w:tcPr>
            <w:tcW w:w="1537" w:type="dxa"/>
            <w:vMerge w:val="continue"/>
            <w:tcBorders>
              <w:tl2br w:val="nil"/>
              <w:tr2bl w:val="nil"/>
            </w:tcBorders>
            <w:vAlign w:val="center"/>
          </w:tcPr>
          <w:p>
            <w:pPr>
              <w:jc w:val="center"/>
              <w:rPr>
                <w:rFonts w:hint="eastAsia" w:ascii="Times New Roman" w:hAnsi="Times New Roman"/>
                <w:b w:val="0"/>
                <w:bCs w:val="0"/>
                <w:color w:val="auto"/>
                <w:szCs w:val="21"/>
                <w:vertAlign w:val="baseline"/>
                <w:lang w:eastAsia="zh-CN"/>
              </w:rPr>
            </w:pPr>
          </w:p>
        </w:tc>
        <w:tc>
          <w:tcPr>
            <w:tcW w:w="1537" w:type="dxa"/>
            <w:vMerge w:val="continue"/>
            <w:tcBorders>
              <w:tl2br w:val="nil"/>
              <w:tr2bl w:val="nil"/>
            </w:tcBorders>
            <w:vAlign w:val="center"/>
          </w:tcPr>
          <w:p>
            <w:pPr>
              <w:jc w:val="center"/>
              <w:rPr>
                <w:rFonts w:hint="eastAsia" w:ascii="Times New Roman" w:hAnsi="Times New Roman"/>
                <w:b w:val="0"/>
                <w:bCs w:val="0"/>
                <w:color w:val="auto"/>
                <w:szCs w:val="21"/>
                <w:vertAlign w:val="baseline"/>
                <w:lang w:eastAsia="zh-CN"/>
              </w:rPr>
            </w:pPr>
          </w:p>
        </w:tc>
        <w:tc>
          <w:tcPr>
            <w:tcW w:w="1537" w:type="dxa"/>
            <w:tcBorders>
              <w:tl2br w:val="nil"/>
              <w:tr2bl w:val="nil"/>
            </w:tcBorders>
            <w:vAlign w:val="center"/>
          </w:tcPr>
          <w:p>
            <w:pPr>
              <w:jc w:val="center"/>
              <w:rPr>
                <w:rFonts w:hint="eastAsia" w:ascii="Times New Roman" w:hAnsi="Times New Roman"/>
                <w:b w:val="0"/>
                <w:bCs w:val="0"/>
                <w:color w:val="auto"/>
                <w:szCs w:val="21"/>
                <w:vertAlign w:val="baseline"/>
                <w:lang w:eastAsia="zh-CN"/>
              </w:rPr>
            </w:pPr>
            <w:r>
              <w:rPr>
                <w:rFonts w:hint="eastAsia" w:ascii="Times New Roman" w:hAnsi="Times New Roman" w:cs="Times New Roman"/>
                <w:b w:val="0"/>
                <w:bCs w:val="0"/>
                <w:color w:val="auto"/>
                <w:vertAlign w:val="baseline"/>
                <w:lang w:eastAsia="zh-CN"/>
              </w:rPr>
              <w:t>事故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36" w:type="dxa"/>
            <w:tcBorders>
              <w:tl2br w:val="nil"/>
              <w:tr2bl w:val="nil"/>
            </w:tcBorders>
            <w:vAlign w:val="center"/>
          </w:tcPr>
          <w:p>
            <w:pPr>
              <w:jc w:val="center"/>
              <w:rPr>
                <w:rFonts w:hint="eastAsia" w:ascii="Times New Roman" w:hAnsi="Times New Roman"/>
                <w:b w:val="0"/>
                <w:bCs w:val="0"/>
                <w:color w:val="auto"/>
                <w:szCs w:val="21"/>
                <w:vertAlign w:val="baseline"/>
                <w:lang w:eastAsia="zh-CN"/>
              </w:rPr>
            </w:pPr>
            <w:r>
              <w:rPr>
                <w:rFonts w:hint="eastAsia" w:ascii="Times New Roman" w:hAnsi="Times New Roman"/>
                <w:b w:val="0"/>
                <w:bCs w:val="0"/>
                <w:color w:val="auto"/>
                <w:szCs w:val="21"/>
                <w:vertAlign w:val="baseline"/>
                <w:lang w:eastAsia="zh-CN"/>
              </w:rPr>
              <w:t>发电机房</w:t>
            </w:r>
          </w:p>
        </w:tc>
        <w:tc>
          <w:tcPr>
            <w:tcW w:w="1536" w:type="dxa"/>
            <w:tcBorders>
              <w:tl2br w:val="nil"/>
              <w:tr2bl w:val="nil"/>
            </w:tcBorders>
            <w:vAlign w:val="center"/>
          </w:tcPr>
          <w:p>
            <w:pPr>
              <w:jc w:val="center"/>
              <w:rPr>
                <w:rFonts w:hint="eastAsia" w:ascii="Times New Roman" w:hAnsi="Times New Roman"/>
                <w:b w:val="0"/>
                <w:bCs w:val="0"/>
                <w:color w:val="auto"/>
                <w:szCs w:val="21"/>
                <w:vertAlign w:val="baseline"/>
                <w:lang w:eastAsia="zh-CN"/>
              </w:rPr>
            </w:pPr>
            <w:r>
              <w:rPr>
                <w:rFonts w:hint="eastAsia" w:ascii="Times New Roman" w:hAnsi="Times New Roman"/>
                <w:b w:val="0"/>
                <w:bCs w:val="0"/>
                <w:color w:val="auto"/>
                <w:szCs w:val="21"/>
                <w:vertAlign w:val="baseline"/>
                <w:lang w:eastAsia="zh-CN"/>
              </w:rPr>
              <w:t>矿物油泄露</w:t>
            </w:r>
          </w:p>
        </w:tc>
        <w:tc>
          <w:tcPr>
            <w:tcW w:w="1537" w:type="dxa"/>
            <w:tcBorders>
              <w:tl2br w:val="nil"/>
              <w:tr2bl w:val="nil"/>
            </w:tcBorders>
            <w:vAlign w:val="center"/>
          </w:tcPr>
          <w:p>
            <w:pPr>
              <w:jc w:val="center"/>
              <w:rPr>
                <w:rFonts w:hint="eastAsia" w:ascii="Times New Roman" w:hAnsi="Times New Roman"/>
                <w:b w:val="0"/>
                <w:bCs w:val="0"/>
                <w:color w:val="auto"/>
                <w:szCs w:val="21"/>
                <w:vertAlign w:val="baseline"/>
                <w:lang w:eastAsia="zh-CN"/>
              </w:rPr>
            </w:pPr>
            <w:r>
              <w:rPr>
                <w:rFonts w:hint="default" w:ascii="Times New Roman" w:hAnsi="Times New Roman" w:cs="Times New Roman"/>
                <w:b w:val="0"/>
                <w:bCs w:val="0"/>
                <w:color w:val="auto"/>
                <w:vertAlign w:val="baseline"/>
                <w:lang w:eastAsia="zh-CN"/>
              </w:rPr>
              <w:t>垂直入渗</w:t>
            </w:r>
          </w:p>
        </w:tc>
        <w:tc>
          <w:tcPr>
            <w:tcW w:w="1537" w:type="dxa"/>
            <w:tcBorders>
              <w:tl2br w:val="nil"/>
              <w:tr2bl w:val="nil"/>
            </w:tcBorders>
            <w:vAlign w:val="center"/>
          </w:tcPr>
          <w:p>
            <w:pPr>
              <w:jc w:val="center"/>
              <w:rPr>
                <w:rFonts w:hint="eastAsia" w:ascii="Times New Roman" w:hAnsi="Times New Roman"/>
                <w:b w:val="0"/>
                <w:bCs w:val="0"/>
                <w:color w:val="auto"/>
                <w:szCs w:val="21"/>
                <w:vertAlign w:val="baseline"/>
                <w:lang w:eastAsia="zh-CN"/>
              </w:rPr>
            </w:pPr>
            <w:r>
              <w:rPr>
                <w:rFonts w:hint="default" w:ascii="Times New Roman" w:hAnsi="Times New Roman" w:cs="Times New Roman"/>
                <w:b w:val="0"/>
                <w:bCs w:val="0"/>
                <w:color w:val="auto"/>
                <w:vertAlign w:val="baseline"/>
                <w:lang w:val="en-US" w:eastAsia="zh-CN"/>
              </w:rPr>
              <w:t>石油类</w:t>
            </w:r>
          </w:p>
        </w:tc>
        <w:tc>
          <w:tcPr>
            <w:tcW w:w="1537" w:type="dxa"/>
            <w:tcBorders>
              <w:tl2br w:val="nil"/>
              <w:tr2bl w:val="nil"/>
            </w:tcBorders>
            <w:vAlign w:val="center"/>
          </w:tcPr>
          <w:p>
            <w:pPr>
              <w:jc w:val="center"/>
              <w:rPr>
                <w:rFonts w:hint="eastAsia" w:ascii="Times New Roman" w:hAnsi="Times New Roman"/>
                <w:b w:val="0"/>
                <w:bCs w:val="0"/>
                <w:color w:val="auto"/>
                <w:szCs w:val="21"/>
                <w:vertAlign w:val="baseline"/>
                <w:lang w:eastAsia="zh-CN"/>
              </w:rPr>
            </w:pPr>
            <w:r>
              <w:rPr>
                <w:rFonts w:hint="default" w:ascii="Times New Roman" w:hAnsi="Times New Roman" w:cs="Times New Roman"/>
                <w:b w:val="0"/>
                <w:bCs w:val="0"/>
                <w:color w:val="auto"/>
                <w:vertAlign w:val="baseline"/>
                <w:lang w:val="en-US" w:eastAsia="zh-CN"/>
              </w:rPr>
              <w:t>石油类</w:t>
            </w:r>
            <w:r>
              <w:rPr>
                <w:rFonts w:hint="default" w:ascii="Times New Roman" w:hAnsi="Times New Roman" w:cs="Times New Roman"/>
                <w:b w:val="0"/>
                <w:bCs w:val="0"/>
                <w:color w:val="auto"/>
                <w:vertAlign w:val="superscript"/>
                <w:lang w:val="en-US" w:eastAsia="zh-CN"/>
              </w:rPr>
              <w:t>+</w:t>
            </w:r>
          </w:p>
        </w:tc>
        <w:tc>
          <w:tcPr>
            <w:tcW w:w="1537" w:type="dxa"/>
            <w:tcBorders>
              <w:tl2br w:val="nil"/>
              <w:tr2bl w:val="nil"/>
            </w:tcBorders>
            <w:vAlign w:val="center"/>
          </w:tcPr>
          <w:p>
            <w:pPr>
              <w:jc w:val="center"/>
              <w:rPr>
                <w:rFonts w:hint="eastAsia" w:ascii="Times New Roman" w:hAnsi="Times New Roman"/>
                <w:b w:val="0"/>
                <w:bCs w:val="0"/>
                <w:color w:val="auto"/>
                <w:szCs w:val="21"/>
                <w:vertAlign w:val="baseline"/>
                <w:lang w:eastAsia="zh-CN"/>
              </w:rPr>
            </w:pPr>
            <w:r>
              <w:rPr>
                <w:rFonts w:hint="default" w:ascii="Times New Roman" w:hAnsi="Times New Roman" w:cs="Times New Roman"/>
                <w:b w:val="0"/>
                <w:bCs w:val="0"/>
                <w:color w:val="auto"/>
                <w:vertAlign w:val="baseline"/>
                <w:lang w:eastAsia="zh-CN"/>
              </w:rPr>
              <w:t>事故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36" w:type="dxa"/>
            <w:tcBorders>
              <w:tl2br w:val="nil"/>
              <w:tr2bl w:val="nil"/>
            </w:tcBorders>
            <w:vAlign w:val="center"/>
          </w:tcPr>
          <w:p>
            <w:pPr>
              <w:spacing w:line="240" w:lineRule="auto"/>
              <w:ind w:firstLine="0" w:firstLineChars="0"/>
              <w:jc w:val="center"/>
              <w:rPr>
                <w:rFonts w:hint="eastAsia" w:asciiTheme="minorHAnsi" w:hAnsiTheme="minorHAnsi" w:eastAsiaTheme="minorEastAsia" w:cstheme="minorBidi"/>
                <w:color w:val="auto"/>
                <w:kern w:val="2"/>
                <w:sz w:val="21"/>
                <w:szCs w:val="21"/>
                <w:lang w:val="en-US" w:eastAsia="zh-CN" w:bidi="ar-SA"/>
              </w:rPr>
            </w:pPr>
            <w:r>
              <w:rPr>
                <w:rFonts w:hint="eastAsia"/>
                <w:color w:val="auto"/>
                <w:sz w:val="21"/>
                <w:szCs w:val="21"/>
                <w:lang w:eastAsia="zh-CN"/>
              </w:rPr>
              <w:t>危废暂存间</w:t>
            </w:r>
          </w:p>
        </w:tc>
        <w:tc>
          <w:tcPr>
            <w:tcW w:w="1536" w:type="dxa"/>
            <w:tcBorders>
              <w:tl2br w:val="nil"/>
              <w:tr2bl w:val="nil"/>
            </w:tcBorders>
            <w:vAlign w:val="center"/>
          </w:tcPr>
          <w:p>
            <w:pPr>
              <w:spacing w:line="240" w:lineRule="auto"/>
              <w:ind w:firstLine="0" w:firstLineChars="0"/>
              <w:jc w:val="center"/>
              <w:rPr>
                <w:rFonts w:hint="eastAsia" w:asciiTheme="minorHAnsi" w:hAnsiTheme="minorHAnsi" w:eastAsiaTheme="minorEastAsia" w:cstheme="minorBidi"/>
                <w:color w:val="auto"/>
                <w:kern w:val="2"/>
                <w:sz w:val="21"/>
                <w:szCs w:val="21"/>
                <w:lang w:val="en-US" w:eastAsia="zh-CN" w:bidi="ar-SA"/>
              </w:rPr>
            </w:pPr>
            <w:r>
              <w:rPr>
                <w:rFonts w:hint="eastAsia"/>
                <w:color w:val="auto"/>
                <w:sz w:val="21"/>
                <w:szCs w:val="21"/>
              </w:rPr>
              <w:t>医疗废物</w:t>
            </w:r>
            <w:r>
              <w:rPr>
                <w:rFonts w:hint="eastAsia"/>
                <w:color w:val="auto"/>
                <w:sz w:val="21"/>
                <w:szCs w:val="21"/>
                <w:lang w:eastAsia="zh-CN"/>
              </w:rPr>
              <w:t>泄露</w:t>
            </w:r>
          </w:p>
        </w:tc>
        <w:tc>
          <w:tcPr>
            <w:tcW w:w="1537" w:type="dxa"/>
            <w:tcBorders>
              <w:tl2br w:val="nil"/>
              <w:tr2bl w:val="nil"/>
            </w:tcBorders>
            <w:vAlign w:val="center"/>
          </w:tcPr>
          <w:p>
            <w:pPr>
              <w:spacing w:line="240" w:lineRule="auto"/>
              <w:ind w:firstLine="0" w:firstLineChars="0"/>
              <w:jc w:val="center"/>
              <w:rPr>
                <w:rFonts w:hint="default" w:asciiTheme="minorHAnsi" w:hAnsiTheme="minorHAnsi" w:eastAsiaTheme="minorEastAsia" w:cstheme="minorBidi"/>
                <w:color w:val="auto"/>
                <w:kern w:val="2"/>
                <w:sz w:val="21"/>
                <w:szCs w:val="21"/>
                <w:lang w:val="en-US" w:eastAsia="zh-CN" w:bidi="ar-SA"/>
              </w:rPr>
            </w:pPr>
            <w:r>
              <w:rPr>
                <w:rFonts w:hint="eastAsia"/>
                <w:color w:val="auto"/>
                <w:sz w:val="21"/>
                <w:szCs w:val="21"/>
              </w:rPr>
              <w:t>垂直入渗</w:t>
            </w:r>
          </w:p>
        </w:tc>
        <w:tc>
          <w:tcPr>
            <w:tcW w:w="1537" w:type="dxa"/>
            <w:tcBorders>
              <w:tl2br w:val="nil"/>
              <w:tr2bl w:val="nil"/>
            </w:tcBorders>
            <w:vAlign w:val="center"/>
          </w:tcPr>
          <w:p>
            <w:pPr>
              <w:spacing w:line="240" w:lineRule="auto"/>
              <w:ind w:firstLine="0" w:firstLineChars="0"/>
              <w:jc w:val="center"/>
              <w:rPr>
                <w:rFonts w:hint="default" w:asciiTheme="minorHAnsi" w:hAnsiTheme="minorHAnsi" w:eastAsiaTheme="minorEastAsia" w:cstheme="minorBidi"/>
                <w:color w:val="auto"/>
                <w:kern w:val="2"/>
                <w:sz w:val="21"/>
                <w:szCs w:val="21"/>
                <w:lang w:val="en-US" w:eastAsia="zh-CN" w:bidi="ar-SA"/>
              </w:rPr>
            </w:pPr>
            <w:r>
              <w:rPr>
                <w:rFonts w:hint="eastAsia"/>
                <w:color w:val="auto"/>
                <w:sz w:val="21"/>
                <w:szCs w:val="21"/>
              </w:rPr>
              <w:t>—</w:t>
            </w:r>
          </w:p>
        </w:tc>
        <w:tc>
          <w:tcPr>
            <w:tcW w:w="1537" w:type="dxa"/>
            <w:tcBorders>
              <w:tl2br w:val="nil"/>
              <w:tr2bl w:val="nil"/>
            </w:tcBorders>
            <w:vAlign w:val="center"/>
          </w:tcPr>
          <w:p>
            <w:pPr>
              <w:spacing w:line="240" w:lineRule="auto"/>
              <w:ind w:firstLine="0" w:firstLineChars="0"/>
              <w:jc w:val="center"/>
              <w:rPr>
                <w:rFonts w:hint="default" w:asciiTheme="minorHAnsi" w:hAnsiTheme="minorHAnsi" w:eastAsiaTheme="minorEastAsia" w:cstheme="minorBidi"/>
                <w:color w:val="auto"/>
                <w:kern w:val="2"/>
                <w:sz w:val="21"/>
                <w:szCs w:val="21"/>
                <w:lang w:val="en-US" w:eastAsia="zh-CN" w:bidi="ar-SA"/>
              </w:rPr>
            </w:pPr>
            <w:r>
              <w:rPr>
                <w:rFonts w:hint="eastAsia"/>
                <w:color w:val="auto"/>
                <w:sz w:val="21"/>
                <w:szCs w:val="21"/>
              </w:rPr>
              <w:t>—</w:t>
            </w:r>
          </w:p>
        </w:tc>
        <w:tc>
          <w:tcPr>
            <w:tcW w:w="1537" w:type="dxa"/>
            <w:tcBorders>
              <w:tl2br w:val="nil"/>
              <w:tr2bl w:val="nil"/>
            </w:tcBorders>
            <w:vAlign w:val="center"/>
          </w:tcPr>
          <w:p>
            <w:pPr>
              <w:spacing w:line="240" w:lineRule="auto"/>
              <w:ind w:firstLine="0" w:firstLineChars="0"/>
              <w:jc w:val="center"/>
              <w:rPr>
                <w:rFonts w:hint="default" w:asciiTheme="minorHAnsi" w:hAnsiTheme="minorHAnsi" w:eastAsiaTheme="minorEastAsia" w:cstheme="minorBidi"/>
                <w:color w:val="auto"/>
                <w:kern w:val="2"/>
                <w:sz w:val="21"/>
                <w:szCs w:val="21"/>
                <w:lang w:val="en-US" w:eastAsia="zh-CN" w:bidi="ar-SA"/>
              </w:rPr>
            </w:pPr>
            <w:r>
              <w:rPr>
                <w:rFonts w:hint="eastAsia"/>
                <w:color w:val="auto"/>
                <w:sz w:val="21"/>
                <w:szCs w:val="21"/>
              </w:rPr>
              <w:t>事故</w:t>
            </w:r>
          </w:p>
        </w:tc>
      </w:tr>
    </w:tbl>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both"/>
        <w:textAlignment w:val="auto"/>
        <w:rPr>
          <w:rFonts w:hint="eastAsia" w:ascii="宋体" w:hAnsi="宋体" w:eastAsia="宋体" w:cs="宋体"/>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根据《环境影响评价技术导则 土壤环境（试行）》（HJ964-2018）</w:t>
      </w:r>
      <w:r>
        <w:rPr>
          <w:rFonts w:hint="eastAsia" w:ascii="宋体" w:hAnsi="宋体" w:eastAsia="宋体" w:cs="宋体"/>
          <w:color w:val="auto"/>
          <w:kern w:val="0"/>
          <w:sz w:val="24"/>
          <w:szCs w:val="24"/>
          <w:lang w:val="en-US" w:eastAsia="zh-CN" w:bidi="ar"/>
        </w:rPr>
        <w:t>，土壤环境影响评价工作等级划分为一级、二级、三级。本项目场地及周边土地用地类型为园地，本项目对土壤的影响主要为养殖废水泄漏下渗对土壤造成的污染。故对土壤的影响类型为污染性影响。其评价等级判定如下图所示：</w:t>
      </w:r>
    </w:p>
    <w:p>
      <w:pPr>
        <w:jc w:val="center"/>
        <w:rPr>
          <w:rFonts w:hint="eastAsia" w:ascii="Times New Roman" w:hAnsi="Times New Roman"/>
          <w:b/>
          <w:color w:val="auto"/>
          <w:szCs w:val="21"/>
          <w:vertAlign w:val="baseline"/>
          <w:lang w:eastAsia="zh-CN"/>
        </w:rPr>
      </w:pPr>
      <w:r>
        <w:rPr>
          <w:rFonts w:ascii="Times New Roman" w:hAnsi="Times New Roman"/>
          <w:b/>
          <w:color w:val="auto"/>
          <w:szCs w:val="21"/>
        </w:rPr>
        <w:t>表</w:t>
      </w:r>
      <w:r>
        <w:rPr>
          <w:rFonts w:hint="eastAsia" w:ascii="Times New Roman" w:hAnsi="Times New Roman"/>
          <w:b/>
          <w:color w:val="auto"/>
          <w:szCs w:val="21"/>
        </w:rPr>
        <w:t>5.2-</w:t>
      </w:r>
      <w:r>
        <w:rPr>
          <w:rFonts w:ascii="Times New Roman" w:hAnsi="Times New Roman"/>
          <w:b/>
          <w:color w:val="auto"/>
          <w:szCs w:val="21"/>
        </w:rPr>
        <w:t>2</w:t>
      </w:r>
      <w:r>
        <w:rPr>
          <w:rFonts w:hint="eastAsia" w:ascii="Times New Roman" w:hAnsi="Times New Roman"/>
          <w:b/>
          <w:color w:val="auto"/>
          <w:szCs w:val="21"/>
          <w:lang w:val="en-US" w:eastAsia="zh-CN"/>
        </w:rPr>
        <w:t xml:space="preserve">4 </w:t>
      </w:r>
      <w:r>
        <w:rPr>
          <w:rFonts w:hint="eastAsia" w:ascii="Times New Roman" w:hAnsi="Times New Roman"/>
          <w:b/>
          <w:color w:val="auto"/>
          <w:szCs w:val="21"/>
          <w:lang w:eastAsia="zh-CN"/>
        </w:rPr>
        <w:t>污染影响型敏感度分别表</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70"/>
        <w:gridCol w:w="7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70" w:type="dxa"/>
            <w:vAlign w:val="center"/>
          </w:tcPr>
          <w:p>
            <w:pPr>
              <w:jc w:val="center"/>
              <w:rPr>
                <w:rFonts w:hint="eastAsia" w:ascii="Times New Roman" w:hAnsi="Times New Roman" w:cs="Times New Roman"/>
                <w:b/>
                <w:bCs/>
                <w:color w:val="auto"/>
                <w:vertAlign w:val="baseline"/>
                <w:lang w:val="en-US" w:eastAsia="zh-CN"/>
              </w:rPr>
            </w:pPr>
            <w:r>
              <w:rPr>
                <w:rFonts w:hint="eastAsia" w:ascii="Times New Roman" w:hAnsi="Times New Roman" w:cs="Times New Roman"/>
                <w:b/>
                <w:bCs/>
                <w:color w:val="auto"/>
                <w:vertAlign w:val="baseline"/>
                <w:lang w:val="en-US" w:eastAsia="zh-CN"/>
              </w:rPr>
              <w:t>敏感程度</w:t>
            </w:r>
          </w:p>
        </w:tc>
        <w:tc>
          <w:tcPr>
            <w:tcW w:w="7350" w:type="dxa"/>
            <w:vAlign w:val="center"/>
          </w:tcPr>
          <w:p>
            <w:pPr>
              <w:jc w:val="center"/>
              <w:rPr>
                <w:rFonts w:hint="eastAsia" w:ascii="Times New Roman" w:hAnsi="Times New Roman" w:cs="Times New Roman"/>
                <w:b/>
                <w:bCs/>
                <w:color w:val="auto"/>
                <w:vertAlign w:val="baseline"/>
                <w:lang w:val="en-US" w:eastAsia="zh-CN"/>
              </w:rPr>
            </w:pPr>
            <w:r>
              <w:rPr>
                <w:rFonts w:hint="eastAsia" w:ascii="Times New Roman" w:hAnsi="Times New Roman" w:cs="Times New Roman"/>
                <w:b/>
                <w:bCs/>
                <w:color w:val="auto"/>
                <w:vertAlign w:val="baseline"/>
                <w:lang w:val="en-US" w:eastAsia="zh-CN"/>
              </w:rPr>
              <w:t>判别依据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70" w:type="dxa"/>
            <w:vAlign w:val="center"/>
          </w:tcPr>
          <w:p>
            <w:pPr>
              <w:jc w:val="center"/>
              <w:rPr>
                <w:rFonts w:hint="eastAsia" w:ascii="Times New Roman" w:hAnsi="Times New Roman" w:cs="Times New Roman"/>
                <w:b w:val="0"/>
                <w:bCs w:val="0"/>
                <w:color w:val="auto"/>
                <w:vertAlign w:val="baseline"/>
                <w:lang w:val="en-US" w:eastAsia="zh-CN"/>
              </w:rPr>
            </w:pPr>
            <w:r>
              <w:rPr>
                <w:rFonts w:hint="eastAsia" w:ascii="Times New Roman" w:hAnsi="Times New Roman" w:cs="Times New Roman"/>
                <w:b w:val="0"/>
                <w:bCs w:val="0"/>
                <w:color w:val="auto"/>
                <w:vertAlign w:val="baseline"/>
                <w:lang w:val="en-US" w:eastAsia="zh-CN"/>
              </w:rPr>
              <w:t>敏感</w:t>
            </w:r>
          </w:p>
        </w:tc>
        <w:tc>
          <w:tcPr>
            <w:tcW w:w="7350" w:type="dxa"/>
            <w:vAlign w:val="center"/>
          </w:tcPr>
          <w:p>
            <w:pPr>
              <w:jc w:val="center"/>
              <w:rPr>
                <w:rFonts w:hint="eastAsia" w:ascii="Times New Roman" w:hAnsi="Times New Roman" w:cs="Times New Roman"/>
                <w:b w:val="0"/>
                <w:bCs w:val="0"/>
                <w:color w:val="auto"/>
                <w:vertAlign w:val="baseline"/>
                <w:lang w:val="en-US" w:eastAsia="zh-CN"/>
              </w:rPr>
            </w:pPr>
            <w:r>
              <w:rPr>
                <w:rFonts w:hint="eastAsia" w:ascii="Times New Roman" w:hAnsi="Times New Roman" w:cs="Times New Roman"/>
                <w:b w:val="0"/>
                <w:bCs w:val="0"/>
                <w:color w:val="auto"/>
                <w:vertAlign w:val="baseline"/>
                <w:lang w:val="en-US" w:eastAsia="zh-CN"/>
              </w:rPr>
              <w:t>建设项目周边存在耕地、园地、牧草地、饮用水水源地或居民区、学校、医院、疗养院、养老院等土壤环境敏感目标的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70" w:type="dxa"/>
            <w:vAlign w:val="center"/>
          </w:tcPr>
          <w:p>
            <w:pPr>
              <w:jc w:val="center"/>
              <w:rPr>
                <w:rFonts w:hint="eastAsia" w:ascii="Times New Roman" w:hAnsi="Times New Roman" w:cs="Times New Roman"/>
                <w:b w:val="0"/>
                <w:bCs w:val="0"/>
                <w:color w:val="auto"/>
                <w:vertAlign w:val="baseline"/>
                <w:lang w:val="en-US" w:eastAsia="zh-CN"/>
              </w:rPr>
            </w:pPr>
            <w:r>
              <w:rPr>
                <w:rFonts w:hint="eastAsia" w:ascii="Times New Roman" w:hAnsi="Times New Roman" w:cs="Times New Roman"/>
                <w:b w:val="0"/>
                <w:bCs w:val="0"/>
                <w:color w:val="auto"/>
                <w:vertAlign w:val="baseline"/>
                <w:lang w:val="en-US" w:eastAsia="zh-CN"/>
              </w:rPr>
              <w:t>较敏感</w:t>
            </w:r>
          </w:p>
        </w:tc>
        <w:tc>
          <w:tcPr>
            <w:tcW w:w="7350" w:type="dxa"/>
            <w:vAlign w:val="center"/>
          </w:tcPr>
          <w:p>
            <w:pPr>
              <w:jc w:val="center"/>
              <w:rPr>
                <w:rFonts w:hint="eastAsia" w:ascii="Times New Roman" w:hAnsi="Times New Roman" w:cs="Times New Roman"/>
                <w:b w:val="0"/>
                <w:bCs w:val="0"/>
                <w:color w:val="auto"/>
                <w:vertAlign w:val="baseline"/>
                <w:lang w:val="en-US" w:eastAsia="zh-CN"/>
              </w:rPr>
            </w:pPr>
            <w:r>
              <w:rPr>
                <w:rFonts w:hint="eastAsia" w:ascii="Times New Roman" w:hAnsi="Times New Roman" w:cs="Times New Roman"/>
                <w:b w:val="0"/>
                <w:bCs w:val="0"/>
                <w:color w:val="auto"/>
                <w:vertAlign w:val="baseline"/>
                <w:lang w:val="en-US" w:eastAsia="zh-CN"/>
              </w:rPr>
              <w:t>建设项目周边存在其他土壤环境敏感目标的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70" w:type="dxa"/>
            <w:vAlign w:val="center"/>
          </w:tcPr>
          <w:p>
            <w:pPr>
              <w:jc w:val="center"/>
              <w:rPr>
                <w:rFonts w:hint="eastAsia" w:ascii="Times New Roman" w:hAnsi="Times New Roman" w:cs="Times New Roman"/>
                <w:b w:val="0"/>
                <w:bCs w:val="0"/>
                <w:color w:val="auto"/>
                <w:vertAlign w:val="baseline"/>
                <w:lang w:val="en-US" w:eastAsia="zh-CN"/>
              </w:rPr>
            </w:pPr>
            <w:r>
              <w:rPr>
                <w:rFonts w:hint="eastAsia" w:ascii="Times New Roman" w:hAnsi="Times New Roman" w:cs="Times New Roman"/>
                <w:b w:val="0"/>
                <w:bCs w:val="0"/>
                <w:color w:val="auto"/>
                <w:vertAlign w:val="baseline"/>
                <w:lang w:val="en-US" w:eastAsia="zh-CN"/>
              </w:rPr>
              <w:t>不敏感</w:t>
            </w:r>
          </w:p>
        </w:tc>
        <w:tc>
          <w:tcPr>
            <w:tcW w:w="7350" w:type="dxa"/>
            <w:vAlign w:val="center"/>
          </w:tcPr>
          <w:p>
            <w:pPr>
              <w:jc w:val="center"/>
              <w:rPr>
                <w:rFonts w:hint="eastAsia" w:ascii="Times New Roman" w:hAnsi="Times New Roman" w:cs="Times New Roman"/>
                <w:b w:val="0"/>
                <w:bCs w:val="0"/>
                <w:color w:val="auto"/>
                <w:vertAlign w:val="baseline"/>
                <w:lang w:val="en-US" w:eastAsia="zh-CN"/>
              </w:rPr>
            </w:pPr>
            <w:r>
              <w:rPr>
                <w:rFonts w:hint="eastAsia" w:ascii="Times New Roman" w:hAnsi="Times New Roman" w:cs="Times New Roman"/>
                <w:b w:val="0"/>
                <w:bCs w:val="0"/>
                <w:color w:val="auto"/>
                <w:vertAlign w:val="baseline"/>
                <w:lang w:val="en-US" w:eastAsia="zh-CN"/>
              </w:rPr>
              <w:t>其他情况</w:t>
            </w:r>
          </w:p>
        </w:tc>
      </w:tr>
    </w:tbl>
    <w:p>
      <w:pPr>
        <w:jc w:val="center"/>
        <w:rPr>
          <w:rFonts w:ascii="Times New Roman" w:hAnsi="Times New Roman"/>
          <w:b/>
          <w:color w:val="auto"/>
          <w:szCs w:val="21"/>
        </w:rPr>
      </w:pPr>
    </w:p>
    <w:p>
      <w:pPr>
        <w:jc w:val="center"/>
        <w:rPr>
          <w:rFonts w:hint="eastAsia" w:ascii="Times New Roman" w:hAnsi="Times New Roman"/>
          <w:b/>
          <w:color w:val="auto"/>
          <w:szCs w:val="21"/>
          <w:vertAlign w:val="baseline"/>
          <w:lang w:eastAsia="zh-CN"/>
        </w:rPr>
      </w:pPr>
      <w:r>
        <w:rPr>
          <w:rFonts w:ascii="Times New Roman" w:hAnsi="Times New Roman"/>
          <w:b/>
          <w:color w:val="auto"/>
          <w:szCs w:val="21"/>
        </w:rPr>
        <w:t>表</w:t>
      </w:r>
      <w:r>
        <w:rPr>
          <w:rFonts w:hint="eastAsia" w:ascii="Times New Roman" w:hAnsi="Times New Roman"/>
          <w:b/>
          <w:color w:val="auto"/>
          <w:szCs w:val="21"/>
        </w:rPr>
        <w:t>5.2-</w:t>
      </w:r>
      <w:r>
        <w:rPr>
          <w:rFonts w:ascii="Times New Roman" w:hAnsi="Times New Roman"/>
          <w:b/>
          <w:color w:val="auto"/>
          <w:szCs w:val="21"/>
        </w:rPr>
        <w:t>2</w:t>
      </w:r>
      <w:r>
        <w:rPr>
          <w:rFonts w:hint="eastAsia" w:ascii="Times New Roman" w:hAnsi="Times New Roman"/>
          <w:b/>
          <w:color w:val="auto"/>
          <w:szCs w:val="21"/>
          <w:lang w:val="en-US" w:eastAsia="zh-CN"/>
        </w:rPr>
        <w:t xml:space="preserve">5 </w:t>
      </w:r>
      <w:r>
        <w:rPr>
          <w:rFonts w:hint="eastAsia" w:ascii="Times New Roman" w:hAnsi="Times New Roman"/>
          <w:b/>
          <w:color w:val="auto"/>
          <w:szCs w:val="21"/>
          <w:lang w:eastAsia="zh-CN"/>
        </w:rPr>
        <w:t>污染影响型评价工作等级划分表</w:t>
      </w:r>
    </w:p>
    <w:p>
      <w:pPr>
        <w:keepNext w:val="0"/>
        <w:keepLines w:val="0"/>
        <w:pageBreakBefore w:val="0"/>
        <w:widowControl/>
        <w:suppressLineNumbers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color w:val="auto"/>
          <w:kern w:val="0"/>
          <w:sz w:val="24"/>
          <w:szCs w:val="24"/>
          <w:lang w:val="en-US" w:eastAsia="zh-CN" w:bidi="ar"/>
        </w:rPr>
      </w:pPr>
      <w:r>
        <w:rPr>
          <w:color w:val="auto"/>
        </w:rPr>
        <w:drawing>
          <wp:inline distT="0" distB="0" distL="114300" distR="114300">
            <wp:extent cx="5715635" cy="1467485"/>
            <wp:effectExtent l="0" t="0" r="18415" b="18415"/>
            <wp:docPr id="1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6"/>
                    <pic:cNvPicPr>
                      <a:picLocks noChangeAspect="1"/>
                    </pic:cNvPicPr>
                  </pic:nvPicPr>
                  <pic:blipFill>
                    <a:blip r:embed="rId64"/>
                    <a:stretch>
                      <a:fillRect/>
                    </a:stretch>
                  </pic:blipFill>
                  <pic:spPr>
                    <a:xfrm>
                      <a:off x="0" y="0"/>
                      <a:ext cx="5715635" cy="1467485"/>
                    </a:xfrm>
                    <a:prstGeom prst="rect">
                      <a:avLst/>
                    </a:prstGeom>
                    <a:noFill/>
                    <a:ln>
                      <a:noFill/>
                    </a:ln>
                  </pic:spPr>
                </pic:pic>
              </a:graphicData>
            </a:graphic>
          </wp:inline>
        </w:drawing>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本项目周边为</w:t>
      </w:r>
      <w:r>
        <w:rPr>
          <w:rFonts w:hint="eastAsia" w:ascii="Times New Roman" w:hAnsi="Times New Roman" w:eastAsia="宋体" w:cs="Times New Roman"/>
          <w:color w:val="auto"/>
          <w:kern w:val="0"/>
          <w:sz w:val="24"/>
          <w:szCs w:val="24"/>
          <w:lang w:val="en-US" w:eastAsia="zh-CN" w:bidi="ar"/>
        </w:rPr>
        <w:t>园地</w:t>
      </w:r>
      <w:r>
        <w:rPr>
          <w:rFonts w:hint="default" w:ascii="Times New Roman" w:hAnsi="Times New Roman" w:eastAsia="宋体" w:cs="Times New Roman"/>
          <w:color w:val="auto"/>
          <w:kern w:val="0"/>
          <w:sz w:val="24"/>
          <w:szCs w:val="24"/>
          <w:lang w:val="en-US" w:eastAsia="zh-CN" w:bidi="ar"/>
        </w:rPr>
        <w:t>，根据“表 5.2-23 污染影响型敏感程度分级表可知”本项目土壤环境敏感度为敏感；本项目属于附录A “农林牧渔业 ” 中“Ⅲ类年出栏生猪5000头（其他畜禽种类折合猪的养殖规模）及以上的畜禽养殖场或养殖小区 ”。项目占地面积为</w:t>
      </w:r>
      <w:r>
        <w:rPr>
          <w:rFonts w:hint="eastAsia" w:ascii="Times New Roman" w:hAnsi="Times New Roman" w:eastAsia="宋体" w:cs="Times New Roman"/>
          <w:color w:val="auto"/>
          <w:kern w:val="0"/>
          <w:sz w:val="24"/>
          <w:szCs w:val="24"/>
          <w:lang w:val="en-US" w:eastAsia="zh-CN" w:bidi="ar"/>
        </w:rPr>
        <w:t>90亩</w:t>
      </w:r>
      <w:r>
        <w:rPr>
          <w:rFonts w:hint="default" w:ascii="Times New Roman" w:hAnsi="Times New Roman" w:eastAsia="宋体" w:cs="Times New Roman"/>
          <w:color w:val="auto"/>
          <w:kern w:val="0"/>
          <w:sz w:val="24"/>
          <w:szCs w:val="24"/>
          <w:lang w:val="en-US" w:eastAsia="zh-CN" w:bidi="ar"/>
        </w:rPr>
        <w:t>（</w:t>
      </w:r>
      <w:r>
        <w:rPr>
          <w:rFonts w:hint="eastAsia" w:ascii="Times New Roman" w:hAnsi="Times New Roman" w:eastAsia="宋体" w:cs="Times New Roman"/>
          <w:color w:val="auto"/>
          <w:kern w:val="0"/>
          <w:sz w:val="24"/>
          <w:szCs w:val="24"/>
          <w:lang w:val="en-US" w:eastAsia="zh-CN" w:bidi="ar"/>
        </w:rPr>
        <w:t>6hm</w:t>
      </w:r>
      <w:r>
        <w:rPr>
          <w:rFonts w:hint="default" w:ascii="Times New Roman" w:hAnsi="Times New Roman" w:eastAsia="宋体" w:cs="Times New Roman"/>
          <w:color w:val="auto"/>
          <w:kern w:val="0"/>
          <w:sz w:val="24"/>
          <w:szCs w:val="24"/>
          <w:vertAlign w:val="superscript"/>
          <w:lang w:val="en-US" w:eastAsia="zh-CN" w:bidi="ar"/>
        </w:rPr>
        <w:t>2</w:t>
      </w:r>
      <w:r>
        <w:rPr>
          <w:rFonts w:hint="default" w:ascii="Times New Roman" w:hAnsi="Times New Roman" w:eastAsia="宋体" w:cs="Times New Roman"/>
          <w:color w:val="auto"/>
          <w:kern w:val="0"/>
          <w:sz w:val="24"/>
          <w:szCs w:val="24"/>
          <w:lang w:val="en-US" w:eastAsia="zh-CN" w:bidi="ar"/>
        </w:rPr>
        <w:t>），属于</w:t>
      </w:r>
      <w:r>
        <w:rPr>
          <w:rFonts w:hint="eastAsia" w:ascii="Times New Roman" w:hAnsi="Times New Roman" w:eastAsia="宋体" w:cs="Times New Roman"/>
          <w:color w:val="auto"/>
          <w:kern w:val="0"/>
          <w:sz w:val="24"/>
          <w:szCs w:val="24"/>
          <w:lang w:val="en-US" w:eastAsia="zh-CN" w:bidi="ar"/>
        </w:rPr>
        <w:t>中</w:t>
      </w:r>
      <w:r>
        <w:rPr>
          <w:rFonts w:hint="default" w:ascii="Times New Roman" w:hAnsi="Times New Roman" w:eastAsia="宋体" w:cs="Times New Roman"/>
          <w:color w:val="auto"/>
          <w:kern w:val="0"/>
          <w:sz w:val="24"/>
          <w:szCs w:val="24"/>
          <w:lang w:val="en-US" w:eastAsia="zh-CN" w:bidi="ar"/>
        </w:rPr>
        <w:t>型规模（占地规模分为大型（≥50hm</w:t>
      </w:r>
      <w:r>
        <w:rPr>
          <w:rFonts w:hint="default" w:ascii="Times New Roman" w:hAnsi="Times New Roman" w:eastAsia="宋体" w:cs="Times New Roman"/>
          <w:color w:val="auto"/>
          <w:kern w:val="0"/>
          <w:sz w:val="24"/>
          <w:szCs w:val="24"/>
          <w:vertAlign w:val="superscript"/>
          <w:lang w:val="en-US" w:eastAsia="zh-CN" w:bidi="ar"/>
        </w:rPr>
        <w:t>2</w:t>
      </w:r>
      <w:r>
        <w:rPr>
          <w:rFonts w:hint="default" w:ascii="Times New Roman" w:hAnsi="Times New Roman" w:eastAsia="宋体" w:cs="Times New Roman"/>
          <w:color w:val="auto"/>
          <w:kern w:val="0"/>
          <w:sz w:val="24"/>
          <w:szCs w:val="24"/>
          <w:lang w:val="en-US" w:eastAsia="zh-CN" w:bidi="ar"/>
        </w:rPr>
        <w:t>）、中型（5~50hm</w:t>
      </w:r>
      <w:r>
        <w:rPr>
          <w:rFonts w:hint="default" w:ascii="Times New Roman" w:hAnsi="Times New Roman" w:eastAsia="宋体" w:cs="Times New Roman"/>
          <w:color w:val="auto"/>
          <w:kern w:val="0"/>
          <w:sz w:val="24"/>
          <w:szCs w:val="24"/>
          <w:vertAlign w:val="superscript"/>
          <w:lang w:val="en-US" w:eastAsia="zh-CN" w:bidi="ar"/>
        </w:rPr>
        <w:t>2</w:t>
      </w:r>
      <w:r>
        <w:rPr>
          <w:rFonts w:hint="default" w:ascii="Times New Roman" w:hAnsi="Times New Roman" w:eastAsia="宋体" w:cs="Times New Roman"/>
          <w:color w:val="auto"/>
          <w:kern w:val="0"/>
          <w:sz w:val="24"/>
          <w:szCs w:val="24"/>
          <w:lang w:val="en-US" w:eastAsia="zh-CN" w:bidi="ar"/>
        </w:rPr>
        <w:t>）、小型（≤5hm</w:t>
      </w:r>
      <w:r>
        <w:rPr>
          <w:rFonts w:hint="default" w:ascii="Times New Roman" w:hAnsi="Times New Roman" w:eastAsia="宋体" w:cs="Times New Roman"/>
          <w:color w:val="auto"/>
          <w:kern w:val="0"/>
          <w:sz w:val="24"/>
          <w:szCs w:val="24"/>
          <w:vertAlign w:val="superscript"/>
          <w:lang w:val="en-US" w:eastAsia="zh-CN" w:bidi="ar"/>
        </w:rPr>
        <w:t>2</w:t>
      </w:r>
      <w:r>
        <w:rPr>
          <w:rFonts w:hint="default" w:ascii="Times New Roman" w:hAnsi="Times New Roman" w:eastAsia="宋体" w:cs="Times New Roman"/>
          <w:color w:val="auto"/>
          <w:kern w:val="0"/>
          <w:sz w:val="24"/>
          <w:szCs w:val="24"/>
          <w:lang w:val="en-US" w:eastAsia="zh-CN" w:bidi="ar"/>
        </w:rPr>
        <w:t>）</w:t>
      </w:r>
      <w:r>
        <w:rPr>
          <w:rFonts w:hint="eastAsia" w:ascii="Times New Roman" w:hAnsi="Times New Roman" w:eastAsia="宋体" w:cs="Times New Roman"/>
          <w:color w:val="auto"/>
          <w:kern w:val="0"/>
          <w:sz w:val="24"/>
          <w:szCs w:val="24"/>
          <w:lang w:val="en-US" w:eastAsia="zh-CN" w:bidi="ar"/>
        </w:rPr>
        <w:t>）</w:t>
      </w:r>
      <w:r>
        <w:rPr>
          <w:rFonts w:hint="default" w:ascii="Times New Roman" w:hAnsi="Times New Roman" w:eastAsia="宋体" w:cs="Times New Roman"/>
          <w:color w:val="auto"/>
          <w:kern w:val="0"/>
          <w:sz w:val="24"/>
          <w:szCs w:val="24"/>
          <w:lang w:val="en-US" w:eastAsia="zh-CN" w:bidi="ar"/>
        </w:rPr>
        <w:t>。</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根据评价等级章节判定结果，本项目土壤环境评价等级为“三级”。按照《环境影响评价技术导则 土壤环境》（HJ 964-2018）“8.7.4 评价工作等级为三级的建设项目，可采用定性描述或类比分析进行预测”，因此本项目采用定性描述对本项目土壤环境影响评价进行分析预测。</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color w:val="auto"/>
          <w:kern w:val="0"/>
          <w:sz w:val="24"/>
          <w:szCs w:val="24"/>
          <w:lang w:val="en-US" w:eastAsia="zh-CN" w:bidi="ar"/>
        </w:rPr>
      </w:pPr>
      <w:r>
        <w:rPr>
          <w:rFonts w:hint="eastAsia" w:ascii="Times New Roman" w:hAnsi="Times New Roman" w:eastAsia="宋体" w:cs="Times New Roman"/>
          <w:color w:val="auto"/>
          <w:kern w:val="0"/>
          <w:sz w:val="24"/>
          <w:szCs w:val="24"/>
          <w:lang w:val="en-US" w:eastAsia="zh-CN" w:bidi="ar"/>
        </w:rPr>
        <w:t>本项目拟对项目猪舍、污水处理区、危废暂存间、发电机房、粪污收集管道、化尸池等进行重点防渗，正常情况下，污染物不会通过地面漫流及垂直入渗污染地下水。</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根据四川地风升检测服务有限公司对项目所在区域开展的土壤环境质量现状检测得知，各项监测因子均能达到《土壤环境质量标准 农用地土壤污染风险管控标准》（试行）（GB15618-2018）中风险筛选值限值要求，说明土壤污染风险低，土壤环境质量现状良好。</w:t>
      </w:r>
    </w:p>
    <w:p>
      <w:pPr>
        <w:adjustRightInd w:val="0"/>
        <w:snapToGrid w:val="0"/>
        <w:spacing w:line="360" w:lineRule="auto"/>
        <w:ind w:firstLine="480" w:firstLineChars="200"/>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项目猪粪经过干清粪收集，固液分离后，干粪在堆粪间内进行好氧堆肥后还田利用，湿粪经过污水处理区收集处理后用作周边消纳地灌溉。污水中含有大量的有机物，以蛋白质、碳水化合物、脂肪、尿素、氨氮、磷、钾为多，其作为一种重要的资源用于农业灌溉，在污水灌溉中，水肥资源得到充分利用，但将导致土壤中污染物的积累、向地下水的运移或通过作物向食物链传输，但本项目本项目污水处理区采用“</w:t>
      </w:r>
      <w:r>
        <w:rPr>
          <w:rFonts w:hint="eastAsia" w:ascii="Times New Roman" w:hAnsi="Times New Roman" w:eastAsia="宋体" w:cs="Times New Roman"/>
          <w:b w:val="0"/>
          <w:bCs/>
          <w:color w:val="auto"/>
          <w:sz w:val="24"/>
          <w:szCs w:val="24"/>
          <w:lang w:eastAsia="zh-CN"/>
        </w:rPr>
        <w:t>格栅井+集粪池+固液分离机+污泥池（调节池）+叠螺脱水机+预反应及预沉池+一级光氧塘+A/O组合池+二沉池+深度反应池+终沉池+氧化塘</w:t>
      </w:r>
      <w:r>
        <w:rPr>
          <w:rFonts w:hint="eastAsia" w:ascii="Times New Roman" w:hAnsi="Times New Roman" w:eastAsia="宋体"/>
          <w:b w:val="0"/>
          <w:bCs w:val="0"/>
          <w:color w:val="auto"/>
          <w:sz w:val="24"/>
          <w:szCs w:val="24"/>
          <w:lang w:eastAsia="zh-CN"/>
        </w:rPr>
        <w:t>”处理工艺处理，且一般土壤都具有一定的自净能力，湿粪经过处理后对周边园地施肥对地下水、土壤影响不大，环评建议项目运营前建设单位补充消纳地土壤本底监测。</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根据《土壤污染防治行动计划》（国发[2016]31 号）要求，为减小项目对土壤的污染，应采取以下防治措施：</w:t>
      </w:r>
    </w:p>
    <w:p>
      <w:pPr>
        <w:keepNext w:val="0"/>
        <w:keepLines w:val="0"/>
        <w:pageBreakBefore w:val="0"/>
        <w:widowControl/>
        <w:numPr>
          <w:ilvl w:val="0"/>
          <w:numId w:val="29"/>
        </w:numPr>
        <w:suppressLineNumbers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源头控制：控制</w:t>
      </w:r>
      <w:r>
        <w:rPr>
          <w:rFonts w:hint="eastAsia" w:ascii="Times New Roman" w:hAnsi="Times New Roman" w:eastAsia="宋体" w:cs="Times New Roman"/>
          <w:color w:val="auto"/>
          <w:kern w:val="0"/>
          <w:sz w:val="24"/>
          <w:szCs w:val="24"/>
          <w:lang w:val="en-US" w:eastAsia="zh-CN" w:bidi="ar"/>
        </w:rPr>
        <w:t>本项目</w:t>
      </w:r>
      <w:r>
        <w:rPr>
          <w:rFonts w:hint="default" w:ascii="Times New Roman" w:hAnsi="Times New Roman" w:eastAsia="宋体" w:cs="Times New Roman"/>
          <w:color w:val="auto"/>
          <w:kern w:val="0"/>
          <w:sz w:val="24"/>
          <w:szCs w:val="24"/>
          <w:lang w:val="en-US" w:eastAsia="zh-CN" w:bidi="ar"/>
        </w:rPr>
        <w:t>污染物的排放。大力推广闭路循环、清洁工艺，以减少污染物；控制污染物排放的数量和浓度，使之符合排放标准和总量控制要求。</w:t>
      </w:r>
    </w:p>
    <w:p>
      <w:pPr>
        <w:keepNext w:val="0"/>
        <w:keepLines w:val="0"/>
        <w:pageBreakBefore w:val="0"/>
        <w:widowControl/>
        <w:numPr>
          <w:ilvl w:val="0"/>
          <w:numId w:val="29"/>
        </w:numPr>
        <w:suppressLineNumbers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过程防控：①在今后的生产过程中，做好设备的维护、检修，杜绝跑、冒、滴、漏现象。同时，加强污染物产生主要环节的安全防护、报警措施，以便及时发现事故隐患，采取有效的应对措施。②厂区内全部采用水泥抹面。</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both"/>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本项目为生猪饲养，项目污水处理区等采取严格防渗措施，加强生产管理，避免生产过程中物料洒落侵入土壤，从而造成土壤污染，因此，项目生产对厂区内土壤不会造成明显的环境影响。</w:t>
      </w:r>
    </w:p>
    <w:p>
      <w:pPr>
        <w:pStyle w:val="16"/>
        <w:adjustRightInd w:val="0"/>
        <w:snapToGrid w:val="0"/>
        <w:spacing w:line="360" w:lineRule="auto"/>
        <w:ind w:right="0"/>
        <w:jc w:val="both"/>
        <w:outlineLvl w:val="3"/>
        <w:rPr>
          <w:rFonts w:hint="eastAsia" w:ascii="Times New Roman" w:hAnsi="Times New Roman" w:eastAsia="宋体"/>
          <w:color w:val="auto"/>
          <w:sz w:val="24"/>
          <w:szCs w:val="24"/>
          <w:lang w:eastAsia="zh-CN"/>
        </w:rPr>
      </w:pPr>
      <w:bookmarkStart w:id="228" w:name="_Toc459118471"/>
      <w:bookmarkStart w:id="229" w:name="_Toc29827"/>
      <w:r>
        <w:rPr>
          <w:rFonts w:hint="eastAsia" w:ascii="Times New Roman" w:hAnsi="Times New Roman" w:eastAsia="宋体"/>
          <w:color w:val="auto"/>
          <w:sz w:val="24"/>
          <w:szCs w:val="24"/>
        </w:rPr>
        <w:t>5.2.6.</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土壤</w:t>
      </w:r>
      <w:r>
        <w:rPr>
          <w:rFonts w:hint="eastAsia" w:ascii="Times New Roman" w:hAnsi="Times New Roman" w:eastAsia="宋体"/>
          <w:color w:val="auto"/>
          <w:sz w:val="24"/>
          <w:szCs w:val="24"/>
          <w:lang w:eastAsia="zh-CN"/>
        </w:rPr>
        <w:t>影响评价小结</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both"/>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本项目土壤环境各监测点中，各监测点位的各项指标均能达到《土壤环境质量  农用地土壤污染风险管控标准</w:t>
      </w:r>
      <w:r>
        <w:rPr>
          <w:rFonts w:hint="default" w:ascii="Times New Roman" w:hAnsi="Times New Roman" w:eastAsia="宋体" w:cs="Times New Roman"/>
          <w:color w:val="auto"/>
          <w:kern w:val="0"/>
          <w:sz w:val="24"/>
          <w:szCs w:val="24"/>
          <w:lang w:val="en-US" w:eastAsia="zh-CN" w:bidi="ar"/>
        </w:rPr>
        <w:t>（试行）》（GB</w:t>
      </w:r>
      <w:r>
        <w:rPr>
          <w:rFonts w:hint="eastAsia" w:ascii="Times New Roman" w:hAnsi="Times New Roman" w:eastAsia="宋体" w:cs="Times New Roman"/>
          <w:color w:val="auto"/>
          <w:kern w:val="0"/>
          <w:sz w:val="24"/>
          <w:szCs w:val="24"/>
          <w:lang w:val="en-US" w:eastAsia="zh-CN" w:bidi="ar"/>
        </w:rPr>
        <w:t>15618</w:t>
      </w:r>
      <w:r>
        <w:rPr>
          <w:rFonts w:hint="default" w:ascii="Times New Roman" w:hAnsi="Times New Roman" w:eastAsia="宋体" w:cs="Times New Roman"/>
          <w:color w:val="auto"/>
          <w:kern w:val="0"/>
          <w:sz w:val="24"/>
          <w:szCs w:val="24"/>
          <w:lang w:val="en-US" w:eastAsia="zh-CN" w:bidi="ar"/>
        </w:rPr>
        <w:t>-2018）中的</w:t>
      </w:r>
      <w:r>
        <w:rPr>
          <w:rFonts w:hint="eastAsia" w:ascii="宋体" w:hAnsi="宋体" w:eastAsia="宋体" w:cs="宋体"/>
          <w:color w:val="auto"/>
          <w:kern w:val="0"/>
          <w:sz w:val="24"/>
          <w:szCs w:val="24"/>
          <w:lang w:val="en-US" w:eastAsia="zh-CN" w:bidi="ar"/>
        </w:rPr>
        <w:t>风险筛选值标准，项目区域土壤环境质量良好。建议企业做好废气、废水污染防治设施的维护及检修；优先选用无污染或者低污染的原辅用料、清洁能源等；严格做好分区防渗措施，从多方面降低项目建设对土壤环境的影响。并提出土壤环境跟踪监测计划。</w:t>
      </w:r>
    </w:p>
    <w:p>
      <w:pPr>
        <w:pStyle w:val="33"/>
        <w:keepNext w:val="0"/>
        <w:keepLines w:val="0"/>
        <w:pageBreakBefore w:val="0"/>
        <w:widowControl w:val="0"/>
        <w:numPr>
          <w:ilvl w:val="0"/>
          <w:numId w:val="0"/>
        </w:numPr>
        <w:tabs>
          <w:tab w:val="left" w:pos="2751"/>
          <w:tab w:val="center" w:pos="4502"/>
        </w:tabs>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综上所示，评价认为本项目土壤环境影响可接受。</w:t>
      </w:r>
    </w:p>
    <w:p>
      <w:pPr>
        <w:pStyle w:val="33"/>
        <w:keepNext w:val="0"/>
        <w:keepLines w:val="0"/>
        <w:pageBreakBefore w:val="0"/>
        <w:widowControl w:val="0"/>
        <w:numPr>
          <w:ilvl w:val="0"/>
          <w:numId w:val="0"/>
        </w:numPr>
        <w:tabs>
          <w:tab w:val="left" w:pos="2751"/>
          <w:tab w:val="center" w:pos="4502"/>
        </w:tabs>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cs="Times New Roman" w:eastAsiaTheme="minorEastAsia"/>
          <w:bCs/>
          <w:color w:val="auto"/>
          <w:sz w:val="24"/>
          <w:szCs w:val="24"/>
          <w:lang w:val="en-US" w:eastAsia="zh-CN"/>
        </w:rPr>
      </w:pPr>
      <w:r>
        <w:rPr>
          <w:rFonts w:hint="eastAsia" w:ascii="Times New Roman" w:hAnsi="Times New Roman"/>
          <w:bCs/>
          <w:color w:val="auto"/>
          <w:sz w:val="24"/>
          <w:szCs w:val="24"/>
        </w:rPr>
        <w:t>建设项目</w:t>
      </w:r>
      <w:r>
        <w:rPr>
          <w:rFonts w:hint="eastAsia" w:ascii="Times New Roman" w:hAnsi="Times New Roman"/>
          <w:bCs/>
          <w:color w:val="auto"/>
          <w:sz w:val="24"/>
          <w:szCs w:val="24"/>
          <w:lang w:eastAsia="zh-CN"/>
        </w:rPr>
        <w:t>土壤</w:t>
      </w:r>
      <w:r>
        <w:rPr>
          <w:rFonts w:hint="eastAsia" w:ascii="Times New Roman" w:hAnsi="Times New Roman"/>
          <w:bCs/>
          <w:color w:val="auto"/>
          <w:sz w:val="24"/>
          <w:szCs w:val="24"/>
        </w:rPr>
        <w:t>环境影响评价自查表</w:t>
      </w:r>
      <w:r>
        <w:rPr>
          <w:rFonts w:hint="eastAsia" w:ascii="Times New Roman" w:hAnsi="Times New Roman"/>
          <w:bCs/>
          <w:color w:val="auto"/>
          <w:sz w:val="24"/>
          <w:szCs w:val="24"/>
          <w:lang w:eastAsia="zh-CN"/>
        </w:rPr>
        <w:t>：</w:t>
      </w:r>
      <w:r>
        <w:rPr>
          <w:rFonts w:hint="eastAsia" w:ascii="Times New Roman" w:hAnsi="Times New Roman"/>
          <w:bCs/>
          <w:color w:val="auto"/>
          <w:sz w:val="24"/>
          <w:szCs w:val="24"/>
          <w:lang w:val="en-US" w:eastAsia="zh-CN"/>
        </w:rPr>
        <w:t xml:space="preserve"> </w:t>
      </w:r>
    </w:p>
    <w:p>
      <w:pPr>
        <w:pStyle w:val="33"/>
        <w:widowControl w:val="0"/>
        <w:numPr>
          <w:ilvl w:val="0"/>
          <w:numId w:val="0"/>
        </w:numPr>
        <w:tabs>
          <w:tab w:val="left" w:pos="2751"/>
        </w:tabs>
        <w:spacing w:after="120"/>
        <w:ind w:firstLine="480"/>
        <w:jc w:val="center"/>
        <w:rPr>
          <w:rFonts w:hint="eastAsia" w:ascii="Times New Roman" w:hAnsi="Times New Roman" w:eastAsia="宋体" w:cs="Times New Roman"/>
          <w:bCs/>
          <w:color w:val="auto"/>
          <w:sz w:val="24"/>
          <w:szCs w:val="24"/>
          <w:lang w:val="en-US" w:eastAsia="zh-CN"/>
        </w:rPr>
      </w:pPr>
      <w:r>
        <w:rPr>
          <w:rFonts w:hint="default" w:ascii="Times New Roman" w:hAnsi="Times New Roman" w:eastAsia="宋体" w:cs="Times New Roman"/>
          <w:b/>
          <w:color w:val="auto"/>
          <w:sz w:val="21"/>
          <w:szCs w:val="21"/>
          <w:lang w:val="en-US" w:eastAsia="zh-CN"/>
        </w:rPr>
        <w:t>5.2-2</w:t>
      </w:r>
      <w:r>
        <w:rPr>
          <w:rFonts w:hint="eastAsia" w:ascii="Times New Roman" w:hAnsi="Times New Roman" w:eastAsia="宋体" w:cs="Times New Roman"/>
          <w:b/>
          <w:color w:val="auto"/>
          <w:sz w:val="21"/>
          <w:szCs w:val="21"/>
          <w:lang w:val="en-US" w:eastAsia="zh-CN"/>
        </w:rPr>
        <w:t>6</w:t>
      </w:r>
      <w:r>
        <w:rPr>
          <w:rFonts w:hint="default" w:ascii="Times New Roman" w:hAnsi="Times New Roman" w:eastAsia="宋体" w:cs="Times New Roman"/>
          <w:b/>
          <w:color w:val="auto"/>
          <w:sz w:val="21"/>
          <w:szCs w:val="21"/>
          <w:lang w:val="en-US" w:eastAsia="zh-CN"/>
        </w:rPr>
        <w:t xml:space="preserve"> </w:t>
      </w:r>
      <w:r>
        <w:rPr>
          <w:rFonts w:hint="default" w:ascii="Times New Roman" w:hAnsi="Times New Roman" w:eastAsia="宋体" w:cs="Times New Roman"/>
          <w:b/>
          <w:color w:val="auto"/>
          <w:sz w:val="21"/>
          <w:szCs w:val="21"/>
          <w:lang w:eastAsia="zh-CN"/>
        </w:rPr>
        <w:t>土壤</w:t>
      </w:r>
      <w:r>
        <w:rPr>
          <w:rFonts w:hint="default" w:ascii="Times New Roman" w:hAnsi="Times New Roman" w:eastAsia="宋体" w:cs="Times New Roman"/>
          <w:b/>
          <w:color w:val="auto"/>
          <w:sz w:val="21"/>
          <w:szCs w:val="21"/>
        </w:rPr>
        <w:t>环境影响评价自查</w:t>
      </w:r>
      <w:r>
        <w:rPr>
          <w:rFonts w:ascii="Times New Roman" w:hAnsi="Times New Roman" w:eastAsia="宋体" w:cs="Times New Roman"/>
          <w:b/>
          <w:color w:val="auto"/>
          <w:sz w:val="21"/>
          <w:szCs w:val="21"/>
        </w:rPr>
        <w:t>表</w:t>
      </w:r>
    </w:p>
    <w:tbl>
      <w:tblPr>
        <w:tblStyle w:val="34"/>
        <w:tblW w:w="92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2"/>
        <w:gridCol w:w="1582"/>
        <w:gridCol w:w="1585"/>
        <w:gridCol w:w="1623"/>
        <w:gridCol w:w="99"/>
        <w:gridCol w:w="1276"/>
        <w:gridCol w:w="341"/>
        <w:gridCol w:w="1102"/>
        <w:gridCol w:w="1"/>
        <w:gridCol w:w="1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164" w:type="dxa"/>
            <w:gridSpan w:val="2"/>
            <w:noWrap w:val="0"/>
            <w:vAlign w:val="center"/>
          </w:tcPr>
          <w:p>
            <w:pPr>
              <w:pStyle w:val="124"/>
              <w:snapToGrid w:val="0"/>
              <w:spacing w:line="240" w:lineRule="auto"/>
              <w:ind w:firstLine="0"/>
              <w:jc w:val="center"/>
              <w:textAlignment w:val="auto"/>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工作内容</w:t>
            </w:r>
          </w:p>
        </w:tc>
        <w:tc>
          <w:tcPr>
            <w:tcW w:w="6027" w:type="dxa"/>
            <w:gridSpan w:val="7"/>
            <w:noWrap w:val="0"/>
            <w:vAlign w:val="center"/>
          </w:tcPr>
          <w:p>
            <w:pPr>
              <w:pStyle w:val="124"/>
              <w:snapToGrid w:val="0"/>
              <w:spacing w:line="240" w:lineRule="auto"/>
              <w:ind w:firstLine="0"/>
              <w:jc w:val="center"/>
              <w:textAlignment w:val="auto"/>
              <w:rPr>
                <w:rFonts w:hint="eastAsia" w:ascii="Times New Roman" w:hAnsi="Times New Roman" w:eastAsia="宋体" w:cs="Times New Roman"/>
                <w:b/>
                <w:color w:val="auto"/>
                <w:sz w:val="21"/>
                <w:szCs w:val="21"/>
                <w:lang w:eastAsia="zh-CN"/>
              </w:rPr>
            </w:pPr>
            <w:r>
              <w:rPr>
                <w:rFonts w:hint="eastAsia" w:eastAsia="宋体" w:cs="Times New Roman"/>
                <w:b/>
                <w:color w:val="auto"/>
                <w:sz w:val="21"/>
                <w:szCs w:val="21"/>
                <w:lang w:eastAsia="zh-CN"/>
              </w:rPr>
              <w:t>完成情况</w:t>
            </w:r>
          </w:p>
        </w:tc>
        <w:tc>
          <w:tcPr>
            <w:tcW w:w="1029" w:type="dxa"/>
            <w:noWrap w:val="0"/>
            <w:vAlign w:val="center"/>
          </w:tcPr>
          <w:p>
            <w:pPr>
              <w:pStyle w:val="124"/>
              <w:snapToGrid w:val="0"/>
              <w:spacing w:line="240" w:lineRule="auto"/>
              <w:ind w:firstLine="0"/>
              <w:jc w:val="center"/>
              <w:textAlignment w:val="auto"/>
              <w:rPr>
                <w:rFonts w:hint="eastAsia" w:ascii="Times New Roman" w:hAnsi="Times New Roman" w:eastAsia="宋体" w:cs="Times New Roman"/>
                <w:b/>
                <w:color w:val="auto"/>
                <w:sz w:val="21"/>
                <w:szCs w:val="21"/>
                <w:lang w:eastAsia="zh-CN"/>
              </w:rPr>
            </w:pPr>
            <w:r>
              <w:rPr>
                <w:rFonts w:hint="eastAsia" w:eastAsia="宋体" w:cs="Times New Roman"/>
                <w:b/>
                <w:color w:val="auto"/>
                <w:sz w:val="21"/>
                <w:szCs w:val="21"/>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82" w:type="dxa"/>
            <w:vMerge w:val="restart"/>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lang w:eastAsia="zh-CN"/>
              </w:rPr>
            </w:pPr>
            <w:r>
              <w:rPr>
                <w:rFonts w:hint="eastAsia" w:eastAsia="宋体" w:cs="Times New Roman"/>
                <w:color w:val="auto"/>
                <w:sz w:val="21"/>
                <w:szCs w:val="21"/>
                <w:lang w:eastAsia="zh-CN"/>
              </w:rPr>
              <w:t>影响识别</w:t>
            </w:r>
          </w:p>
        </w:tc>
        <w:tc>
          <w:tcPr>
            <w:tcW w:w="1582" w:type="dxa"/>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r>
              <w:rPr>
                <w:rFonts w:hint="eastAsia" w:eastAsia="宋体" w:cs="Times New Roman"/>
                <w:color w:val="auto"/>
                <w:sz w:val="21"/>
                <w:szCs w:val="21"/>
                <w:lang w:eastAsia="zh-CN"/>
              </w:rPr>
              <w:t>影响类型</w:t>
            </w:r>
          </w:p>
        </w:tc>
        <w:tc>
          <w:tcPr>
            <w:tcW w:w="6027" w:type="dxa"/>
            <w:gridSpan w:val="7"/>
            <w:noWrap w:val="0"/>
            <w:vAlign w:val="center"/>
          </w:tcPr>
          <w:p>
            <w:pPr>
              <w:pStyle w:val="124"/>
              <w:snapToGrid w:val="0"/>
              <w:spacing w:line="240" w:lineRule="auto"/>
              <w:ind w:firstLine="0"/>
              <w:jc w:val="left"/>
              <w:textAlignment w:val="auto"/>
              <w:rPr>
                <w:rFonts w:hint="eastAsia" w:eastAsia="宋体" w:cs="Times New Roman"/>
                <w:color w:val="auto"/>
                <w:sz w:val="21"/>
                <w:szCs w:val="21"/>
                <w:lang w:eastAsia="zh-CN"/>
              </w:rPr>
            </w:pPr>
            <w:r>
              <w:rPr>
                <w:rFonts w:hint="eastAsia" w:eastAsia="宋体" w:cs="Times New Roman"/>
                <w:color w:val="auto"/>
                <w:sz w:val="21"/>
                <w:szCs w:val="21"/>
                <w:lang w:eastAsia="zh-CN"/>
              </w:rPr>
              <w:t>污染影响型</w:t>
            </w:r>
            <w:r>
              <w:rPr>
                <w:rFonts w:hint="eastAsia" w:eastAsia="宋体" w:cs="Times New Roman"/>
                <w:color w:val="auto"/>
                <w:sz w:val="21"/>
                <w:szCs w:val="21"/>
                <w:lang w:eastAsia="zh-CN"/>
              </w:rPr>
              <w:sym w:font="Wingdings 2" w:char="0052"/>
            </w:r>
            <w:r>
              <w:rPr>
                <w:rFonts w:hint="eastAsia" w:eastAsia="宋体" w:cs="Times New Roman"/>
                <w:color w:val="auto"/>
                <w:sz w:val="21"/>
                <w:szCs w:val="21"/>
                <w:lang w:eastAsia="zh-CN"/>
              </w:rPr>
              <w:t>；生态影响型</w:t>
            </w:r>
            <w:r>
              <w:rPr>
                <w:rFonts w:hint="eastAsia" w:eastAsia="宋体" w:cs="Times New Roman"/>
                <w:color w:val="auto"/>
                <w:sz w:val="21"/>
                <w:szCs w:val="21"/>
                <w:lang w:eastAsia="zh-CN"/>
              </w:rPr>
              <w:sym w:font="Wingdings 2" w:char="00A3"/>
            </w:r>
            <w:r>
              <w:rPr>
                <w:rFonts w:hint="eastAsia" w:eastAsia="宋体" w:cs="Times New Roman"/>
                <w:color w:val="auto"/>
                <w:sz w:val="21"/>
                <w:szCs w:val="21"/>
                <w:lang w:eastAsia="zh-CN"/>
              </w:rPr>
              <w:t>；两种兼有</w:t>
            </w:r>
            <w:r>
              <w:rPr>
                <w:rFonts w:hint="eastAsia" w:eastAsia="宋体" w:cs="Times New Roman"/>
                <w:color w:val="auto"/>
                <w:sz w:val="21"/>
                <w:szCs w:val="21"/>
                <w:lang w:eastAsia="zh-CN"/>
              </w:rPr>
              <w:sym w:font="Wingdings 2" w:char="00A3"/>
            </w:r>
          </w:p>
        </w:tc>
        <w:tc>
          <w:tcPr>
            <w:tcW w:w="1029" w:type="dxa"/>
            <w:noWrap w:val="0"/>
            <w:vAlign w:val="center"/>
          </w:tcPr>
          <w:p>
            <w:pPr>
              <w:pStyle w:val="124"/>
              <w:snapToGrid w:val="0"/>
              <w:spacing w:line="240" w:lineRule="auto"/>
              <w:ind w:firstLine="0"/>
              <w:jc w:val="center"/>
              <w:textAlignment w:val="auto"/>
              <w:rPr>
                <w:rFonts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82" w:type="dxa"/>
            <w:vMerge w:val="continue"/>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p>
        </w:tc>
        <w:tc>
          <w:tcPr>
            <w:tcW w:w="1582" w:type="dxa"/>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r>
              <w:rPr>
                <w:rFonts w:hint="eastAsia" w:eastAsia="宋体" w:cs="Times New Roman"/>
                <w:color w:val="auto"/>
                <w:sz w:val="21"/>
                <w:szCs w:val="21"/>
                <w:lang w:eastAsia="zh-CN"/>
              </w:rPr>
              <w:t>土地利用类型</w:t>
            </w:r>
          </w:p>
        </w:tc>
        <w:tc>
          <w:tcPr>
            <w:tcW w:w="6027" w:type="dxa"/>
            <w:gridSpan w:val="7"/>
            <w:noWrap w:val="0"/>
            <w:vAlign w:val="center"/>
          </w:tcPr>
          <w:p>
            <w:pPr>
              <w:pStyle w:val="124"/>
              <w:snapToGrid w:val="0"/>
              <w:spacing w:line="240" w:lineRule="auto"/>
              <w:ind w:firstLine="0"/>
              <w:jc w:val="left"/>
              <w:textAlignment w:val="auto"/>
              <w:rPr>
                <w:rFonts w:hint="eastAsia" w:eastAsia="宋体" w:cs="Times New Roman"/>
                <w:color w:val="auto"/>
                <w:sz w:val="21"/>
                <w:szCs w:val="21"/>
                <w:lang w:eastAsia="zh-CN"/>
              </w:rPr>
            </w:pPr>
            <w:r>
              <w:rPr>
                <w:rFonts w:hint="eastAsia" w:eastAsia="宋体" w:cs="Times New Roman"/>
                <w:color w:val="auto"/>
                <w:sz w:val="21"/>
                <w:szCs w:val="21"/>
                <w:lang w:eastAsia="zh-CN"/>
              </w:rPr>
              <w:t>建设用地</w:t>
            </w:r>
            <w:r>
              <w:rPr>
                <w:rFonts w:hint="eastAsia" w:eastAsia="宋体" w:cs="Times New Roman"/>
                <w:color w:val="auto"/>
                <w:sz w:val="21"/>
                <w:szCs w:val="21"/>
                <w:lang w:eastAsia="zh-CN"/>
              </w:rPr>
              <w:sym w:font="Wingdings 2" w:char="00A3"/>
            </w:r>
            <w:r>
              <w:rPr>
                <w:rFonts w:hint="eastAsia" w:eastAsia="宋体" w:cs="Times New Roman"/>
                <w:color w:val="auto"/>
                <w:sz w:val="21"/>
                <w:szCs w:val="21"/>
                <w:lang w:eastAsia="zh-CN"/>
              </w:rPr>
              <w:t>；农用地</w:t>
            </w:r>
            <w:r>
              <w:rPr>
                <w:rFonts w:hint="eastAsia" w:eastAsia="宋体" w:cs="Times New Roman"/>
                <w:color w:val="auto"/>
                <w:sz w:val="21"/>
                <w:szCs w:val="21"/>
                <w:lang w:eastAsia="zh-CN"/>
              </w:rPr>
              <w:sym w:font="Wingdings 2" w:char="0052"/>
            </w:r>
            <w:r>
              <w:rPr>
                <w:rFonts w:hint="eastAsia" w:eastAsia="宋体" w:cs="Times New Roman"/>
                <w:color w:val="auto"/>
                <w:sz w:val="21"/>
                <w:szCs w:val="21"/>
                <w:lang w:eastAsia="zh-CN"/>
              </w:rPr>
              <w:t>；未利用地</w:t>
            </w:r>
            <w:r>
              <w:rPr>
                <w:rFonts w:hint="eastAsia" w:eastAsia="宋体" w:cs="Times New Roman"/>
                <w:color w:val="auto"/>
                <w:sz w:val="21"/>
                <w:szCs w:val="21"/>
                <w:lang w:eastAsia="zh-CN"/>
              </w:rPr>
              <w:sym w:font="Wingdings 2" w:char="00A3"/>
            </w:r>
          </w:p>
        </w:tc>
        <w:tc>
          <w:tcPr>
            <w:tcW w:w="1029" w:type="dxa"/>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lang w:eastAsia="zh-CN"/>
              </w:rPr>
            </w:pPr>
            <w:r>
              <w:rPr>
                <w:rFonts w:hint="eastAsia" w:eastAsia="宋体" w:cs="Times New Roman"/>
                <w:color w:val="auto"/>
                <w:sz w:val="21"/>
                <w:szCs w:val="21"/>
                <w:lang w:eastAsia="zh-CN"/>
              </w:rPr>
              <w:t>土地利用类型图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82" w:type="dxa"/>
            <w:vMerge w:val="continue"/>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p>
        </w:tc>
        <w:tc>
          <w:tcPr>
            <w:tcW w:w="1582" w:type="dxa"/>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r>
              <w:rPr>
                <w:rFonts w:hint="eastAsia" w:eastAsia="宋体" w:cs="Times New Roman"/>
                <w:color w:val="auto"/>
                <w:sz w:val="21"/>
                <w:szCs w:val="21"/>
                <w:lang w:eastAsia="zh-CN"/>
              </w:rPr>
              <w:t>占地规模</w:t>
            </w:r>
          </w:p>
        </w:tc>
        <w:tc>
          <w:tcPr>
            <w:tcW w:w="6027" w:type="dxa"/>
            <w:gridSpan w:val="7"/>
            <w:noWrap w:val="0"/>
            <w:vAlign w:val="center"/>
          </w:tcPr>
          <w:p>
            <w:pPr>
              <w:pStyle w:val="124"/>
              <w:snapToGrid w:val="0"/>
              <w:spacing w:line="240" w:lineRule="auto"/>
              <w:ind w:firstLine="0"/>
              <w:jc w:val="left"/>
              <w:textAlignment w:val="auto"/>
              <w:rPr>
                <w:rFonts w:hint="default" w:eastAsia="宋体" w:cs="Times New Roman"/>
                <w:color w:val="auto"/>
                <w:sz w:val="21"/>
                <w:szCs w:val="21"/>
                <w:lang w:val="en-US" w:eastAsia="zh-CN"/>
              </w:rPr>
            </w:pPr>
            <w:r>
              <w:rPr>
                <w:rFonts w:hint="eastAsia" w:eastAsia="宋体" w:cs="Times New Roman"/>
                <w:color w:val="auto"/>
                <w:sz w:val="21"/>
                <w:szCs w:val="21"/>
                <w:lang w:eastAsia="zh-CN"/>
              </w:rPr>
              <w:t>（</w:t>
            </w:r>
            <w:r>
              <w:rPr>
                <w:rFonts w:hint="eastAsia" w:eastAsia="宋体" w:cs="Times New Roman"/>
                <w:color w:val="auto"/>
                <w:sz w:val="21"/>
                <w:szCs w:val="21"/>
                <w:lang w:val="en-US" w:eastAsia="zh-CN"/>
              </w:rPr>
              <w:t xml:space="preserve">    6    </w:t>
            </w:r>
            <w:r>
              <w:rPr>
                <w:rFonts w:hint="eastAsia" w:eastAsia="宋体" w:cs="Times New Roman"/>
                <w:color w:val="auto"/>
                <w:sz w:val="21"/>
                <w:szCs w:val="21"/>
                <w:lang w:eastAsia="zh-CN"/>
              </w:rPr>
              <w:t>）</w:t>
            </w:r>
            <w:r>
              <w:rPr>
                <w:rFonts w:hint="eastAsia" w:eastAsia="宋体" w:cs="Times New Roman"/>
                <w:color w:val="auto"/>
                <w:sz w:val="21"/>
                <w:szCs w:val="21"/>
                <w:lang w:val="en-US" w:eastAsia="zh-CN"/>
              </w:rPr>
              <w:t>hm</w:t>
            </w:r>
            <w:r>
              <w:rPr>
                <w:rFonts w:hint="eastAsia" w:eastAsia="宋体" w:cs="Times New Roman"/>
                <w:color w:val="auto"/>
                <w:sz w:val="21"/>
                <w:szCs w:val="21"/>
                <w:vertAlign w:val="superscript"/>
                <w:lang w:val="en-US" w:eastAsia="zh-CN"/>
              </w:rPr>
              <w:t>2</w:t>
            </w:r>
          </w:p>
        </w:tc>
        <w:tc>
          <w:tcPr>
            <w:tcW w:w="1029" w:type="dxa"/>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82" w:type="dxa"/>
            <w:vMerge w:val="continue"/>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p>
        </w:tc>
        <w:tc>
          <w:tcPr>
            <w:tcW w:w="1582" w:type="dxa"/>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r>
              <w:rPr>
                <w:rFonts w:hint="eastAsia" w:eastAsia="宋体" w:cs="Times New Roman"/>
                <w:color w:val="auto"/>
                <w:sz w:val="21"/>
                <w:szCs w:val="21"/>
                <w:lang w:eastAsia="zh-CN"/>
              </w:rPr>
              <w:t>敏感目标信息</w:t>
            </w:r>
          </w:p>
        </w:tc>
        <w:tc>
          <w:tcPr>
            <w:tcW w:w="6027" w:type="dxa"/>
            <w:gridSpan w:val="7"/>
            <w:noWrap w:val="0"/>
            <w:vAlign w:val="center"/>
          </w:tcPr>
          <w:p>
            <w:pPr>
              <w:pStyle w:val="124"/>
              <w:snapToGrid w:val="0"/>
              <w:spacing w:line="240" w:lineRule="auto"/>
              <w:ind w:firstLine="0"/>
              <w:jc w:val="left"/>
              <w:textAlignment w:val="auto"/>
              <w:rPr>
                <w:rFonts w:hint="eastAsia" w:eastAsia="宋体" w:cs="Times New Roman"/>
                <w:color w:val="auto"/>
                <w:sz w:val="21"/>
                <w:szCs w:val="21"/>
                <w:lang w:eastAsia="zh-CN"/>
              </w:rPr>
            </w:pPr>
            <w:r>
              <w:rPr>
                <w:rFonts w:hint="eastAsia" w:eastAsia="宋体" w:cs="Times New Roman"/>
                <w:color w:val="auto"/>
                <w:sz w:val="21"/>
                <w:szCs w:val="21"/>
                <w:lang w:eastAsia="zh-CN"/>
              </w:rPr>
              <w:t>敏感目标（园地</w:t>
            </w:r>
            <w:r>
              <w:rPr>
                <w:rFonts w:hint="eastAsia" w:eastAsia="宋体" w:cs="Times New Roman"/>
                <w:color w:val="auto"/>
                <w:sz w:val="21"/>
                <w:szCs w:val="21"/>
                <w:lang w:val="en-US" w:eastAsia="zh-CN"/>
              </w:rPr>
              <w:t xml:space="preserve">   </w:t>
            </w:r>
            <w:r>
              <w:rPr>
                <w:rFonts w:hint="eastAsia" w:eastAsia="宋体" w:cs="Times New Roman"/>
                <w:color w:val="auto"/>
                <w:sz w:val="21"/>
                <w:szCs w:val="21"/>
                <w:lang w:eastAsia="zh-CN"/>
              </w:rPr>
              <w:t>）、方位（四周</w:t>
            </w:r>
            <w:r>
              <w:rPr>
                <w:rFonts w:hint="eastAsia" w:eastAsia="宋体" w:cs="Times New Roman"/>
                <w:color w:val="auto"/>
                <w:sz w:val="21"/>
                <w:szCs w:val="21"/>
                <w:lang w:val="en-US" w:eastAsia="zh-CN"/>
              </w:rPr>
              <w:t xml:space="preserve">    </w:t>
            </w:r>
            <w:r>
              <w:rPr>
                <w:rFonts w:hint="eastAsia" w:eastAsia="宋体" w:cs="Times New Roman"/>
                <w:color w:val="auto"/>
                <w:sz w:val="21"/>
                <w:szCs w:val="21"/>
                <w:lang w:eastAsia="zh-CN"/>
              </w:rPr>
              <w:t>）、距离（紧邻</w:t>
            </w:r>
            <w:r>
              <w:rPr>
                <w:rFonts w:hint="eastAsia" w:eastAsia="宋体" w:cs="Times New Roman"/>
                <w:color w:val="auto"/>
                <w:sz w:val="21"/>
                <w:szCs w:val="21"/>
                <w:lang w:val="en-US" w:eastAsia="zh-CN"/>
              </w:rPr>
              <w:t xml:space="preserve">    </w:t>
            </w:r>
            <w:r>
              <w:rPr>
                <w:rFonts w:hint="eastAsia" w:eastAsia="宋体" w:cs="Times New Roman"/>
                <w:color w:val="auto"/>
                <w:sz w:val="21"/>
                <w:szCs w:val="21"/>
                <w:lang w:eastAsia="zh-CN"/>
              </w:rPr>
              <w:t>）</w:t>
            </w:r>
          </w:p>
        </w:tc>
        <w:tc>
          <w:tcPr>
            <w:tcW w:w="1029" w:type="dxa"/>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82" w:type="dxa"/>
            <w:vMerge w:val="continue"/>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p>
        </w:tc>
        <w:tc>
          <w:tcPr>
            <w:tcW w:w="1582" w:type="dxa"/>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r>
              <w:rPr>
                <w:rFonts w:hint="eastAsia" w:eastAsia="宋体" w:cs="Times New Roman"/>
                <w:color w:val="auto"/>
                <w:sz w:val="21"/>
                <w:szCs w:val="21"/>
                <w:lang w:eastAsia="zh-CN"/>
              </w:rPr>
              <w:t>影响途径</w:t>
            </w:r>
          </w:p>
        </w:tc>
        <w:tc>
          <w:tcPr>
            <w:tcW w:w="6027" w:type="dxa"/>
            <w:gridSpan w:val="7"/>
            <w:noWrap w:val="0"/>
            <w:vAlign w:val="center"/>
          </w:tcPr>
          <w:p>
            <w:pPr>
              <w:pStyle w:val="124"/>
              <w:snapToGrid w:val="0"/>
              <w:spacing w:line="240" w:lineRule="auto"/>
              <w:ind w:firstLine="0"/>
              <w:jc w:val="left"/>
              <w:textAlignment w:val="auto"/>
              <w:rPr>
                <w:rFonts w:hint="eastAsia" w:eastAsia="宋体" w:cs="Times New Roman"/>
                <w:color w:val="auto"/>
                <w:sz w:val="21"/>
                <w:szCs w:val="21"/>
                <w:lang w:eastAsia="zh-CN"/>
              </w:rPr>
            </w:pPr>
            <w:r>
              <w:rPr>
                <w:rFonts w:hint="eastAsia" w:eastAsia="宋体" w:cs="Times New Roman"/>
                <w:color w:val="auto"/>
                <w:sz w:val="21"/>
                <w:szCs w:val="21"/>
                <w:lang w:eastAsia="zh-CN"/>
              </w:rPr>
              <w:t>大气沉降</w:t>
            </w:r>
            <w:r>
              <w:rPr>
                <w:rFonts w:hint="eastAsia" w:eastAsia="宋体" w:cs="Times New Roman"/>
                <w:color w:val="auto"/>
                <w:sz w:val="21"/>
                <w:szCs w:val="21"/>
                <w:lang w:eastAsia="zh-CN"/>
              </w:rPr>
              <w:sym w:font="Wingdings 2" w:char="00A3"/>
            </w:r>
            <w:r>
              <w:rPr>
                <w:rFonts w:hint="eastAsia" w:eastAsia="宋体" w:cs="Times New Roman"/>
                <w:color w:val="auto"/>
                <w:sz w:val="21"/>
                <w:szCs w:val="21"/>
                <w:lang w:eastAsia="zh-CN"/>
              </w:rPr>
              <w:t>；地面漫流</w:t>
            </w:r>
            <w:r>
              <w:rPr>
                <w:rFonts w:hint="eastAsia" w:eastAsia="宋体" w:cs="Times New Roman"/>
                <w:color w:val="auto"/>
                <w:sz w:val="21"/>
                <w:szCs w:val="21"/>
                <w:lang w:eastAsia="zh-CN"/>
              </w:rPr>
              <w:sym w:font="Wingdings 2" w:char="0052"/>
            </w:r>
            <w:r>
              <w:rPr>
                <w:rFonts w:hint="eastAsia" w:eastAsia="宋体" w:cs="Times New Roman"/>
                <w:color w:val="auto"/>
                <w:sz w:val="21"/>
                <w:szCs w:val="21"/>
                <w:lang w:eastAsia="zh-CN"/>
              </w:rPr>
              <w:t>；垂直入渗</w:t>
            </w:r>
            <w:r>
              <w:rPr>
                <w:rFonts w:hint="eastAsia" w:eastAsia="宋体" w:cs="Times New Roman"/>
                <w:color w:val="auto"/>
                <w:sz w:val="21"/>
                <w:szCs w:val="21"/>
                <w:lang w:eastAsia="zh-CN"/>
              </w:rPr>
              <w:sym w:font="Wingdings 2" w:char="0052"/>
            </w:r>
            <w:r>
              <w:rPr>
                <w:rFonts w:hint="eastAsia" w:eastAsia="宋体" w:cs="Times New Roman"/>
                <w:color w:val="auto"/>
                <w:sz w:val="21"/>
                <w:szCs w:val="21"/>
                <w:lang w:eastAsia="zh-CN"/>
              </w:rPr>
              <w:t>；地下水位</w:t>
            </w:r>
            <w:r>
              <w:rPr>
                <w:rFonts w:hint="eastAsia" w:eastAsia="宋体" w:cs="Times New Roman"/>
                <w:color w:val="auto"/>
                <w:sz w:val="21"/>
                <w:szCs w:val="21"/>
                <w:lang w:eastAsia="zh-CN"/>
              </w:rPr>
              <w:sym w:font="Wingdings 2" w:char="00A3"/>
            </w:r>
            <w:r>
              <w:rPr>
                <w:rFonts w:hint="eastAsia" w:eastAsia="宋体" w:cs="Times New Roman"/>
                <w:color w:val="auto"/>
                <w:sz w:val="21"/>
                <w:szCs w:val="21"/>
                <w:lang w:eastAsia="zh-CN"/>
              </w:rPr>
              <w:t>；其他（</w:t>
            </w:r>
            <w:r>
              <w:rPr>
                <w:rFonts w:hint="eastAsia" w:eastAsia="宋体" w:cs="Times New Roman"/>
                <w:color w:val="auto"/>
                <w:sz w:val="21"/>
                <w:szCs w:val="21"/>
                <w:lang w:val="en-US" w:eastAsia="zh-CN"/>
              </w:rPr>
              <w:t xml:space="preserve">   </w:t>
            </w:r>
            <w:r>
              <w:rPr>
                <w:rFonts w:hint="eastAsia" w:eastAsia="宋体" w:cs="Times New Roman"/>
                <w:color w:val="auto"/>
                <w:sz w:val="21"/>
                <w:szCs w:val="21"/>
                <w:lang w:eastAsia="zh-CN"/>
              </w:rPr>
              <w:t>）</w:t>
            </w:r>
          </w:p>
        </w:tc>
        <w:tc>
          <w:tcPr>
            <w:tcW w:w="1029" w:type="dxa"/>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82" w:type="dxa"/>
            <w:vMerge w:val="continue"/>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p>
        </w:tc>
        <w:tc>
          <w:tcPr>
            <w:tcW w:w="1582" w:type="dxa"/>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r>
              <w:rPr>
                <w:rFonts w:hint="eastAsia" w:eastAsia="宋体" w:cs="Times New Roman"/>
                <w:color w:val="auto"/>
                <w:sz w:val="21"/>
                <w:szCs w:val="21"/>
                <w:lang w:eastAsia="zh-CN"/>
              </w:rPr>
              <w:t>全部污染物</w:t>
            </w:r>
          </w:p>
        </w:tc>
        <w:tc>
          <w:tcPr>
            <w:tcW w:w="6027" w:type="dxa"/>
            <w:gridSpan w:val="7"/>
            <w:noWrap w:val="0"/>
            <w:vAlign w:val="center"/>
          </w:tcPr>
          <w:p>
            <w:pPr>
              <w:pStyle w:val="124"/>
              <w:snapToGrid w:val="0"/>
              <w:spacing w:line="240" w:lineRule="auto"/>
              <w:ind w:firstLine="0"/>
              <w:jc w:val="left"/>
              <w:textAlignment w:val="auto"/>
              <w:rPr>
                <w:rFonts w:hint="eastAsia" w:eastAsia="宋体" w:cs="Times New Roman"/>
                <w:color w:val="auto"/>
                <w:sz w:val="21"/>
                <w:szCs w:val="21"/>
                <w:lang w:eastAsia="zh-CN"/>
              </w:rPr>
            </w:pPr>
            <w:r>
              <w:rPr>
                <w:rFonts w:hint="eastAsia" w:eastAsia="宋体" w:cs="Times New Roman"/>
                <w:color w:val="auto"/>
                <w:sz w:val="21"/>
                <w:szCs w:val="21"/>
                <w:lang w:val="en-US" w:eastAsia="zh-CN"/>
              </w:rPr>
              <w:t>COD、BOD</w:t>
            </w:r>
            <w:r>
              <w:rPr>
                <w:rFonts w:hint="eastAsia" w:eastAsia="宋体" w:cs="Times New Roman"/>
                <w:color w:val="auto"/>
                <w:sz w:val="21"/>
                <w:szCs w:val="21"/>
                <w:vertAlign w:val="subscript"/>
                <w:lang w:val="en-US" w:eastAsia="zh-CN"/>
              </w:rPr>
              <w:t>5</w:t>
            </w:r>
            <w:r>
              <w:rPr>
                <w:rFonts w:hint="eastAsia" w:eastAsia="宋体" w:cs="Times New Roman"/>
                <w:color w:val="auto"/>
                <w:sz w:val="21"/>
                <w:szCs w:val="21"/>
                <w:lang w:val="en-US" w:eastAsia="zh-CN"/>
              </w:rPr>
              <w:t>、SS、NH</w:t>
            </w:r>
            <w:r>
              <w:rPr>
                <w:rFonts w:hint="eastAsia" w:eastAsia="宋体" w:cs="Times New Roman"/>
                <w:color w:val="auto"/>
                <w:sz w:val="21"/>
                <w:szCs w:val="21"/>
                <w:vertAlign w:val="subscript"/>
                <w:lang w:val="en-US" w:eastAsia="zh-CN"/>
              </w:rPr>
              <w:t>3</w:t>
            </w:r>
            <w:r>
              <w:rPr>
                <w:rFonts w:hint="eastAsia" w:eastAsia="宋体" w:cs="Times New Roman"/>
                <w:color w:val="auto"/>
                <w:sz w:val="21"/>
                <w:szCs w:val="21"/>
                <w:lang w:val="en-US" w:eastAsia="zh-CN"/>
              </w:rPr>
              <w:t>-N、类大肠菌群、石油类</w:t>
            </w:r>
          </w:p>
        </w:tc>
        <w:tc>
          <w:tcPr>
            <w:tcW w:w="1029" w:type="dxa"/>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82" w:type="dxa"/>
            <w:vMerge w:val="continue"/>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p>
        </w:tc>
        <w:tc>
          <w:tcPr>
            <w:tcW w:w="1582" w:type="dxa"/>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r>
              <w:rPr>
                <w:rFonts w:hint="eastAsia" w:eastAsia="宋体" w:cs="Times New Roman"/>
                <w:color w:val="auto"/>
                <w:sz w:val="21"/>
                <w:szCs w:val="21"/>
                <w:lang w:eastAsia="zh-CN"/>
              </w:rPr>
              <w:t>特征因子</w:t>
            </w:r>
          </w:p>
        </w:tc>
        <w:tc>
          <w:tcPr>
            <w:tcW w:w="6027" w:type="dxa"/>
            <w:gridSpan w:val="7"/>
            <w:noWrap w:val="0"/>
            <w:vAlign w:val="center"/>
          </w:tcPr>
          <w:p>
            <w:pPr>
              <w:pStyle w:val="124"/>
              <w:snapToGrid w:val="0"/>
              <w:spacing w:line="240" w:lineRule="auto"/>
              <w:ind w:firstLine="0"/>
              <w:jc w:val="left"/>
              <w:textAlignment w:val="auto"/>
              <w:rPr>
                <w:rFonts w:hint="eastAsia" w:eastAsia="宋体" w:cs="Times New Roman"/>
                <w:color w:val="auto"/>
                <w:sz w:val="21"/>
                <w:szCs w:val="21"/>
                <w:lang w:eastAsia="zh-CN"/>
              </w:rPr>
            </w:pPr>
            <w:r>
              <w:rPr>
                <w:rFonts w:hint="eastAsia" w:eastAsia="宋体" w:cs="Times New Roman"/>
                <w:color w:val="auto"/>
                <w:sz w:val="21"/>
                <w:szCs w:val="21"/>
                <w:lang w:val="en-US" w:eastAsia="zh-CN"/>
              </w:rPr>
              <w:t>COD、BOD</w:t>
            </w:r>
            <w:r>
              <w:rPr>
                <w:rFonts w:hint="eastAsia" w:eastAsia="宋体" w:cs="Times New Roman"/>
                <w:color w:val="auto"/>
                <w:sz w:val="21"/>
                <w:szCs w:val="21"/>
                <w:vertAlign w:val="subscript"/>
                <w:lang w:val="en-US" w:eastAsia="zh-CN"/>
              </w:rPr>
              <w:t>5</w:t>
            </w:r>
            <w:r>
              <w:rPr>
                <w:rFonts w:hint="eastAsia" w:eastAsia="宋体" w:cs="Times New Roman"/>
                <w:color w:val="auto"/>
                <w:sz w:val="21"/>
                <w:szCs w:val="21"/>
                <w:lang w:val="en-US" w:eastAsia="zh-CN"/>
              </w:rPr>
              <w:t>、NH</w:t>
            </w:r>
            <w:r>
              <w:rPr>
                <w:rFonts w:hint="eastAsia" w:eastAsia="宋体" w:cs="Times New Roman"/>
                <w:color w:val="auto"/>
                <w:sz w:val="21"/>
                <w:szCs w:val="21"/>
                <w:vertAlign w:val="subscript"/>
                <w:lang w:val="en-US" w:eastAsia="zh-CN"/>
              </w:rPr>
              <w:t>3</w:t>
            </w:r>
            <w:r>
              <w:rPr>
                <w:rFonts w:hint="eastAsia" w:eastAsia="宋体" w:cs="Times New Roman"/>
                <w:color w:val="auto"/>
                <w:sz w:val="21"/>
                <w:szCs w:val="21"/>
                <w:lang w:val="en-US" w:eastAsia="zh-CN"/>
              </w:rPr>
              <w:t>-N</w:t>
            </w:r>
          </w:p>
        </w:tc>
        <w:tc>
          <w:tcPr>
            <w:tcW w:w="1029" w:type="dxa"/>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82" w:type="dxa"/>
            <w:vMerge w:val="continue"/>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p>
        </w:tc>
        <w:tc>
          <w:tcPr>
            <w:tcW w:w="1582" w:type="dxa"/>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r>
              <w:rPr>
                <w:rFonts w:hint="eastAsia" w:eastAsia="宋体" w:cs="Times New Roman"/>
                <w:color w:val="auto"/>
                <w:sz w:val="21"/>
                <w:szCs w:val="21"/>
                <w:lang w:eastAsia="zh-CN"/>
              </w:rPr>
              <w:t>所属土壤环境影响评价项目类别</w:t>
            </w:r>
          </w:p>
        </w:tc>
        <w:tc>
          <w:tcPr>
            <w:tcW w:w="6027" w:type="dxa"/>
            <w:gridSpan w:val="7"/>
            <w:noWrap w:val="0"/>
            <w:vAlign w:val="center"/>
          </w:tcPr>
          <w:p>
            <w:pPr>
              <w:pStyle w:val="124"/>
              <w:snapToGrid w:val="0"/>
              <w:spacing w:line="240" w:lineRule="auto"/>
              <w:ind w:firstLine="0"/>
              <w:jc w:val="left"/>
              <w:textAlignment w:val="auto"/>
              <w:rPr>
                <w:rFonts w:hint="eastAsia" w:eastAsia="宋体" w:cs="Times New Roman"/>
                <w:color w:val="auto"/>
                <w:sz w:val="21"/>
                <w:szCs w:val="21"/>
                <w:lang w:eastAsia="zh-CN"/>
              </w:rPr>
            </w:pPr>
            <w:r>
              <w:rPr>
                <w:rFonts w:hint="eastAsia" w:eastAsia="宋体" w:cs="Times New Roman"/>
                <w:color w:val="auto"/>
                <w:sz w:val="21"/>
                <w:szCs w:val="21"/>
                <w:lang w:eastAsia="zh-CN"/>
              </w:rPr>
              <w:t>Ⅰ类</w:t>
            </w:r>
            <w:r>
              <w:rPr>
                <w:rFonts w:hint="eastAsia" w:eastAsia="宋体" w:cs="Times New Roman"/>
                <w:color w:val="auto"/>
                <w:sz w:val="21"/>
                <w:szCs w:val="21"/>
                <w:lang w:eastAsia="zh-CN"/>
              </w:rPr>
              <w:sym w:font="Wingdings 2" w:char="00A3"/>
            </w:r>
            <w:r>
              <w:rPr>
                <w:rFonts w:hint="eastAsia" w:eastAsia="宋体" w:cs="Times New Roman"/>
                <w:color w:val="auto"/>
                <w:sz w:val="21"/>
                <w:szCs w:val="21"/>
                <w:lang w:eastAsia="zh-CN"/>
              </w:rPr>
              <w:t>；Ⅱ类</w:t>
            </w:r>
            <w:r>
              <w:rPr>
                <w:rFonts w:hint="eastAsia" w:eastAsia="宋体" w:cs="Times New Roman"/>
                <w:color w:val="auto"/>
                <w:sz w:val="21"/>
                <w:szCs w:val="21"/>
                <w:lang w:eastAsia="zh-CN"/>
              </w:rPr>
              <w:sym w:font="Wingdings 2" w:char="00A3"/>
            </w:r>
            <w:r>
              <w:rPr>
                <w:rFonts w:hint="eastAsia" w:eastAsia="宋体" w:cs="Times New Roman"/>
                <w:color w:val="auto"/>
                <w:sz w:val="21"/>
                <w:szCs w:val="21"/>
                <w:lang w:eastAsia="zh-CN"/>
              </w:rPr>
              <w:t>；Ⅲ类</w:t>
            </w:r>
            <w:r>
              <w:rPr>
                <w:rFonts w:hint="eastAsia" w:eastAsia="宋体" w:cs="Times New Roman"/>
                <w:color w:val="auto"/>
                <w:sz w:val="21"/>
                <w:szCs w:val="21"/>
                <w:lang w:eastAsia="zh-CN"/>
              </w:rPr>
              <w:sym w:font="Wingdings 2" w:char="0052"/>
            </w:r>
            <w:r>
              <w:rPr>
                <w:rFonts w:hint="eastAsia" w:eastAsia="宋体" w:cs="Times New Roman"/>
                <w:color w:val="auto"/>
                <w:sz w:val="21"/>
                <w:szCs w:val="21"/>
                <w:lang w:eastAsia="zh-CN"/>
              </w:rPr>
              <w:t>；Ⅳ类</w:t>
            </w:r>
            <w:r>
              <w:rPr>
                <w:rFonts w:hint="eastAsia" w:eastAsia="宋体" w:cs="Times New Roman"/>
                <w:color w:val="auto"/>
                <w:sz w:val="21"/>
                <w:szCs w:val="21"/>
                <w:lang w:eastAsia="zh-CN"/>
              </w:rPr>
              <w:sym w:font="Wingdings 2" w:char="00A3"/>
            </w:r>
          </w:p>
        </w:tc>
        <w:tc>
          <w:tcPr>
            <w:tcW w:w="1029" w:type="dxa"/>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82" w:type="dxa"/>
            <w:vMerge w:val="continue"/>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p>
        </w:tc>
        <w:tc>
          <w:tcPr>
            <w:tcW w:w="1582" w:type="dxa"/>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r>
              <w:rPr>
                <w:rFonts w:hint="eastAsia" w:eastAsia="宋体" w:cs="Times New Roman"/>
                <w:color w:val="auto"/>
                <w:sz w:val="21"/>
                <w:szCs w:val="21"/>
                <w:lang w:eastAsia="zh-CN"/>
              </w:rPr>
              <w:t>敏感程度</w:t>
            </w:r>
          </w:p>
        </w:tc>
        <w:tc>
          <w:tcPr>
            <w:tcW w:w="6027" w:type="dxa"/>
            <w:gridSpan w:val="7"/>
            <w:noWrap w:val="0"/>
            <w:vAlign w:val="center"/>
          </w:tcPr>
          <w:p>
            <w:pPr>
              <w:pStyle w:val="124"/>
              <w:snapToGrid w:val="0"/>
              <w:spacing w:line="240" w:lineRule="auto"/>
              <w:ind w:firstLine="0"/>
              <w:jc w:val="left"/>
              <w:textAlignment w:val="auto"/>
              <w:rPr>
                <w:rFonts w:hint="eastAsia" w:eastAsia="宋体" w:cs="Times New Roman"/>
                <w:color w:val="auto"/>
                <w:sz w:val="21"/>
                <w:szCs w:val="21"/>
                <w:lang w:eastAsia="zh-CN"/>
              </w:rPr>
            </w:pPr>
            <w:r>
              <w:rPr>
                <w:rFonts w:hint="eastAsia" w:eastAsia="宋体" w:cs="Times New Roman"/>
                <w:color w:val="auto"/>
                <w:sz w:val="21"/>
                <w:szCs w:val="21"/>
                <w:lang w:eastAsia="zh-CN"/>
              </w:rPr>
              <w:t>敏感</w:t>
            </w:r>
            <w:r>
              <w:rPr>
                <w:rFonts w:hint="eastAsia" w:eastAsia="宋体" w:cs="Times New Roman"/>
                <w:color w:val="auto"/>
                <w:sz w:val="21"/>
                <w:szCs w:val="21"/>
                <w:lang w:eastAsia="zh-CN"/>
              </w:rPr>
              <w:sym w:font="Wingdings 2" w:char="0052"/>
            </w:r>
            <w:r>
              <w:rPr>
                <w:rFonts w:hint="eastAsia" w:eastAsia="宋体" w:cs="Times New Roman"/>
                <w:color w:val="auto"/>
                <w:sz w:val="21"/>
                <w:szCs w:val="21"/>
                <w:lang w:eastAsia="zh-CN"/>
              </w:rPr>
              <w:t>；较敏感</w:t>
            </w:r>
            <w:r>
              <w:rPr>
                <w:rFonts w:hint="eastAsia" w:eastAsia="宋体" w:cs="Times New Roman"/>
                <w:color w:val="auto"/>
                <w:sz w:val="21"/>
                <w:szCs w:val="21"/>
                <w:lang w:eastAsia="zh-CN"/>
              </w:rPr>
              <w:sym w:font="Wingdings 2" w:char="00A3"/>
            </w:r>
            <w:r>
              <w:rPr>
                <w:rFonts w:hint="eastAsia" w:eastAsia="宋体" w:cs="Times New Roman"/>
                <w:color w:val="auto"/>
                <w:sz w:val="21"/>
                <w:szCs w:val="21"/>
                <w:lang w:eastAsia="zh-CN"/>
              </w:rPr>
              <w:t>；不敏感</w:t>
            </w:r>
            <w:r>
              <w:rPr>
                <w:rFonts w:hint="eastAsia" w:eastAsia="宋体" w:cs="Times New Roman"/>
                <w:color w:val="auto"/>
                <w:sz w:val="21"/>
                <w:szCs w:val="21"/>
                <w:lang w:eastAsia="zh-CN"/>
              </w:rPr>
              <w:sym w:font="Wingdings 2" w:char="00A3"/>
            </w:r>
          </w:p>
        </w:tc>
        <w:tc>
          <w:tcPr>
            <w:tcW w:w="1029" w:type="dxa"/>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164" w:type="dxa"/>
            <w:gridSpan w:val="2"/>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r>
              <w:rPr>
                <w:rFonts w:hint="eastAsia" w:eastAsia="宋体" w:cs="Times New Roman"/>
                <w:color w:val="auto"/>
                <w:sz w:val="21"/>
                <w:szCs w:val="21"/>
                <w:lang w:eastAsia="zh-CN"/>
              </w:rPr>
              <w:t>评价工作等级</w:t>
            </w:r>
          </w:p>
        </w:tc>
        <w:tc>
          <w:tcPr>
            <w:tcW w:w="6027" w:type="dxa"/>
            <w:gridSpan w:val="7"/>
            <w:noWrap w:val="0"/>
            <w:vAlign w:val="center"/>
          </w:tcPr>
          <w:p>
            <w:pPr>
              <w:pStyle w:val="124"/>
              <w:snapToGrid w:val="0"/>
              <w:spacing w:line="240" w:lineRule="auto"/>
              <w:ind w:firstLine="0"/>
              <w:jc w:val="left"/>
              <w:textAlignment w:val="auto"/>
              <w:rPr>
                <w:rFonts w:hint="eastAsia" w:eastAsia="宋体" w:cs="Times New Roman"/>
                <w:color w:val="auto"/>
                <w:sz w:val="21"/>
                <w:szCs w:val="21"/>
                <w:lang w:eastAsia="zh-CN"/>
              </w:rPr>
            </w:pPr>
            <w:r>
              <w:rPr>
                <w:rFonts w:hint="eastAsia" w:eastAsia="宋体" w:cs="Times New Roman"/>
                <w:color w:val="auto"/>
                <w:sz w:val="21"/>
                <w:szCs w:val="21"/>
                <w:lang w:eastAsia="zh-CN"/>
              </w:rPr>
              <w:t>一级</w:t>
            </w:r>
            <w:r>
              <w:rPr>
                <w:rFonts w:hint="eastAsia" w:eastAsia="宋体" w:cs="Times New Roman"/>
                <w:color w:val="auto"/>
                <w:sz w:val="21"/>
                <w:szCs w:val="21"/>
                <w:lang w:eastAsia="zh-CN"/>
              </w:rPr>
              <w:sym w:font="Wingdings 2" w:char="00A3"/>
            </w:r>
            <w:r>
              <w:rPr>
                <w:rFonts w:hint="eastAsia" w:eastAsia="宋体" w:cs="Times New Roman"/>
                <w:color w:val="auto"/>
                <w:sz w:val="21"/>
                <w:szCs w:val="21"/>
                <w:lang w:eastAsia="zh-CN"/>
              </w:rPr>
              <w:t>；二级</w:t>
            </w:r>
            <w:r>
              <w:rPr>
                <w:rFonts w:hint="eastAsia" w:eastAsia="宋体" w:cs="Times New Roman"/>
                <w:color w:val="auto"/>
                <w:sz w:val="21"/>
                <w:szCs w:val="21"/>
                <w:lang w:eastAsia="zh-CN"/>
              </w:rPr>
              <w:sym w:font="Wingdings 2" w:char="00A3"/>
            </w:r>
            <w:r>
              <w:rPr>
                <w:rFonts w:hint="eastAsia" w:eastAsia="宋体" w:cs="Times New Roman"/>
                <w:color w:val="auto"/>
                <w:sz w:val="21"/>
                <w:szCs w:val="21"/>
                <w:lang w:eastAsia="zh-CN"/>
              </w:rPr>
              <w:t>；三级</w:t>
            </w:r>
            <w:r>
              <w:rPr>
                <w:rFonts w:hint="eastAsia" w:eastAsia="宋体" w:cs="Times New Roman"/>
                <w:color w:val="auto"/>
                <w:sz w:val="21"/>
                <w:szCs w:val="21"/>
                <w:lang w:eastAsia="zh-CN"/>
              </w:rPr>
              <w:sym w:font="Wingdings 2" w:char="0052"/>
            </w:r>
          </w:p>
        </w:tc>
        <w:tc>
          <w:tcPr>
            <w:tcW w:w="1029" w:type="dxa"/>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82" w:type="dxa"/>
            <w:vMerge w:val="restart"/>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lang w:eastAsia="zh-CN"/>
              </w:rPr>
            </w:pPr>
            <w:r>
              <w:rPr>
                <w:rFonts w:hint="eastAsia" w:eastAsia="宋体" w:cs="Times New Roman"/>
                <w:color w:val="auto"/>
                <w:sz w:val="21"/>
                <w:szCs w:val="21"/>
                <w:lang w:eastAsia="zh-CN"/>
              </w:rPr>
              <w:t>现状调查内容</w:t>
            </w:r>
          </w:p>
        </w:tc>
        <w:tc>
          <w:tcPr>
            <w:tcW w:w="1582" w:type="dxa"/>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lang w:eastAsia="zh-CN"/>
              </w:rPr>
            </w:pPr>
            <w:r>
              <w:rPr>
                <w:rFonts w:hint="eastAsia" w:eastAsia="宋体" w:cs="Times New Roman"/>
                <w:color w:val="auto"/>
                <w:sz w:val="21"/>
                <w:szCs w:val="21"/>
                <w:lang w:eastAsia="zh-CN"/>
              </w:rPr>
              <w:t>资料收集</w:t>
            </w:r>
          </w:p>
        </w:tc>
        <w:tc>
          <w:tcPr>
            <w:tcW w:w="6027" w:type="dxa"/>
            <w:gridSpan w:val="7"/>
            <w:noWrap w:val="0"/>
            <w:vAlign w:val="center"/>
          </w:tcPr>
          <w:p>
            <w:pPr>
              <w:pStyle w:val="124"/>
              <w:snapToGrid w:val="0"/>
              <w:spacing w:line="240" w:lineRule="auto"/>
              <w:ind w:firstLine="0"/>
              <w:jc w:val="left"/>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a）</w:t>
            </w:r>
            <w:r>
              <w:rPr>
                <w:rFonts w:hint="eastAsia" w:eastAsia="宋体" w:cs="Times New Roman"/>
                <w:color w:val="auto"/>
                <w:sz w:val="21"/>
                <w:szCs w:val="21"/>
                <w:lang w:eastAsia="zh-CN"/>
              </w:rPr>
              <w:sym w:font="Wingdings 2" w:char="00A3"/>
            </w:r>
            <w:r>
              <w:rPr>
                <w:rFonts w:hint="eastAsia" w:eastAsia="宋体" w:cs="Times New Roman"/>
                <w:color w:val="auto"/>
                <w:sz w:val="21"/>
                <w:szCs w:val="21"/>
                <w:lang w:eastAsia="zh-CN"/>
              </w:rPr>
              <w:t>；</w:t>
            </w:r>
            <w:r>
              <w:rPr>
                <w:rFonts w:hint="eastAsia" w:eastAsia="宋体" w:cs="Times New Roman"/>
                <w:color w:val="auto"/>
                <w:sz w:val="21"/>
                <w:szCs w:val="21"/>
                <w:lang w:val="en-US" w:eastAsia="zh-CN"/>
              </w:rPr>
              <w:t>b）</w:t>
            </w:r>
            <w:r>
              <w:rPr>
                <w:rFonts w:hint="eastAsia" w:eastAsia="宋体" w:cs="Times New Roman"/>
                <w:color w:val="auto"/>
                <w:sz w:val="21"/>
                <w:szCs w:val="21"/>
                <w:lang w:eastAsia="zh-CN"/>
              </w:rPr>
              <w:sym w:font="Wingdings 2" w:char="00A3"/>
            </w:r>
            <w:r>
              <w:rPr>
                <w:rFonts w:hint="eastAsia" w:eastAsia="宋体" w:cs="Times New Roman"/>
                <w:color w:val="auto"/>
                <w:sz w:val="21"/>
                <w:szCs w:val="21"/>
                <w:lang w:eastAsia="zh-CN"/>
              </w:rPr>
              <w:t>；</w:t>
            </w:r>
            <w:r>
              <w:rPr>
                <w:rFonts w:hint="eastAsia" w:eastAsia="宋体" w:cs="Times New Roman"/>
                <w:color w:val="auto"/>
                <w:sz w:val="21"/>
                <w:szCs w:val="21"/>
                <w:lang w:val="en-US" w:eastAsia="zh-CN"/>
              </w:rPr>
              <w:t>c）</w:t>
            </w:r>
            <w:r>
              <w:rPr>
                <w:rFonts w:hint="eastAsia" w:eastAsia="宋体" w:cs="Times New Roman"/>
                <w:color w:val="auto"/>
                <w:sz w:val="21"/>
                <w:szCs w:val="21"/>
                <w:lang w:eastAsia="zh-CN"/>
              </w:rPr>
              <w:sym w:font="Wingdings 2" w:char="00A3"/>
            </w:r>
            <w:r>
              <w:rPr>
                <w:rFonts w:hint="eastAsia" w:eastAsia="宋体" w:cs="Times New Roman"/>
                <w:color w:val="auto"/>
                <w:sz w:val="21"/>
                <w:szCs w:val="21"/>
                <w:lang w:eastAsia="zh-CN"/>
              </w:rPr>
              <w:t>；</w:t>
            </w:r>
            <w:r>
              <w:rPr>
                <w:rFonts w:hint="eastAsia" w:eastAsia="宋体" w:cs="Times New Roman"/>
                <w:color w:val="auto"/>
                <w:sz w:val="21"/>
                <w:szCs w:val="21"/>
                <w:lang w:val="en-US" w:eastAsia="zh-CN"/>
              </w:rPr>
              <w:t>d）</w:t>
            </w:r>
            <w:r>
              <w:rPr>
                <w:rFonts w:hint="eastAsia" w:eastAsia="宋体" w:cs="Times New Roman"/>
                <w:color w:val="auto"/>
                <w:sz w:val="21"/>
                <w:szCs w:val="21"/>
                <w:lang w:eastAsia="zh-CN"/>
              </w:rPr>
              <w:sym w:font="Wingdings 2" w:char="00A3"/>
            </w:r>
          </w:p>
        </w:tc>
        <w:tc>
          <w:tcPr>
            <w:tcW w:w="1029" w:type="dxa"/>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82" w:type="dxa"/>
            <w:vMerge w:val="continue"/>
            <w:noWrap w:val="0"/>
            <w:vAlign w:val="center"/>
          </w:tcPr>
          <w:p>
            <w:pPr>
              <w:pStyle w:val="124"/>
              <w:snapToGrid w:val="0"/>
              <w:spacing w:line="240" w:lineRule="auto"/>
              <w:ind w:firstLine="0"/>
              <w:jc w:val="center"/>
              <w:textAlignment w:val="auto"/>
              <w:rPr>
                <w:rFonts w:ascii="Times New Roman" w:hAnsi="Times New Roman" w:eastAsia="宋体" w:cs="Times New Roman"/>
                <w:color w:val="auto"/>
                <w:sz w:val="21"/>
                <w:szCs w:val="21"/>
              </w:rPr>
            </w:pPr>
          </w:p>
        </w:tc>
        <w:tc>
          <w:tcPr>
            <w:tcW w:w="1582" w:type="dxa"/>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lang w:eastAsia="zh-CN"/>
              </w:rPr>
            </w:pPr>
            <w:r>
              <w:rPr>
                <w:rFonts w:hint="eastAsia" w:eastAsia="宋体" w:cs="Times New Roman"/>
                <w:color w:val="auto"/>
                <w:sz w:val="21"/>
                <w:szCs w:val="21"/>
                <w:lang w:eastAsia="zh-CN"/>
              </w:rPr>
              <w:t>理化特性</w:t>
            </w:r>
          </w:p>
        </w:tc>
        <w:tc>
          <w:tcPr>
            <w:tcW w:w="6027" w:type="dxa"/>
            <w:gridSpan w:val="7"/>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rPr>
            </w:pPr>
          </w:p>
        </w:tc>
        <w:tc>
          <w:tcPr>
            <w:tcW w:w="1029" w:type="dxa"/>
            <w:noWrap w:val="0"/>
            <w:vAlign w:val="center"/>
          </w:tcPr>
          <w:p>
            <w:pPr>
              <w:pStyle w:val="124"/>
              <w:snapToGrid w:val="0"/>
              <w:spacing w:line="240" w:lineRule="auto"/>
              <w:ind w:firstLine="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eastAsia="zh-CN"/>
              </w:rPr>
              <w:t>同附录</w:t>
            </w:r>
            <w:r>
              <w:rPr>
                <w:rFonts w:hint="eastAsia" w:eastAsia="宋体" w:cs="Times New Roman"/>
                <w:color w:val="auto"/>
                <w:sz w:val="21"/>
                <w:szCs w:val="21"/>
                <w:lang w:val="en-US" w:eastAsia="zh-CN"/>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82" w:type="dxa"/>
            <w:vMerge w:val="continue"/>
            <w:noWrap w:val="0"/>
            <w:vAlign w:val="center"/>
          </w:tcPr>
          <w:p>
            <w:pPr>
              <w:pStyle w:val="124"/>
              <w:snapToGrid w:val="0"/>
              <w:spacing w:line="240" w:lineRule="auto"/>
              <w:ind w:firstLine="0"/>
              <w:jc w:val="center"/>
              <w:textAlignment w:val="auto"/>
              <w:rPr>
                <w:rFonts w:ascii="Times New Roman" w:hAnsi="Times New Roman" w:eastAsia="宋体" w:cs="Times New Roman"/>
                <w:color w:val="auto"/>
                <w:sz w:val="21"/>
                <w:szCs w:val="21"/>
              </w:rPr>
            </w:pPr>
          </w:p>
        </w:tc>
        <w:tc>
          <w:tcPr>
            <w:tcW w:w="1582" w:type="dxa"/>
            <w:vMerge w:val="restart"/>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lang w:eastAsia="zh-CN"/>
              </w:rPr>
            </w:pPr>
            <w:r>
              <w:rPr>
                <w:rFonts w:hint="eastAsia" w:eastAsia="宋体" w:cs="Times New Roman"/>
                <w:color w:val="auto"/>
                <w:sz w:val="21"/>
                <w:szCs w:val="21"/>
                <w:lang w:eastAsia="zh-CN"/>
              </w:rPr>
              <w:t>现状监测点位</w:t>
            </w:r>
          </w:p>
        </w:tc>
        <w:tc>
          <w:tcPr>
            <w:tcW w:w="1585" w:type="dxa"/>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rPr>
            </w:pPr>
          </w:p>
        </w:tc>
        <w:tc>
          <w:tcPr>
            <w:tcW w:w="1722" w:type="dxa"/>
            <w:gridSpan w:val="2"/>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lang w:eastAsia="zh-CN"/>
              </w:rPr>
            </w:pPr>
            <w:r>
              <w:rPr>
                <w:rFonts w:hint="eastAsia" w:eastAsia="宋体" w:cs="Times New Roman"/>
                <w:color w:val="auto"/>
                <w:sz w:val="21"/>
                <w:szCs w:val="21"/>
                <w:lang w:eastAsia="zh-CN"/>
              </w:rPr>
              <w:t>占地范围内</w:t>
            </w:r>
          </w:p>
        </w:tc>
        <w:tc>
          <w:tcPr>
            <w:tcW w:w="1617" w:type="dxa"/>
            <w:gridSpan w:val="2"/>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lang w:eastAsia="zh-CN"/>
              </w:rPr>
            </w:pPr>
            <w:r>
              <w:rPr>
                <w:rFonts w:hint="eastAsia" w:eastAsia="宋体" w:cs="Times New Roman"/>
                <w:color w:val="auto"/>
                <w:sz w:val="21"/>
                <w:szCs w:val="21"/>
                <w:lang w:eastAsia="zh-CN"/>
              </w:rPr>
              <w:t>占地范围外</w:t>
            </w:r>
          </w:p>
        </w:tc>
        <w:tc>
          <w:tcPr>
            <w:tcW w:w="1103" w:type="dxa"/>
            <w:gridSpan w:val="2"/>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lang w:eastAsia="zh-CN"/>
              </w:rPr>
            </w:pPr>
            <w:r>
              <w:rPr>
                <w:rFonts w:hint="eastAsia" w:eastAsia="宋体" w:cs="Times New Roman"/>
                <w:color w:val="auto"/>
                <w:sz w:val="21"/>
                <w:szCs w:val="21"/>
                <w:lang w:eastAsia="zh-CN"/>
              </w:rPr>
              <w:t>深度</w:t>
            </w:r>
          </w:p>
        </w:tc>
        <w:tc>
          <w:tcPr>
            <w:tcW w:w="1029" w:type="dxa"/>
            <w:vMerge w:val="restart"/>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lang w:eastAsia="zh-CN"/>
              </w:rPr>
            </w:pPr>
            <w:r>
              <w:rPr>
                <w:rFonts w:hint="eastAsia" w:eastAsia="宋体" w:cs="Times New Roman"/>
                <w:color w:val="auto"/>
                <w:sz w:val="21"/>
                <w:szCs w:val="21"/>
                <w:lang w:eastAsia="zh-CN"/>
              </w:rPr>
              <w:t>点位布置图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82" w:type="dxa"/>
            <w:vMerge w:val="continue"/>
            <w:noWrap w:val="0"/>
            <w:vAlign w:val="center"/>
          </w:tcPr>
          <w:p>
            <w:pPr>
              <w:pStyle w:val="124"/>
              <w:snapToGrid w:val="0"/>
              <w:spacing w:line="240" w:lineRule="auto"/>
              <w:ind w:firstLine="0"/>
              <w:jc w:val="center"/>
              <w:textAlignment w:val="auto"/>
              <w:rPr>
                <w:rFonts w:ascii="Times New Roman" w:hAnsi="Times New Roman" w:eastAsia="宋体" w:cs="Times New Roman"/>
                <w:color w:val="auto"/>
                <w:sz w:val="21"/>
                <w:szCs w:val="21"/>
              </w:rPr>
            </w:pPr>
          </w:p>
        </w:tc>
        <w:tc>
          <w:tcPr>
            <w:tcW w:w="1582" w:type="dxa"/>
            <w:vMerge w:val="continue"/>
            <w:noWrap w:val="0"/>
            <w:vAlign w:val="center"/>
          </w:tcPr>
          <w:p>
            <w:pPr>
              <w:pStyle w:val="124"/>
              <w:snapToGrid w:val="0"/>
              <w:spacing w:line="240" w:lineRule="auto"/>
              <w:ind w:firstLine="0"/>
              <w:jc w:val="center"/>
              <w:textAlignment w:val="auto"/>
              <w:rPr>
                <w:rFonts w:ascii="Times New Roman" w:hAnsi="Times New Roman" w:eastAsia="宋体" w:cs="Times New Roman"/>
                <w:color w:val="auto"/>
                <w:sz w:val="21"/>
                <w:szCs w:val="21"/>
              </w:rPr>
            </w:pPr>
          </w:p>
        </w:tc>
        <w:tc>
          <w:tcPr>
            <w:tcW w:w="1585" w:type="dxa"/>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lang w:eastAsia="zh-CN"/>
              </w:rPr>
            </w:pPr>
            <w:r>
              <w:rPr>
                <w:rFonts w:hint="eastAsia" w:eastAsia="宋体" w:cs="Times New Roman"/>
                <w:color w:val="auto"/>
                <w:sz w:val="21"/>
                <w:szCs w:val="21"/>
                <w:lang w:eastAsia="zh-CN"/>
              </w:rPr>
              <w:t>表层样点数</w:t>
            </w:r>
          </w:p>
        </w:tc>
        <w:tc>
          <w:tcPr>
            <w:tcW w:w="1722" w:type="dxa"/>
            <w:gridSpan w:val="2"/>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3</w:t>
            </w:r>
          </w:p>
        </w:tc>
        <w:tc>
          <w:tcPr>
            <w:tcW w:w="1617" w:type="dxa"/>
            <w:gridSpan w:val="2"/>
            <w:noWrap w:val="0"/>
            <w:vAlign w:val="center"/>
          </w:tcPr>
          <w:p>
            <w:pPr>
              <w:pStyle w:val="124"/>
              <w:snapToGrid w:val="0"/>
              <w:spacing w:line="240" w:lineRule="auto"/>
              <w:ind w:firstLine="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1</w:t>
            </w:r>
          </w:p>
        </w:tc>
        <w:tc>
          <w:tcPr>
            <w:tcW w:w="1103" w:type="dxa"/>
            <w:gridSpan w:val="2"/>
            <w:noWrap w:val="0"/>
            <w:vAlign w:val="center"/>
          </w:tcPr>
          <w:p>
            <w:pPr>
              <w:pStyle w:val="124"/>
              <w:snapToGrid w:val="0"/>
              <w:spacing w:line="240" w:lineRule="auto"/>
              <w:ind w:firstLine="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0-0.2m</w:t>
            </w:r>
          </w:p>
        </w:tc>
        <w:tc>
          <w:tcPr>
            <w:tcW w:w="1029" w:type="dxa"/>
            <w:vMerge w:val="continue"/>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82" w:type="dxa"/>
            <w:vMerge w:val="continue"/>
            <w:noWrap w:val="0"/>
            <w:vAlign w:val="center"/>
          </w:tcPr>
          <w:p>
            <w:pPr>
              <w:pStyle w:val="124"/>
              <w:snapToGrid w:val="0"/>
              <w:spacing w:line="240" w:lineRule="auto"/>
              <w:ind w:firstLine="0"/>
              <w:jc w:val="center"/>
              <w:textAlignment w:val="auto"/>
              <w:rPr>
                <w:rFonts w:ascii="Times New Roman" w:hAnsi="Times New Roman" w:eastAsia="宋体" w:cs="Times New Roman"/>
                <w:color w:val="auto"/>
                <w:sz w:val="21"/>
                <w:szCs w:val="21"/>
              </w:rPr>
            </w:pPr>
          </w:p>
        </w:tc>
        <w:tc>
          <w:tcPr>
            <w:tcW w:w="1582" w:type="dxa"/>
            <w:vMerge w:val="continue"/>
            <w:noWrap w:val="0"/>
            <w:vAlign w:val="center"/>
          </w:tcPr>
          <w:p>
            <w:pPr>
              <w:pStyle w:val="124"/>
              <w:snapToGrid w:val="0"/>
              <w:spacing w:line="240" w:lineRule="auto"/>
              <w:ind w:firstLine="0"/>
              <w:jc w:val="center"/>
              <w:textAlignment w:val="auto"/>
              <w:rPr>
                <w:rFonts w:ascii="Times New Roman" w:hAnsi="Times New Roman" w:eastAsia="宋体" w:cs="Times New Roman"/>
                <w:color w:val="auto"/>
                <w:sz w:val="21"/>
                <w:szCs w:val="21"/>
              </w:rPr>
            </w:pPr>
          </w:p>
        </w:tc>
        <w:tc>
          <w:tcPr>
            <w:tcW w:w="1585" w:type="dxa"/>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lang w:eastAsia="zh-CN"/>
              </w:rPr>
            </w:pPr>
            <w:r>
              <w:rPr>
                <w:rFonts w:hint="eastAsia" w:eastAsia="宋体" w:cs="Times New Roman"/>
                <w:color w:val="auto"/>
                <w:sz w:val="21"/>
                <w:szCs w:val="21"/>
                <w:lang w:eastAsia="zh-CN"/>
              </w:rPr>
              <w:t>柱状样点数</w:t>
            </w:r>
          </w:p>
        </w:tc>
        <w:tc>
          <w:tcPr>
            <w:tcW w:w="1722" w:type="dxa"/>
            <w:gridSpan w:val="2"/>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lang w:val="en-US" w:eastAsia="zh-CN"/>
              </w:rPr>
            </w:pPr>
          </w:p>
        </w:tc>
        <w:tc>
          <w:tcPr>
            <w:tcW w:w="1617" w:type="dxa"/>
            <w:gridSpan w:val="2"/>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rPr>
            </w:pPr>
          </w:p>
        </w:tc>
        <w:tc>
          <w:tcPr>
            <w:tcW w:w="1103" w:type="dxa"/>
            <w:gridSpan w:val="2"/>
            <w:noWrap w:val="0"/>
            <w:vAlign w:val="center"/>
          </w:tcPr>
          <w:p>
            <w:pPr>
              <w:pStyle w:val="124"/>
              <w:snapToGrid w:val="0"/>
              <w:spacing w:line="240" w:lineRule="auto"/>
              <w:ind w:firstLine="0"/>
              <w:jc w:val="center"/>
              <w:textAlignment w:val="auto"/>
              <w:rPr>
                <w:rFonts w:hint="default" w:ascii="Times New Roman" w:hAnsi="Times New Roman" w:eastAsia="宋体" w:cs="Times New Roman"/>
                <w:color w:val="auto"/>
                <w:sz w:val="21"/>
                <w:szCs w:val="21"/>
                <w:lang w:val="en-US"/>
              </w:rPr>
            </w:pPr>
          </w:p>
        </w:tc>
        <w:tc>
          <w:tcPr>
            <w:tcW w:w="1029" w:type="dxa"/>
            <w:vMerge w:val="continue"/>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82" w:type="dxa"/>
            <w:vMerge w:val="continue"/>
            <w:noWrap w:val="0"/>
            <w:vAlign w:val="center"/>
          </w:tcPr>
          <w:p>
            <w:pPr>
              <w:pStyle w:val="124"/>
              <w:snapToGrid w:val="0"/>
              <w:spacing w:line="240" w:lineRule="auto"/>
              <w:ind w:firstLine="0"/>
              <w:jc w:val="center"/>
              <w:textAlignment w:val="auto"/>
              <w:rPr>
                <w:rFonts w:ascii="Times New Roman" w:hAnsi="Times New Roman" w:eastAsia="宋体" w:cs="Times New Roman"/>
                <w:color w:val="auto"/>
                <w:sz w:val="21"/>
                <w:szCs w:val="21"/>
              </w:rPr>
            </w:pPr>
          </w:p>
        </w:tc>
        <w:tc>
          <w:tcPr>
            <w:tcW w:w="1582" w:type="dxa"/>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lang w:eastAsia="zh-CN"/>
              </w:rPr>
            </w:pPr>
            <w:r>
              <w:rPr>
                <w:rFonts w:hint="eastAsia" w:eastAsia="宋体" w:cs="Times New Roman"/>
                <w:color w:val="auto"/>
                <w:sz w:val="21"/>
                <w:szCs w:val="21"/>
                <w:lang w:eastAsia="zh-CN"/>
              </w:rPr>
              <w:t>现状监测因子</w:t>
            </w:r>
          </w:p>
        </w:tc>
        <w:tc>
          <w:tcPr>
            <w:tcW w:w="6027" w:type="dxa"/>
            <w:gridSpan w:val="7"/>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highlight w:val="none"/>
                <w:lang w:eastAsia="zh-CN"/>
              </w:rPr>
              <w:t>pH（无量纲）、铜、锌、铅、镉、铬、镍、砷、汞</w:t>
            </w:r>
          </w:p>
        </w:tc>
        <w:tc>
          <w:tcPr>
            <w:tcW w:w="1029" w:type="dxa"/>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82" w:type="dxa"/>
            <w:vMerge w:val="restart"/>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lang w:eastAsia="zh-CN"/>
              </w:rPr>
            </w:pPr>
            <w:r>
              <w:rPr>
                <w:rFonts w:hint="eastAsia" w:eastAsia="宋体" w:cs="Times New Roman"/>
                <w:color w:val="auto"/>
                <w:sz w:val="21"/>
                <w:szCs w:val="21"/>
                <w:lang w:eastAsia="zh-CN"/>
              </w:rPr>
              <w:t>现状评价</w:t>
            </w:r>
          </w:p>
        </w:tc>
        <w:tc>
          <w:tcPr>
            <w:tcW w:w="1582" w:type="dxa"/>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r>
              <w:rPr>
                <w:rFonts w:hint="eastAsia" w:eastAsia="宋体" w:cs="Times New Roman"/>
                <w:color w:val="auto"/>
                <w:sz w:val="21"/>
                <w:szCs w:val="21"/>
                <w:lang w:eastAsia="zh-CN"/>
              </w:rPr>
              <w:t>评价因子</w:t>
            </w:r>
          </w:p>
        </w:tc>
        <w:tc>
          <w:tcPr>
            <w:tcW w:w="6027" w:type="dxa"/>
            <w:gridSpan w:val="7"/>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highlight w:val="none"/>
                <w:lang w:eastAsia="zh-CN"/>
              </w:rPr>
              <w:t>pH（无量纲）、铜、锌、铅、镉、铬、镍、砷、汞</w:t>
            </w:r>
          </w:p>
        </w:tc>
        <w:tc>
          <w:tcPr>
            <w:tcW w:w="1029" w:type="dxa"/>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82" w:type="dxa"/>
            <w:vMerge w:val="continue"/>
            <w:noWrap w:val="0"/>
            <w:vAlign w:val="center"/>
          </w:tcPr>
          <w:p>
            <w:pPr>
              <w:pStyle w:val="124"/>
              <w:snapToGrid w:val="0"/>
              <w:spacing w:line="240" w:lineRule="auto"/>
              <w:ind w:firstLine="0"/>
              <w:jc w:val="center"/>
              <w:textAlignment w:val="auto"/>
              <w:rPr>
                <w:rFonts w:ascii="Times New Roman" w:hAnsi="Times New Roman" w:eastAsia="宋体" w:cs="Times New Roman"/>
                <w:color w:val="auto"/>
                <w:sz w:val="21"/>
                <w:szCs w:val="21"/>
              </w:rPr>
            </w:pPr>
          </w:p>
        </w:tc>
        <w:tc>
          <w:tcPr>
            <w:tcW w:w="1582" w:type="dxa"/>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r>
              <w:rPr>
                <w:rFonts w:hint="eastAsia" w:eastAsia="宋体" w:cs="Times New Roman"/>
                <w:color w:val="auto"/>
                <w:sz w:val="21"/>
                <w:szCs w:val="21"/>
                <w:lang w:eastAsia="zh-CN"/>
              </w:rPr>
              <w:t>评价标准</w:t>
            </w:r>
          </w:p>
        </w:tc>
        <w:tc>
          <w:tcPr>
            <w:tcW w:w="6027" w:type="dxa"/>
            <w:gridSpan w:val="7"/>
            <w:noWrap w:val="0"/>
            <w:vAlign w:val="center"/>
          </w:tcPr>
          <w:p>
            <w:pPr>
              <w:pStyle w:val="124"/>
              <w:snapToGrid w:val="0"/>
              <w:spacing w:line="240" w:lineRule="auto"/>
              <w:ind w:firstLine="0"/>
              <w:jc w:val="left"/>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GB15618</w:t>
            </w:r>
            <w:r>
              <w:rPr>
                <w:rFonts w:hint="eastAsia" w:eastAsia="宋体" w:cs="Times New Roman"/>
                <w:color w:val="auto"/>
                <w:sz w:val="21"/>
                <w:szCs w:val="21"/>
                <w:lang w:eastAsia="zh-CN"/>
              </w:rPr>
              <w:sym w:font="Wingdings 2" w:char="0052"/>
            </w:r>
            <w:r>
              <w:rPr>
                <w:rFonts w:hint="eastAsia" w:eastAsia="宋体" w:cs="Times New Roman"/>
                <w:color w:val="auto"/>
                <w:sz w:val="21"/>
                <w:szCs w:val="21"/>
                <w:lang w:eastAsia="zh-CN"/>
              </w:rPr>
              <w:t>；</w:t>
            </w:r>
            <w:r>
              <w:rPr>
                <w:rFonts w:hint="eastAsia" w:eastAsia="宋体" w:cs="Times New Roman"/>
                <w:color w:val="auto"/>
                <w:sz w:val="21"/>
                <w:szCs w:val="21"/>
                <w:lang w:val="en-US" w:eastAsia="zh-CN"/>
              </w:rPr>
              <w:t>GB36600</w:t>
            </w:r>
            <w:r>
              <w:rPr>
                <w:rFonts w:hint="eastAsia" w:eastAsia="宋体" w:cs="Times New Roman"/>
                <w:color w:val="auto"/>
                <w:sz w:val="21"/>
                <w:szCs w:val="21"/>
                <w:lang w:eastAsia="zh-CN"/>
              </w:rPr>
              <w:sym w:font="Wingdings 2" w:char="00A3"/>
            </w:r>
            <w:r>
              <w:rPr>
                <w:rFonts w:hint="eastAsia" w:eastAsia="宋体" w:cs="Times New Roman"/>
                <w:color w:val="auto"/>
                <w:sz w:val="21"/>
                <w:szCs w:val="21"/>
                <w:lang w:eastAsia="zh-CN"/>
              </w:rPr>
              <w:t>；表</w:t>
            </w:r>
            <w:r>
              <w:rPr>
                <w:rFonts w:hint="eastAsia" w:eastAsia="宋体" w:cs="Times New Roman"/>
                <w:color w:val="auto"/>
                <w:sz w:val="21"/>
                <w:szCs w:val="21"/>
                <w:lang w:val="en-US" w:eastAsia="zh-CN"/>
              </w:rPr>
              <w:t>D.1</w:t>
            </w:r>
            <w:r>
              <w:rPr>
                <w:rFonts w:hint="eastAsia" w:eastAsia="宋体" w:cs="Times New Roman"/>
                <w:color w:val="auto"/>
                <w:sz w:val="21"/>
                <w:szCs w:val="21"/>
                <w:lang w:eastAsia="zh-CN"/>
              </w:rPr>
              <w:sym w:font="Wingdings 2" w:char="00A3"/>
            </w:r>
            <w:r>
              <w:rPr>
                <w:rFonts w:hint="eastAsia" w:eastAsia="宋体" w:cs="Times New Roman"/>
                <w:color w:val="auto"/>
                <w:sz w:val="21"/>
                <w:szCs w:val="21"/>
                <w:lang w:eastAsia="zh-CN"/>
              </w:rPr>
              <w:t>；表</w:t>
            </w:r>
            <w:r>
              <w:rPr>
                <w:rFonts w:hint="eastAsia" w:eastAsia="宋体" w:cs="Times New Roman"/>
                <w:color w:val="auto"/>
                <w:sz w:val="21"/>
                <w:szCs w:val="21"/>
                <w:lang w:val="en-US" w:eastAsia="zh-CN"/>
              </w:rPr>
              <w:t>D.2</w:t>
            </w:r>
            <w:r>
              <w:rPr>
                <w:rFonts w:hint="eastAsia" w:eastAsia="宋体" w:cs="Times New Roman"/>
                <w:color w:val="auto"/>
                <w:sz w:val="21"/>
                <w:szCs w:val="21"/>
                <w:lang w:eastAsia="zh-CN"/>
              </w:rPr>
              <w:sym w:font="Wingdings 2" w:char="00A3"/>
            </w:r>
            <w:r>
              <w:rPr>
                <w:rFonts w:hint="eastAsia" w:eastAsia="宋体" w:cs="Times New Roman"/>
                <w:color w:val="auto"/>
                <w:sz w:val="21"/>
                <w:szCs w:val="21"/>
                <w:lang w:eastAsia="zh-CN"/>
              </w:rPr>
              <w:t>；其他（</w:t>
            </w:r>
            <w:r>
              <w:rPr>
                <w:rFonts w:hint="eastAsia" w:eastAsia="宋体" w:cs="Times New Roman"/>
                <w:color w:val="auto"/>
                <w:sz w:val="21"/>
                <w:szCs w:val="21"/>
                <w:lang w:val="en-US" w:eastAsia="zh-CN"/>
              </w:rPr>
              <w:t xml:space="preserve">   </w:t>
            </w:r>
            <w:r>
              <w:rPr>
                <w:rFonts w:hint="eastAsia" w:eastAsia="宋体" w:cs="Times New Roman"/>
                <w:color w:val="auto"/>
                <w:sz w:val="21"/>
                <w:szCs w:val="21"/>
                <w:lang w:eastAsia="zh-CN"/>
              </w:rPr>
              <w:t>）</w:t>
            </w:r>
          </w:p>
        </w:tc>
        <w:tc>
          <w:tcPr>
            <w:tcW w:w="1029" w:type="dxa"/>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582" w:type="dxa"/>
            <w:vMerge w:val="continue"/>
            <w:noWrap w:val="0"/>
            <w:vAlign w:val="center"/>
          </w:tcPr>
          <w:p>
            <w:pPr>
              <w:pStyle w:val="124"/>
              <w:snapToGrid w:val="0"/>
              <w:spacing w:line="240" w:lineRule="auto"/>
              <w:ind w:firstLine="0"/>
              <w:jc w:val="center"/>
              <w:textAlignment w:val="auto"/>
              <w:rPr>
                <w:rFonts w:ascii="Times New Roman" w:hAnsi="Times New Roman" w:eastAsia="宋体" w:cs="Times New Roman"/>
                <w:color w:val="auto"/>
                <w:sz w:val="21"/>
                <w:szCs w:val="21"/>
              </w:rPr>
            </w:pPr>
          </w:p>
        </w:tc>
        <w:tc>
          <w:tcPr>
            <w:tcW w:w="1582" w:type="dxa"/>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r>
              <w:rPr>
                <w:rFonts w:hint="eastAsia" w:eastAsia="宋体" w:cs="Times New Roman"/>
                <w:color w:val="auto"/>
                <w:sz w:val="21"/>
                <w:szCs w:val="21"/>
                <w:lang w:eastAsia="zh-CN"/>
              </w:rPr>
              <w:t>现状评价结论</w:t>
            </w:r>
          </w:p>
        </w:tc>
        <w:tc>
          <w:tcPr>
            <w:tcW w:w="6027" w:type="dxa"/>
            <w:gridSpan w:val="7"/>
            <w:noWrap w:val="0"/>
            <w:vAlign w:val="center"/>
          </w:tcPr>
          <w:p>
            <w:pPr>
              <w:pStyle w:val="124"/>
              <w:snapToGrid w:val="0"/>
              <w:spacing w:line="240" w:lineRule="auto"/>
              <w:ind w:firstLine="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土壤现状达标</w:t>
            </w:r>
          </w:p>
        </w:tc>
        <w:tc>
          <w:tcPr>
            <w:tcW w:w="1029" w:type="dxa"/>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82" w:type="dxa"/>
            <w:vMerge w:val="restart"/>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lang w:eastAsia="zh-CN"/>
              </w:rPr>
            </w:pPr>
            <w:r>
              <w:rPr>
                <w:rFonts w:hint="eastAsia" w:eastAsia="宋体" w:cs="Times New Roman"/>
                <w:color w:val="auto"/>
                <w:sz w:val="21"/>
                <w:szCs w:val="21"/>
                <w:lang w:eastAsia="zh-CN"/>
              </w:rPr>
              <w:t>影响预测</w:t>
            </w:r>
          </w:p>
        </w:tc>
        <w:tc>
          <w:tcPr>
            <w:tcW w:w="1582" w:type="dxa"/>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r>
              <w:rPr>
                <w:rFonts w:hint="eastAsia" w:eastAsia="宋体" w:cs="Times New Roman"/>
                <w:color w:val="auto"/>
                <w:sz w:val="21"/>
                <w:szCs w:val="21"/>
                <w:lang w:eastAsia="zh-CN"/>
              </w:rPr>
              <w:t>预测因子</w:t>
            </w:r>
          </w:p>
        </w:tc>
        <w:tc>
          <w:tcPr>
            <w:tcW w:w="6027" w:type="dxa"/>
            <w:gridSpan w:val="7"/>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w:t>
            </w:r>
          </w:p>
        </w:tc>
        <w:tc>
          <w:tcPr>
            <w:tcW w:w="1029" w:type="dxa"/>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82" w:type="dxa"/>
            <w:vMerge w:val="continue"/>
            <w:noWrap w:val="0"/>
            <w:vAlign w:val="center"/>
          </w:tcPr>
          <w:p>
            <w:pPr>
              <w:pStyle w:val="124"/>
              <w:snapToGrid w:val="0"/>
              <w:spacing w:line="240" w:lineRule="auto"/>
              <w:ind w:firstLine="0"/>
              <w:jc w:val="center"/>
              <w:textAlignment w:val="auto"/>
              <w:rPr>
                <w:rFonts w:ascii="Times New Roman" w:hAnsi="Times New Roman" w:eastAsia="宋体" w:cs="Times New Roman"/>
                <w:color w:val="auto"/>
                <w:sz w:val="21"/>
                <w:szCs w:val="21"/>
              </w:rPr>
            </w:pPr>
          </w:p>
        </w:tc>
        <w:tc>
          <w:tcPr>
            <w:tcW w:w="1582" w:type="dxa"/>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r>
              <w:rPr>
                <w:rFonts w:hint="eastAsia" w:eastAsia="宋体" w:cs="Times New Roman"/>
                <w:color w:val="auto"/>
                <w:sz w:val="21"/>
                <w:szCs w:val="21"/>
                <w:lang w:eastAsia="zh-CN"/>
              </w:rPr>
              <w:t>预测方法</w:t>
            </w:r>
          </w:p>
        </w:tc>
        <w:tc>
          <w:tcPr>
            <w:tcW w:w="6027" w:type="dxa"/>
            <w:gridSpan w:val="7"/>
            <w:noWrap w:val="0"/>
            <w:vAlign w:val="center"/>
          </w:tcPr>
          <w:p>
            <w:pPr>
              <w:pStyle w:val="124"/>
              <w:snapToGrid w:val="0"/>
              <w:spacing w:line="240" w:lineRule="auto"/>
              <w:ind w:firstLine="0"/>
              <w:jc w:val="left"/>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eastAsia="zh-CN"/>
              </w:rPr>
              <w:t>附录</w:t>
            </w:r>
            <w:r>
              <w:rPr>
                <w:rFonts w:hint="eastAsia" w:eastAsia="宋体" w:cs="Times New Roman"/>
                <w:color w:val="auto"/>
                <w:sz w:val="21"/>
                <w:szCs w:val="21"/>
                <w:lang w:val="en-US" w:eastAsia="zh-CN"/>
              </w:rPr>
              <w:t>E</w:t>
            </w:r>
            <w:r>
              <w:rPr>
                <w:rFonts w:hint="eastAsia" w:eastAsia="宋体" w:cs="Times New Roman"/>
                <w:color w:val="auto"/>
                <w:sz w:val="21"/>
                <w:szCs w:val="21"/>
                <w:lang w:eastAsia="zh-CN"/>
              </w:rPr>
              <w:sym w:font="Wingdings 2" w:char="00A3"/>
            </w:r>
            <w:r>
              <w:rPr>
                <w:rFonts w:hint="eastAsia" w:eastAsia="宋体" w:cs="Times New Roman"/>
                <w:color w:val="auto"/>
                <w:sz w:val="21"/>
                <w:szCs w:val="21"/>
                <w:lang w:eastAsia="zh-CN"/>
              </w:rPr>
              <w:t>；附录</w:t>
            </w:r>
            <w:r>
              <w:rPr>
                <w:rFonts w:hint="eastAsia" w:eastAsia="宋体" w:cs="Times New Roman"/>
                <w:color w:val="auto"/>
                <w:sz w:val="21"/>
                <w:szCs w:val="21"/>
                <w:lang w:val="en-US" w:eastAsia="zh-CN"/>
              </w:rPr>
              <w:t>F</w:t>
            </w:r>
            <w:r>
              <w:rPr>
                <w:rFonts w:hint="eastAsia" w:eastAsia="宋体" w:cs="Times New Roman"/>
                <w:color w:val="auto"/>
                <w:sz w:val="21"/>
                <w:szCs w:val="21"/>
                <w:lang w:eastAsia="zh-CN"/>
              </w:rPr>
              <w:sym w:font="Wingdings 2" w:char="00A3"/>
            </w:r>
            <w:r>
              <w:rPr>
                <w:rFonts w:hint="eastAsia" w:eastAsia="宋体" w:cs="Times New Roman"/>
                <w:color w:val="auto"/>
                <w:sz w:val="21"/>
                <w:szCs w:val="21"/>
                <w:lang w:eastAsia="zh-CN"/>
              </w:rPr>
              <w:t>；其他（</w:t>
            </w:r>
            <w:r>
              <w:rPr>
                <w:rFonts w:hint="eastAsia" w:eastAsia="宋体" w:cs="Times New Roman"/>
                <w:color w:val="auto"/>
                <w:sz w:val="21"/>
                <w:szCs w:val="21"/>
                <w:lang w:val="en-US" w:eastAsia="zh-CN"/>
              </w:rPr>
              <w:t xml:space="preserve">   </w:t>
            </w:r>
            <w:r>
              <w:rPr>
                <w:rFonts w:hint="eastAsia" w:eastAsia="宋体" w:cs="Times New Roman"/>
                <w:color w:val="auto"/>
                <w:sz w:val="21"/>
                <w:szCs w:val="21"/>
                <w:lang w:eastAsia="zh-CN"/>
              </w:rPr>
              <w:t>）</w:t>
            </w:r>
          </w:p>
        </w:tc>
        <w:tc>
          <w:tcPr>
            <w:tcW w:w="1029" w:type="dxa"/>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82" w:type="dxa"/>
            <w:vMerge w:val="continue"/>
            <w:noWrap w:val="0"/>
            <w:vAlign w:val="center"/>
          </w:tcPr>
          <w:p>
            <w:pPr>
              <w:pStyle w:val="124"/>
              <w:snapToGrid w:val="0"/>
              <w:spacing w:line="240" w:lineRule="auto"/>
              <w:ind w:firstLine="0"/>
              <w:jc w:val="center"/>
              <w:textAlignment w:val="auto"/>
              <w:rPr>
                <w:rFonts w:ascii="Times New Roman" w:hAnsi="Times New Roman" w:eastAsia="宋体" w:cs="Times New Roman"/>
                <w:color w:val="auto"/>
                <w:sz w:val="21"/>
                <w:szCs w:val="21"/>
              </w:rPr>
            </w:pPr>
          </w:p>
        </w:tc>
        <w:tc>
          <w:tcPr>
            <w:tcW w:w="1582" w:type="dxa"/>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r>
              <w:rPr>
                <w:rFonts w:hint="eastAsia" w:eastAsia="宋体" w:cs="Times New Roman"/>
                <w:color w:val="auto"/>
                <w:sz w:val="21"/>
                <w:szCs w:val="21"/>
                <w:lang w:eastAsia="zh-CN"/>
              </w:rPr>
              <w:t>预测分析内容</w:t>
            </w:r>
          </w:p>
        </w:tc>
        <w:tc>
          <w:tcPr>
            <w:tcW w:w="6027" w:type="dxa"/>
            <w:gridSpan w:val="7"/>
            <w:noWrap w:val="0"/>
            <w:vAlign w:val="center"/>
          </w:tcPr>
          <w:p>
            <w:pPr>
              <w:pStyle w:val="124"/>
              <w:snapToGrid w:val="0"/>
              <w:spacing w:line="240" w:lineRule="auto"/>
              <w:ind w:firstLine="0"/>
              <w:jc w:val="left"/>
              <w:textAlignment w:val="auto"/>
              <w:rPr>
                <w:rFonts w:hint="eastAsia" w:eastAsia="宋体" w:cs="Times New Roman"/>
                <w:color w:val="auto"/>
                <w:sz w:val="21"/>
                <w:szCs w:val="21"/>
                <w:lang w:eastAsia="zh-CN"/>
              </w:rPr>
            </w:pPr>
            <w:r>
              <w:rPr>
                <w:rFonts w:hint="eastAsia" w:eastAsia="宋体" w:cs="Times New Roman"/>
                <w:color w:val="auto"/>
                <w:sz w:val="21"/>
                <w:szCs w:val="21"/>
                <w:lang w:eastAsia="zh-CN"/>
              </w:rPr>
              <w:t>影响范围（</w:t>
            </w:r>
            <w:r>
              <w:rPr>
                <w:rFonts w:hint="eastAsia" w:eastAsia="宋体" w:cs="Times New Roman"/>
                <w:color w:val="auto"/>
                <w:sz w:val="21"/>
                <w:szCs w:val="21"/>
                <w:lang w:val="en-US" w:eastAsia="zh-CN"/>
              </w:rPr>
              <w:t xml:space="preserve">      </w:t>
            </w:r>
            <w:r>
              <w:rPr>
                <w:rFonts w:hint="eastAsia" w:eastAsia="宋体" w:cs="Times New Roman"/>
                <w:color w:val="auto"/>
                <w:sz w:val="21"/>
                <w:szCs w:val="21"/>
                <w:lang w:eastAsia="zh-CN"/>
              </w:rPr>
              <w:t>）</w:t>
            </w:r>
          </w:p>
          <w:p>
            <w:pPr>
              <w:pStyle w:val="124"/>
              <w:snapToGrid w:val="0"/>
              <w:spacing w:line="240" w:lineRule="auto"/>
              <w:ind w:firstLine="0"/>
              <w:jc w:val="left"/>
              <w:textAlignment w:val="auto"/>
              <w:rPr>
                <w:rFonts w:hint="eastAsia" w:ascii="Times New Roman" w:hAnsi="Times New Roman" w:eastAsia="宋体" w:cs="Times New Roman"/>
                <w:color w:val="auto"/>
                <w:sz w:val="21"/>
                <w:szCs w:val="21"/>
                <w:lang w:eastAsia="zh-CN"/>
              </w:rPr>
            </w:pPr>
            <w:r>
              <w:rPr>
                <w:rFonts w:hint="eastAsia" w:eastAsia="宋体" w:cs="Times New Roman"/>
                <w:color w:val="auto"/>
                <w:sz w:val="21"/>
                <w:szCs w:val="21"/>
                <w:lang w:eastAsia="zh-CN"/>
              </w:rPr>
              <w:t>影响程度（</w:t>
            </w:r>
            <w:r>
              <w:rPr>
                <w:rFonts w:hint="eastAsia" w:eastAsia="宋体" w:cs="Times New Roman"/>
                <w:color w:val="auto"/>
                <w:sz w:val="21"/>
                <w:szCs w:val="21"/>
                <w:lang w:val="en-US" w:eastAsia="zh-CN"/>
              </w:rPr>
              <w:t xml:space="preserve">      </w:t>
            </w:r>
            <w:r>
              <w:rPr>
                <w:rFonts w:hint="eastAsia" w:eastAsia="宋体" w:cs="Times New Roman"/>
                <w:color w:val="auto"/>
                <w:sz w:val="21"/>
                <w:szCs w:val="21"/>
                <w:lang w:eastAsia="zh-CN"/>
              </w:rPr>
              <w:t>）</w:t>
            </w:r>
          </w:p>
        </w:tc>
        <w:tc>
          <w:tcPr>
            <w:tcW w:w="1029" w:type="dxa"/>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82" w:type="dxa"/>
            <w:vMerge w:val="continue"/>
            <w:noWrap w:val="0"/>
            <w:vAlign w:val="center"/>
          </w:tcPr>
          <w:p>
            <w:pPr>
              <w:pStyle w:val="124"/>
              <w:snapToGrid w:val="0"/>
              <w:spacing w:line="240" w:lineRule="auto"/>
              <w:ind w:firstLine="0"/>
              <w:jc w:val="center"/>
              <w:textAlignment w:val="auto"/>
              <w:rPr>
                <w:rFonts w:ascii="Times New Roman" w:hAnsi="Times New Roman" w:eastAsia="宋体" w:cs="Times New Roman"/>
                <w:color w:val="auto"/>
                <w:sz w:val="21"/>
                <w:szCs w:val="21"/>
              </w:rPr>
            </w:pPr>
          </w:p>
        </w:tc>
        <w:tc>
          <w:tcPr>
            <w:tcW w:w="1582" w:type="dxa"/>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r>
              <w:rPr>
                <w:rFonts w:hint="eastAsia" w:eastAsia="宋体" w:cs="Times New Roman"/>
                <w:color w:val="auto"/>
                <w:sz w:val="21"/>
                <w:szCs w:val="21"/>
                <w:lang w:eastAsia="zh-CN"/>
              </w:rPr>
              <w:t>预测结论</w:t>
            </w:r>
          </w:p>
        </w:tc>
        <w:tc>
          <w:tcPr>
            <w:tcW w:w="6027" w:type="dxa"/>
            <w:gridSpan w:val="7"/>
            <w:noWrap w:val="0"/>
            <w:vAlign w:val="center"/>
          </w:tcPr>
          <w:p>
            <w:pPr>
              <w:pStyle w:val="124"/>
              <w:snapToGrid w:val="0"/>
              <w:spacing w:line="240" w:lineRule="auto"/>
              <w:ind w:firstLine="0"/>
              <w:jc w:val="left"/>
              <w:textAlignment w:val="auto"/>
              <w:rPr>
                <w:rFonts w:hint="eastAsia" w:eastAsia="宋体" w:cs="Times New Roman"/>
                <w:color w:val="auto"/>
                <w:sz w:val="21"/>
                <w:szCs w:val="21"/>
                <w:lang w:eastAsia="zh-CN"/>
              </w:rPr>
            </w:pPr>
            <w:r>
              <w:rPr>
                <w:rFonts w:hint="eastAsia" w:eastAsia="宋体" w:cs="Times New Roman"/>
                <w:color w:val="auto"/>
                <w:sz w:val="21"/>
                <w:szCs w:val="21"/>
                <w:lang w:eastAsia="zh-CN"/>
              </w:rPr>
              <w:t>达标结论：</w:t>
            </w:r>
            <w:r>
              <w:rPr>
                <w:rFonts w:hint="eastAsia" w:eastAsia="宋体" w:cs="Times New Roman"/>
                <w:color w:val="auto"/>
                <w:sz w:val="21"/>
                <w:szCs w:val="21"/>
                <w:lang w:val="en-US" w:eastAsia="zh-CN"/>
              </w:rPr>
              <w:t>a）</w:t>
            </w:r>
            <w:r>
              <w:rPr>
                <w:rFonts w:hint="eastAsia" w:eastAsia="宋体" w:cs="Times New Roman"/>
                <w:color w:val="auto"/>
                <w:sz w:val="21"/>
                <w:szCs w:val="21"/>
                <w:lang w:eastAsia="zh-CN"/>
              </w:rPr>
              <w:sym w:font="Wingdings 2" w:char="00A3"/>
            </w:r>
            <w:r>
              <w:rPr>
                <w:rFonts w:hint="eastAsia" w:eastAsia="宋体" w:cs="Times New Roman"/>
                <w:color w:val="auto"/>
                <w:sz w:val="21"/>
                <w:szCs w:val="21"/>
                <w:lang w:eastAsia="zh-CN"/>
              </w:rPr>
              <w:t>；</w:t>
            </w:r>
            <w:r>
              <w:rPr>
                <w:rFonts w:hint="eastAsia" w:eastAsia="宋体" w:cs="Times New Roman"/>
                <w:color w:val="auto"/>
                <w:sz w:val="21"/>
                <w:szCs w:val="21"/>
                <w:lang w:val="en-US" w:eastAsia="zh-CN"/>
              </w:rPr>
              <w:t>b）</w:t>
            </w:r>
            <w:r>
              <w:rPr>
                <w:rFonts w:hint="eastAsia" w:eastAsia="宋体" w:cs="Times New Roman"/>
                <w:color w:val="auto"/>
                <w:sz w:val="21"/>
                <w:szCs w:val="21"/>
                <w:lang w:eastAsia="zh-CN"/>
              </w:rPr>
              <w:sym w:font="Wingdings 2" w:char="00A3"/>
            </w:r>
            <w:r>
              <w:rPr>
                <w:rFonts w:hint="eastAsia" w:eastAsia="宋体" w:cs="Times New Roman"/>
                <w:color w:val="auto"/>
                <w:sz w:val="21"/>
                <w:szCs w:val="21"/>
                <w:lang w:eastAsia="zh-CN"/>
              </w:rPr>
              <w:t>；</w:t>
            </w:r>
            <w:r>
              <w:rPr>
                <w:rFonts w:hint="eastAsia" w:eastAsia="宋体" w:cs="Times New Roman"/>
                <w:color w:val="auto"/>
                <w:sz w:val="21"/>
                <w:szCs w:val="21"/>
                <w:lang w:val="en-US" w:eastAsia="zh-CN"/>
              </w:rPr>
              <w:t>c）</w:t>
            </w:r>
            <w:r>
              <w:rPr>
                <w:rFonts w:hint="eastAsia" w:eastAsia="宋体" w:cs="Times New Roman"/>
                <w:color w:val="auto"/>
                <w:sz w:val="21"/>
                <w:szCs w:val="21"/>
                <w:lang w:eastAsia="zh-CN"/>
              </w:rPr>
              <w:sym w:font="Wingdings 2" w:char="00A3"/>
            </w:r>
          </w:p>
          <w:p>
            <w:pPr>
              <w:pStyle w:val="124"/>
              <w:snapToGrid w:val="0"/>
              <w:spacing w:line="240" w:lineRule="auto"/>
              <w:ind w:firstLine="0"/>
              <w:jc w:val="left"/>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eastAsia="zh-CN"/>
              </w:rPr>
              <w:t>不达标结论：</w:t>
            </w:r>
            <w:r>
              <w:rPr>
                <w:rFonts w:hint="eastAsia" w:eastAsia="宋体" w:cs="Times New Roman"/>
                <w:color w:val="auto"/>
                <w:sz w:val="21"/>
                <w:szCs w:val="21"/>
                <w:lang w:val="en-US" w:eastAsia="zh-CN"/>
              </w:rPr>
              <w:t>a）</w:t>
            </w:r>
            <w:r>
              <w:rPr>
                <w:rFonts w:hint="eastAsia" w:eastAsia="宋体" w:cs="Times New Roman"/>
                <w:color w:val="auto"/>
                <w:sz w:val="21"/>
                <w:szCs w:val="21"/>
                <w:lang w:eastAsia="zh-CN"/>
              </w:rPr>
              <w:sym w:font="Wingdings 2" w:char="00A3"/>
            </w:r>
            <w:r>
              <w:rPr>
                <w:rFonts w:hint="eastAsia" w:eastAsia="宋体" w:cs="Times New Roman"/>
                <w:color w:val="auto"/>
                <w:sz w:val="21"/>
                <w:szCs w:val="21"/>
                <w:lang w:eastAsia="zh-CN"/>
              </w:rPr>
              <w:t>；</w:t>
            </w:r>
            <w:r>
              <w:rPr>
                <w:rFonts w:hint="eastAsia" w:eastAsia="宋体" w:cs="Times New Roman"/>
                <w:color w:val="auto"/>
                <w:sz w:val="21"/>
                <w:szCs w:val="21"/>
                <w:lang w:val="en-US" w:eastAsia="zh-CN"/>
              </w:rPr>
              <w:t>b）</w:t>
            </w:r>
            <w:r>
              <w:rPr>
                <w:rFonts w:hint="eastAsia" w:eastAsia="宋体" w:cs="Times New Roman"/>
                <w:color w:val="auto"/>
                <w:sz w:val="21"/>
                <w:szCs w:val="21"/>
                <w:lang w:eastAsia="zh-CN"/>
              </w:rPr>
              <w:sym w:font="Wingdings 2" w:char="00A3"/>
            </w:r>
          </w:p>
        </w:tc>
        <w:tc>
          <w:tcPr>
            <w:tcW w:w="1029" w:type="dxa"/>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82" w:type="dxa"/>
            <w:vMerge w:val="restart"/>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lang w:eastAsia="zh-CN"/>
              </w:rPr>
            </w:pPr>
            <w:r>
              <w:rPr>
                <w:rFonts w:hint="eastAsia" w:eastAsia="宋体" w:cs="Times New Roman"/>
                <w:color w:val="auto"/>
                <w:sz w:val="21"/>
                <w:szCs w:val="21"/>
                <w:lang w:eastAsia="zh-CN"/>
              </w:rPr>
              <w:t>防治措施</w:t>
            </w:r>
          </w:p>
        </w:tc>
        <w:tc>
          <w:tcPr>
            <w:tcW w:w="1582" w:type="dxa"/>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r>
              <w:rPr>
                <w:rFonts w:hint="eastAsia" w:eastAsia="宋体" w:cs="Times New Roman"/>
                <w:color w:val="auto"/>
                <w:sz w:val="21"/>
                <w:szCs w:val="21"/>
                <w:lang w:eastAsia="zh-CN"/>
              </w:rPr>
              <w:t>防控措施</w:t>
            </w:r>
          </w:p>
        </w:tc>
        <w:tc>
          <w:tcPr>
            <w:tcW w:w="6027" w:type="dxa"/>
            <w:gridSpan w:val="7"/>
            <w:noWrap w:val="0"/>
            <w:vAlign w:val="center"/>
          </w:tcPr>
          <w:p>
            <w:pPr>
              <w:pStyle w:val="124"/>
              <w:snapToGrid w:val="0"/>
              <w:spacing w:line="240" w:lineRule="auto"/>
              <w:ind w:firstLine="0"/>
              <w:jc w:val="left"/>
              <w:textAlignment w:val="auto"/>
              <w:rPr>
                <w:rFonts w:hint="eastAsia" w:eastAsia="宋体" w:cs="Times New Roman"/>
                <w:color w:val="auto"/>
                <w:sz w:val="21"/>
                <w:szCs w:val="21"/>
                <w:lang w:eastAsia="zh-CN"/>
              </w:rPr>
            </w:pPr>
            <w:r>
              <w:rPr>
                <w:rFonts w:hint="eastAsia" w:eastAsia="宋体" w:cs="Times New Roman"/>
                <w:color w:val="auto"/>
                <w:sz w:val="21"/>
                <w:szCs w:val="21"/>
                <w:lang w:eastAsia="zh-CN"/>
              </w:rPr>
              <w:t>土壤环境质量现状保障</w:t>
            </w:r>
            <w:r>
              <w:rPr>
                <w:rFonts w:hint="eastAsia" w:eastAsia="宋体" w:cs="Times New Roman"/>
                <w:color w:val="auto"/>
                <w:sz w:val="21"/>
                <w:szCs w:val="21"/>
                <w:lang w:eastAsia="zh-CN"/>
              </w:rPr>
              <w:sym w:font="Wingdings 2" w:char="0052"/>
            </w:r>
            <w:r>
              <w:rPr>
                <w:rFonts w:hint="eastAsia" w:eastAsia="宋体" w:cs="Times New Roman"/>
                <w:color w:val="auto"/>
                <w:sz w:val="21"/>
                <w:szCs w:val="21"/>
                <w:lang w:eastAsia="zh-CN"/>
              </w:rPr>
              <w:t>；源头控制</w:t>
            </w:r>
            <w:r>
              <w:rPr>
                <w:rFonts w:hint="eastAsia" w:eastAsia="宋体" w:cs="Times New Roman"/>
                <w:color w:val="auto"/>
                <w:sz w:val="21"/>
                <w:szCs w:val="21"/>
                <w:lang w:eastAsia="zh-CN"/>
              </w:rPr>
              <w:sym w:font="Wingdings 2" w:char="0052"/>
            </w:r>
            <w:r>
              <w:rPr>
                <w:rFonts w:hint="eastAsia" w:eastAsia="宋体" w:cs="Times New Roman"/>
                <w:color w:val="auto"/>
                <w:sz w:val="21"/>
                <w:szCs w:val="21"/>
                <w:lang w:eastAsia="zh-CN"/>
              </w:rPr>
              <w:t>；过程防控</w:t>
            </w:r>
            <w:r>
              <w:rPr>
                <w:rFonts w:hint="eastAsia" w:eastAsia="宋体" w:cs="Times New Roman"/>
                <w:color w:val="auto"/>
                <w:sz w:val="21"/>
                <w:szCs w:val="21"/>
                <w:lang w:eastAsia="zh-CN"/>
              </w:rPr>
              <w:sym w:font="Wingdings 2" w:char="0052"/>
            </w:r>
            <w:r>
              <w:rPr>
                <w:rFonts w:hint="eastAsia" w:eastAsia="宋体" w:cs="Times New Roman"/>
                <w:color w:val="auto"/>
                <w:sz w:val="21"/>
                <w:szCs w:val="21"/>
                <w:lang w:eastAsia="zh-CN"/>
              </w:rPr>
              <w:t>；其他（</w:t>
            </w:r>
            <w:r>
              <w:rPr>
                <w:rFonts w:hint="eastAsia" w:eastAsia="宋体" w:cs="Times New Roman"/>
                <w:color w:val="auto"/>
                <w:sz w:val="21"/>
                <w:szCs w:val="21"/>
                <w:lang w:val="en-US" w:eastAsia="zh-CN"/>
              </w:rPr>
              <w:t xml:space="preserve">    </w:t>
            </w:r>
            <w:r>
              <w:rPr>
                <w:rFonts w:hint="eastAsia" w:eastAsia="宋体" w:cs="Times New Roman"/>
                <w:color w:val="auto"/>
                <w:sz w:val="21"/>
                <w:szCs w:val="21"/>
                <w:lang w:eastAsia="zh-CN"/>
              </w:rPr>
              <w:t>）</w:t>
            </w:r>
          </w:p>
        </w:tc>
        <w:tc>
          <w:tcPr>
            <w:tcW w:w="1029" w:type="dxa"/>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82" w:type="dxa"/>
            <w:vMerge w:val="continue"/>
            <w:noWrap w:val="0"/>
            <w:vAlign w:val="center"/>
          </w:tcPr>
          <w:p>
            <w:pPr>
              <w:pStyle w:val="124"/>
              <w:snapToGrid w:val="0"/>
              <w:spacing w:line="240" w:lineRule="auto"/>
              <w:ind w:firstLine="0"/>
              <w:jc w:val="center"/>
              <w:textAlignment w:val="auto"/>
              <w:rPr>
                <w:rFonts w:ascii="Times New Roman" w:hAnsi="Times New Roman" w:eastAsia="宋体" w:cs="Times New Roman"/>
                <w:color w:val="auto"/>
                <w:sz w:val="21"/>
                <w:szCs w:val="21"/>
              </w:rPr>
            </w:pPr>
          </w:p>
        </w:tc>
        <w:tc>
          <w:tcPr>
            <w:tcW w:w="1582" w:type="dxa"/>
            <w:vMerge w:val="restart"/>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r>
              <w:rPr>
                <w:rFonts w:hint="eastAsia" w:eastAsia="宋体" w:cs="Times New Roman"/>
                <w:color w:val="auto"/>
                <w:sz w:val="21"/>
                <w:szCs w:val="21"/>
                <w:lang w:eastAsia="zh-CN"/>
              </w:rPr>
              <w:t>跟踪监测</w:t>
            </w:r>
          </w:p>
        </w:tc>
        <w:tc>
          <w:tcPr>
            <w:tcW w:w="3208" w:type="dxa"/>
            <w:gridSpan w:val="2"/>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r>
              <w:rPr>
                <w:rFonts w:hint="eastAsia" w:eastAsia="宋体" w:cs="Times New Roman"/>
                <w:color w:val="auto"/>
                <w:sz w:val="21"/>
                <w:szCs w:val="21"/>
                <w:lang w:eastAsia="zh-CN"/>
              </w:rPr>
              <w:t>监测点数</w:t>
            </w:r>
          </w:p>
        </w:tc>
        <w:tc>
          <w:tcPr>
            <w:tcW w:w="1375" w:type="dxa"/>
            <w:gridSpan w:val="2"/>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r>
              <w:rPr>
                <w:rFonts w:hint="eastAsia" w:eastAsia="宋体" w:cs="Times New Roman"/>
                <w:color w:val="auto"/>
                <w:sz w:val="21"/>
                <w:szCs w:val="21"/>
                <w:lang w:eastAsia="zh-CN"/>
              </w:rPr>
              <w:t>监测指标</w:t>
            </w:r>
          </w:p>
        </w:tc>
        <w:tc>
          <w:tcPr>
            <w:tcW w:w="1444" w:type="dxa"/>
            <w:gridSpan w:val="3"/>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r>
              <w:rPr>
                <w:rFonts w:hint="eastAsia" w:eastAsia="宋体" w:cs="Times New Roman"/>
                <w:color w:val="auto"/>
                <w:sz w:val="21"/>
                <w:szCs w:val="21"/>
                <w:lang w:eastAsia="zh-CN"/>
              </w:rPr>
              <w:t>监测频次</w:t>
            </w:r>
          </w:p>
        </w:tc>
        <w:tc>
          <w:tcPr>
            <w:tcW w:w="1029" w:type="dxa"/>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82" w:type="dxa"/>
            <w:vMerge w:val="continue"/>
            <w:noWrap w:val="0"/>
            <w:vAlign w:val="center"/>
          </w:tcPr>
          <w:p>
            <w:pPr>
              <w:pStyle w:val="124"/>
              <w:snapToGrid w:val="0"/>
              <w:spacing w:line="240" w:lineRule="auto"/>
              <w:ind w:firstLine="0"/>
              <w:jc w:val="center"/>
              <w:textAlignment w:val="auto"/>
              <w:rPr>
                <w:rFonts w:ascii="Times New Roman" w:hAnsi="Times New Roman" w:eastAsia="宋体" w:cs="Times New Roman"/>
                <w:color w:val="auto"/>
                <w:sz w:val="21"/>
                <w:szCs w:val="21"/>
              </w:rPr>
            </w:pPr>
          </w:p>
        </w:tc>
        <w:tc>
          <w:tcPr>
            <w:tcW w:w="1582" w:type="dxa"/>
            <w:vMerge w:val="continue"/>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p>
        </w:tc>
        <w:tc>
          <w:tcPr>
            <w:tcW w:w="3208" w:type="dxa"/>
            <w:gridSpan w:val="2"/>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p>
        </w:tc>
        <w:tc>
          <w:tcPr>
            <w:tcW w:w="1375" w:type="dxa"/>
            <w:gridSpan w:val="2"/>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p>
        </w:tc>
        <w:tc>
          <w:tcPr>
            <w:tcW w:w="1444" w:type="dxa"/>
            <w:gridSpan w:val="3"/>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p>
        </w:tc>
        <w:tc>
          <w:tcPr>
            <w:tcW w:w="1029" w:type="dxa"/>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82" w:type="dxa"/>
            <w:vMerge w:val="continue"/>
            <w:noWrap w:val="0"/>
            <w:vAlign w:val="center"/>
          </w:tcPr>
          <w:p>
            <w:pPr>
              <w:pStyle w:val="124"/>
              <w:snapToGrid w:val="0"/>
              <w:spacing w:line="240" w:lineRule="auto"/>
              <w:ind w:firstLine="0"/>
              <w:jc w:val="center"/>
              <w:textAlignment w:val="auto"/>
              <w:rPr>
                <w:rFonts w:ascii="Times New Roman" w:hAnsi="Times New Roman" w:eastAsia="宋体" w:cs="Times New Roman"/>
                <w:color w:val="auto"/>
                <w:sz w:val="21"/>
                <w:szCs w:val="21"/>
              </w:rPr>
            </w:pPr>
          </w:p>
        </w:tc>
        <w:tc>
          <w:tcPr>
            <w:tcW w:w="1582" w:type="dxa"/>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r>
              <w:rPr>
                <w:rFonts w:hint="eastAsia" w:eastAsia="宋体" w:cs="Times New Roman"/>
                <w:color w:val="auto"/>
                <w:sz w:val="21"/>
                <w:szCs w:val="21"/>
                <w:lang w:eastAsia="zh-CN"/>
              </w:rPr>
              <w:t>信息公开指标</w:t>
            </w:r>
          </w:p>
        </w:tc>
        <w:tc>
          <w:tcPr>
            <w:tcW w:w="6027" w:type="dxa"/>
            <w:gridSpan w:val="7"/>
            <w:noWrap w:val="0"/>
            <w:vAlign w:val="center"/>
          </w:tcPr>
          <w:p>
            <w:pPr>
              <w:pStyle w:val="124"/>
              <w:snapToGrid w:val="0"/>
              <w:spacing w:line="240" w:lineRule="auto"/>
              <w:ind w:firstLine="0"/>
              <w:jc w:val="left"/>
              <w:textAlignment w:val="auto"/>
              <w:rPr>
                <w:rFonts w:hint="eastAsia" w:eastAsia="宋体" w:cs="Times New Roman"/>
                <w:color w:val="auto"/>
                <w:sz w:val="21"/>
                <w:szCs w:val="21"/>
                <w:lang w:eastAsia="zh-CN"/>
              </w:rPr>
            </w:pPr>
          </w:p>
        </w:tc>
        <w:tc>
          <w:tcPr>
            <w:tcW w:w="1029" w:type="dxa"/>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164" w:type="dxa"/>
            <w:gridSpan w:val="2"/>
            <w:noWrap w:val="0"/>
            <w:vAlign w:val="center"/>
          </w:tcPr>
          <w:p>
            <w:pPr>
              <w:pStyle w:val="124"/>
              <w:snapToGrid w:val="0"/>
              <w:spacing w:line="240" w:lineRule="auto"/>
              <w:ind w:firstLine="0"/>
              <w:jc w:val="center"/>
              <w:textAlignment w:val="auto"/>
              <w:rPr>
                <w:rFonts w:hint="eastAsia" w:eastAsia="宋体" w:cs="Times New Roman"/>
                <w:color w:val="auto"/>
                <w:sz w:val="21"/>
                <w:szCs w:val="21"/>
                <w:lang w:eastAsia="zh-CN"/>
              </w:rPr>
            </w:pPr>
            <w:r>
              <w:rPr>
                <w:rFonts w:hint="eastAsia" w:eastAsia="宋体" w:cs="Times New Roman"/>
                <w:color w:val="auto"/>
                <w:sz w:val="21"/>
                <w:szCs w:val="21"/>
                <w:lang w:eastAsia="zh-CN"/>
              </w:rPr>
              <w:t>评价结论</w:t>
            </w:r>
          </w:p>
        </w:tc>
        <w:tc>
          <w:tcPr>
            <w:tcW w:w="6027" w:type="dxa"/>
            <w:gridSpan w:val="7"/>
            <w:noWrap w:val="0"/>
            <w:vAlign w:val="center"/>
          </w:tcPr>
          <w:p>
            <w:pPr>
              <w:pStyle w:val="124"/>
              <w:snapToGrid w:val="0"/>
              <w:spacing w:line="240" w:lineRule="auto"/>
              <w:ind w:firstLine="0"/>
              <w:jc w:val="left"/>
              <w:textAlignment w:val="auto"/>
              <w:rPr>
                <w:rFonts w:hint="eastAsia" w:eastAsia="宋体" w:cs="Times New Roman"/>
                <w:color w:val="auto"/>
                <w:sz w:val="21"/>
                <w:szCs w:val="21"/>
                <w:lang w:eastAsia="zh-CN"/>
              </w:rPr>
            </w:pPr>
          </w:p>
        </w:tc>
        <w:tc>
          <w:tcPr>
            <w:tcW w:w="1029" w:type="dxa"/>
            <w:noWrap w:val="0"/>
            <w:vAlign w:val="center"/>
          </w:tcPr>
          <w:p>
            <w:pPr>
              <w:pStyle w:val="124"/>
              <w:snapToGrid w:val="0"/>
              <w:spacing w:line="240" w:lineRule="auto"/>
              <w:ind w:firstLine="0"/>
              <w:jc w:val="center"/>
              <w:textAlignment w:val="auto"/>
              <w:rPr>
                <w:rFonts w:hint="eastAsia"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8190" w:type="dxa"/>
            <w:gridSpan w:val="8"/>
            <w:noWrap w:val="0"/>
            <w:vAlign w:val="center"/>
          </w:tcPr>
          <w:p>
            <w:pPr>
              <w:pStyle w:val="124"/>
              <w:snapToGrid w:val="0"/>
              <w:spacing w:line="240" w:lineRule="auto"/>
              <w:ind w:firstLine="396" w:firstLineChars="200"/>
              <w:textAlignment w:val="auto"/>
              <w:rPr>
                <w:rFonts w:hint="eastAsia" w:eastAsia="宋体" w:cs="Times New Roman"/>
                <w:color w:val="auto"/>
                <w:spacing w:val="-6"/>
                <w:sz w:val="21"/>
                <w:szCs w:val="21"/>
                <w:lang w:eastAsia="zh-CN"/>
              </w:rPr>
            </w:pPr>
            <w:r>
              <w:rPr>
                <w:rFonts w:hint="eastAsia" w:ascii="Times New Roman" w:hAnsi="Times New Roman" w:eastAsia="宋体" w:cs="Times New Roman"/>
                <w:color w:val="auto"/>
                <w:spacing w:val="-6"/>
                <w:sz w:val="21"/>
                <w:szCs w:val="21"/>
              </w:rPr>
              <w:t>注</w:t>
            </w:r>
            <w:r>
              <w:rPr>
                <w:rFonts w:hint="eastAsia" w:eastAsia="宋体" w:cs="Times New Roman"/>
                <w:color w:val="auto"/>
                <w:spacing w:val="-6"/>
                <w:sz w:val="21"/>
                <w:szCs w:val="21"/>
                <w:lang w:val="en-US" w:eastAsia="zh-CN"/>
              </w:rPr>
              <w:t>1：</w:t>
            </w:r>
            <w:r>
              <w:rPr>
                <w:rFonts w:hint="eastAsia" w:ascii="Times New Roman" w:hAnsi="Times New Roman" w:eastAsia="宋体" w:cs="Times New Roman"/>
                <w:color w:val="auto"/>
                <w:spacing w:val="-6"/>
                <w:sz w:val="21"/>
                <w:szCs w:val="21"/>
              </w:rPr>
              <w:t>“</w:t>
            </w:r>
            <w:r>
              <w:rPr>
                <w:rFonts w:hint="eastAsia" w:ascii="宋体" w:hAnsi="宋体" w:cs="Times New Roman"/>
                <w:color w:val="auto"/>
                <w:kern w:val="0"/>
                <w:sz w:val="21"/>
                <w:szCs w:val="21"/>
              </w:rPr>
              <w:t>□</w:t>
            </w:r>
            <w:r>
              <w:rPr>
                <w:rFonts w:hint="eastAsia" w:ascii="Times New Roman" w:hAnsi="Times New Roman" w:eastAsia="宋体" w:cs="Times New Roman"/>
                <w:color w:val="auto"/>
                <w:spacing w:val="-6"/>
                <w:sz w:val="21"/>
                <w:szCs w:val="21"/>
              </w:rPr>
              <w:t>”为勾选项，</w:t>
            </w:r>
            <w:r>
              <w:rPr>
                <w:rFonts w:hint="eastAsia" w:eastAsia="宋体" w:cs="Times New Roman"/>
                <w:color w:val="auto"/>
                <w:spacing w:val="-6"/>
                <w:sz w:val="21"/>
                <w:szCs w:val="21"/>
                <w:lang w:eastAsia="zh-CN"/>
              </w:rPr>
              <w:t>可</w:t>
            </w:r>
            <w:r>
              <w:rPr>
                <w:rFonts w:hint="eastAsia" w:ascii="Times New Roman" w:hAnsi="Times New Roman" w:eastAsia="宋体" w:cs="Times New Roman"/>
                <w:color w:val="auto"/>
                <w:spacing w:val="-6"/>
                <w:sz w:val="21"/>
                <w:szCs w:val="21"/>
              </w:rPr>
              <w:t xml:space="preserve">√；“（ </w:t>
            </w:r>
            <w:r>
              <w:rPr>
                <w:rFonts w:ascii="Times New Roman" w:hAnsi="Times New Roman" w:eastAsia="宋体" w:cs="Times New Roman"/>
                <w:color w:val="auto"/>
                <w:spacing w:val="-6"/>
                <w:sz w:val="21"/>
                <w:szCs w:val="21"/>
              </w:rPr>
              <w:t xml:space="preserve"> </w:t>
            </w:r>
            <w:r>
              <w:rPr>
                <w:rFonts w:hint="eastAsia" w:ascii="Times New Roman" w:hAnsi="Times New Roman" w:eastAsia="宋体" w:cs="Times New Roman"/>
                <w:color w:val="auto"/>
                <w:spacing w:val="-6"/>
                <w:sz w:val="21"/>
                <w:szCs w:val="21"/>
              </w:rPr>
              <w:t>）”为内容填写项</w:t>
            </w:r>
            <w:r>
              <w:rPr>
                <w:rFonts w:hint="eastAsia" w:eastAsia="宋体" w:cs="Times New Roman"/>
                <w:color w:val="auto"/>
                <w:spacing w:val="-6"/>
                <w:sz w:val="21"/>
                <w:szCs w:val="21"/>
                <w:lang w:eastAsia="zh-CN"/>
              </w:rPr>
              <w:t>；“备注”为其他补充内容。</w:t>
            </w:r>
          </w:p>
          <w:p>
            <w:pPr>
              <w:pStyle w:val="124"/>
              <w:snapToGrid w:val="0"/>
              <w:spacing w:line="240" w:lineRule="auto"/>
              <w:ind w:firstLine="396" w:firstLineChars="200"/>
              <w:textAlignment w:val="auto"/>
              <w:rPr>
                <w:rFonts w:hint="default" w:ascii="Times New Roman" w:hAnsi="Times New Roman" w:eastAsia="宋体" w:cs="Times New Roman"/>
                <w:color w:val="auto"/>
                <w:spacing w:val="-6"/>
                <w:sz w:val="21"/>
                <w:szCs w:val="21"/>
                <w:lang w:val="en-US" w:eastAsia="zh-CN"/>
              </w:rPr>
            </w:pPr>
            <w:r>
              <w:rPr>
                <w:rFonts w:hint="eastAsia" w:eastAsia="宋体" w:cs="Times New Roman"/>
                <w:color w:val="auto"/>
                <w:spacing w:val="-6"/>
                <w:sz w:val="21"/>
                <w:szCs w:val="21"/>
                <w:lang w:eastAsia="zh-CN"/>
              </w:rPr>
              <w:t>注</w:t>
            </w:r>
            <w:r>
              <w:rPr>
                <w:rFonts w:hint="eastAsia" w:eastAsia="宋体" w:cs="Times New Roman"/>
                <w:color w:val="auto"/>
                <w:spacing w:val="-6"/>
                <w:sz w:val="21"/>
                <w:szCs w:val="21"/>
                <w:lang w:val="en-US" w:eastAsia="zh-CN"/>
              </w:rPr>
              <w:t>2：需要分别开展土壤环境影响评级工作的，分别填写自查表。</w:t>
            </w:r>
          </w:p>
        </w:tc>
        <w:tc>
          <w:tcPr>
            <w:tcW w:w="1030" w:type="dxa"/>
            <w:gridSpan w:val="2"/>
            <w:noWrap w:val="0"/>
            <w:vAlign w:val="center"/>
          </w:tcPr>
          <w:p>
            <w:pPr>
              <w:pStyle w:val="124"/>
              <w:snapToGrid w:val="0"/>
              <w:spacing w:line="240" w:lineRule="auto"/>
              <w:ind w:firstLine="0"/>
              <w:textAlignment w:val="auto"/>
              <w:rPr>
                <w:rFonts w:hint="eastAsia" w:ascii="Times New Roman" w:hAnsi="Times New Roman" w:eastAsia="宋体" w:cs="Times New Roman"/>
                <w:color w:val="auto"/>
                <w:spacing w:val="-6"/>
                <w:sz w:val="21"/>
                <w:szCs w:val="21"/>
              </w:rPr>
            </w:pPr>
          </w:p>
        </w:tc>
      </w:tr>
    </w:tbl>
    <w:p>
      <w:pPr>
        <w:pStyle w:val="6"/>
        <w:adjustRightInd w:val="0"/>
        <w:snapToGrid w:val="0"/>
        <w:spacing w:before="0" w:after="0" w:line="360" w:lineRule="auto"/>
        <w:rPr>
          <w:rFonts w:ascii="Times New Roman" w:hAnsi="Times New Roman" w:eastAsia="宋体"/>
          <w:color w:val="auto"/>
          <w:sz w:val="28"/>
          <w:szCs w:val="28"/>
        </w:rPr>
      </w:pPr>
      <w:r>
        <w:rPr>
          <w:rFonts w:hint="eastAsia" w:ascii="Times New Roman" w:hAnsi="Times New Roman" w:eastAsia="宋体"/>
          <w:color w:val="auto"/>
          <w:sz w:val="28"/>
          <w:szCs w:val="28"/>
        </w:rPr>
        <w:t>5.2</w:t>
      </w:r>
      <w:r>
        <w:rPr>
          <w:rFonts w:ascii="Times New Roman" w:hAnsi="Times New Roman" w:eastAsia="宋体"/>
          <w:color w:val="auto"/>
          <w:sz w:val="28"/>
          <w:szCs w:val="28"/>
        </w:rPr>
        <w:t>.</w:t>
      </w:r>
      <w:r>
        <w:rPr>
          <w:rFonts w:hint="eastAsia" w:ascii="Times New Roman" w:hAnsi="Times New Roman" w:eastAsia="宋体"/>
          <w:color w:val="auto"/>
          <w:sz w:val="28"/>
          <w:szCs w:val="28"/>
          <w:lang w:val="en-US" w:eastAsia="zh-CN"/>
        </w:rPr>
        <w:t>7</w:t>
      </w:r>
      <w:r>
        <w:rPr>
          <w:rFonts w:ascii="Times New Roman" w:hAnsi="Times New Roman" w:eastAsia="宋体"/>
          <w:color w:val="auto"/>
          <w:sz w:val="28"/>
          <w:szCs w:val="28"/>
        </w:rPr>
        <w:t>运营期生态环境影响</w:t>
      </w:r>
      <w:bookmarkEnd w:id="228"/>
      <w:r>
        <w:rPr>
          <w:rFonts w:hint="eastAsia" w:ascii="Times New Roman" w:hAnsi="Times New Roman" w:eastAsia="宋体"/>
          <w:color w:val="auto"/>
          <w:sz w:val="28"/>
          <w:szCs w:val="28"/>
        </w:rPr>
        <w:t>评价</w:t>
      </w:r>
      <w:bookmarkEnd w:id="229"/>
    </w:p>
    <w:p>
      <w:pPr>
        <w:pStyle w:val="16"/>
        <w:adjustRightInd w:val="0"/>
        <w:snapToGrid w:val="0"/>
        <w:spacing w:line="360" w:lineRule="auto"/>
        <w:ind w:right="0"/>
        <w:jc w:val="both"/>
        <w:outlineLvl w:val="3"/>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5.2.</w:t>
      </w:r>
      <w:r>
        <w:rPr>
          <w:rFonts w:hint="eastAsia" w:ascii="Times New Roman" w:hAnsi="Times New Roman" w:eastAsia="宋体"/>
          <w:color w:val="auto"/>
          <w:sz w:val="24"/>
          <w:szCs w:val="24"/>
          <w:lang w:val="en-US" w:eastAsia="zh-CN"/>
        </w:rPr>
        <w:t>7</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生态环境影响分析</w:t>
      </w:r>
    </w:p>
    <w:p>
      <w:pPr>
        <w:numPr>
          <w:ilvl w:val="0"/>
          <w:numId w:val="30"/>
        </w:numPr>
        <w:spacing w:line="360" w:lineRule="auto"/>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废气</w:t>
      </w:r>
    </w:p>
    <w:p>
      <w:pPr>
        <w:spacing w:line="360" w:lineRule="auto"/>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项目主要废气为生产过程产生的恶臭，恶臭有害于人体健康，恶臭对人的大脑皮层是一种恶性刺激，长期呆在恶臭环境里，会使人产生恶心、头晕、疲劳、食欲不振等症状。恶臭环境还会使某疾病恶化。评价提出通过饲料添加 EM，在猪舍、污水处理区喷洒除臭剂来降低臭气排放强度，同时猪舍废气通过通过加强通风换气降低臭气浓度，减轻对外环境的影响。</w:t>
      </w:r>
    </w:p>
    <w:p>
      <w:pPr>
        <w:numPr>
          <w:ilvl w:val="0"/>
          <w:numId w:val="30"/>
        </w:numPr>
        <w:spacing w:line="360" w:lineRule="auto"/>
        <w:ind w:left="0" w:leftChars="0"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废水</w:t>
      </w:r>
    </w:p>
    <w:p>
      <w:pPr>
        <w:spacing w:line="360" w:lineRule="auto"/>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本项目废水包括生活污水和养殖废水，全部通过污水处理区处理后，资源化利用于周围果园灌溉。项目无废水外排，企业在严格按照操作规程进行的情况下，不会对区域的生态环境造成影响。</w:t>
      </w:r>
    </w:p>
    <w:p>
      <w:pPr>
        <w:numPr>
          <w:ilvl w:val="0"/>
          <w:numId w:val="30"/>
        </w:numPr>
        <w:spacing w:line="360" w:lineRule="auto"/>
        <w:ind w:left="0" w:leftChars="0"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固废</w:t>
      </w:r>
    </w:p>
    <w:p>
      <w:pPr>
        <w:spacing w:line="360" w:lineRule="auto"/>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本项目固废均能得到合理处置，不会对周围生态环境产生影响。</w:t>
      </w:r>
    </w:p>
    <w:p>
      <w:pPr>
        <w:numPr>
          <w:ilvl w:val="0"/>
          <w:numId w:val="30"/>
        </w:numPr>
        <w:spacing w:line="360" w:lineRule="auto"/>
        <w:ind w:left="0" w:leftChars="0"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对陆生动、植物的影响分析</w:t>
      </w:r>
    </w:p>
    <w:p>
      <w:pPr>
        <w:spacing w:line="360" w:lineRule="auto"/>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①对陆生植物的影响</w:t>
      </w:r>
    </w:p>
    <w:p>
      <w:pPr>
        <w:spacing w:line="360" w:lineRule="auto"/>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本项目所用土地主要林地，周围用地情况主要为园地，拟建工程通过对场区周围绿化，因此，在一定程度上丰富了该区域植物资源，总体上来说，不会对当地的陆生植物资源和林业资源带来明显的不利影响。</w:t>
      </w:r>
    </w:p>
    <w:p>
      <w:pPr>
        <w:spacing w:line="360" w:lineRule="auto"/>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②对陆生动物的影响</w:t>
      </w:r>
    </w:p>
    <w:p>
      <w:pPr>
        <w:spacing w:line="360" w:lineRule="auto"/>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受本项目的建设及施工期扰动的影响，一些动物的栖息地可能会受到一定的影响，项目所在地主要分布的是小型动物，这些动物的迁移能力较强，同类生态环境在附近易于寻找，因此，本项目的建设不会对动物的种群及数量带来明显的影响。项目所在地现状用地类型为园地，周围以农业生态环境为主，建成后对植被、植物种类和群落分布以及动物区系的基本组成和性质不会发生明显变化。</w:t>
      </w:r>
    </w:p>
    <w:p>
      <w:pPr>
        <w:pStyle w:val="16"/>
        <w:adjustRightInd w:val="0"/>
        <w:snapToGrid w:val="0"/>
        <w:spacing w:line="360" w:lineRule="auto"/>
        <w:ind w:right="0"/>
        <w:jc w:val="both"/>
        <w:outlineLvl w:val="3"/>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5.2.</w:t>
      </w:r>
      <w:r>
        <w:rPr>
          <w:rFonts w:hint="eastAsia" w:ascii="Times New Roman" w:hAnsi="Times New Roman" w:eastAsia="宋体"/>
          <w:color w:val="auto"/>
          <w:sz w:val="24"/>
          <w:szCs w:val="24"/>
          <w:lang w:val="en-US" w:eastAsia="zh-CN"/>
        </w:rPr>
        <w:t>7</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生态</w:t>
      </w:r>
      <w:r>
        <w:rPr>
          <w:rFonts w:hint="eastAsia" w:ascii="Times New Roman" w:hAnsi="Times New Roman" w:eastAsia="宋体"/>
          <w:color w:val="auto"/>
          <w:sz w:val="24"/>
          <w:szCs w:val="24"/>
          <w:lang w:eastAsia="zh-CN"/>
        </w:rPr>
        <w:t>保护措施</w:t>
      </w:r>
    </w:p>
    <w:p>
      <w:pPr>
        <w:spacing w:line="360" w:lineRule="auto"/>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1、加强污染物治理</w:t>
      </w:r>
    </w:p>
    <w:p>
      <w:pPr>
        <w:spacing w:line="360" w:lineRule="auto"/>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加强建设项目自身的污染治理，采用先进、高效的防治措施减少全场“三废”排放对当地生态环境影响。本项目投产运营后各项污染物做到了达标排放，但排放总量仍然会对当地环境造成一定影响。因此应从全场范围进行严格管理，使全场污染物排放总量进一步削减，减轻对区域环境污染。</w:t>
      </w:r>
    </w:p>
    <w:p>
      <w:pPr>
        <w:numPr>
          <w:ilvl w:val="0"/>
          <w:numId w:val="27"/>
        </w:numPr>
        <w:spacing w:line="360" w:lineRule="auto"/>
        <w:ind w:left="0" w:leftChars="0"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场区硬化</w:t>
      </w:r>
    </w:p>
    <w:p>
      <w:pPr>
        <w:spacing w:line="360" w:lineRule="auto"/>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为进一步改善区域生态环境，建设单位在加强场内“三废”治理同时，还应加强场内绿化和硬化工作。</w:t>
      </w:r>
    </w:p>
    <w:p>
      <w:pPr>
        <w:numPr>
          <w:ilvl w:val="0"/>
          <w:numId w:val="27"/>
        </w:numPr>
        <w:spacing w:line="360" w:lineRule="auto"/>
        <w:ind w:left="0" w:leftChars="0"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加强职工生态环保意识</w:t>
      </w:r>
    </w:p>
    <w:p>
      <w:pPr>
        <w:spacing w:line="360" w:lineRule="auto"/>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随着项目建设，场内应健全管理体制，加强生态意识教育，以利于生态环境资源保护。</w:t>
      </w:r>
    </w:p>
    <w:p>
      <w:pPr>
        <w:numPr>
          <w:ilvl w:val="0"/>
          <w:numId w:val="27"/>
        </w:numPr>
        <w:spacing w:line="360" w:lineRule="auto"/>
        <w:ind w:left="0" w:leftChars="0"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加强场区绿化</w:t>
      </w:r>
    </w:p>
    <w:p>
      <w:pPr>
        <w:spacing w:line="360" w:lineRule="auto"/>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场区应制定绿化规划，实施全面绿化。利用植物作为治理污染的一种经济手段，发挥它们在吸收有害气体、净化空气、降低噪声、改善环境、保持生态平衡方面的作用。重点为：养殖区、生活办公区和道路两侧，应以乔木绿化为主，乔、灌、草合理配置；在场界四周根据实际条件营造防护林，用以防止污染物对周边生态环境的影响。绿色植物具有多种环境生态效应，如调节空气、温度、湿度，阻挡风沙、滞留空气中的灰尘、吸收 SO</w:t>
      </w:r>
      <w:r>
        <w:rPr>
          <w:rFonts w:hint="eastAsia" w:ascii="Times New Roman" w:hAnsi="Times New Roman" w:eastAsia="宋体" w:cs="Times New Roman"/>
          <w:color w:val="auto"/>
          <w:sz w:val="24"/>
          <w:szCs w:val="24"/>
          <w:vertAlign w:val="subscript"/>
          <w:lang w:eastAsia="zh-CN"/>
        </w:rPr>
        <w:t>2</w:t>
      </w:r>
      <w:r>
        <w:rPr>
          <w:rFonts w:hint="eastAsia" w:ascii="Times New Roman" w:hAnsi="Times New Roman" w:eastAsia="宋体" w:cs="Times New Roman"/>
          <w:color w:val="auto"/>
          <w:sz w:val="24"/>
          <w:szCs w:val="24"/>
          <w:lang w:eastAsia="zh-CN"/>
        </w:rPr>
        <w:t>等有害气体等，有些植物还有一定的杀菌能力，此外，树本身还有降噪隔声的功能。</w:t>
      </w:r>
    </w:p>
    <w:p>
      <w:pPr>
        <w:spacing w:line="360" w:lineRule="auto"/>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结合项目的特点，种植高低相结合的乔灌木，形成隔离林带，防止污染扩散。生活办公区应以美化环境为主，种植绿篱、布置花坛、草坪等。道路的绿化以种植道路树为主，选择适宜的树种，进行多种树种混栽，形成沿道路的绿化带。</w:t>
      </w:r>
    </w:p>
    <w:p>
      <w:pPr>
        <w:pStyle w:val="16"/>
        <w:adjustRightInd w:val="0"/>
        <w:snapToGrid w:val="0"/>
        <w:spacing w:line="360" w:lineRule="auto"/>
        <w:ind w:right="0"/>
        <w:jc w:val="both"/>
        <w:outlineLvl w:val="3"/>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5.2.</w:t>
      </w:r>
      <w:r>
        <w:rPr>
          <w:rFonts w:hint="eastAsia" w:ascii="Times New Roman" w:hAnsi="Times New Roman" w:eastAsia="宋体"/>
          <w:color w:val="auto"/>
          <w:sz w:val="24"/>
          <w:szCs w:val="24"/>
          <w:lang w:val="en-US" w:eastAsia="zh-CN"/>
        </w:rPr>
        <w:t>7</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3小结</w:t>
      </w:r>
    </w:p>
    <w:p>
      <w:pPr>
        <w:spacing w:line="360" w:lineRule="auto"/>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评价区生态系统受到本项目影响相对较小，在严格采取环评规定的生态保护措施情况下，其生态特征不会从根本上发生改变，体系仍然维持原有的稳定性和生态承载能力。项目在对周围生态环境产生不利影响的同时，其有机肥有效施用于土壤，既增加了土壤肥力，又减少了化肥的使用，提高了农作物的产量和质量，可见，本工程的建设对周围农业环境有很大的有益作用。</w:t>
      </w:r>
    </w:p>
    <w:p>
      <w:pPr>
        <w:spacing w:line="360" w:lineRule="auto"/>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从总体上看，项目运营期对生态环境的影响较小，评价要求对废水、废气、固废各种污染物按照处理措施严格执行，并加大场区及其周围地区的绿化面积，这样才能保证生态环境不会受到破坏，并能够对受到影响的场地及时补救。</w:t>
      </w:r>
    </w:p>
    <w:p>
      <w:pPr>
        <w:pStyle w:val="5"/>
        <w:adjustRightInd w:val="0"/>
        <w:snapToGrid w:val="0"/>
        <w:spacing w:before="0" w:after="0" w:line="360" w:lineRule="auto"/>
        <w:rPr>
          <w:rFonts w:ascii="Times New Roman" w:hAnsi="Times New Roman" w:eastAsia="宋体"/>
          <w:color w:val="auto"/>
          <w:sz w:val="28"/>
          <w:szCs w:val="28"/>
        </w:rPr>
      </w:pPr>
      <w:bookmarkStart w:id="230" w:name="_Toc22539"/>
      <w:bookmarkStart w:id="231" w:name="_Toc19942"/>
      <w:r>
        <w:rPr>
          <w:rFonts w:hint="eastAsia" w:ascii="Times New Roman" w:hAnsi="Times New Roman" w:eastAsia="宋体"/>
          <w:color w:val="auto"/>
          <w:sz w:val="28"/>
          <w:szCs w:val="28"/>
        </w:rPr>
        <w:t>5.3</w:t>
      </w:r>
      <w:r>
        <w:rPr>
          <w:rFonts w:ascii="Times New Roman" w:hAnsi="Times New Roman" w:eastAsia="宋体"/>
          <w:color w:val="auto"/>
          <w:sz w:val="28"/>
          <w:szCs w:val="28"/>
        </w:rPr>
        <w:t>环境风险评价</w:t>
      </w:r>
      <w:bookmarkEnd w:id="230"/>
      <w:bookmarkEnd w:id="231"/>
    </w:p>
    <w:p>
      <w:pPr>
        <w:pStyle w:val="6"/>
        <w:adjustRightInd w:val="0"/>
        <w:snapToGrid w:val="0"/>
        <w:spacing w:before="0" w:after="0" w:line="360" w:lineRule="auto"/>
        <w:rPr>
          <w:rFonts w:hint="eastAsia" w:ascii="Times New Roman" w:hAnsi="Times New Roman" w:eastAsia="宋体"/>
          <w:color w:val="auto"/>
          <w:sz w:val="28"/>
          <w:szCs w:val="28"/>
          <w:lang w:eastAsia="zh-CN"/>
        </w:rPr>
      </w:pPr>
      <w:bookmarkStart w:id="232" w:name="_Toc29885"/>
      <w:bookmarkStart w:id="233" w:name="_Toc142980060"/>
      <w:bookmarkStart w:id="234" w:name="_Toc459118473"/>
      <w:bookmarkStart w:id="235" w:name="_Toc323023524"/>
      <w:bookmarkStart w:id="236" w:name="_Toc124301137"/>
      <w:bookmarkStart w:id="237" w:name="_Toc112558523"/>
      <w:bookmarkStart w:id="238" w:name="_Toc140051414"/>
      <w:r>
        <w:rPr>
          <w:rFonts w:hint="eastAsia" w:ascii="Times New Roman" w:hAnsi="Times New Roman" w:eastAsia="宋体"/>
          <w:color w:val="auto"/>
          <w:sz w:val="28"/>
          <w:szCs w:val="28"/>
        </w:rPr>
        <w:t>5.3.1风险评价</w:t>
      </w:r>
      <w:bookmarkEnd w:id="232"/>
      <w:r>
        <w:rPr>
          <w:rFonts w:hint="eastAsia" w:ascii="Times New Roman" w:hAnsi="Times New Roman" w:eastAsia="宋体"/>
          <w:color w:val="auto"/>
          <w:sz w:val="28"/>
          <w:szCs w:val="28"/>
          <w:lang w:eastAsia="zh-CN"/>
        </w:rPr>
        <w:t>工作等级、评价范围及内容</w:t>
      </w:r>
    </w:p>
    <w:p>
      <w:pPr>
        <w:adjustRightInd w:val="0"/>
        <w:snapToGrid w:val="0"/>
        <w:spacing w:line="360" w:lineRule="auto"/>
        <w:ind w:firstLine="480" w:firstLineChars="200"/>
        <w:rPr>
          <w:rFonts w:hint="eastAsia" w:ascii="Times New Roman" w:hAnsi="Times New Roman" w:eastAsia="宋体"/>
          <w:color w:val="auto"/>
          <w:sz w:val="24"/>
          <w:szCs w:val="24"/>
          <w:lang w:eastAsia="zh-CN"/>
        </w:rPr>
      </w:pPr>
      <w:bookmarkStart w:id="239" w:name="_Toc30902"/>
      <w:r>
        <w:rPr>
          <w:rFonts w:hint="eastAsia" w:ascii="Times New Roman" w:hAnsi="Times New Roman" w:eastAsia="宋体"/>
          <w:color w:val="auto"/>
          <w:sz w:val="24"/>
          <w:szCs w:val="24"/>
        </w:rPr>
        <w:t>1、</w:t>
      </w:r>
      <w:bookmarkEnd w:id="233"/>
      <w:bookmarkEnd w:id="234"/>
      <w:bookmarkEnd w:id="235"/>
      <w:bookmarkEnd w:id="236"/>
      <w:bookmarkEnd w:id="237"/>
      <w:bookmarkEnd w:id="238"/>
      <w:bookmarkEnd w:id="239"/>
      <w:r>
        <w:rPr>
          <w:rFonts w:hint="eastAsia" w:ascii="Times New Roman" w:hAnsi="Times New Roman" w:eastAsia="宋体"/>
          <w:color w:val="auto"/>
          <w:sz w:val="24"/>
          <w:szCs w:val="24"/>
          <w:lang w:eastAsia="zh-CN"/>
        </w:rPr>
        <w:t>评价依据</w:t>
      </w:r>
    </w:p>
    <w:p>
      <w:pPr>
        <w:adjustRightInd w:val="0"/>
        <w:snapToGrid w:val="0"/>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）风险潜势初判</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①</w:t>
      </w:r>
      <w:r>
        <w:rPr>
          <w:rFonts w:hint="eastAsia" w:ascii="Times New Roman" w:hAnsi="Times New Roman" w:eastAsia="宋体"/>
          <w:color w:val="auto"/>
          <w:sz w:val="24"/>
          <w:szCs w:val="24"/>
        </w:rPr>
        <w:t>环境敏感程度判定根据《建设项目环境风评价技术导则》（HJ169-2018）附录 D，本项目环境敏感程度分级如下：本项目周边 5km 范围内居住区、医疗卫生、文化教育、科研、行政办公等总人数小于</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万人，且项目周边500m 范围内总人数小于500人，大气环境敏感程度为 E3 级；本项目所在地地表水为低敏感区（F3），且发生泄漏事故时，排放点下游 10km 范围内不涉及集中式地表水饮用水源保护区、农村分散式饮用水源保护区、自然保护区、重要湿地、珍稀濒危野生动植物天然集中分布区等，地表水敏感目标属于（S3），故本项目地表水环境敏感程度为 E3 级。</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本项目所在区域地下水不涉及集中式饮用水源准保护区、未划定集中式饮用水水 源，其保护区以外的不计径流区、分散式饮用水源地、特殊地下水资源，属于不敏感区（G3）；项目所在区域包气带岩土的渗透性能分布连续、稳定，Mb≥1.0m，K≤1.0 ×10-6cm/s，属于 D3 级。因此本项目地下水环境敏感程度为 E3。综上，本项目环境敏感程度定级为环境低度敏感（E3）。</w:t>
      </w:r>
    </w:p>
    <w:p>
      <w:pPr>
        <w:adjustRightInd w:val="0"/>
        <w:snapToGrid w:val="0"/>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②危险物质及工艺系统危险性(P)的分级确定</w:t>
      </w:r>
    </w:p>
    <w:p>
      <w:pPr>
        <w:adjustRightInd w:val="0"/>
        <w:snapToGrid w:val="0"/>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计算所涉及的每种危险物质在厂界内的最大存在总量与其在附录 B 中对应临界量的比值 Q。在不同厂区的同一种物质，按其在厂界内的最大存在总量计算。单元内存在的危险物质为多品种时，则按下式计算：</w:t>
      </w:r>
    </w:p>
    <w:p>
      <w:pPr>
        <w:adjustRightInd w:val="0"/>
        <w:snapToGrid w:val="0"/>
        <w:spacing w:line="360" w:lineRule="auto"/>
        <w:ind w:firstLine="480" w:firstLineChars="200"/>
        <w:jc w:val="center"/>
        <w:rPr>
          <w:rFonts w:hint="eastAsia" w:ascii="Times New Roman" w:hAnsi="Times New Roman" w:eastAsia="宋体"/>
          <w:color w:val="auto"/>
          <w:sz w:val="24"/>
          <w:szCs w:val="24"/>
          <w:lang w:eastAsia="zh-CN"/>
        </w:rPr>
      </w:pPr>
      <w:r>
        <w:rPr>
          <w:rFonts w:hint="eastAsia" w:ascii="Times New Roman" w:hAnsi="Times New Roman" w:eastAsia="宋体"/>
          <w:color w:val="auto"/>
          <w:position w:val="-30"/>
          <w:sz w:val="24"/>
          <w:szCs w:val="24"/>
          <w:lang w:eastAsia="zh-CN"/>
        </w:rPr>
        <w:object>
          <v:shape id="_x0000_i1037" o:spt="75" type="#_x0000_t75" style="height:34pt;width:117pt;" o:ole="t" filled="f" o:preferrelative="t" stroked="f" coordsize="21600,21600">
            <v:path/>
            <v:fill on="f" focussize="0,0"/>
            <v:stroke on="f"/>
            <v:imagedata r:id="rId66" o:title=""/>
            <o:lock v:ext="edit" aspectratio="t"/>
            <w10:wrap type="none"/>
            <w10:anchorlock/>
          </v:shape>
          <o:OLEObject Type="Embed" ProgID="Equation.KSEE3" ShapeID="_x0000_i1037" DrawAspect="Content" ObjectID="_1468075737" r:id="rId65">
            <o:LockedField>false</o:LockedField>
          </o:OLEObject>
        </w:object>
      </w:r>
    </w:p>
    <w:p>
      <w:pPr>
        <w:adjustRightInd w:val="0"/>
        <w:snapToGrid w:val="0"/>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式中：q1，q2……qn 为每种危险物质实际存在量，t；</w:t>
      </w:r>
    </w:p>
    <w:p>
      <w:pPr>
        <w:adjustRightInd w:val="0"/>
        <w:snapToGrid w:val="0"/>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Q1、Q2……Qn 为每种危险物质的临界量，t。</w:t>
      </w:r>
    </w:p>
    <w:p>
      <w:pPr>
        <w:adjustRightInd w:val="0"/>
        <w:snapToGrid w:val="0"/>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当 Q＜1 时，该项目的环境风险潜势为 I。</w:t>
      </w:r>
    </w:p>
    <w:p>
      <w:pPr>
        <w:adjustRightInd w:val="0"/>
        <w:snapToGrid w:val="0"/>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当 Q≥1 时，将 Q 值划分为：(1)1≤Q＜10；(2)10≤Q＜100；(3)Q≥100；</w:t>
      </w:r>
    </w:p>
    <w:p>
      <w:pPr>
        <w:adjustRightInd w:val="0"/>
        <w:snapToGrid w:val="0"/>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结合附录 B、《化学品分类和标签规范第 18 部分：急性毒性（GB30000.18-2013）</w:t>
      </w:r>
    </w:p>
    <w:p>
      <w:pPr>
        <w:adjustRightInd w:val="0"/>
        <w:snapToGrid w:val="0"/>
        <w:spacing w:line="360" w:lineRule="auto"/>
        <w:ind w:firstLine="480" w:firstLineChars="200"/>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eastAsia="zh-CN"/>
        </w:rPr>
        <w:t>可知，本项目所涉及危险物质储存情况详见表</w:t>
      </w:r>
      <w:r>
        <w:rPr>
          <w:rFonts w:hint="eastAsia" w:ascii="Times New Roman" w:hAnsi="Times New Roman" w:eastAsia="宋体"/>
          <w:color w:val="auto"/>
          <w:sz w:val="24"/>
          <w:szCs w:val="24"/>
          <w:lang w:val="en-US" w:eastAsia="zh-CN"/>
        </w:rPr>
        <w:t>5.3-1</w:t>
      </w:r>
    </w:p>
    <w:p>
      <w:pPr>
        <w:keepNext/>
        <w:kinsoku w:val="0"/>
        <w:overflowPunct w:val="0"/>
        <w:autoSpaceDE w:val="0"/>
        <w:autoSpaceDN w:val="0"/>
        <w:adjustRightInd w:val="0"/>
        <w:snapToGrid w:val="0"/>
        <w:spacing w:line="360" w:lineRule="auto"/>
        <w:jc w:val="center"/>
        <w:rPr>
          <w:rFonts w:ascii="Times New Roman" w:hAnsi="Times New Roman" w:eastAsia="宋体"/>
          <w:b/>
          <w:bCs/>
          <w:color w:val="auto"/>
          <w:sz w:val="21"/>
          <w:szCs w:val="21"/>
        </w:rPr>
      </w:pPr>
      <w:r>
        <w:rPr>
          <w:rFonts w:hint="eastAsia" w:ascii="Times New Roman" w:hAnsi="Times New Roman" w:eastAsia="宋体"/>
          <w:b/>
          <w:bCs/>
          <w:color w:val="auto"/>
          <w:sz w:val="21"/>
          <w:szCs w:val="21"/>
          <w:lang w:eastAsia="zh-CN"/>
        </w:rPr>
        <w:t>表</w:t>
      </w:r>
      <w:r>
        <w:rPr>
          <w:rFonts w:hint="eastAsia" w:ascii="Times New Roman" w:hAnsi="Times New Roman" w:eastAsia="宋体"/>
          <w:b/>
          <w:bCs/>
          <w:color w:val="auto"/>
          <w:sz w:val="21"/>
          <w:szCs w:val="21"/>
        </w:rPr>
        <w:t>5.3-1 项目所涉及危化品储存情况</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6"/>
        <w:gridCol w:w="2150"/>
        <w:gridCol w:w="1438"/>
        <w:gridCol w:w="1870"/>
        <w:gridCol w:w="1536"/>
        <w:gridCol w:w="1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vAlign w:val="center"/>
          </w:tcPr>
          <w:p>
            <w:pPr>
              <w:adjustRightInd w:val="0"/>
              <w:snapToGrid w:val="0"/>
              <w:jc w:val="center"/>
              <w:rPr>
                <w:rFonts w:hint="eastAsia" w:ascii="Times New Roman" w:hAnsi="Times New Roman" w:eastAsia="宋体" w:cs="Times New Roman"/>
                <w:b/>
                <w:bCs w:val="0"/>
                <w:color w:val="auto"/>
                <w:sz w:val="21"/>
                <w:szCs w:val="21"/>
                <w:lang w:eastAsia="zh-CN"/>
              </w:rPr>
            </w:pPr>
            <w:r>
              <w:rPr>
                <w:rFonts w:hint="eastAsia" w:ascii="Times New Roman" w:hAnsi="Times New Roman" w:eastAsia="宋体" w:cs="Times New Roman"/>
                <w:b/>
                <w:bCs w:val="0"/>
                <w:color w:val="auto"/>
                <w:sz w:val="21"/>
                <w:szCs w:val="21"/>
                <w:lang w:eastAsia="zh-CN"/>
              </w:rPr>
              <w:t>序号</w:t>
            </w:r>
          </w:p>
        </w:tc>
        <w:tc>
          <w:tcPr>
            <w:tcW w:w="2150" w:type="dxa"/>
            <w:vAlign w:val="center"/>
          </w:tcPr>
          <w:p>
            <w:pPr>
              <w:adjustRightInd w:val="0"/>
              <w:snapToGrid w:val="0"/>
              <w:jc w:val="center"/>
              <w:rPr>
                <w:rFonts w:hint="eastAsia" w:ascii="Times New Roman" w:hAnsi="Times New Roman" w:eastAsia="宋体" w:cs="Times New Roman"/>
                <w:b/>
                <w:bCs w:val="0"/>
                <w:color w:val="auto"/>
                <w:sz w:val="21"/>
                <w:szCs w:val="21"/>
                <w:lang w:eastAsia="zh-CN"/>
              </w:rPr>
            </w:pPr>
            <w:r>
              <w:rPr>
                <w:rFonts w:hint="eastAsia" w:ascii="Times New Roman" w:hAnsi="Times New Roman" w:eastAsia="宋体" w:cs="Times New Roman"/>
                <w:b/>
                <w:bCs w:val="0"/>
                <w:color w:val="auto"/>
                <w:sz w:val="21"/>
                <w:szCs w:val="21"/>
                <w:lang w:eastAsia="zh-CN"/>
              </w:rPr>
              <w:t>环境风险物质名称</w:t>
            </w:r>
          </w:p>
        </w:tc>
        <w:tc>
          <w:tcPr>
            <w:tcW w:w="1438" w:type="dxa"/>
            <w:vAlign w:val="center"/>
          </w:tcPr>
          <w:p>
            <w:pPr>
              <w:adjustRightInd w:val="0"/>
              <w:snapToGrid w:val="0"/>
              <w:jc w:val="center"/>
              <w:rPr>
                <w:rFonts w:hint="default" w:ascii="Times New Roman" w:hAnsi="Times New Roman" w:eastAsia="宋体" w:cs="Times New Roman"/>
                <w:b/>
                <w:bCs w:val="0"/>
                <w:color w:val="auto"/>
                <w:sz w:val="21"/>
                <w:szCs w:val="21"/>
                <w:lang w:val="en-US" w:eastAsia="zh-CN"/>
              </w:rPr>
            </w:pPr>
            <w:r>
              <w:rPr>
                <w:rFonts w:hint="eastAsia" w:ascii="Times New Roman" w:hAnsi="Times New Roman" w:eastAsia="宋体" w:cs="Times New Roman"/>
                <w:b/>
                <w:bCs w:val="0"/>
                <w:color w:val="auto"/>
                <w:sz w:val="21"/>
                <w:szCs w:val="21"/>
                <w:lang w:val="en-US" w:eastAsia="zh-CN"/>
              </w:rPr>
              <w:t>CAS号</w:t>
            </w:r>
          </w:p>
        </w:tc>
        <w:tc>
          <w:tcPr>
            <w:tcW w:w="1870" w:type="dxa"/>
            <w:vAlign w:val="center"/>
          </w:tcPr>
          <w:p>
            <w:pPr>
              <w:adjustRightInd w:val="0"/>
              <w:snapToGrid w:val="0"/>
              <w:jc w:val="center"/>
              <w:rPr>
                <w:rFonts w:hint="eastAsia" w:ascii="Times New Roman" w:hAnsi="Times New Roman" w:eastAsia="宋体" w:cs="Times New Roman"/>
                <w:b/>
                <w:bCs w:val="0"/>
                <w:color w:val="auto"/>
                <w:sz w:val="21"/>
                <w:szCs w:val="21"/>
                <w:lang w:eastAsia="zh-CN"/>
              </w:rPr>
            </w:pPr>
            <w:r>
              <w:rPr>
                <w:rFonts w:hint="eastAsia" w:ascii="Times New Roman" w:hAnsi="Times New Roman" w:eastAsia="宋体" w:cs="Times New Roman"/>
                <w:b/>
                <w:bCs w:val="0"/>
                <w:color w:val="auto"/>
                <w:sz w:val="21"/>
                <w:szCs w:val="21"/>
                <w:lang w:eastAsia="zh-CN"/>
              </w:rPr>
              <w:t>最大存在总量qn/t</w:t>
            </w:r>
          </w:p>
        </w:tc>
        <w:tc>
          <w:tcPr>
            <w:tcW w:w="1536" w:type="dxa"/>
            <w:vAlign w:val="center"/>
          </w:tcPr>
          <w:p>
            <w:pPr>
              <w:adjustRightInd w:val="0"/>
              <w:snapToGrid w:val="0"/>
              <w:jc w:val="center"/>
              <w:rPr>
                <w:rFonts w:hint="default" w:ascii="Times New Roman" w:hAnsi="Times New Roman" w:eastAsia="宋体" w:cs="Times New Roman"/>
                <w:b/>
                <w:bCs w:val="0"/>
                <w:color w:val="auto"/>
                <w:sz w:val="21"/>
                <w:szCs w:val="21"/>
                <w:lang w:val="en-US" w:eastAsia="zh-CN"/>
              </w:rPr>
            </w:pPr>
            <w:r>
              <w:rPr>
                <w:rFonts w:hint="eastAsia" w:ascii="Times New Roman" w:hAnsi="Times New Roman" w:eastAsia="宋体" w:cs="Times New Roman"/>
                <w:b/>
                <w:bCs w:val="0"/>
                <w:color w:val="auto"/>
                <w:sz w:val="21"/>
                <w:szCs w:val="21"/>
                <w:lang w:val="en-US" w:eastAsia="zh-CN"/>
              </w:rPr>
              <w:t>临界量</w:t>
            </w:r>
          </w:p>
        </w:tc>
        <w:tc>
          <w:tcPr>
            <w:tcW w:w="1536" w:type="dxa"/>
            <w:vAlign w:val="center"/>
          </w:tcPr>
          <w:p>
            <w:pPr>
              <w:adjustRightInd w:val="0"/>
              <w:snapToGrid w:val="0"/>
              <w:jc w:val="center"/>
              <w:rPr>
                <w:rFonts w:hint="default" w:ascii="Times New Roman" w:hAnsi="Times New Roman" w:eastAsia="宋体" w:cs="Times New Roman"/>
                <w:b/>
                <w:bCs w:val="0"/>
                <w:color w:val="auto"/>
                <w:sz w:val="21"/>
                <w:szCs w:val="21"/>
                <w:lang w:val="en-US" w:eastAsia="zh-CN"/>
              </w:rPr>
            </w:pPr>
            <w:r>
              <w:rPr>
                <w:rFonts w:hint="eastAsia" w:ascii="Times New Roman" w:hAnsi="Times New Roman" w:eastAsia="宋体" w:cs="Times New Roman"/>
                <w:b/>
                <w:bCs w:val="0"/>
                <w:color w:val="auto"/>
                <w:sz w:val="21"/>
                <w:szCs w:val="21"/>
                <w:lang w:val="en-US" w:eastAsia="zh-CN"/>
              </w:rPr>
              <w:t>qn/Qn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vAlign w:val="center"/>
          </w:tcPr>
          <w:p>
            <w:pPr>
              <w:adjustRightInd w:val="0"/>
              <w:snapToGrid w:val="0"/>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1</w:t>
            </w:r>
          </w:p>
        </w:tc>
        <w:tc>
          <w:tcPr>
            <w:tcW w:w="2150" w:type="dxa"/>
            <w:vAlign w:val="center"/>
          </w:tcPr>
          <w:p>
            <w:pPr>
              <w:adjustRightInd w:val="0"/>
              <w:snapToGrid w:val="0"/>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eastAsia="zh-CN"/>
              </w:rPr>
              <w:t>柴油</w:t>
            </w:r>
          </w:p>
        </w:tc>
        <w:tc>
          <w:tcPr>
            <w:tcW w:w="1438" w:type="dxa"/>
            <w:vAlign w:val="center"/>
          </w:tcPr>
          <w:p>
            <w:pPr>
              <w:adjustRightInd w:val="0"/>
              <w:snapToGrid w:val="0"/>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w:t>
            </w:r>
          </w:p>
        </w:tc>
        <w:tc>
          <w:tcPr>
            <w:tcW w:w="1870" w:type="dxa"/>
            <w:vAlign w:val="center"/>
          </w:tcPr>
          <w:p>
            <w:pPr>
              <w:adjustRightInd w:val="0"/>
              <w:snapToGrid w:val="0"/>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0.5</w:t>
            </w:r>
          </w:p>
        </w:tc>
        <w:tc>
          <w:tcPr>
            <w:tcW w:w="1536" w:type="dxa"/>
            <w:vAlign w:val="center"/>
          </w:tcPr>
          <w:p>
            <w:pPr>
              <w:adjustRightInd w:val="0"/>
              <w:snapToGrid w:val="0"/>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2500</w:t>
            </w:r>
          </w:p>
        </w:tc>
        <w:tc>
          <w:tcPr>
            <w:tcW w:w="1536" w:type="dxa"/>
            <w:vAlign w:val="center"/>
          </w:tcPr>
          <w:p>
            <w:pPr>
              <w:adjustRightInd w:val="0"/>
              <w:snapToGrid w:val="0"/>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0.0002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vAlign w:val="center"/>
          </w:tcPr>
          <w:p>
            <w:pPr>
              <w:adjustRightInd w:val="0"/>
              <w:snapToGrid w:val="0"/>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2</w:t>
            </w:r>
          </w:p>
        </w:tc>
        <w:tc>
          <w:tcPr>
            <w:tcW w:w="2150" w:type="dxa"/>
            <w:vAlign w:val="center"/>
          </w:tcPr>
          <w:p>
            <w:pPr>
              <w:adjustRightInd w:val="0"/>
              <w:snapToGrid w:val="0"/>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eastAsia="zh-CN"/>
              </w:rPr>
              <w:t>硫化氢</w:t>
            </w:r>
          </w:p>
        </w:tc>
        <w:tc>
          <w:tcPr>
            <w:tcW w:w="1438" w:type="dxa"/>
            <w:vAlign w:val="center"/>
          </w:tcPr>
          <w:p>
            <w:pPr>
              <w:adjustRightInd w:val="0"/>
              <w:snapToGrid w:val="0"/>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7783-06-4</w:t>
            </w:r>
          </w:p>
        </w:tc>
        <w:tc>
          <w:tcPr>
            <w:tcW w:w="1870" w:type="dxa"/>
            <w:vAlign w:val="center"/>
          </w:tcPr>
          <w:p>
            <w:pPr>
              <w:adjustRightInd w:val="0"/>
              <w:snapToGrid w:val="0"/>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不储存</w:t>
            </w:r>
          </w:p>
        </w:tc>
        <w:tc>
          <w:tcPr>
            <w:tcW w:w="1536" w:type="dxa"/>
            <w:vAlign w:val="center"/>
          </w:tcPr>
          <w:p>
            <w:pPr>
              <w:adjustRightInd w:val="0"/>
              <w:snapToGrid w:val="0"/>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2.5</w:t>
            </w:r>
          </w:p>
        </w:tc>
        <w:tc>
          <w:tcPr>
            <w:tcW w:w="1536" w:type="dxa"/>
            <w:vAlign w:val="center"/>
          </w:tcPr>
          <w:p>
            <w:pPr>
              <w:adjustRightInd w:val="0"/>
              <w:snapToGrid w:val="0"/>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0" w:type="dxa"/>
            <w:gridSpan w:val="5"/>
            <w:vAlign w:val="center"/>
          </w:tcPr>
          <w:p>
            <w:pPr>
              <w:adjustRightInd w:val="0"/>
              <w:snapToGrid w:val="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合计</w:t>
            </w:r>
          </w:p>
        </w:tc>
        <w:tc>
          <w:tcPr>
            <w:tcW w:w="1536" w:type="dxa"/>
            <w:vAlign w:val="center"/>
          </w:tcPr>
          <w:p>
            <w:pPr>
              <w:adjustRightInd w:val="0"/>
              <w:snapToGrid w:val="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0.0002</w:t>
            </w:r>
          </w:p>
        </w:tc>
      </w:tr>
    </w:tbl>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根据上表知，本项目 qn/Qn 小于1；同时，本项目不涉及工艺系统危险性。因此，本项目危险物质及工艺系统危险性为轻度危害（P4）。</w:t>
      </w:r>
    </w:p>
    <w:p>
      <w:pPr>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③风险潜势判定</w:t>
      </w:r>
    </w:p>
    <w:p>
      <w:pPr>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根据《建设项目环境风评价技术导则》HJ169-2018，建设项目环境风险潜势划分为 I、II、III、IV、IV+级，根据建设项目涉及的物质和工艺系统的危险性以及所在地的环境敏感程度，结合事故下的环境影响途径，按照表 5</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 xml:space="preserve"> 确定环境风险潜势。</w:t>
      </w:r>
    </w:p>
    <w:p>
      <w:pPr>
        <w:keepNext/>
        <w:kinsoku w:val="0"/>
        <w:overflowPunct w:val="0"/>
        <w:autoSpaceDE w:val="0"/>
        <w:autoSpaceDN w:val="0"/>
        <w:adjustRightInd w:val="0"/>
        <w:snapToGrid w:val="0"/>
        <w:spacing w:line="360" w:lineRule="auto"/>
        <w:jc w:val="center"/>
        <w:rPr>
          <w:rFonts w:ascii="Times New Roman" w:hAnsi="Times New Roman" w:eastAsia="宋体"/>
          <w:b/>
          <w:bCs/>
          <w:color w:val="auto"/>
          <w:sz w:val="21"/>
          <w:szCs w:val="21"/>
        </w:rPr>
      </w:pPr>
      <w:r>
        <w:rPr>
          <w:rFonts w:hint="eastAsia" w:ascii="Times New Roman" w:hAnsi="Times New Roman" w:eastAsia="宋体"/>
          <w:b/>
          <w:bCs/>
          <w:color w:val="auto"/>
          <w:sz w:val="21"/>
          <w:szCs w:val="21"/>
          <w:lang w:eastAsia="zh-CN"/>
        </w:rPr>
        <w:t>表</w:t>
      </w:r>
      <w:r>
        <w:rPr>
          <w:rFonts w:hint="eastAsia" w:ascii="Times New Roman" w:hAnsi="Times New Roman" w:eastAsia="宋体"/>
          <w:b/>
          <w:bCs/>
          <w:color w:val="auto"/>
          <w:sz w:val="21"/>
          <w:szCs w:val="21"/>
        </w:rPr>
        <w:t>5.3-</w:t>
      </w:r>
      <w:r>
        <w:rPr>
          <w:rFonts w:hint="eastAsia" w:ascii="Times New Roman" w:hAnsi="Times New Roman" w:eastAsia="宋体"/>
          <w:b/>
          <w:bCs/>
          <w:color w:val="auto"/>
          <w:sz w:val="21"/>
          <w:szCs w:val="21"/>
          <w:lang w:val="en-US" w:eastAsia="zh-CN"/>
        </w:rPr>
        <w:t>2</w:t>
      </w:r>
      <w:r>
        <w:rPr>
          <w:rFonts w:hint="eastAsia" w:ascii="Times New Roman" w:hAnsi="Times New Roman" w:eastAsia="宋体"/>
          <w:b/>
          <w:bCs/>
          <w:color w:val="auto"/>
          <w:sz w:val="21"/>
          <w:szCs w:val="21"/>
        </w:rPr>
        <w:t xml:space="preserve"> 项目所涉及危化品储存情况</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4"/>
        <w:gridCol w:w="1844"/>
        <w:gridCol w:w="1844"/>
        <w:gridCol w:w="1844"/>
        <w:gridCol w:w="1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vMerge w:val="restart"/>
            <w:vAlign w:val="center"/>
          </w:tcPr>
          <w:p>
            <w:pPr>
              <w:adjustRightInd w:val="0"/>
              <w:snapToGrid w:val="0"/>
              <w:jc w:val="center"/>
              <w:rPr>
                <w:rFonts w:hint="eastAsia" w:ascii="Times New Roman" w:hAnsi="Times New Roman" w:eastAsia="宋体" w:cs="Times New Roman"/>
                <w:b/>
                <w:bCs w:val="0"/>
                <w:color w:val="auto"/>
                <w:sz w:val="21"/>
                <w:szCs w:val="21"/>
                <w:lang w:val="en-US" w:eastAsia="zh-CN"/>
              </w:rPr>
            </w:pPr>
            <w:r>
              <w:rPr>
                <w:rFonts w:hint="eastAsia" w:ascii="Times New Roman" w:hAnsi="Times New Roman" w:eastAsia="宋体" w:cs="Times New Roman"/>
                <w:b/>
                <w:bCs w:val="0"/>
                <w:color w:val="auto"/>
                <w:sz w:val="21"/>
                <w:szCs w:val="21"/>
                <w:lang w:val="en-US" w:eastAsia="zh-CN"/>
              </w:rPr>
              <w:t>环境敏感程度</w:t>
            </w:r>
          </w:p>
        </w:tc>
        <w:tc>
          <w:tcPr>
            <w:tcW w:w="7376" w:type="dxa"/>
            <w:gridSpan w:val="4"/>
            <w:vAlign w:val="center"/>
          </w:tcPr>
          <w:p>
            <w:pPr>
              <w:adjustRightInd w:val="0"/>
              <w:snapToGrid w:val="0"/>
              <w:jc w:val="center"/>
              <w:rPr>
                <w:rFonts w:hint="eastAsia" w:ascii="Times New Roman" w:hAnsi="Times New Roman" w:eastAsia="宋体" w:cs="Times New Roman"/>
                <w:b/>
                <w:bCs w:val="0"/>
                <w:color w:val="auto"/>
                <w:sz w:val="21"/>
                <w:szCs w:val="21"/>
                <w:lang w:val="en-US" w:eastAsia="zh-CN"/>
              </w:rPr>
            </w:pPr>
            <w:r>
              <w:rPr>
                <w:rFonts w:hint="eastAsia" w:ascii="Times New Roman" w:hAnsi="Times New Roman" w:eastAsia="宋体" w:cs="Times New Roman"/>
                <w:b/>
                <w:bCs w:val="0"/>
                <w:color w:val="auto"/>
                <w:sz w:val="21"/>
                <w:szCs w:val="21"/>
                <w:lang w:val="en-US" w:eastAsia="zh-CN"/>
              </w:rPr>
              <w:t>危险物质及工艺系统危险性(P)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vMerge w:val="continue"/>
            <w:vAlign w:val="center"/>
          </w:tcPr>
          <w:p>
            <w:pPr>
              <w:adjustRightInd w:val="0"/>
              <w:snapToGrid w:val="0"/>
              <w:jc w:val="center"/>
              <w:rPr>
                <w:rFonts w:hint="eastAsia" w:ascii="Times New Roman" w:hAnsi="Times New Roman" w:eastAsia="宋体" w:cs="Times New Roman"/>
                <w:b/>
                <w:bCs w:val="0"/>
                <w:color w:val="auto"/>
                <w:sz w:val="21"/>
                <w:szCs w:val="21"/>
                <w:lang w:val="en-US" w:eastAsia="zh-CN"/>
              </w:rPr>
            </w:pPr>
          </w:p>
        </w:tc>
        <w:tc>
          <w:tcPr>
            <w:tcW w:w="1844" w:type="dxa"/>
            <w:vAlign w:val="center"/>
          </w:tcPr>
          <w:p>
            <w:pPr>
              <w:adjustRightInd w:val="0"/>
              <w:snapToGrid w:val="0"/>
              <w:jc w:val="center"/>
              <w:rPr>
                <w:rFonts w:hint="eastAsia" w:ascii="Times New Roman" w:hAnsi="Times New Roman" w:eastAsia="宋体" w:cs="Times New Roman"/>
                <w:b/>
                <w:bCs w:val="0"/>
                <w:color w:val="auto"/>
                <w:sz w:val="21"/>
                <w:szCs w:val="21"/>
                <w:lang w:val="en-US" w:eastAsia="zh-CN"/>
              </w:rPr>
            </w:pPr>
            <w:r>
              <w:rPr>
                <w:rFonts w:hint="eastAsia" w:ascii="Times New Roman" w:hAnsi="Times New Roman" w:eastAsia="宋体" w:cs="Times New Roman"/>
                <w:b/>
                <w:bCs w:val="0"/>
                <w:color w:val="auto"/>
                <w:sz w:val="21"/>
                <w:szCs w:val="21"/>
                <w:lang w:val="en-US" w:eastAsia="zh-CN"/>
              </w:rPr>
              <w:t>极高危害(P1)</w:t>
            </w:r>
          </w:p>
        </w:tc>
        <w:tc>
          <w:tcPr>
            <w:tcW w:w="1844" w:type="dxa"/>
            <w:vAlign w:val="center"/>
          </w:tcPr>
          <w:p>
            <w:pPr>
              <w:adjustRightInd w:val="0"/>
              <w:snapToGrid w:val="0"/>
              <w:jc w:val="center"/>
              <w:rPr>
                <w:rFonts w:hint="eastAsia" w:ascii="Times New Roman" w:hAnsi="Times New Roman" w:eastAsia="宋体" w:cs="Times New Roman"/>
                <w:b/>
                <w:bCs w:val="0"/>
                <w:color w:val="auto"/>
                <w:sz w:val="21"/>
                <w:szCs w:val="21"/>
                <w:lang w:val="en-US" w:eastAsia="zh-CN"/>
              </w:rPr>
            </w:pPr>
            <w:r>
              <w:rPr>
                <w:rFonts w:hint="eastAsia" w:ascii="Times New Roman" w:hAnsi="Times New Roman" w:eastAsia="宋体" w:cs="Times New Roman"/>
                <w:b/>
                <w:bCs w:val="0"/>
                <w:color w:val="auto"/>
                <w:sz w:val="21"/>
                <w:szCs w:val="21"/>
                <w:lang w:val="en-US" w:eastAsia="zh-CN"/>
              </w:rPr>
              <w:t>高度危害(P2)</w:t>
            </w:r>
          </w:p>
        </w:tc>
        <w:tc>
          <w:tcPr>
            <w:tcW w:w="1844" w:type="dxa"/>
            <w:vAlign w:val="center"/>
          </w:tcPr>
          <w:p>
            <w:pPr>
              <w:adjustRightInd w:val="0"/>
              <w:snapToGrid w:val="0"/>
              <w:jc w:val="center"/>
              <w:rPr>
                <w:rFonts w:hint="eastAsia" w:ascii="Times New Roman" w:hAnsi="Times New Roman" w:eastAsia="宋体" w:cs="Times New Roman"/>
                <w:b/>
                <w:bCs w:val="0"/>
                <w:color w:val="auto"/>
                <w:sz w:val="21"/>
                <w:szCs w:val="21"/>
                <w:lang w:val="en-US" w:eastAsia="zh-CN"/>
              </w:rPr>
            </w:pPr>
            <w:r>
              <w:rPr>
                <w:rFonts w:hint="eastAsia" w:ascii="Times New Roman" w:hAnsi="Times New Roman" w:eastAsia="宋体" w:cs="Times New Roman"/>
                <w:b/>
                <w:bCs w:val="0"/>
                <w:color w:val="auto"/>
                <w:sz w:val="21"/>
                <w:szCs w:val="21"/>
                <w:lang w:val="en-US" w:eastAsia="zh-CN"/>
              </w:rPr>
              <w:t>中度危害(P3)</w:t>
            </w:r>
          </w:p>
        </w:tc>
        <w:tc>
          <w:tcPr>
            <w:tcW w:w="1844" w:type="dxa"/>
            <w:vAlign w:val="center"/>
          </w:tcPr>
          <w:p>
            <w:pPr>
              <w:adjustRightInd w:val="0"/>
              <w:snapToGrid w:val="0"/>
              <w:jc w:val="center"/>
              <w:rPr>
                <w:rFonts w:hint="eastAsia" w:ascii="Times New Roman" w:hAnsi="Times New Roman" w:eastAsia="宋体" w:cs="Times New Roman"/>
                <w:b/>
                <w:bCs w:val="0"/>
                <w:color w:val="auto"/>
                <w:sz w:val="21"/>
                <w:szCs w:val="21"/>
                <w:lang w:val="en-US" w:eastAsia="zh-CN"/>
              </w:rPr>
            </w:pPr>
            <w:r>
              <w:rPr>
                <w:rFonts w:hint="eastAsia" w:ascii="Times New Roman" w:hAnsi="Times New Roman" w:eastAsia="宋体" w:cs="Times New Roman"/>
                <w:b/>
                <w:bCs w:val="0"/>
                <w:color w:val="auto"/>
                <w:sz w:val="21"/>
                <w:szCs w:val="21"/>
                <w:lang w:val="en-US" w:eastAsia="zh-CN"/>
              </w:rPr>
              <w:t>轻度危害(P4)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vAlign w:val="center"/>
          </w:tcPr>
          <w:p>
            <w:pPr>
              <w:adjustRightInd w:val="0"/>
              <w:snapToGrid w:val="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环境高度敏感（E1）</w:t>
            </w:r>
          </w:p>
        </w:tc>
        <w:tc>
          <w:tcPr>
            <w:tcW w:w="1844" w:type="dxa"/>
            <w:vAlign w:val="center"/>
          </w:tcPr>
          <w:p>
            <w:pPr>
              <w:adjustRightInd w:val="0"/>
              <w:snapToGrid w:val="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IV+</w:t>
            </w:r>
          </w:p>
        </w:tc>
        <w:tc>
          <w:tcPr>
            <w:tcW w:w="1844" w:type="dxa"/>
            <w:vAlign w:val="center"/>
          </w:tcPr>
          <w:p>
            <w:pPr>
              <w:adjustRightInd w:val="0"/>
              <w:snapToGrid w:val="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IV</w:t>
            </w:r>
          </w:p>
        </w:tc>
        <w:tc>
          <w:tcPr>
            <w:tcW w:w="1844" w:type="dxa"/>
            <w:vAlign w:val="center"/>
          </w:tcPr>
          <w:p>
            <w:pPr>
              <w:adjustRightInd w:val="0"/>
              <w:snapToGrid w:val="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III</w:t>
            </w:r>
          </w:p>
        </w:tc>
        <w:tc>
          <w:tcPr>
            <w:tcW w:w="1844" w:type="dxa"/>
            <w:vAlign w:val="center"/>
          </w:tcPr>
          <w:p>
            <w:pPr>
              <w:adjustRightInd w:val="0"/>
              <w:snapToGrid w:val="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III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vAlign w:val="center"/>
          </w:tcPr>
          <w:p>
            <w:pPr>
              <w:adjustRightInd w:val="0"/>
              <w:snapToGrid w:val="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环境高度敏感（E2）</w:t>
            </w:r>
          </w:p>
        </w:tc>
        <w:tc>
          <w:tcPr>
            <w:tcW w:w="1844" w:type="dxa"/>
            <w:vAlign w:val="center"/>
          </w:tcPr>
          <w:p>
            <w:pPr>
              <w:adjustRightInd w:val="0"/>
              <w:snapToGrid w:val="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IV</w:t>
            </w:r>
          </w:p>
        </w:tc>
        <w:tc>
          <w:tcPr>
            <w:tcW w:w="1844" w:type="dxa"/>
            <w:vAlign w:val="center"/>
          </w:tcPr>
          <w:p>
            <w:pPr>
              <w:adjustRightInd w:val="0"/>
              <w:snapToGrid w:val="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III</w:t>
            </w:r>
          </w:p>
        </w:tc>
        <w:tc>
          <w:tcPr>
            <w:tcW w:w="1844" w:type="dxa"/>
            <w:vAlign w:val="center"/>
          </w:tcPr>
          <w:p>
            <w:pPr>
              <w:adjustRightInd w:val="0"/>
              <w:snapToGrid w:val="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III</w:t>
            </w:r>
          </w:p>
        </w:tc>
        <w:tc>
          <w:tcPr>
            <w:tcW w:w="1844" w:type="dxa"/>
            <w:vAlign w:val="center"/>
          </w:tcPr>
          <w:p>
            <w:pPr>
              <w:adjustRightInd w:val="0"/>
              <w:snapToGrid w:val="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II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vAlign w:val="center"/>
          </w:tcPr>
          <w:p>
            <w:pPr>
              <w:adjustRightInd w:val="0"/>
              <w:snapToGrid w:val="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环境高度敏感（E3）</w:t>
            </w:r>
          </w:p>
        </w:tc>
        <w:tc>
          <w:tcPr>
            <w:tcW w:w="1844" w:type="dxa"/>
            <w:vAlign w:val="center"/>
          </w:tcPr>
          <w:p>
            <w:pPr>
              <w:adjustRightInd w:val="0"/>
              <w:snapToGrid w:val="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III</w:t>
            </w:r>
          </w:p>
        </w:tc>
        <w:tc>
          <w:tcPr>
            <w:tcW w:w="1844" w:type="dxa"/>
            <w:vAlign w:val="center"/>
          </w:tcPr>
          <w:p>
            <w:pPr>
              <w:adjustRightInd w:val="0"/>
              <w:snapToGrid w:val="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III</w:t>
            </w:r>
          </w:p>
        </w:tc>
        <w:tc>
          <w:tcPr>
            <w:tcW w:w="1844" w:type="dxa"/>
            <w:vAlign w:val="center"/>
          </w:tcPr>
          <w:p>
            <w:pPr>
              <w:adjustRightInd w:val="0"/>
              <w:snapToGrid w:val="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II</w:t>
            </w:r>
          </w:p>
        </w:tc>
        <w:tc>
          <w:tcPr>
            <w:tcW w:w="1844" w:type="dxa"/>
            <w:vAlign w:val="center"/>
          </w:tcPr>
          <w:p>
            <w:pPr>
              <w:adjustRightInd w:val="0"/>
              <w:snapToGrid w:val="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20" w:type="dxa"/>
            <w:gridSpan w:val="5"/>
            <w:vAlign w:val="center"/>
          </w:tcPr>
          <w:p>
            <w:pPr>
              <w:adjustRightInd w:val="0"/>
              <w:snapToGrid w:val="0"/>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注：IV+为极高环境风险</w:t>
            </w:r>
          </w:p>
        </w:tc>
      </w:tr>
    </w:tbl>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由上表可知，本项目的环境风险潜势判定为 I。</w:t>
      </w:r>
    </w:p>
    <w:p>
      <w:pPr>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④风险评价等级划分</w:t>
      </w:r>
    </w:p>
    <w:p>
      <w:pPr>
        <w:spacing w:line="360" w:lineRule="auto"/>
        <w:ind w:firstLine="480" w:firstLineChars="200"/>
        <w:rPr>
          <w:rFonts w:hint="eastAsia" w:ascii="Times New Roman" w:hAnsi="Times New Roman" w:eastAsia="宋体"/>
          <w:color w:val="auto"/>
          <w:sz w:val="24"/>
          <w:szCs w:val="24"/>
          <w:highlight w:val="none"/>
          <w:lang w:eastAsia="zh-CN"/>
        </w:rPr>
      </w:pPr>
      <w:r>
        <w:rPr>
          <w:rFonts w:hint="eastAsia" w:ascii="Times New Roman" w:hAnsi="Times New Roman" w:eastAsia="宋体"/>
          <w:color w:val="auto"/>
          <w:sz w:val="24"/>
          <w:szCs w:val="24"/>
          <w:highlight w:val="none"/>
          <w:lang w:eastAsia="zh-CN"/>
        </w:rPr>
        <w:t>根据《建设项目环境风评价技术导则》（HJ169-2018），环境风险评价工作等级划分为一级、二级、三级。根据建设项目涉及的物质及工艺系统危险性和所在地的环境敏感性确定环境风险潜势，按照“表 1”确定评价工作等级。风险潜势为 IV 及以上，进行一级评价；风险潜势为</w:t>
      </w:r>
      <w:r>
        <w:rPr>
          <w:rFonts w:hint="eastAsia" w:ascii="Times New Roman" w:hAnsi="Times New Roman" w:eastAsia="宋体"/>
          <w:color w:val="auto"/>
          <w:sz w:val="24"/>
          <w:szCs w:val="24"/>
          <w:highlight w:val="none"/>
          <w:lang w:val="en-US" w:eastAsia="zh-CN"/>
        </w:rPr>
        <w:t>III</w:t>
      </w:r>
      <w:r>
        <w:rPr>
          <w:rFonts w:hint="eastAsia" w:ascii="Times New Roman" w:hAnsi="Times New Roman" w:eastAsia="宋体"/>
          <w:color w:val="auto"/>
          <w:sz w:val="24"/>
          <w:szCs w:val="24"/>
          <w:highlight w:val="none"/>
          <w:lang w:eastAsia="zh-CN"/>
        </w:rPr>
        <w:t>，进行二级评价；风险潜势为II，进行三级评价；风险潜势为 I，可开展简单分析。</w:t>
      </w:r>
    </w:p>
    <w:p>
      <w:pPr>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highlight w:val="none"/>
          <w:lang w:eastAsia="zh-CN"/>
        </w:rPr>
        <w:t>根据分析，本项目风险潜势判定为 I，仅需进行简单分析</w:t>
      </w:r>
      <w:r>
        <w:rPr>
          <w:rFonts w:hint="eastAsia" w:ascii="Times New Roman" w:hAnsi="Times New Roman" w:eastAsia="宋体"/>
          <w:color w:val="auto"/>
          <w:sz w:val="24"/>
          <w:szCs w:val="24"/>
          <w:lang w:eastAsia="zh-CN"/>
        </w:rPr>
        <w:t>。</w:t>
      </w:r>
    </w:p>
    <w:p>
      <w:pPr>
        <w:pStyle w:val="6"/>
        <w:adjustRightInd w:val="0"/>
        <w:snapToGrid w:val="0"/>
        <w:spacing w:before="0" w:after="0" w:line="360" w:lineRule="auto"/>
        <w:rPr>
          <w:rFonts w:hint="eastAsia" w:ascii="Times New Roman" w:hAnsi="Times New Roman" w:eastAsia="宋体"/>
          <w:color w:val="auto"/>
          <w:sz w:val="28"/>
          <w:szCs w:val="28"/>
          <w:lang w:eastAsia="zh-CN"/>
        </w:rPr>
      </w:pPr>
      <w:bookmarkStart w:id="240" w:name="_Toc124301139"/>
      <w:bookmarkStart w:id="241" w:name="_Toc140051415"/>
      <w:bookmarkStart w:id="242" w:name="_Toc112558525"/>
      <w:bookmarkStart w:id="243" w:name="_Toc459118474"/>
      <w:bookmarkStart w:id="244" w:name="_Toc142980061"/>
      <w:bookmarkStart w:id="245" w:name="_Toc22070"/>
      <w:bookmarkStart w:id="246" w:name="_Toc323023525"/>
      <w:r>
        <w:rPr>
          <w:rFonts w:hint="eastAsia" w:ascii="Times New Roman" w:hAnsi="Times New Roman" w:eastAsia="宋体"/>
          <w:color w:val="auto"/>
          <w:sz w:val="28"/>
          <w:szCs w:val="28"/>
        </w:rPr>
        <w:t>5.3.2</w:t>
      </w:r>
      <w:bookmarkEnd w:id="240"/>
      <w:bookmarkEnd w:id="241"/>
      <w:bookmarkEnd w:id="242"/>
      <w:bookmarkEnd w:id="243"/>
      <w:bookmarkEnd w:id="244"/>
      <w:bookmarkEnd w:id="245"/>
      <w:bookmarkEnd w:id="246"/>
      <w:r>
        <w:rPr>
          <w:rFonts w:hint="eastAsia" w:ascii="Times New Roman" w:hAnsi="Times New Roman" w:eastAsia="宋体"/>
          <w:color w:val="auto"/>
          <w:sz w:val="28"/>
          <w:szCs w:val="28"/>
          <w:lang w:eastAsia="zh-CN"/>
        </w:rPr>
        <w:t>源强分析</w:t>
      </w:r>
    </w:p>
    <w:p>
      <w:pPr>
        <w:spacing w:line="360" w:lineRule="auto"/>
        <w:ind w:firstLine="482" w:firstLineChars="200"/>
        <w:rPr>
          <w:rFonts w:hint="eastAsia" w:ascii="Times New Roman" w:hAnsi="Times New Roman" w:eastAsia="宋体"/>
          <w:b/>
          <w:bCs/>
          <w:i w:val="0"/>
          <w:iCs w:val="0"/>
          <w:color w:val="auto"/>
          <w:sz w:val="24"/>
          <w:szCs w:val="24"/>
          <w:lang w:val="en-US" w:eastAsia="zh-CN"/>
        </w:rPr>
      </w:pPr>
      <w:r>
        <w:rPr>
          <w:rFonts w:hint="eastAsia" w:ascii="Times New Roman" w:hAnsi="Times New Roman" w:eastAsia="宋体"/>
          <w:b/>
          <w:bCs/>
          <w:i w:val="0"/>
          <w:iCs w:val="0"/>
          <w:color w:val="auto"/>
          <w:sz w:val="24"/>
          <w:szCs w:val="24"/>
          <w:lang w:val="en-US" w:eastAsia="zh-CN"/>
        </w:rPr>
        <w:t>1、生产设施风险</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生产设施存在风险的系统主要包括贮运系统、生产系统，发生泄漏、火灾等风险事故。</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eastAsia="zh-CN"/>
        </w:rPr>
        <w:t>污水处理区</w:t>
      </w:r>
      <w:r>
        <w:rPr>
          <w:rFonts w:hint="eastAsia" w:ascii="Times New Roman" w:hAnsi="Times New Roman" w:eastAsia="宋体"/>
          <w:color w:val="auto"/>
          <w:sz w:val="24"/>
          <w:szCs w:val="24"/>
        </w:rPr>
        <w:t>出现故障，无法正常运行，导致废水不能处理，造成环境污染。</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）患传染病的猪引发的疫病风险：患人畜共患的传染病的猪和工作人员接触后引发工作人员发病，病猪的猪粪和工作人员接触后引发工作人员发病。</w:t>
      </w:r>
    </w:p>
    <w:p>
      <w:pPr>
        <w:spacing w:line="360" w:lineRule="auto"/>
        <w:ind w:firstLine="482" w:firstLineChars="200"/>
        <w:rPr>
          <w:rFonts w:hint="eastAsia" w:ascii="Times New Roman" w:hAnsi="Times New Roman" w:eastAsia="宋体"/>
          <w:b/>
          <w:bCs/>
          <w:color w:val="auto"/>
          <w:sz w:val="24"/>
          <w:szCs w:val="24"/>
          <w:lang w:val="en-US" w:eastAsia="zh-CN"/>
        </w:rPr>
      </w:pPr>
      <w:r>
        <w:rPr>
          <w:rFonts w:hint="eastAsia" w:ascii="Times New Roman" w:hAnsi="Times New Roman" w:eastAsia="宋体"/>
          <w:b/>
          <w:bCs/>
          <w:color w:val="auto"/>
          <w:sz w:val="24"/>
          <w:szCs w:val="24"/>
          <w:lang w:val="en-US" w:eastAsia="zh-CN"/>
        </w:rPr>
        <w:t>2、废水泄露风险</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猪舍的废水为“三高”废水，SS、COD、氨氮浓度高。若污水处理设施停运，废水事故外排将造成污染影响。废水会对土壤、大气环境质量造成直接影响，进而对地下水、地表水都可能产生污染性影响。</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（1）事故对土壤环境的影响</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当废水排放超过土壤的自净能力，便会出现降解不完全和厌氧腐解，产生恶臭物质和亚硝酸盐等有害物质，使土壤环境质量严重恶化。同时，土壤对病原微生物的自净能力下降，容易造成生物污染和疫病传播。</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（2）事故对大气环境的影响</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废水散发高浓度的恶臭气体，不仅降低空气质量、妨碍人畜健康生存，持续时间过长可能引起呼吸系统的疾病。此外，废水中含有大量的微生物扩散到空气中，可能引发口蹄疫和大肠埃希菌、炭疸、布氏杆菌、真菌胞子等疫病传播，危害人和动物健康。</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（3）事故对地表水环境的影响</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废水进入自然水体后，使水中固体悬浮物（SS）、有机物和微生物含量升高，水质变坏。废水中含有大量的病原微生物将通过水体或水生动植物扩散传播，危害人畜健康。此外，有机物生物降解消耗水体溶解氧，使水体变黑发臭，水生生物死亡，发生水体“富营养化”，这种水体将不可能再得到恢复。</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（4）事故对地下水环境的影响</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废水渗入会使地下水水质变坏，严重时使水体发黑、变臭、失去使用价值。一旦污染了地下水，将极难治理恢复，造成较持久性的污染。</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可见事故排污对环境的危害极大，应坚决杜绝废水事故排放的发生。一旦出现污水处理设备停运事故，应该立即将废水切换至事故应急池，待废水处理设施抢修完毕后，再将应急池内废水逐步纳入污水处理系统。</w:t>
      </w:r>
    </w:p>
    <w:p>
      <w:pPr>
        <w:spacing w:line="360" w:lineRule="auto"/>
        <w:ind w:firstLine="482" w:firstLineChars="200"/>
        <w:rPr>
          <w:rFonts w:hint="eastAsia" w:ascii="Times New Roman" w:hAnsi="Times New Roman" w:eastAsia="宋体"/>
          <w:b/>
          <w:bCs/>
          <w:color w:val="auto"/>
          <w:sz w:val="24"/>
          <w:szCs w:val="24"/>
          <w:lang w:val="en-US" w:eastAsia="zh-CN"/>
        </w:rPr>
      </w:pPr>
      <w:r>
        <w:rPr>
          <w:rFonts w:hint="eastAsia" w:ascii="Times New Roman" w:hAnsi="Times New Roman" w:eastAsia="宋体"/>
          <w:b/>
          <w:bCs/>
          <w:color w:val="auto"/>
          <w:sz w:val="24"/>
          <w:szCs w:val="24"/>
          <w:lang w:val="en-US" w:eastAsia="zh-CN"/>
        </w:rPr>
        <w:t>3、动物疾病、疫情影响分析</w:t>
      </w:r>
    </w:p>
    <w:p>
      <w:pPr>
        <w:spacing w:line="360" w:lineRule="auto"/>
        <w:ind w:firstLine="482" w:firstLineChars="200"/>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rPr>
        <w:t>猪瘟</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猪瘟（Classical Swine Fever，CSF）是由黄病毒科瘟病毒属（Classical Swine Fever Virus，CSFV）引起的一种烈性传染病，死亡率极高，对养猪业危害极大。猪瘟被国际动物卫生组织（OIE）列为 A 类传染病，我国将其列为一类传染病。</w:t>
      </w:r>
    </w:p>
    <w:p>
      <w:pPr>
        <w:spacing w:line="360" w:lineRule="auto"/>
        <w:ind w:firstLine="482" w:firstLineChars="200"/>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rPr>
        <w:t>口蹄病</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口蹄病又称阿夫他热，是一种侵犯猪、羊、猪等有蹄类家畜的病毒性烈性传染病。对家畜危害甚大。偶尔传染给人，使人发病。根据有接触患病家畜病史。手足口腔出现水疱、溃疡及发热等症状，可以诊断。有条件可做水疱液病毒分离，血清检出特殊补体及中和抗体，即可确诊。</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集约化猪场养殖规模大、密度高、传播速度快，疾病威胁严重，一旦发生很难控制，可直接导致牲畜死亡、产品低劣、产量下降，防治费用增加，经济损失巨大。这就要求我们随时具备对猪群有群防群控能力。</w:t>
      </w:r>
    </w:p>
    <w:p>
      <w:pPr>
        <w:spacing w:line="360" w:lineRule="auto"/>
        <w:ind w:firstLine="482" w:firstLineChars="200"/>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rPr>
        <w:t>常发病危害</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流行性疾病</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近 3 年来，几种影响免疫功能的疾病困扰着我国养猪业，给养猪业造成了难以估量的损失，如猪环状病毒感染、猪繁殖与呼吸综合征等疫病的发生流行，引起机体的基础免疫功能下降，导致猪群免疫失败，如猪繁殖与呼吸综合征（ PRRS）、仔猪断奶后多系统衰弱综合征（PMWS）、猪呼吸道疾病综合征（PRDC）、猪皮炎肾病综合征（PDNS）等多种病原体引起的疾病的临床病变极其严重，极易造成临床上的误诊和防治上的困难，由于这些新病的出现，有的疾病缺乏有效的防治措施，因此，猪群发病率和死亡率提高，养猪场损失惨重。给我国养猪业造成了巨大的危害。不少猪场因种猪的疫病问题造成巨大的经济损失而倒闭，有些猪场爆发仔猪断奶后多系统衰竭综合征（PMWS），发病率高达60%，直接死亡率在 40%以上。</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慢性疾病</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许多慢性疾病虽然死亡率不高，但由于造成生长速度减慢、饲料利用效率降低，并发二次感染，增加药物和治疗费用等，经济损失极大。据国外研究报道，萎缩性鼻炎可使生长速度降低 5%，如果与肺炎并发，可导致生长速度降低 17%；由于地方性肺炎导致肺的不同程度损坏，每损坏 10％的肺组织可降低 5%的生长速度；猪群由于胸膜肺炎的影响，可使销售额降低 20%，并导致达 100 千克延长12 天；某些皮肤病如猪疥癣可降低 10%的生长和饲料利用率，并且可能诱发皮脂炎而严重影响胴体品质，据国内有关数据显示，病毒、细菌等混合感染引起的呼吸道疾病，除了造成直接死亡之外，可使猪日增重降低 15%、饲料利用率降低18%、出栏时间推迟 23 天甚至更多，增重下降或生长停滞的猪可达 70%甚至更多。</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寄生虫病</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寄生虫病也是引起猪场效益下降的重要疾病。美国明尼苏达大学的一项调查研究结果表明，在管理良好的猪场里，寄生虫的感染依然存在，即使是轻微的感染，也能引起大量的损失，包括饲料利用率降低、生长速度下降、由于蛔虫、鞭虫等内寄生虫的移行造成内脏的损伤和机体免疫系统的损害等方面所引起经济效益的下降等。采用科学的驱虫模式进行驱虫，猪群的日增重（从 20～90 千克）比没有驱虫的猪提高了 9.3％，而饲料消耗却降低了 10.9％，生长速度提高 10.9%</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肉料比提高 0.36，并且由于有效地控制了疥螨病的发生，使外贸出口合格率大大提高，内销屠宰时因肝脏蛔虫斑而造成肝脏废弃的情况不再出现。一头猪从出生到出栏，使用腾骏“肯维灭”按驱虫计划进行驱虫所支出的费用（包括公、母猪驱虫分摊的费用）为 3.8 元，而由此获得的收益可达 28 元以上，从另一个角度可看到猪场寄生虫病对猪场经济效益影响之大。</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人畜共患病</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许多人畜共患病，已成为严重危害人体健康的重大问题； 1998～1999 年马来西亚由 Nipah 病毒引起猪的脑炎，同时也引起 265 人发病，105 人死亡。1997年台湾流行口蹄疫给台湾的养猪业以毁灭性的打击。2000 年韩国和日本流行的口蹄疫,也给这些国家的养殖业带来沉重后果。2000 年欧洲爆发口蹄疫，英国损失 590 亿英磅。许多人畜共患的重大疫病，如血吸虫病、狂犬病、乙型脑炎、链球菌病、流感等与动物的带毒、带菌、带虫有关，使这些病在动物和人之间相互传播，对人体健康构成严重威胁。猪场疾病日益复杂，其中猪能引起人畜共患的疾病达 25 种之多。由此可见，人畜共患病问题已成为影响极为广泛的社会问题。</w:t>
      </w:r>
    </w:p>
    <w:p>
      <w:pPr>
        <w:spacing w:line="360" w:lineRule="auto"/>
        <w:ind w:firstLine="482" w:firstLineChars="200"/>
        <w:rPr>
          <w:rFonts w:hint="default" w:ascii="Times New Roman" w:hAnsi="Times New Roman" w:eastAsia="宋体"/>
          <w:b/>
          <w:bCs/>
          <w:color w:val="auto"/>
          <w:sz w:val="24"/>
          <w:szCs w:val="24"/>
          <w:lang w:val="en-US" w:eastAsia="zh-CN"/>
        </w:rPr>
      </w:pPr>
      <w:r>
        <w:rPr>
          <w:rFonts w:hint="eastAsia" w:ascii="Times New Roman" w:hAnsi="Times New Roman" w:eastAsia="宋体"/>
          <w:b/>
          <w:bCs/>
          <w:color w:val="auto"/>
          <w:sz w:val="24"/>
          <w:szCs w:val="24"/>
          <w:lang w:val="en-US" w:eastAsia="zh-CN"/>
        </w:rPr>
        <w:t>4、物质风险</w:t>
      </w:r>
    </w:p>
    <w:p>
      <w:pPr>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本项目涉及到的危险因素为柴油，同时猪舍、堆粪间、污水处理区等会产生一定量的硫化氢和氨，但是基本已进行有组织处理或者少量废气以无组织形式排放，因此本项目主要危险物质为柴油。</w:t>
      </w:r>
    </w:p>
    <w:p>
      <w:pPr>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柴油的危险特性：易燃液体，遇明火、高热或与氧化剂接触，有引起燃烧爆炸的危险。若遇高热，容器内压增大，有开裂和爆炸的危险。</w:t>
      </w:r>
    </w:p>
    <w:p>
      <w:pPr>
        <w:pStyle w:val="6"/>
        <w:adjustRightInd w:val="0"/>
        <w:snapToGrid w:val="0"/>
        <w:spacing w:before="0" w:after="0" w:line="360" w:lineRule="auto"/>
        <w:rPr>
          <w:rFonts w:hint="eastAsia" w:ascii="Times New Roman" w:hAnsi="Times New Roman" w:eastAsia="宋体"/>
          <w:color w:val="auto"/>
          <w:sz w:val="28"/>
          <w:szCs w:val="28"/>
          <w:lang w:eastAsia="zh-CN"/>
        </w:rPr>
      </w:pPr>
      <w:r>
        <w:rPr>
          <w:rFonts w:hint="eastAsia" w:ascii="Times New Roman" w:hAnsi="Times New Roman" w:eastAsia="宋体"/>
          <w:color w:val="auto"/>
          <w:sz w:val="28"/>
          <w:szCs w:val="28"/>
        </w:rPr>
        <w:t>5.3.</w:t>
      </w:r>
      <w:r>
        <w:rPr>
          <w:rFonts w:hint="eastAsia" w:ascii="Times New Roman" w:hAnsi="Times New Roman" w:eastAsia="宋体"/>
          <w:color w:val="auto"/>
          <w:sz w:val="28"/>
          <w:szCs w:val="28"/>
          <w:lang w:val="en-US" w:eastAsia="zh-CN"/>
        </w:rPr>
        <w:t>3</w:t>
      </w:r>
      <w:r>
        <w:rPr>
          <w:rFonts w:hint="eastAsia" w:ascii="Times New Roman" w:hAnsi="Times New Roman" w:eastAsia="宋体"/>
          <w:color w:val="auto"/>
          <w:sz w:val="28"/>
          <w:szCs w:val="28"/>
          <w:lang w:eastAsia="zh-CN"/>
        </w:rPr>
        <w:t>最大可信事故</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本工程环境风险因素构成主要有以下两方面：一是可能发生柴油的泄漏或释放的危险事故；二是</w:t>
      </w:r>
      <w:r>
        <w:rPr>
          <w:rFonts w:hint="eastAsia" w:ascii="Times New Roman" w:hAnsi="Times New Roman" w:eastAsia="宋体"/>
          <w:color w:val="auto"/>
          <w:sz w:val="24"/>
          <w:szCs w:val="24"/>
          <w:lang w:eastAsia="zh-CN"/>
        </w:rPr>
        <w:t>废水</w:t>
      </w:r>
      <w:r>
        <w:rPr>
          <w:rFonts w:hint="eastAsia" w:ascii="Times New Roman" w:hAnsi="Times New Roman" w:eastAsia="宋体"/>
          <w:color w:val="auto"/>
          <w:sz w:val="24"/>
          <w:szCs w:val="24"/>
        </w:rPr>
        <w:t>的泄漏对周边环境造成损害。</w:t>
      </w:r>
    </w:p>
    <w:p>
      <w:pPr>
        <w:pStyle w:val="6"/>
        <w:adjustRightInd w:val="0"/>
        <w:snapToGrid w:val="0"/>
        <w:spacing w:before="0" w:after="0" w:line="360" w:lineRule="auto"/>
        <w:rPr>
          <w:rFonts w:ascii="Times New Roman" w:hAnsi="Times New Roman" w:eastAsia="宋体"/>
          <w:color w:val="auto"/>
          <w:sz w:val="28"/>
          <w:szCs w:val="28"/>
        </w:rPr>
      </w:pPr>
      <w:r>
        <w:rPr>
          <w:rFonts w:hint="eastAsia" w:ascii="Times New Roman" w:hAnsi="Times New Roman" w:eastAsia="宋体"/>
          <w:color w:val="auto"/>
          <w:sz w:val="28"/>
          <w:szCs w:val="28"/>
        </w:rPr>
        <w:t>5.3.</w:t>
      </w:r>
      <w:r>
        <w:rPr>
          <w:rFonts w:hint="eastAsia" w:ascii="Times New Roman" w:hAnsi="Times New Roman" w:eastAsia="宋体"/>
          <w:color w:val="auto"/>
          <w:sz w:val="28"/>
          <w:szCs w:val="28"/>
          <w:lang w:val="en-US" w:eastAsia="zh-CN"/>
        </w:rPr>
        <w:t>4</w:t>
      </w:r>
      <w:r>
        <w:rPr>
          <w:rFonts w:hint="eastAsia" w:ascii="Times New Roman" w:hAnsi="Times New Roman" w:eastAsia="宋体"/>
          <w:color w:val="auto"/>
          <w:sz w:val="28"/>
          <w:szCs w:val="28"/>
        </w:rPr>
        <w:t>风险事故防范措施</w:t>
      </w:r>
    </w:p>
    <w:p>
      <w:pPr>
        <w:numPr>
          <w:ilvl w:val="0"/>
          <w:numId w:val="0"/>
        </w:numPr>
        <w:spacing w:line="360" w:lineRule="auto"/>
        <w:ind w:left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 xml:space="preserve">1、污水事故排放的风险防范措施 </w:t>
      </w:r>
    </w:p>
    <w:p>
      <w:pPr>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（1）养殖场的排水系统实行雨污分流。</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（2）废水</w:t>
      </w:r>
      <w:r>
        <w:rPr>
          <w:rFonts w:hint="eastAsia" w:ascii="Times New Roman" w:hAnsi="Times New Roman" w:eastAsia="宋体"/>
          <w:color w:val="auto"/>
          <w:sz w:val="24"/>
          <w:szCs w:val="24"/>
          <w:lang w:eastAsia="zh-CN"/>
        </w:rPr>
        <w:t>收集</w:t>
      </w:r>
      <w:r>
        <w:rPr>
          <w:rFonts w:hint="eastAsia" w:ascii="Times New Roman" w:hAnsi="Times New Roman" w:eastAsia="宋体"/>
          <w:color w:val="auto"/>
          <w:sz w:val="24"/>
          <w:szCs w:val="24"/>
        </w:rPr>
        <w:t>池加盖，在周围设置截水沟，防止雨水进入造成溢流污染地下水。</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（3）废水收集、贮存设施应做好防渗防漏措施。</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（4）设置废水</w:t>
      </w:r>
      <w:r>
        <w:rPr>
          <w:rFonts w:hint="eastAsia" w:ascii="Times New Roman" w:hAnsi="Times New Roman" w:eastAsia="宋体"/>
          <w:color w:val="auto"/>
          <w:sz w:val="24"/>
          <w:szCs w:val="24"/>
          <w:lang w:eastAsia="zh-CN"/>
        </w:rPr>
        <w:t>事故应急池</w:t>
      </w:r>
      <w:r>
        <w:rPr>
          <w:rFonts w:hint="eastAsia" w:ascii="Times New Roman" w:hAnsi="Times New Roman" w:eastAsia="宋体"/>
          <w:color w:val="auto"/>
          <w:sz w:val="24"/>
          <w:szCs w:val="24"/>
        </w:rPr>
        <w:t>，本项目</w:t>
      </w:r>
      <w:r>
        <w:rPr>
          <w:rFonts w:hint="eastAsia" w:ascii="Times New Roman" w:hAnsi="Times New Roman" w:eastAsia="宋体"/>
          <w:color w:val="auto"/>
          <w:sz w:val="24"/>
          <w:szCs w:val="24"/>
          <w:lang w:eastAsia="zh-CN"/>
        </w:rPr>
        <w:t>污水处理区</w:t>
      </w:r>
      <w:r>
        <w:rPr>
          <w:rFonts w:hint="eastAsia" w:ascii="Times New Roman" w:hAnsi="Times New Roman" w:eastAsia="宋体"/>
          <w:color w:val="auto"/>
          <w:sz w:val="24"/>
          <w:szCs w:val="24"/>
        </w:rPr>
        <w:t>发生故障，不能处理废水时，可将废水排至</w:t>
      </w:r>
      <w:r>
        <w:rPr>
          <w:rFonts w:hint="eastAsia" w:ascii="Times New Roman" w:hAnsi="Times New Roman" w:eastAsia="宋体"/>
          <w:color w:val="auto"/>
          <w:sz w:val="24"/>
          <w:szCs w:val="24"/>
          <w:lang w:eastAsia="zh-CN"/>
        </w:rPr>
        <w:t>事故池</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eastAsia="zh-CN"/>
        </w:rPr>
        <w:t>污水处理区</w:t>
      </w:r>
      <w:r>
        <w:rPr>
          <w:rFonts w:hint="eastAsia" w:ascii="Times New Roman" w:hAnsi="Times New Roman" w:eastAsia="宋体"/>
          <w:color w:val="auto"/>
          <w:sz w:val="24"/>
          <w:szCs w:val="24"/>
        </w:rPr>
        <w:t>能够正常运行后，再将废水导入</w:t>
      </w:r>
      <w:r>
        <w:rPr>
          <w:rFonts w:hint="eastAsia" w:ascii="Times New Roman" w:hAnsi="Times New Roman" w:eastAsia="宋体"/>
          <w:color w:val="auto"/>
          <w:sz w:val="24"/>
          <w:szCs w:val="24"/>
          <w:lang w:eastAsia="zh-CN"/>
        </w:rPr>
        <w:t>污水处理区</w:t>
      </w:r>
      <w:r>
        <w:rPr>
          <w:rFonts w:hint="eastAsia" w:ascii="Times New Roman" w:hAnsi="Times New Roman" w:eastAsia="宋体"/>
          <w:color w:val="auto"/>
          <w:sz w:val="24"/>
          <w:szCs w:val="24"/>
        </w:rPr>
        <w:t>进行处理。</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（5）猪场设有柴油发电机作为应急电源，在系统停电情况下，应立即启用应急电源，优先保证污水处理系统的用电，使其正常运转，避免因停电导致突发性事故的发生。</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（6）污水处理采用</w:t>
      </w:r>
      <w:r>
        <w:rPr>
          <w:rFonts w:hint="eastAsia" w:ascii="Times New Roman" w:hAnsi="Times New Roman" w:eastAsia="宋体"/>
          <w:color w:val="auto"/>
          <w:sz w:val="24"/>
          <w:szCs w:val="24"/>
          <w:lang w:eastAsia="zh-CN"/>
        </w:rPr>
        <w:t>缺氧—好氧</w:t>
      </w:r>
      <w:r>
        <w:rPr>
          <w:rFonts w:hint="eastAsia" w:ascii="Times New Roman" w:hAnsi="Times New Roman" w:eastAsia="宋体"/>
          <w:color w:val="auto"/>
          <w:sz w:val="24"/>
          <w:szCs w:val="24"/>
        </w:rPr>
        <w:t>工艺，废水收集处理设施的水泵等主要设备应采取1用1备或多台并联运行，避免事故排放。</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、畜禽疫病事故风险防范措施</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日常预防措施</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①在生产中应坚持“防病重于治病”的方针，改变原来的被动治疗为现在的主动预防。如引种时的检疫、隔离、消毒；猪场疾病的化验与预测；疫苗的注射、药物预防等等，都是将疾病拒之门外的有效办法。</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②企业应将养殖区与生活区分开。养殖区门口应设置消毒池和消毒室(内设紫外线灯等消毒设施)，消毒池内应常年保持 2％—4％氢氧化钠溶液等消毒药。</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③严格控制非生产人员进入生产区，必须进入时应更换工作服及鞋帽，经消毒室消毒后才能进入。</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④兽医必须转变观念，现代化养猪必须树立兽医新观念。</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兽医除了对常见疾病进行治疗外，还必须经常对猪群临床症状进行收集、分析、整理，形成最佳、最可信的详细资料，再根据流行病学的基本特征去排除猪场一些慢性病和亚临床症状疾病，保证猪群健康，达到预期的生长性能。传统的治疗兽医将变成防疫兽医，再发展成现在的保健兽医。只有这样，才能在猪病防控工作上取得突破性进展。</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⑤合理布局、完善设施及严格消毒是预防疾病的基础。</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猪场选址地势高，远离主干道，通风向阳，水质好，排污治污方便的地方。现代化养猪往往通过改善养猪设备来控制或减少疾病，如漏粪地板和护仔栏的使用、小单元的全进全出、通风系统及温控设备等等。即使是小猪场也不可忽视隔离墙、隔离沟、消毒池和排污道的建设。经常开展常规的消毒，保持良好的消毒效果来减少疾病的感染机会，进一步促进猪群健康。</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常见空圈舍消毒程序：</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空圈→清理杂物→高压水枪冲洗→消毒→3 小时后清理污垢死角→清水彻底冲洗→晾干→熏蒸消毒→晾干→阳离子表面活性消毒剂消毒→晾干→进猪。</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⑥加强饲养管理，搞好环境卫生是预防疾病的条件。</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全价平衡的营养是保证猪群发挥生产性能的重要因素，良好的饲养环境有利于猪群生产性能的正常发挥。科学程序化的管理使猪群生产性能获得最大经济效益。相反，营养不良、环境恶劣、管理不善，都能降低猪群的抗感染能力或者引起猪群疾病加重。即便是很健康、免疫能力很强的猪群在极其恶劣的环境下也很难避免疾病的发生。另外及时淘汰无价值的个体，对减少疾病非常重要。</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⑦饲养人员每年应至少进行一次体格检查，如发现患有危害人、猪的传染病者，应及时调离，以防传染。</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⑧经常保持猪舍、猪体的清洁，猪舍还应保持平整、干燥、无污物(如砖块、石头、废弃塑料袋等)。</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发生疫情时的紧急措施</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若不慎发生传染病，应立即采取有效地控制措施：</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封闭→隔离→每天消毒→根据临床症状、解剖变化进行疾病的初步诊断→病畜的对症治疗→采样送检确诊→紧急预防接种→取各种综合性防治措施。</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总之，要做到行动迅速，方法得当，措施有力，尽可能的将损失降到最低。</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应立即按照计划组成防疫小组，尽快做出确切诊断，迅速向卫生防疫部门报告疫情。迅速隔离病猪，对危害较重的传染病应及时划区封锁，建立封锁带，出人人员和车辆要严格消毒，同时严格消毒污染环境。解除封锁的条件是在最后一头病猪痊愈后两个潜伏期内再无新病例出现，经过全面大消毒，报上级主管部门批准，方可解除封锁。</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③对病猪及封锁区内的猪实行合理的综合防制措施，包括疫苗的紧急接种、抗生素疗法、高免血清的特异性疗法、化学疗法、增强体质和生理机能的辅助疗法等。</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疫病监测制度</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疫病监测是预防疾病的关键。</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只有对本场所有猪的健康状况、免疫水平以及原发病史进行全面、细致的了解，才能有针对性制定免疫程序、防控措施和净化方案。</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猪场应建立如下疾病监测制度：</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①对后备猪进行细小病毒病、伪狂犬病、乙脑、猪瘟疫苗注射及注射 1～3周后抽血化验工作。进行血清学检测，监测猪群健康状态和免疫效果。</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②对乳猪、断奶猪和其他各猪群，应做好疫苗接种前后的血清抗体监测工作，以便能随时掌握猪群免疫状况和接种效果。对血清监测的结果，应根据监测样品多少、监测方法的准确性，以及猪群的临床检查结果等方面的资料，进行综合分析，可随时调整免疫程序或补免。</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③定期监测蓝耳病、李氏杆菌病、传染性胸膜肺炎、萎鼻、气喘病、猪痢疾、链球菌病。</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④做好猪群驱虫前、后的化验监测工作，特别是监测弓形虫病、附红细胞体病等寄生病的有无、存在的程度。</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总之，引起猪场疾病的因素很多。在实际工作中只有注意到生产中的各种细节，职工能积极主动配合，疾病防治工作才能做好，猪场才能实现安全生产。</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病死猪尸体处置</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根据《畜禽养殖业污染防治技术规范》（HJ/T81-2001）的相关规定，企业对病死猪尸体及时处理，不随意丢弃，不出售或作为饲料再利用。</w:t>
      </w:r>
    </w:p>
    <w:p>
      <w:pPr>
        <w:spacing w:line="360" w:lineRule="auto"/>
        <w:ind w:firstLine="482" w:firstLineChars="200"/>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rPr>
        <w:t>养猪场猪病预防及防治措施</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防疫设施</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养猪场和圈舍进出处应设立消毒池、消毒袋和消毒室等设施。另外还应设置兽医室、隔离舍、危险废物临时贮存场所。猪场大门入口处要设置宽与大门相同，长等于进场大型机动车车轮一周半长的水泥结构消毒池。养猪场应备有健全的清洗消毒设施，防止疫病传播，并对养猪场及相应设施如车辆等进行定期清洗消毒。养猪场应配备对害虫和啮齿动物等的生物防护设施。隔离猪舍远离生产猪舍，有条件的话距离应在 100m 以上，且处于常年下风向或侧风向。</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防疫制度</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更衣换鞋制度：凡是进入饲养场院的工作人员，一律更衣换鞋；</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消毒制度：凡进入饲养场的人和车辆等都需要经过消毒；</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防疫隔离制度：凡新引进的猪种在厂外隔离二个月以上，隔离观察期间进行测温和血清学及微生物检查，确认健康无病方能进场。</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免疫程序制度：制定一套合理的免疫程序和实验室检测制度，做到“以防为主、防治结合”。</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诊疗程序程序制度：本项目配备专职兽医，加强防治结合。要求兽医每天进入各猪舍观察猪群，发现病情做好记录并向技术部门备案，一旦发现疫情，做到早、严、快，并向上级部门回报。</w:t>
      </w:r>
    </w:p>
    <w:p>
      <w:pPr>
        <w:keepNext/>
        <w:kinsoku w:val="0"/>
        <w:overflowPunct w:val="0"/>
        <w:autoSpaceDE w:val="0"/>
        <w:autoSpaceDN w:val="0"/>
        <w:adjustRightInd w:val="0"/>
        <w:snapToGrid w:val="0"/>
        <w:spacing w:line="360" w:lineRule="auto"/>
        <w:jc w:val="center"/>
        <w:rPr>
          <w:rFonts w:hint="eastAsia" w:ascii="Times New Roman" w:hAnsi="Times New Roman" w:eastAsia="宋体"/>
          <w:b/>
          <w:bCs/>
          <w:color w:val="auto"/>
          <w:sz w:val="21"/>
          <w:szCs w:val="21"/>
          <w:lang w:eastAsia="zh-CN"/>
        </w:rPr>
      </w:pPr>
      <w:r>
        <w:rPr>
          <w:rFonts w:hint="eastAsia" w:ascii="Times New Roman" w:hAnsi="Times New Roman" w:eastAsia="宋体"/>
          <w:b/>
          <w:bCs/>
          <w:color w:val="auto"/>
          <w:sz w:val="21"/>
          <w:szCs w:val="21"/>
          <w:lang w:eastAsia="zh-CN"/>
        </w:rPr>
        <w:t>表</w:t>
      </w:r>
      <w:r>
        <w:rPr>
          <w:rFonts w:hint="eastAsia" w:ascii="Times New Roman" w:hAnsi="Times New Roman" w:eastAsia="宋体"/>
          <w:b/>
          <w:bCs/>
          <w:color w:val="auto"/>
          <w:sz w:val="21"/>
          <w:szCs w:val="21"/>
        </w:rPr>
        <w:t>5.3-</w:t>
      </w:r>
      <w:r>
        <w:rPr>
          <w:rFonts w:hint="eastAsia" w:ascii="Times New Roman" w:hAnsi="Times New Roman" w:eastAsia="宋体"/>
          <w:b/>
          <w:bCs/>
          <w:color w:val="auto"/>
          <w:sz w:val="21"/>
          <w:szCs w:val="21"/>
          <w:lang w:val="en-US" w:eastAsia="zh-CN"/>
        </w:rPr>
        <w:t>3</w:t>
      </w:r>
      <w:r>
        <w:rPr>
          <w:rFonts w:hint="eastAsia" w:ascii="Times New Roman" w:hAnsi="Times New Roman" w:eastAsia="宋体"/>
          <w:b/>
          <w:bCs/>
          <w:color w:val="auto"/>
          <w:sz w:val="21"/>
          <w:szCs w:val="21"/>
        </w:rPr>
        <w:t xml:space="preserve"> </w:t>
      </w:r>
      <w:r>
        <w:rPr>
          <w:rFonts w:hint="eastAsia" w:ascii="Times New Roman" w:hAnsi="Times New Roman" w:eastAsia="宋体"/>
          <w:b/>
          <w:bCs/>
          <w:color w:val="auto"/>
          <w:sz w:val="21"/>
          <w:szCs w:val="21"/>
          <w:lang w:eastAsia="zh-CN"/>
        </w:rPr>
        <w:t>环境风险防范措施一览表</w:t>
      </w:r>
    </w:p>
    <w:tbl>
      <w:tblPr>
        <w:tblStyle w:val="35"/>
        <w:tblW w:w="91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
        <w:gridCol w:w="6356"/>
        <w:gridCol w:w="19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8" w:type="dxa"/>
            <w:vAlign w:val="center"/>
          </w:tcPr>
          <w:p>
            <w:pPr>
              <w:adjustRightInd w:val="0"/>
              <w:snapToGrid w:val="0"/>
              <w:jc w:val="center"/>
              <w:rPr>
                <w:rFonts w:hint="eastAsia" w:ascii="Times New Roman" w:hAnsi="Times New Roman" w:eastAsia="宋体" w:cs="Times New Roman"/>
                <w:b/>
                <w:bCs w:val="0"/>
                <w:color w:val="auto"/>
                <w:sz w:val="21"/>
                <w:szCs w:val="21"/>
                <w:lang w:val="en-US" w:eastAsia="zh-CN"/>
              </w:rPr>
            </w:pPr>
            <w:r>
              <w:rPr>
                <w:rFonts w:hint="eastAsia" w:ascii="Times New Roman" w:hAnsi="Times New Roman" w:eastAsia="宋体" w:cs="Times New Roman"/>
                <w:b/>
                <w:bCs w:val="0"/>
                <w:color w:val="auto"/>
                <w:sz w:val="21"/>
                <w:szCs w:val="21"/>
                <w:lang w:val="en-US" w:eastAsia="zh-CN"/>
              </w:rPr>
              <w:t>序号</w:t>
            </w:r>
          </w:p>
        </w:tc>
        <w:tc>
          <w:tcPr>
            <w:tcW w:w="6356" w:type="dxa"/>
            <w:vAlign w:val="center"/>
          </w:tcPr>
          <w:p>
            <w:pPr>
              <w:adjustRightInd w:val="0"/>
              <w:snapToGrid w:val="0"/>
              <w:jc w:val="center"/>
              <w:rPr>
                <w:rFonts w:hint="eastAsia" w:ascii="Times New Roman" w:hAnsi="Times New Roman" w:eastAsia="宋体" w:cs="Times New Roman"/>
                <w:b/>
                <w:bCs w:val="0"/>
                <w:color w:val="auto"/>
                <w:sz w:val="21"/>
                <w:szCs w:val="21"/>
                <w:lang w:val="en-US" w:eastAsia="zh-CN"/>
              </w:rPr>
            </w:pPr>
            <w:r>
              <w:rPr>
                <w:rFonts w:hint="eastAsia" w:ascii="Times New Roman" w:hAnsi="Times New Roman" w:eastAsia="宋体" w:cs="Times New Roman"/>
                <w:b/>
                <w:bCs w:val="0"/>
                <w:color w:val="auto"/>
                <w:sz w:val="21"/>
                <w:szCs w:val="21"/>
                <w:lang w:val="en-US" w:eastAsia="zh-CN"/>
              </w:rPr>
              <w:t>方案</w:t>
            </w:r>
          </w:p>
        </w:tc>
        <w:tc>
          <w:tcPr>
            <w:tcW w:w="1914" w:type="dxa"/>
            <w:vAlign w:val="center"/>
          </w:tcPr>
          <w:p>
            <w:pPr>
              <w:adjustRightInd w:val="0"/>
              <w:snapToGrid w:val="0"/>
              <w:jc w:val="center"/>
              <w:rPr>
                <w:rFonts w:hint="eastAsia" w:ascii="Times New Roman" w:hAnsi="Times New Roman" w:eastAsia="宋体" w:cs="Times New Roman"/>
                <w:b/>
                <w:bCs w:val="0"/>
                <w:color w:val="auto"/>
                <w:sz w:val="21"/>
                <w:szCs w:val="21"/>
                <w:lang w:val="en-US" w:eastAsia="zh-CN"/>
              </w:rPr>
            </w:pPr>
            <w:r>
              <w:rPr>
                <w:rFonts w:hint="eastAsia" w:ascii="Times New Roman" w:hAnsi="Times New Roman" w:eastAsia="宋体" w:cs="Times New Roman"/>
                <w:b/>
                <w:bCs w:val="0"/>
                <w:color w:val="auto"/>
                <w:sz w:val="21"/>
                <w:szCs w:val="21"/>
                <w:lang w:val="en-US" w:eastAsia="zh-CN"/>
              </w:rPr>
              <w:t>处理效果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8" w:hRule="atLeast"/>
        </w:trPr>
        <w:tc>
          <w:tcPr>
            <w:tcW w:w="848" w:type="dxa"/>
            <w:vAlign w:val="center"/>
          </w:tcPr>
          <w:p>
            <w:pPr>
              <w:adjustRightInd w:val="0"/>
              <w:snapToGrid w:val="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1</w:t>
            </w:r>
          </w:p>
        </w:tc>
        <w:tc>
          <w:tcPr>
            <w:tcW w:w="6356" w:type="dxa"/>
            <w:vAlign w:val="center"/>
          </w:tcPr>
          <w:p>
            <w:pPr>
              <w:adjustRightInd w:val="0"/>
              <w:snapToGrid w:val="0"/>
              <w:jc w:val="center"/>
              <w:rPr>
                <w:rFonts w:hint="eastAsia" w:ascii="Times New Roman" w:hAnsi="Times New Roman" w:eastAsia="宋体" w:cs="Times New Roman"/>
                <w:b/>
                <w:bCs w:val="0"/>
                <w:color w:val="auto"/>
                <w:sz w:val="21"/>
                <w:szCs w:val="21"/>
                <w:lang w:val="en-US" w:eastAsia="zh-CN"/>
              </w:rPr>
            </w:pPr>
            <w:r>
              <w:rPr>
                <w:rFonts w:hint="eastAsia" w:ascii="Times New Roman" w:hAnsi="Times New Roman" w:eastAsia="宋体" w:cs="Times New Roman"/>
                <w:b/>
                <w:bCs w:val="0"/>
                <w:color w:val="auto"/>
                <w:sz w:val="21"/>
                <w:szCs w:val="21"/>
                <w:lang w:val="en-US" w:eastAsia="zh-CN"/>
              </w:rPr>
              <w:t>污水事故排放的风险防范措施</w:t>
            </w:r>
          </w:p>
          <w:p>
            <w:pPr>
              <w:adjustRightInd w:val="0"/>
              <w:snapToGrid w:val="0"/>
              <w:jc w:val="left"/>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（1）养殖场的排水系统实行雨污分流。</w:t>
            </w:r>
          </w:p>
          <w:p>
            <w:pPr>
              <w:adjustRightInd w:val="0"/>
              <w:snapToGrid w:val="0"/>
              <w:jc w:val="left"/>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（2）废水收集池加盖，在周围设置截水沟，防止雨水进入造成溢流污染地下水。</w:t>
            </w:r>
          </w:p>
          <w:p>
            <w:pPr>
              <w:adjustRightInd w:val="0"/>
              <w:snapToGrid w:val="0"/>
              <w:jc w:val="left"/>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（3）废水收集、贮存设施应做好防渗防漏措施。</w:t>
            </w:r>
          </w:p>
          <w:p>
            <w:pPr>
              <w:adjustRightInd w:val="0"/>
              <w:snapToGrid w:val="0"/>
              <w:jc w:val="left"/>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（4）设置应急事故池，本项目污水处理区发生故障，不能处理废水时，可将废水排至事故池，污水处理区能够正常运行后，再将废水导入污水处理区进行处理。</w:t>
            </w:r>
          </w:p>
          <w:p>
            <w:pPr>
              <w:adjustRightInd w:val="0"/>
              <w:snapToGrid w:val="0"/>
              <w:jc w:val="left"/>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（5）猪场设有柴油发电机作为应急电源，在系统停电情况下，应立即启用应急电源，优先保证污水处理系统的用电，使其正常运转，避免因停电导致突发性事故的发生。</w:t>
            </w:r>
          </w:p>
          <w:p>
            <w:pPr>
              <w:adjustRightInd w:val="0"/>
              <w:snapToGrid w:val="0"/>
              <w:jc w:val="left"/>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（6）污水处理采用缺氧—好氧工艺，废水收集处理设施的水泵等主要设备应采取1用1备或多台并联运行，避免事故排放。</w:t>
            </w:r>
          </w:p>
        </w:tc>
        <w:tc>
          <w:tcPr>
            <w:tcW w:w="1914" w:type="dxa"/>
            <w:vAlign w:val="center"/>
          </w:tcPr>
          <w:p>
            <w:pPr>
              <w:adjustRightInd w:val="0"/>
              <w:snapToGrid w:val="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风险可接受水平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9" w:hRule="atLeast"/>
        </w:trPr>
        <w:tc>
          <w:tcPr>
            <w:tcW w:w="848" w:type="dxa"/>
            <w:vAlign w:val="center"/>
          </w:tcPr>
          <w:p>
            <w:pPr>
              <w:adjustRightInd w:val="0"/>
              <w:snapToGrid w:val="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2</w:t>
            </w:r>
          </w:p>
        </w:tc>
        <w:tc>
          <w:tcPr>
            <w:tcW w:w="6356" w:type="dxa"/>
            <w:vAlign w:val="center"/>
          </w:tcPr>
          <w:p>
            <w:pPr>
              <w:adjustRightInd w:val="0"/>
              <w:snapToGrid w:val="0"/>
              <w:jc w:val="center"/>
              <w:rPr>
                <w:rFonts w:hint="eastAsia" w:ascii="Times New Roman" w:hAnsi="Times New Roman" w:eastAsia="宋体" w:cs="Times New Roman"/>
                <w:b/>
                <w:bCs w:val="0"/>
                <w:color w:val="auto"/>
                <w:sz w:val="21"/>
                <w:szCs w:val="21"/>
                <w:lang w:val="en-US" w:eastAsia="zh-CN"/>
              </w:rPr>
            </w:pPr>
            <w:r>
              <w:rPr>
                <w:rFonts w:hint="eastAsia" w:ascii="Times New Roman" w:hAnsi="Times New Roman" w:eastAsia="宋体" w:cs="Times New Roman"/>
                <w:b/>
                <w:bCs w:val="0"/>
                <w:color w:val="auto"/>
                <w:sz w:val="21"/>
                <w:szCs w:val="21"/>
                <w:lang w:val="en-US" w:eastAsia="zh-CN"/>
              </w:rPr>
              <w:t>畜禽疫病事故风险防范措施</w:t>
            </w:r>
          </w:p>
          <w:p>
            <w:pPr>
              <w:adjustRightInd w:val="0"/>
              <w:snapToGrid w:val="0"/>
              <w:jc w:val="left"/>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（1）日常预防措施</w:t>
            </w:r>
          </w:p>
          <w:p>
            <w:pPr>
              <w:adjustRightInd w:val="0"/>
              <w:snapToGrid w:val="0"/>
              <w:jc w:val="left"/>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（2）发生疫情时的紧急措施</w:t>
            </w:r>
          </w:p>
          <w:p>
            <w:pPr>
              <w:adjustRightInd w:val="0"/>
              <w:snapToGrid w:val="0"/>
              <w:jc w:val="left"/>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（3）疫病监测制度</w:t>
            </w:r>
          </w:p>
          <w:p>
            <w:pPr>
              <w:adjustRightInd w:val="0"/>
              <w:snapToGrid w:val="0"/>
              <w:jc w:val="left"/>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（4）病死猪尸体处置</w:t>
            </w:r>
          </w:p>
          <w:p>
            <w:pPr>
              <w:adjustRightInd w:val="0"/>
              <w:snapToGrid w:val="0"/>
              <w:jc w:val="left"/>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具体措施见5.3.4</w:t>
            </w:r>
          </w:p>
        </w:tc>
        <w:tc>
          <w:tcPr>
            <w:tcW w:w="1914" w:type="dxa"/>
            <w:vAlign w:val="center"/>
          </w:tcPr>
          <w:p>
            <w:pPr>
              <w:adjustRightInd w:val="0"/>
              <w:snapToGrid w:val="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风险可接受水平</w:t>
            </w:r>
          </w:p>
        </w:tc>
      </w:tr>
    </w:tbl>
    <w:p>
      <w:pPr>
        <w:spacing w:line="360" w:lineRule="auto"/>
        <w:rPr>
          <w:rFonts w:hint="eastAsia" w:ascii="Times New Roman" w:hAnsi="Times New Roman" w:eastAsia="宋体"/>
          <w:color w:val="auto"/>
          <w:sz w:val="24"/>
          <w:szCs w:val="24"/>
        </w:rPr>
      </w:pPr>
    </w:p>
    <w:p>
      <w:pPr>
        <w:pStyle w:val="5"/>
        <w:adjustRightInd w:val="0"/>
        <w:snapToGrid w:val="0"/>
        <w:spacing w:before="0" w:after="0" w:line="360" w:lineRule="auto"/>
        <w:rPr>
          <w:rFonts w:ascii="Times New Roman" w:hAnsi="Times New Roman" w:eastAsia="宋体"/>
          <w:color w:val="auto"/>
          <w:sz w:val="28"/>
          <w:szCs w:val="28"/>
        </w:rPr>
      </w:pPr>
      <w:bookmarkStart w:id="247" w:name="_Toc19750"/>
      <w:r>
        <w:rPr>
          <w:rFonts w:hint="eastAsia" w:ascii="Times New Roman" w:hAnsi="Times New Roman" w:eastAsia="宋体"/>
          <w:color w:val="auto"/>
          <w:sz w:val="28"/>
          <w:szCs w:val="28"/>
        </w:rPr>
        <w:t>5.</w:t>
      </w:r>
      <w:r>
        <w:rPr>
          <w:rFonts w:hint="eastAsia" w:ascii="Times New Roman" w:hAnsi="Times New Roman" w:eastAsia="宋体"/>
          <w:color w:val="auto"/>
          <w:sz w:val="28"/>
          <w:szCs w:val="28"/>
          <w:lang w:val="en-US" w:eastAsia="zh-CN"/>
        </w:rPr>
        <w:t>4</w:t>
      </w:r>
      <w:r>
        <w:rPr>
          <w:rFonts w:hint="eastAsia" w:ascii="Times New Roman" w:hAnsi="Times New Roman" w:eastAsia="宋体"/>
          <w:color w:val="auto"/>
          <w:sz w:val="28"/>
          <w:szCs w:val="28"/>
        </w:rPr>
        <w:t>环境风险突发事故应急预案</w:t>
      </w:r>
      <w:bookmarkEnd w:id="247"/>
    </w:p>
    <w:p>
      <w:pPr>
        <w:pStyle w:val="6"/>
        <w:adjustRightInd w:val="0"/>
        <w:snapToGrid w:val="0"/>
        <w:spacing w:before="0" w:after="0" w:line="360" w:lineRule="auto"/>
        <w:rPr>
          <w:rFonts w:ascii="Times New Roman" w:hAnsi="Times New Roman" w:eastAsia="宋体"/>
          <w:color w:val="auto"/>
          <w:sz w:val="28"/>
          <w:szCs w:val="28"/>
        </w:rPr>
      </w:pPr>
      <w:r>
        <w:rPr>
          <w:rFonts w:hint="eastAsia" w:ascii="Times New Roman" w:hAnsi="Times New Roman" w:eastAsia="宋体"/>
          <w:color w:val="auto"/>
          <w:sz w:val="28"/>
          <w:szCs w:val="28"/>
        </w:rPr>
        <w:t>5.</w:t>
      </w:r>
      <w:r>
        <w:rPr>
          <w:rFonts w:hint="eastAsia" w:ascii="Times New Roman" w:hAnsi="Times New Roman" w:eastAsia="宋体"/>
          <w:color w:val="auto"/>
          <w:sz w:val="28"/>
          <w:szCs w:val="28"/>
          <w:lang w:val="en-US" w:eastAsia="zh-CN"/>
        </w:rPr>
        <w:t>4.1</w:t>
      </w:r>
      <w:r>
        <w:rPr>
          <w:rFonts w:hint="eastAsia" w:ascii="Times New Roman" w:hAnsi="Times New Roman" w:eastAsia="宋体"/>
          <w:color w:val="auto"/>
          <w:sz w:val="28"/>
          <w:szCs w:val="28"/>
        </w:rPr>
        <w:t>环境风险突发事故应急预案</w:t>
      </w:r>
    </w:p>
    <w:p>
      <w:pPr>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企业领导应该提高对突发性事故的警觉和认识，建立完善的环境风险防范应急预警机制和应急预案。应急预案应明确危险目标，建立应急组织机构，公报各救援队伍和涉及范围单位的电话号码和公司相关人员的手机号码，制定抢险、救援及控制措施和清除泄漏措施以及人员紧急疏散计划和应急人员培训计划，配备清除泄漏器材和烧伤急救药物。应急预案的制定应按《建设项目环境风险评价技术导则》（HJ169－2018）中规定的“环境风险的突发性事故应急预案纲要”逐条实行。环境风险的突发事故应急预案详见表 5</w:t>
      </w:r>
      <w:r>
        <w:rPr>
          <w:rFonts w:hint="eastAsia" w:ascii="Times New Roman" w:hAnsi="Times New Roman" w:eastAsia="宋体"/>
          <w:color w:val="auto"/>
          <w:sz w:val="24"/>
          <w:szCs w:val="24"/>
          <w:lang w:val="en-US" w:eastAsia="zh-CN"/>
        </w:rPr>
        <w:t>.4-1</w:t>
      </w:r>
      <w:r>
        <w:rPr>
          <w:rFonts w:hint="eastAsia" w:ascii="Times New Roman" w:hAnsi="Times New Roman" w:eastAsia="宋体"/>
          <w:color w:val="auto"/>
          <w:sz w:val="24"/>
          <w:szCs w:val="24"/>
          <w:lang w:eastAsia="zh-CN"/>
        </w:rPr>
        <w:t>。</w:t>
      </w:r>
    </w:p>
    <w:p>
      <w:pPr>
        <w:pStyle w:val="101"/>
        <w:keepNext w:val="0"/>
        <w:keepLines w:val="0"/>
        <w:pageBreakBefore w:val="0"/>
        <w:widowControl w:val="0"/>
        <w:tabs>
          <w:tab w:val="left" w:pos="1922"/>
          <w:tab w:val="left" w:pos="4594"/>
          <w:tab w:val="center" w:pos="7039"/>
        </w:tabs>
        <w:kinsoku/>
        <w:wordWrap/>
        <w:overflowPunct/>
        <w:topLinePunct w:val="0"/>
        <w:autoSpaceDE/>
        <w:autoSpaceDN/>
        <w:bidi w:val="0"/>
        <w:adjustRightInd/>
        <w:snapToGrid/>
        <w:spacing w:line="240" w:lineRule="auto"/>
        <w:ind w:firstLine="0" w:firstLineChars="0"/>
        <w:jc w:val="center"/>
        <w:textAlignment w:val="bottom"/>
        <w:outlineLvl w:val="9"/>
        <w:rPr>
          <w:rFonts w:hint="default" w:ascii="Times New Roman" w:hAnsi="Times New Roman" w:cs="Times New Roman"/>
          <w:b/>
          <w:bCs/>
          <w:color w:val="auto"/>
          <w:sz w:val="21"/>
          <w:szCs w:val="21"/>
          <w:lang w:val="en-US"/>
        </w:rPr>
      </w:pPr>
      <w:r>
        <w:rPr>
          <w:rFonts w:hint="default" w:ascii="Times New Roman" w:hAnsi="Times New Roman" w:cs="Times New Roman"/>
          <w:b/>
          <w:bCs/>
          <w:color w:val="auto"/>
          <w:sz w:val="21"/>
          <w:szCs w:val="21"/>
          <w:lang w:eastAsia="zh-CN"/>
        </w:rPr>
        <w:t>表</w:t>
      </w:r>
      <w:r>
        <w:rPr>
          <w:rFonts w:hint="default" w:ascii="Times New Roman" w:hAnsi="Times New Roman" w:cs="Times New Roman"/>
          <w:b/>
          <w:bCs/>
          <w:color w:val="auto"/>
          <w:sz w:val="21"/>
          <w:szCs w:val="21"/>
          <w:lang w:val="en-US" w:eastAsia="zh-CN"/>
        </w:rPr>
        <w:t>5.</w:t>
      </w:r>
      <w:r>
        <w:rPr>
          <w:rFonts w:hint="eastAsia" w:ascii="Times New Roman" w:hAnsi="Times New Roman" w:cs="Times New Roman"/>
          <w:b/>
          <w:bCs/>
          <w:color w:val="auto"/>
          <w:sz w:val="21"/>
          <w:szCs w:val="21"/>
          <w:lang w:val="en-US" w:eastAsia="zh-CN"/>
        </w:rPr>
        <w:t>4-1</w:t>
      </w:r>
      <w:r>
        <w:rPr>
          <w:rFonts w:hint="default" w:ascii="Times New Roman" w:hAnsi="Times New Roman" w:cs="Times New Roman"/>
          <w:b/>
          <w:bCs/>
          <w:color w:val="auto"/>
          <w:sz w:val="21"/>
          <w:szCs w:val="21"/>
          <w:lang w:val="en-US" w:eastAsia="zh-CN"/>
        </w:rPr>
        <w:t xml:space="preserve"> 环境风险的突发性事故应急预案纲要</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3"/>
        <w:gridCol w:w="3720"/>
        <w:gridCol w:w="48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3" w:type="dxa"/>
            <w:vAlign w:val="center"/>
          </w:tcPr>
          <w:p>
            <w:pPr>
              <w:jc w:val="center"/>
              <w:rPr>
                <w:rFonts w:hint="eastAsia"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序号</w:t>
            </w:r>
          </w:p>
        </w:tc>
        <w:tc>
          <w:tcPr>
            <w:tcW w:w="3720" w:type="dxa"/>
            <w:vAlign w:val="center"/>
          </w:tcPr>
          <w:p>
            <w:pPr>
              <w:jc w:val="center"/>
              <w:rPr>
                <w:rFonts w:hint="eastAsia"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项目</w:t>
            </w:r>
          </w:p>
        </w:tc>
        <w:tc>
          <w:tcPr>
            <w:tcW w:w="4857" w:type="dxa"/>
            <w:vAlign w:val="center"/>
          </w:tcPr>
          <w:p>
            <w:pPr>
              <w:jc w:val="center"/>
              <w:rPr>
                <w:rFonts w:hint="eastAsia"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内容及要求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3" w:type="dxa"/>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1</w:t>
            </w:r>
          </w:p>
        </w:tc>
        <w:tc>
          <w:tcPr>
            <w:tcW w:w="3720" w:type="dxa"/>
            <w:vAlign w:val="center"/>
          </w:tcPr>
          <w:p>
            <w:pPr>
              <w:jc w:val="left"/>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应急计划区</w:t>
            </w:r>
          </w:p>
        </w:tc>
        <w:tc>
          <w:tcPr>
            <w:tcW w:w="4857" w:type="dxa"/>
            <w:vAlign w:val="center"/>
          </w:tcPr>
          <w:p>
            <w:pPr>
              <w:jc w:val="left"/>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危险目标：污水处理区、环境保护目标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3" w:type="dxa"/>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w:t>
            </w:r>
          </w:p>
        </w:tc>
        <w:tc>
          <w:tcPr>
            <w:tcW w:w="3720" w:type="dxa"/>
            <w:vAlign w:val="center"/>
          </w:tcPr>
          <w:p>
            <w:pPr>
              <w:jc w:val="left"/>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应急组织机构、人员</w:t>
            </w:r>
          </w:p>
        </w:tc>
        <w:tc>
          <w:tcPr>
            <w:tcW w:w="4857" w:type="dxa"/>
            <w:vAlign w:val="center"/>
          </w:tcPr>
          <w:p>
            <w:pPr>
              <w:jc w:val="left"/>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养殖厂区、地区应急组织机构、人员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3" w:type="dxa"/>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3</w:t>
            </w:r>
          </w:p>
        </w:tc>
        <w:tc>
          <w:tcPr>
            <w:tcW w:w="3720" w:type="dxa"/>
            <w:vAlign w:val="center"/>
          </w:tcPr>
          <w:p>
            <w:pPr>
              <w:jc w:val="left"/>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预案分级响应条件</w:t>
            </w:r>
          </w:p>
        </w:tc>
        <w:tc>
          <w:tcPr>
            <w:tcW w:w="4857" w:type="dxa"/>
            <w:vAlign w:val="center"/>
          </w:tcPr>
          <w:p>
            <w:pPr>
              <w:jc w:val="left"/>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规定预案的级别及分级响应程序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3" w:type="dxa"/>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4</w:t>
            </w:r>
          </w:p>
        </w:tc>
        <w:tc>
          <w:tcPr>
            <w:tcW w:w="3720" w:type="dxa"/>
            <w:vAlign w:val="center"/>
          </w:tcPr>
          <w:p>
            <w:pPr>
              <w:jc w:val="left"/>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应急救援保障</w:t>
            </w:r>
          </w:p>
        </w:tc>
        <w:tc>
          <w:tcPr>
            <w:tcW w:w="4857" w:type="dxa"/>
            <w:vAlign w:val="center"/>
          </w:tcPr>
          <w:p>
            <w:pPr>
              <w:jc w:val="left"/>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应急设施，设备与器材等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3" w:type="dxa"/>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5</w:t>
            </w:r>
          </w:p>
        </w:tc>
        <w:tc>
          <w:tcPr>
            <w:tcW w:w="3720" w:type="dxa"/>
            <w:vAlign w:val="center"/>
          </w:tcPr>
          <w:p>
            <w:pPr>
              <w:jc w:val="left"/>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报警、通讯联络方式</w:t>
            </w:r>
          </w:p>
        </w:tc>
        <w:tc>
          <w:tcPr>
            <w:tcW w:w="4857" w:type="dxa"/>
            <w:vAlign w:val="center"/>
          </w:tcPr>
          <w:p>
            <w:pPr>
              <w:jc w:val="left"/>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规定应急状态下的报警通讯方式、通知方式和交</w:t>
            </w:r>
          </w:p>
          <w:p>
            <w:pPr>
              <w:jc w:val="left"/>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通保障、管制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3" w:type="dxa"/>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6</w:t>
            </w:r>
          </w:p>
        </w:tc>
        <w:tc>
          <w:tcPr>
            <w:tcW w:w="3720" w:type="dxa"/>
            <w:vAlign w:val="center"/>
          </w:tcPr>
          <w:p>
            <w:pPr>
              <w:jc w:val="left"/>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应急环境监测、抢险、救援及控制措施</w:t>
            </w:r>
          </w:p>
        </w:tc>
        <w:tc>
          <w:tcPr>
            <w:tcW w:w="4857" w:type="dxa"/>
            <w:vAlign w:val="center"/>
          </w:tcPr>
          <w:p>
            <w:pPr>
              <w:jc w:val="left"/>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由专业队伍负责对事故现场进行侦察监测，对事故性质、参数与后果进行评估，为指挥部门提供决策依据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3" w:type="dxa"/>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7</w:t>
            </w:r>
          </w:p>
        </w:tc>
        <w:tc>
          <w:tcPr>
            <w:tcW w:w="3720" w:type="dxa"/>
            <w:vAlign w:val="center"/>
          </w:tcPr>
          <w:p>
            <w:pPr>
              <w:jc w:val="left"/>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应急检测、防护措施、清除泄漏措施和器材</w:t>
            </w:r>
          </w:p>
        </w:tc>
        <w:tc>
          <w:tcPr>
            <w:tcW w:w="4857" w:type="dxa"/>
            <w:vAlign w:val="center"/>
          </w:tcPr>
          <w:p>
            <w:pPr>
              <w:jc w:val="left"/>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事故现场、邻近区域、控制防火区域，控制和清除污染措施及相应设备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3" w:type="dxa"/>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8</w:t>
            </w:r>
          </w:p>
        </w:tc>
        <w:tc>
          <w:tcPr>
            <w:tcW w:w="3720" w:type="dxa"/>
            <w:vAlign w:val="center"/>
          </w:tcPr>
          <w:p>
            <w:pPr>
              <w:jc w:val="left"/>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人员紧急撤离、疏散，应急剂量控制、撤离组织计划</w:t>
            </w:r>
          </w:p>
        </w:tc>
        <w:tc>
          <w:tcPr>
            <w:tcW w:w="4857" w:type="dxa"/>
            <w:vAlign w:val="center"/>
          </w:tcPr>
          <w:p>
            <w:pPr>
              <w:jc w:val="left"/>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事故现场、养殖场邻近区、受事故影响的区域人员及公众对毒物应急剂量控制规定，撤离组织计划及救护，医疗救护与公众健康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3" w:type="dxa"/>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9</w:t>
            </w:r>
          </w:p>
        </w:tc>
        <w:tc>
          <w:tcPr>
            <w:tcW w:w="3720" w:type="dxa"/>
            <w:vAlign w:val="center"/>
          </w:tcPr>
          <w:p>
            <w:pPr>
              <w:jc w:val="left"/>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事故应急救援关闭程序与恢复措施</w:t>
            </w:r>
          </w:p>
        </w:tc>
        <w:tc>
          <w:tcPr>
            <w:tcW w:w="4857" w:type="dxa"/>
            <w:vAlign w:val="center"/>
          </w:tcPr>
          <w:p>
            <w:pPr>
              <w:jc w:val="left"/>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规定应急状态终止程序；事故现场善后处理，恢复措施；邻近区域解除事故警戒及善后恢复措施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3" w:type="dxa"/>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10</w:t>
            </w:r>
          </w:p>
        </w:tc>
        <w:tc>
          <w:tcPr>
            <w:tcW w:w="3720" w:type="dxa"/>
            <w:vAlign w:val="center"/>
          </w:tcPr>
          <w:p>
            <w:pPr>
              <w:jc w:val="left"/>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应急培训计划</w:t>
            </w:r>
          </w:p>
        </w:tc>
        <w:tc>
          <w:tcPr>
            <w:tcW w:w="4857" w:type="dxa"/>
            <w:vAlign w:val="center"/>
          </w:tcPr>
          <w:p>
            <w:pPr>
              <w:jc w:val="left"/>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应急计划制定后，平时安排人员培训与演练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3" w:type="dxa"/>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11</w:t>
            </w:r>
          </w:p>
        </w:tc>
        <w:tc>
          <w:tcPr>
            <w:tcW w:w="3720" w:type="dxa"/>
            <w:vAlign w:val="center"/>
          </w:tcPr>
          <w:p>
            <w:pPr>
              <w:jc w:val="left"/>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公众教育和信息</w:t>
            </w:r>
          </w:p>
        </w:tc>
        <w:tc>
          <w:tcPr>
            <w:tcW w:w="4857" w:type="dxa"/>
            <w:vAlign w:val="center"/>
          </w:tcPr>
          <w:p>
            <w:pPr>
              <w:jc w:val="left"/>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对养殖场邻近地区开展公众教育、培训和发布有关信息</w:t>
            </w:r>
          </w:p>
        </w:tc>
      </w:tr>
    </w:tbl>
    <w:p>
      <w:pPr>
        <w:pStyle w:val="6"/>
        <w:adjustRightInd w:val="0"/>
        <w:snapToGrid w:val="0"/>
        <w:spacing w:before="0" w:after="0" w:line="360" w:lineRule="auto"/>
        <w:rPr>
          <w:rFonts w:ascii="Times New Roman" w:hAnsi="Times New Roman" w:eastAsia="宋体"/>
          <w:color w:val="auto"/>
          <w:sz w:val="28"/>
          <w:szCs w:val="28"/>
        </w:rPr>
      </w:pPr>
      <w:r>
        <w:rPr>
          <w:rFonts w:hint="eastAsia" w:ascii="Times New Roman" w:hAnsi="Times New Roman" w:eastAsia="宋体"/>
          <w:color w:val="auto"/>
          <w:sz w:val="28"/>
          <w:szCs w:val="28"/>
        </w:rPr>
        <w:t>5.</w:t>
      </w:r>
      <w:r>
        <w:rPr>
          <w:rFonts w:hint="eastAsia" w:ascii="Times New Roman" w:hAnsi="Times New Roman" w:eastAsia="宋体"/>
          <w:color w:val="auto"/>
          <w:sz w:val="28"/>
          <w:szCs w:val="28"/>
          <w:lang w:val="en-US" w:eastAsia="zh-CN"/>
        </w:rPr>
        <w:t>4.2</w:t>
      </w:r>
      <w:r>
        <w:rPr>
          <w:rFonts w:hint="eastAsia" w:ascii="Times New Roman" w:hAnsi="Times New Roman" w:eastAsia="宋体"/>
          <w:color w:val="auto"/>
          <w:sz w:val="28"/>
          <w:szCs w:val="28"/>
        </w:rPr>
        <w:t>环境风险突发事故建议</w:t>
      </w:r>
    </w:p>
    <w:p>
      <w:pPr>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根据《建设项目环境风险评价技术导则》（HJ169-2018）中规定的“环境风险的突发性事故应急预案纲要”，结合本项目的实际情况，本评价提出如下环境风险突发事故应急预案建议：</w:t>
      </w:r>
    </w:p>
    <w:p>
      <w:pPr>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①泄漏应急处理建议</w:t>
      </w:r>
    </w:p>
    <w:p>
      <w:pPr>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迅速撤离泄漏污染区人员至上风处，并进行隔离，严格限制出入。切断火源。建议应急处理人员戴自给正压式呼吸器，穿消防防护服。尽可能切断泄漏源。合理通风，加速扩散。喷雾状水稀释、溶解。构筑围堤或挖坑收容产生的大量废水。如有可能，将漏出气用排风机送至空旷地方或装设适当喷头烧掉。也可以将漏气的容器移至空旷处，注意通风。漏气容器要妥善处理，修复、检验后再用。</w:t>
      </w:r>
    </w:p>
    <w:p>
      <w:pPr>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②急救措施建议</w:t>
      </w:r>
    </w:p>
    <w:p>
      <w:pPr>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迅速脱离现场至空气新鲜处。保持呼吸道通畅。如呼吸困难，给输氧。如呼吸停止，立即进行人工呼吸。就医。</w:t>
      </w:r>
    </w:p>
    <w:p>
      <w:pPr>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灭火方法：切断气源。若不能立即切断气源，则不允许熄灭正在燃烧的气体。喷水冷却容器，可能的话将容器从火场移至空旷处。灭火剂：雾状水、泡沫、二氧化碳、干粉。</w:t>
      </w:r>
    </w:p>
    <w:p>
      <w:pPr>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③制定厂方自身应急办法和人员紧急撤离方案</w:t>
      </w:r>
    </w:p>
    <w:p>
      <w:pPr>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主要内容包括：事故发生时，马上通知本场员工，并组织撤离事故现场人员，对受伤人员要进行紧急救护，然后立即启动突发性应急预案进行事故处理。</w:t>
      </w:r>
    </w:p>
    <w:p>
      <w:pPr>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④报警机制</w:t>
      </w:r>
    </w:p>
    <w:p>
      <w:pPr>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制定向消防部门和环保部门报警的应急办法，设置专人负责。</w:t>
      </w:r>
    </w:p>
    <w:p>
      <w:pPr>
        <w:pStyle w:val="6"/>
        <w:adjustRightInd w:val="0"/>
        <w:snapToGrid w:val="0"/>
        <w:spacing w:before="0" w:after="0" w:line="360" w:lineRule="auto"/>
        <w:rPr>
          <w:rFonts w:hint="eastAsia" w:ascii="Times New Roman" w:hAnsi="Times New Roman" w:eastAsia="宋体"/>
          <w:color w:val="auto"/>
          <w:sz w:val="28"/>
          <w:szCs w:val="28"/>
          <w:lang w:eastAsia="zh-CN"/>
        </w:rPr>
      </w:pPr>
      <w:r>
        <w:rPr>
          <w:rFonts w:hint="eastAsia" w:ascii="Times New Roman" w:hAnsi="Times New Roman" w:eastAsia="宋体"/>
          <w:color w:val="auto"/>
          <w:sz w:val="28"/>
          <w:szCs w:val="28"/>
        </w:rPr>
        <w:t>5.</w:t>
      </w:r>
      <w:r>
        <w:rPr>
          <w:rFonts w:hint="eastAsia" w:ascii="Times New Roman" w:hAnsi="Times New Roman" w:eastAsia="宋体"/>
          <w:color w:val="auto"/>
          <w:sz w:val="28"/>
          <w:szCs w:val="28"/>
          <w:lang w:val="en-US" w:eastAsia="zh-CN"/>
        </w:rPr>
        <w:t>4.3</w:t>
      </w:r>
      <w:r>
        <w:rPr>
          <w:rFonts w:hint="eastAsia" w:ascii="Times New Roman" w:hAnsi="Times New Roman" w:eastAsia="宋体"/>
          <w:color w:val="auto"/>
          <w:sz w:val="28"/>
          <w:szCs w:val="28"/>
        </w:rPr>
        <w:t>环境风险</w:t>
      </w:r>
      <w:r>
        <w:rPr>
          <w:rFonts w:hint="eastAsia" w:ascii="Times New Roman" w:hAnsi="Times New Roman" w:eastAsia="宋体"/>
          <w:color w:val="auto"/>
          <w:sz w:val="28"/>
          <w:szCs w:val="28"/>
          <w:lang w:eastAsia="zh-CN"/>
        </w:rPr>
        <w:t>评价结论</w:t>
      </w:r>
    </w:p>
    <w:p>
      <w:pPr>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综合分析，该项目风险评价结论如下：</w:t>
      </w:r>
    </w:p>
    <w:p>
      <w:pPr>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）废水事故排放风险评价结论</w:t>
      </w:r>
    </w:p>
    <w:p>
      <w:pPr>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企业采取了相应措施（设置事故应急池）避免污水未进行处理直接排放，造成环境污染。因此该风险是可以接受的。</w:t>
      </w:r>
    </w:p>
    <w:p>
      <w:pPr>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）疫病事故风险评价结论</w:t>
      </w:r>
    </w:p>
    <w:p>
      <w:pPr>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集约化养殖场疫病发生有自身的特点，只要企业加强日常管理，做好预防工作，经常消毒，并建立疫病监测制度，在疫病发生时能严格按照应急计划执行，评价认为该风险是可以接受的。</w:t>
      </w:r>
    </w:p>
    <w:p>
      <w:pPr>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综上所述，对场内各单元建筑物和场区地面采取防渗漏措施，并设置事故应急池，可大大降低粪便污水泄漏对地表水体的影响。严格落实本环评提出的各项风险防范措施和事故应急预案后，该项目发生风险事故的可能进一步降低，其潜在的环境风险是可以接受的。</w:t>
      </w:r>
    </w:p>
    <w:p>
      <w:pPr>
        <w:spacing w:line="360" w:lineRule="auto"/>
        <w:ind w:firstLine="480" w:firstLineChars="200"/>
        <w:rPr>
          <w:rFonts w:hint="eastAsia" w:ascii="Times New Roman" w:hAnsi="Times New Roman" w:eastAsia="宋体"/>
          <w:color w:val="auto"/>
          <w:sz w:val="24"/>
          <w:szCs w:val="24"/>
          <w:lang w:eastAsia="zh-CN"/>
        </w:rPr>
      </w:pPr>
    </w:p>
    <w:p>
      <w:pPr>
        <w:spacing w:line="360" w:lineRule="auto"/>
        <w:ind w:firstLine="480" w:firstLineChars="200"/>
        <w:rPr>
          <w:rFonts w:hint="eastAsia" w:ascii="Times New Roman" w:hAnsi="Times New Roman" w:eastAsia="宋体"/>
          <w:color w:val="auto"/>
          <w:sz w:val="24"/>
          <w:szCs w:val="24"/>
          <w:lang w:eastAsia="zh-CN"/>
        </w:rPr>
      </w:pPr>
    </w:p>
    <w:p>
      <w:pPr>
        <w:spacing w:line="360" w:lineRule="auto"/>
        <w:ind w:firstLine="480" w:firstLineChars="200"/>
        <w:rPr>
          <w:rFonts w:hint="eastAsia" w:ascii="Times New Roman" w:hAnsi="Times New Roman" w:eastAsia="宋体"/>
          <w:color w:val="auto"/>
          <w:sz w:val="24"/>
          <w:szCs w:val="24"/>
          <w:lang w:eastAsia="zh-CN"/>
        </w:rPr>
      </w:pPr>
    </w:p>
    <w:p>
      <w:pPr>
        <w:pStyle w:val="101"/>
        <w:keepNext w:val="0"/>
        <w:keepLines w:val="0"/>
        <w:pageBreakBefore w:val="0"/>
        <w:widowControl w:val="0"/>
        <w:kinsoku/>
        <w:wordWrap/>
        <w:overflowPunct/>
        <w:topLinePunct w:val="0"/>
        <w:autoSpaceDE/>
        <w:autoSpaceDN/>
        <w:bidi w:val="0"/>
        <w:adjustRightInd/>
        <w:snapToGrid/>
        <w:spacing w:line="360" w:lineRule="auto"/>
        <w:textAlignment w:val="bottom"/>
        <w:outlineLvl w:val="9"/>
        <w:rPr>
          <w:rFonts w:hint="eastAsia" w:eastAsiaTheme="minorEastAsia"/>
          <w:color w:val="auto"/>
          <w:sz w:val="24"/>
          <w:szCs w:val="24"/>
          <w:lang w:eastAsia="zh-CN"/>
        </w:rPr>
        <w:sectPr>
          <w:headerReference r:id="rId14" w:type="default"/>
          <w:pgSz w:w="11906" w:h="16838"/>
          <w:pgMar w:top="1440" w:right="1451" w:bottom="1440" w:left="1451" w:header="851" w:footer="992" w:gutter="0"/>
          <w:pgBorders>
            <w:top w:val="none" w:sz="0" w:space="0"/>
            <w:left w:val="none" w:sz="0" w:space="0"/>
            <w:bottom w:val="none" w:sz="0" w:space="0"/>
            <w:right w:val="none" w:sz="0" w:space="0"/>
          </w:pgBorders>
          <w:pgNumType w:fmt="decimal"/>
          <w:cols w:space="0" w:num="1"/>
          <w:rtlGutter w:val="0"/>
          <w:docGrid w:type="lines" w:linePitch="321" w:charSpace="0"/>
        </w:sectPr>
      </w:pPr>
    </w:p>
    <w:p>
      <w:pPr>
        <w:pStyle w:val="101"/>
        <w:keepNext w:val="0"/>
        <w:keepLines w:val="0"/>
        <w:pageBreakBefore w:val="0"/>
        <w:widowControl w:val="0"/>
        <w:tabs>
          <w:tab w:val="left" w:pos="1922"/>
          <w:tab w:val="left" w:pos="4594"/>
          <w:tab w:val="center" w:pos="7039"/>
        </w:tabs>
        <w:kinsoku/>
        <w:wordWrap/>
        <w:overflowPunct/>
        <w:topLinePunct w:val="0"/>
        <w:autoSpaceDE/>
        <w:autoSpaceDN/>
        <w:bidi w:val="0"/>
        <w:adjustRightInd/>
        <w:snapToGrid/>
        <w:spacing w:line="240" w:lineRule="auto"/>
        <w:ind w:firstLine="0" w:firstLineChars="0"/>
        <w:jc w:val="left"/>
        <w:textAlignment w:val="bottom"/>
        <w:outlineLvl w:val="9"/>
        <w:rPr>
          <w:rFonts w:hint="default" w:ascii="Times New Roman" w:hAnsi="Times New Roman" w:cs="Times New Roman"/>
          <w:b/>
          <w:bCs/>
          <w:color w:val="auto"/>
          <w:sz w:val="21"/>
          <w:szCs w:val="21"/>
          <w:lang w:val="en-US"/>
        </w:rPr>
      </w:pPr>
      <w:r>
        <w:rPr>
          <w:rFonts w:hint="eastAsia" w:ascii="Times New Roman" w:hAnsi="Times New Roman" w:cs="Times New Roman"/>
          <w:color w:val="auto"/>
          <w:sz w:val="21"/>
          <w:szCs w:val="21"/>
          <w:lang w:eastAsia="zh-CN"/>
        </w:rPr>
        <w:tab/>
      </w:r>
      <w:r>
        <w:rPr>
          <w:rFonts w:hint="eastAsia" w:ascii="Times New Roman" w:hAnsi="Times New Roman" w:cs="Times New Roman"/>
          <w:color w:val="auto"/>
          <w:sz w:val="21"/>
          <w:szCs w:val="21"/>
          <w:lang w:eastAsia="zh-CN"/>
        </w:rPr>
        <w:tab/>
      </w:r>
      <w:r>
        <w:rPr>
          <w:rFonts w:hint="eastAsia" w:ascii="Times New Roman" w:hAnsi="Times New Roman" w:cs="Times New Roman"/>
          <w:color w:val="auto"/>
          <w:sz w:val="21"/>
          <w:szCs w:val="21"/>
          <w:lang w:eastAsia="zh-CN"/>
        </w:rPr>
        <w:tab/>
      </w:r>
      <w:r>
        <w:rPr>
          <w:rFonts w:hint="default" w:ascii="Times New Roman" w:hAnsi="Times New Roman" w:cs="Times New Roman"/>
          <w:b/>
          <w:bCs/>
          <w:color w:val="auto"/>
          <w:sz w:val="21"/>
          <w:szCs w:val="21"/>
          <w:lang w:eastAsia="zh-CN"/>
        </w:rPr>
        <w:t>表</w:t>
      </w:r>
      <w:r>
        <w:rPr>
          <w:rFonts w:hint="default" w:ascii="Times New Roman" w:hAnsi="Times New Roman" w:cs="Times New Roman"/>
          <w:b/>
          <w:bCs/>
          <w:color w:val="auto"/>
          <w:sz w:val="21"/>
          <w:szCs w:val="21"/>
          <w:lang w:val="en-US" w:eastAsia="zh-CN"/>
        </w:rPr>
        <w:t>5.</w:t>
      </w:r>
      <w:r>
        <w:rPr>
          <w:rFonts w:hint="eastAsia" w:ascii="Times New Roman" w:hAnsi="Times New Roman" w:cs="Times New Roman"/>
          <w:b/>
          <w:bCs/>
          <w:color w:val="auto"/>
          <w:sz w:val="21"/>
          <w:szCs w:val="21"/>
          <w:lang w:val="en-US" w:eastAsia="zh-CN"/>
        </w:rPr>
        <w:t>4</w:t>
      </w:r>
      <w:r>
        <w:rPr>
          <w:rFonts w:hint="default" w:ascii="Times New Roman" w:hAnsi="Times New Roman" w:cs="Times New Roman"/>
          <w:b/>
          <w:bCs/>
          <w:color w:val="auto"/>
          <w:sz w:val="21"/>
          <w:szCs w:val="21"/>
          <w:lang w:val="en-US" w:eastAsia="zh-CN"/>
        </w:rPr>
        <w:t>-</w:t>
      </w:r>
      <w:r>
        <w:rPr>
          <w:rFonts w:hint="eastAsia" w:ascii="Times New Roman" w:hAnsi="Times New Roman" w:cs="Times New Roman"/>
          <w:b/>
          <w:bCs/>
          <w:color w:val="auto"/>
          <w:sz w:val="21"/>
          <w:szCs w:val="21"/>
          <w:lang w:val="en-US" w:eastAsia="zh-CN"/>
        </w:rPr>
        <w:t>2</w:t>
      </w:r>
      <w:r>
        <w:rPr>
          <w:rFonts w:hint="default" w:ascii="Times New Roman" w:hAnsi="Times New Roman" w:cs="Times New Roman"/>
          <w:b/>
          <w:bCs/>
          <w:color w:val="auto"/>
          <w:sz w:val="21"/>
          <w:szCs w:val="21"/>
          <w:lang w:val="en-US" w:eastAsia="zh-CN"/>
        </w:rPr>
        <w:t xml:space="preserve"> 风险自查表</w:t>
      </w:r>
    </w:p>
    <w:tbl>
      <w:tblPr>
        <w:tblStyle w:val="35"/>
        <w:tblW w:w="1474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5"/>
        <w:gridCol w:w="2224"/>
        <w:gridCol w:w="1339"/>
        <w:gridCol w:w="1340"/>
        <w:gridCol w:w="1339"/>
        <w:gridCol w:w="1341"/>
        <w:gridCol w:w="1340"/>
        <w:gridCol w:w="1530"/>
        <w:gridCol w:w="1151"/>
        <w:gridCol w:w="1341"/>
        <w:gridCol w:w="13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79"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工作内容</w:t>
            </w:r>
          </w:p>
        </w:tc>
        <w:tc>
          <w:tcPr>
            <w:tcW w:w="12061" w:type="dxa"/>
            <w:gridSpan w:val="9"/>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完成情况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55" w:type="dxa"/>
            <w:vMerge w:val="restart"/>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风险调查</w:t>
            </w:r>
          </w:p>
        </w:tc>
        <w:tc>
          <w:tcPr>
            <w:tcW w:w="2224" w:type="dxa"/>
            <w:vMerge w:val="restart"/>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危险物质</w:t>
            </w:r>
          </w:p>
        </w:tc>
        <w:tc>
          <w:tcPr>
            <w:tcW w:w="1339" w:type="dxa"/>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名称</w:t>
            </w:r>
          </w:p>
        </w:tc>
        <w:tc>
          <w:tcPr>
            <w:tcW w:w="1340" w:type="dxa"/>
            <w:vAlign w:val="center"/>
          </w:tcPr>
          <w:p>
            <w:pPr>
              <w:pStyle w:val="16"/>
              <w:ind w:left="113" w:leftChars="0" w:right="113" w:rightChars="0"/>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柴油</w:t>
            </w:r>
          </w:p>
        </w:tc>
        <w:tc>
          <w:tcPr>
            <w:tcW w:w="1339" w:type="dxa"/>
            <w:vAlign w:val="center"/>
          </w:tcPr>
          <w:p>
            <w:pPr>
              <w:pStyle w:val="16"/>
              <w:ind w:left="113" w:leftChars="0" w:right="113" w:rightChars="0"/>
              <w:rPr>
                <w:rFonts w:hint="default" w:ascii="Times New Roman" w:hAnsi="Times New Roman" w:cs="Times New Roman"/>
                <w:b w:val="0"/>
                <w:bCs w:val="0"/>
                <w:color w:val="0000FF"/>
                <w:sz w:val="21"/>
                <w:szCs w:val="21"/>
                <w:vertAlign w:val="baseline"/>
                <w:lang w:val="en-US" w:eastAsia="zh-CN"/>
              </w:rPr>
            </w:pPr>
          </w:p>
        </w:tc>
        <w:tc>
          <w:tcPr>
            <w:tcW w:w="1341" w:type="dxa"/>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1340" w:type="dxa"/>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1530" w:type="dxa"/>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1151" w:type="dxa"/>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1341" w:type="dxa"/>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1340" w:type="dxa"/>
            <w:vAlign w:val="center"/>
          </w:tcPr>
          <w:p>
            <w:pPr>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55" w:type="dxa"/>
            <w:vMerge w:val="continue"/>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2224" w:type="dxa"/>
            <w:vMerge w:val="continue"/>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1339" w:type="dxa"/>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存在总量/t</w:t>
            </w:r>
          </w:p>
        </w:tc>
        <w:tc>
          <w:tcPr>
            <w:tcW w:w="1340" w:type="dxa"/>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0.5</w:t>
            </w:r>
          </w:p>
        </w:tc>
        <w:tc>
          <w:tcPr>
            <w:tcW w:w="1339" w:type="dxa"/>
            <w:vAlign w:val="center"/>
          </w:tcPr>
          <w:p>
            <w:pPr>
              <w:jc w:val="center"/>
              <w:rPr>
                <w:rFonts w:hint="default" w:ascii="Times New Roman" w:hAnsi="Times New Roman" w:cs="Times New Roman"/>
                <w:b w:val="0"/>
                <w:bCs w:val="0"/>
                <w:color w:val="0000FF"/>
                <w:sz w:val="21"/>
                <w:szCs w:val="21"/>
                <w:vertAlign w:val="baseline"/>
                <w:lang w:val="en-US" w:eastAsia="zh-CN"/>
              </w:rPr>
            </w:pPr>
          </w:p>
        </w:tc>
        <w:tc>
          <w:tcPr>
            <w:tcW w:w="1341" w:type="dxa"/>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1340" w:type="dxa"/>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1530" w:type="dxa"/>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1151" w:type="dxa"/>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1341" w:type="dxa"/>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1340" w:type="dxa"/>
            <w:vAlign w:val="center"/>
          </w:tcPr>
          <w:p>
            <w:pPr>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5" w:type="dxa"/>
            <w:vMerge w:val="continue"/>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2224" w:type="dxa"/>
            <w:vMerge w:val="restart"/>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环境敏感性</w:t>
            </w:r>
          </w:p>
        </w:tc>
        <w:tc>
          <w:tcPr>
            <w:tcW w:w="1339" w:type="dxa"/>
            <w:vMerge w:val="restart"/>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大气</w:t>
            </w:r>
          </w:p>
        </w:tc>
        <w:tc>
          <w:tcPr>
            <w:tcW w:w="5360" w:type="dxa"/>
            <w:gridSpan w:val="4"/>
            <w:vAlign w:val="center"/>
          </w:tcPr>
          <w:p>
            <w:pPr>
              <w:jc w:val="center"/>
              <w:rPr>
                <w:rFonts w:hint="default" w:ascii="Times New Roman" w:hAnsi="Times New Roman" w:cs="Times New Roman"/>
                <w:b w:val="0"/>
                <w:bCs w:val="0"/>
                <w:color w:val="auto"/>
                <w:sz w:val="21"/>
                <w:szCs w:val="21"/>
                <w:u w:val="single"/>
                <w:vertAlign w:val="baseline"/>
                <w:lang w:val="en-US" w:eastAsia="zh-CN"/>
              </w:rPr>
            </w:pPr>
            <w:r>
              <w:rPr>
                <w:rFonts w:hint="eastAsia" w:ascii="Times New Roman" w:hAnsi="Times New Roman" w:cs="Times New Roman"/>
                <w:b w:val="0"/>
                <w:bCs w:val="0"/>
                <w:color w:val="auto"/>
                <w:sz w:val="21"/>
                <w:szCs w:val="21"/>
                <w:vertAlign w:val="baseline"/>
                <w:lang w:val="en-US" w:eastAsia="zh-CN"/>
              </w:rPr>
              <w:t>500m范围内人口数</w:t>
            </w:r>
            <w:r>
              <w:rPr>
                <w:rFonts w:hint="eastAsia" w:ascii="Times New Roman" w:hAnsi="Times New Roman" w:cs="Times New Roman"/>
                <w:b w:val="0"/>
                <w:bCs w:val="0"/>
                <w:color w:val="auto"/>
                <w:sz w:val="21"/>
                <w:szCs w:val="21"/>
                <w:u w:val="single"/>
                <w:vertAlign w:val="baseline"/>
                <w:lang w:val="en-US" w:eastAsia="zh-CN"/>
              </w:rPr>
              <w:t xml:space="preserve"> 100   </w:t>
            </w:r>
            <w:r>
              <w:rPr>
                <w:rFonts w:hint="eastAsia" w:ascii="Times New Roman" w:hAnsi="Times New Roman" w:cs="Times New Roman"/>
                <w:b w:val="0"/>
                <w:bCs w:val="0"/>
                <w:color w:val="auto"/>
                <w:sz w:val="21"/>
                <w:szCs w:val="21"/>
                <w:vertAlign w:val="baseline"/>
                <w:lang w:val="en-US" w:eastAsia="zh-CN"/>
              </w:rPr>
              <w:t>人</w:t>
            </w:r>
          </w:p>
        </w:tc>
        <w:tc>
          <w:tcPr>
            <w:tcW w:w="5362" w:type="dxa"/>
            <w:gridSpan w:val="4"/>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5km范围内人口数</w:t>
            </w:r>
            <w:r>
              <w:rPr>
                <w:rFonts w:hint="eastAsia" w:ascii="Times New Roman" w:hAnsi="Times New Roman" w:cs="Times New Roman"/>
                <w:b w:val="0"/>
                <w:bCs w:val="0"/>
                <w:color w:val="auto"/>
                <w:sz w:val="21"/>
                <w:szCs w:val="21"/>
                <w:u w:val="single"/>
                <w:vertAlign w:val="baseline"/>
                <w:lang w:val="en-US" w:eastAsia="zh-CN"/>
              </w:rPr>
              <w:t xml:space="preserve">  3万   </w:t>
            </w:r>
            <w:r>
              <w:rPr>
                <w:rFonts w:hint="eastAsia" w:ascii="Times New Roman" w:hAnsi="Times New Roman" w:cs="Times New Roman"/>
                <w:b w:val="0"/>
                <w:bCs w:val="0"/>
                <w:color w:val="auto"/>
                <w:sz w:val="21"/>
                <w:szCs w:val="21"/>
                <w:vertAlign w:val="baseline"/>
                <w:lang w:val="en-US" w:eastAsia="zh-CN"/>
              </w:rPr>
              <w:t>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55" w:type="dxa"/>
            <w:vMerge w:val="continue"/>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2224" w:type="dxa"/>
            <w:vMerge w:val="continue"/>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1339" w:type="dxa"/>
            <w:vMerge w:val="continue"/>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8041" w:type="dxa"/>
            <w:gridSpan w:val="6"/>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每公里管段周边200m范围内人口数（最大）</w:t>
            </w:r>
          </w:p>
        </w:tc>
        <w:tc>
          <w:tcPr>
            <w:tcW w:w="2681" w:type="dxa"/>
            <w:gridSpan w:val="2"/>
            <w:vAlign w:val="center"/>
          </w:tcPr>
          <w:p>
            <w:pPr>
              <w:jc w:val="center"/>
              <w:rPr>
                <w:rFonts w:hint="default" w:ascii="Times New Roman" w:hAnsi="Times New Roman" w:cs="Times New Roman"/>
                <w:b w:val="0"/>
                <w:bCs w:val="0"/>
                <w:color w:val="auto"/>
                <w:sz w:val="21"/>
                <w:szCs w:val="21"/>
                <w:u w:val="single"/>
                <w:vertAlign w:val="baseline"/>
                <w:lang w:val="en-US" w:eastAsia="zh-CN"/>
              </w:rPr>
            </w:pPr>
            <w:r>
              <w:rPr>
                <w:rFonts w:hint="eastAsia" w:ascii="Times New Roman" w:hAnsi="Times New Roman" w:cs="Times New Roman"/>
                <w:b w:val="0"/>
                <w:bCs w:val="0"/>
                <w:color w:val="auto"/>
                <w:sz w:val="21"/>
                <w:szCs w:val="21"/>
                <w:u w:val="single"/>
                <w:vertAlign w:val="baseline"/>
                <w:lang w:val="en-US" w:eastAsia="zh-CN"/>
              </w:rPr>
              <w:t xml:space="preserve">     2    </w:t>
            </w:r>
            <w:r>
              <w:rPr>
                <w:rFonts w:hint="eastAsia" w:ascii="Times New Roman" w:hAnsi="Times New Roman" w:cs="Times New Roman"/>
                <w:b w:val="0"/>
                <w:bCs w:val="0"/>
                <w:color w:val="auto"/>
                <w:sz w:val="21"/>
                <w:szCs w:val="21"/>
                <w:vertAlign w:val="baseline"/>
                <w:lang w:val="en-US" w:eastAsia="zh-CN"/>
              </w:rPr>
              <w:t>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55" w:type="dxa"/>
            <w:vMerge w:val="continue"/>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2224" w:type="dxa"/>
            <w:vMerge w:val="continue"/>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1339" w:type="dxa"/>
            <w:vMerge w:val="restart"/>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地表水</w:t>
            </w:r>
          </w:p>
        </w:tc>
        <w:tc>
          <w:tcPr>
            <w:tcW w:w="2679"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地表水功能敏感性</w:t>
            </w:r>
          </w:p>
        </w:tc>
        <w:tc>
          <w:tcPr>
            <w:tcW w:w="2681"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F1□</w:t>
            </w:r>
          </w:p>
        </w:tc>
        <w:tc>
          <w:tcPr>
            <w:tcW w:w="2681"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F2□</w:t>
            </w:r>
          </w:p>
        </w:tc>
        <w:tc>
          <w:tcPr>
            <w:tcW w:w="2681"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F3</w:t>
            </w:r>
            <w:r>
              <w:rPr>
                <w:rFonts w:hint="eastAsia" w:ascii="Times New Roman" w:hAnsi="Times New Roman" w:cs="Times New Roman"/>
                <w:b w:val="0"/>
                <w:bCs w:val="0"/>
                <w:color w:val="auto"/>
                <w:sz w:val="21"/>
                <w:szCs w:val="21"/>
                <w:vertAlign w:val="baseline"/>
                <w:lang w:val="en-US" w:eastAsia="zh-CN"/>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55" w:type="dxa"/>
            <w:vMerge w:val="continue"/>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2224" w:type="dxa"/>
            <w:vMerge w:val="continue"/>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1339" w:type="dxa"/>
            <w:vMerge w:val="continue"/>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2679"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环境敏感目标分级</w:t>
            </w:r>
          </w:p>
        </w:tc>
        <w:tc>
          <w:tcPr>
            <w:tcW w:w="2681"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S1□</w:t>
            </w:r>
          </w:p>
        </w:tc>
        <w:tc>
          <w:tcPr>
            <w:tcW w:w="2681"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S2□</w:t>
            </w:r>
          </w:p>
        </w:tc>
        <w:tc>
          <w:tcPr>
            <w:tcW w:w="2681"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S3</w:t>
            </w:r>
            <w:r>
              <w:rPr>
                <w:rFonts w:hint="eastAsia" w:ascii="Times New Roman" w:hAnsi="Times New Roman" w:cs="Times New Roman"/>
                <w:b w:val="0"/>
                <w:bCs w:val="0"/>
                <w:color w:val="auto"/>
                <w:sz w:val="21"/>
                <w:szCs w:val="21"/>
                <w:vertAlign w:val="baseline"/>
                <w:lang w:val="en-US" w:eastAsia="zh-CN"/>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455" w:type="dxa"/>
            <w:vMerge w:val="continue"/>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2224" w:type="dxa"/>
            <w:vMerge w:val="continue"/>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1339" w:type="dxa"/>
            <w:vMerge w:val="restart"/>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地下水</w:t>
            </w:r>
          </w:p>
        </w:tc>
        <w:tc>
          <w:tcPr>
            <w:tcW w:w="2679"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地下水功能敏感性</w:t>
            </w:r>
          </w:p>
        </w:tc>
        <w:tc>
          <w:tcPr>
            <w:tcW w:w="2681"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G1□</w:t>
            </w:r>
          </w:p>
        </w:tc>
        <w:tc>
          <w:tcPr>
            <w:tcW w:w="2681"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G2</w:t>
            </w:r>
            <w:r>
              <w:rPr>
                <w:rFonts w:hint="eastAsia" w:ascii="Times New Roman" w:hAnsi="Times New Roman" w:cs="Times New Roman"/>
                <w:b w:val="0"/>
                <w:bCs w:val="0"/>
                <w:color w:val="auto"/>
                <w:sz w:val="21"/>
                <w:szCs w:val="21"/>
                <w:vertAlign w:val="baseline"/>
                <w:lang w:val="en-US" w:eastAsia="zh-CN"/>
              </w:rPr>
              <w:sym w:font="Wingdings 2" w:char="00A3"/>
            </w:r>
          </w:p>
        </w:tc>
        <w:tc>
          <w:tcPr>
            <w:tcW w:w="2681"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G3</w:t>
            </w:r>
            <w:r>
              <w:rPr>
                <w:rFonts w:hint="eastAsia" w:ascii="Times New Roman" w:hAnsi="Times New Roman" w:cs="Times New Roman"/>
                <w:b w:val="0"/>
                <w:bCs w:val="0"/>
                <w:color w:val="auto"/>
                <w:sz w:val="21"/>
                <w:szCs w:val="21"/>
                <w:vertAlign w:val="baseline"/>
                <w:lang w:val="en-US" w:eastAsia="zh-CN"/>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55" w:type="dxa"/>
            <w:vMerge w:val="continue"/>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2224" w:type="dxa"/>
            <w:vMerge w:val="continue"/>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1339" w:type="dxa"/>
            <w:vMerge w:val="continue"/>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2679"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包气带防污性能</w:t>
            </w:r>
          </w:p>
        </w:tc>
        <w:tc>
          <w:tcPr>
            <w:tcW w:w="2681"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D1</w:t>
            </w:r>
            <w:r>
              <w:rPr>
                <w:rFonts w:hint="eastAsia" w:ascii="Times New Roman" w:hAnsi="Times New Roman" w:cs="Times New Roman"/>
                <w:b w:val="0"/>
                <w:bCs w:val="0"/>
                <w:color w:val="auto"/>
                <w:sz w:val="21"/>
                <w:szCs w:val="21"/>
                <w:vertAlign w:val="baseline"/>
                <w:lang w:val="en-US" w:eastAsia="zh-CN"/>
              </w:rPr>
              <w:sym w:font="Wingdings 2" w:char="0052"/>
            </w:r>
          </w:p>
        </w:tc>
        <w:tc>
          <w:tcPr>
            <w:tcW w:w="2681"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D2□</w:t>
            </w:r>
          </w:p>
        </w:tc>
        <w:tc>
          <w:tcPr>
            <w:tcW w:w="2681"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D3</w:t>
            </w:r>
            <w:r>
              <w:rPr>
                <w:rFonts w:hint="eastAsia" w:ascii="Times New Roman" w:hAnsi="Times New Roman" w:cs="Times New Roman"/>
                <w:b w:val="0"/>
                <w:bCs w:val="0"/>
                <w:color w:val="auto"/>
                <w:sz w:val="21"/>
                <w:szCs w:val="21"/>
                <w:vertAlign w:val="baseline"/>
                <w:lang w:val="en-US" w:eastAsia="zh-CN"/>
              </w:rPr>
              <w:sym w:font="Wingdings 2" w:char="00A3"/>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679" w:type="dxa"/>
            <w:gridSpan w:val="2"/>
            <w:vMerge w:val="restart"/>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物质及工艺系统危险性</w:t>
            </w:r>
          </w:p>
        </w:tc>
        <w:tc>
          <w:tcPr>
            <w:tcW w:w="1339" w:type="dxa"/>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Q值</w:t>
            </w:r>
          </w:p>
        </w:tc>
        <w:tc>
          <w:tcPr>
            <w:tcW w:w="2679"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Q＜1</w:t>
            </w:r>
            <w:r>
              <w:rPr>
                <w:rFonts w:hint="eastAsia" w:ascii="Times New Roman" w:hAnsi="Times New Roman" w:cs="Times New Roman"/>
                <w:b w:val="0"/>
                <w:bCs w:val="0"/>
                <w:color w:val="auto"/>
                <w:sz w:val="21"/>
                <w:szCs w:val="21"/>
                <w:vertAlign w:val="baseline"/>
                <w:lang w:val="en-US" w:eastAsia="zh-CN"/>
              </w:rPr>
              <w:sym w:font="Wingdings 2" w:char="0052"/>
            </w:r>
          </w:p>
        </w:tc>
        <w:tc>
          <w:tcPr>
            <w:tcW w:w="2681"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1≤Q＜10</w:t>
            </w:r>
            <w:r>
              <w:rPr>
                <w:rFonts w:hint="eastAsia" w:ascii="Times New Roman" w:hAnsi="Times New Roman" w:cs="Times New Roman"/>
                <w:b w:val="0"/>
                <w:bCs w:val="0"/>
                <w:color w:val="auto"/>
                <w:sz w:val="21"/>
                <w:szCs w:val="21"/>
                <w:vertAlign w:val="baseline"/>
                <w:lang w:val="en-US" w:eastAsia="zh-CN"/>
              </w:rPr>
              <w:sym w:font="Wingdings 2" w:char="00A3"/>
            </w:r>
          </w:p>
        </w:tc>
        <w:tc>
          <w:tcPr>
            <w:tcW w:w="2681"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10≤Q＜100□</w:t>
            </w:r>
          </w:p>
        </w:tc>
        <w:tc>
          <w:tcPr>
            <w:tcW w:w="2681"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Q＞100□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79" w:type="dxa"/>
            <w:gridSpan w:val="2"/>
            <w:vMerge w:val="continue"/>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1339" w:type="dxa"/>
            <w:vAlign w:val="center"/>
          </w:tcPr>
          <w:p>
            <w:pPr>
              <w:jc w:val="center"/>
              <w:rPr>
                <w:rFonts w:hint="default"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cs="Times New Roman"/>
                <w:b w:val="0"/>
                <w:bCs w:val="0"/>
                <w:color w:val="auto"/>
                <w:sz w:val="21"/>
                <w:szCs w:val="21"/>
                <w:highlight w:val="none"/>
                <w:vertAlign w:val="baseline"/>
                <w:lang w:val="en-US" w:eastAsia="zh-CN"/>
              </w:rPr>
              <w:t>M值</w:t>
            </w:r>
          </w:p>
        </w:tc>
        <w:tc>
          <w:tcPr>
            <w:tcW w:w="2679" w:type="dxa"/>
            <w:gridSpan w:val="2"/>
            <w:vAlign w:val="center"/>
          </w:tcPr>
          <w:p>
            <w:pPr>
              <w:jc w:val="center"/>
              <w:rPr>
                <w:rFonts w:hint="default"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cs="Times New Roman"/>
                <w:b w:val="0"/>
                <w:bCs w:val="0"/>
                <w:color w:val="auto"/>
                <w:sz w:val="21"/>
                <w:szCs w:val="21"/>
                <w:highlight w:val="none"/>
                <w:vertAlign w:val="baseline"/>
                <w:lang w:val="en-US" w:eastAsia="zh-CN"/>
              </w:rPr>
              <w:t>M1□</w:t>
            </w:r>
          </w:p>
        </w:tc>
        <w:tc>
          <w:tcPr>
            <w:tcW w:w="2681" w:type="dxa"/>
            <w:gridSpan w:val="2"/>
            <w:vAlign w:val="center"/>
          </w:tcPr>
          <w:p>
            <w:pPr>
              <w:jc w:val="center"/>
              <w:rPr>
                <w:rFonts w:hint="default"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cs="Times New Roman"/>
                <w:b w:val="0"/>
                <w:bCs w:val="0"/>
                <w:color w:val="auto"/>
                <w:sz w:val="21"/>
                <w:szCs w:val="21"/>
                <w:highlight w:val="none"/>
                <w:vertAlign w:val="baseline"/>
                <w:lang w:val="en-US" w:eastAsia="zh-CN"/>
              </w:rPr>
              <w:t>M2</w:t>
            </w:r>
            <w:r>
              <w:rPr>
                <w:rFonts w:hint="eastAsia" w:ascii="Times New Roman" w:hAnsi="Times New Roman" w:cs="Times New Roman"/>
                <w:b w:val="0"/>
                <w:bCs w:val="0"/>
                <w:color w:val="auto"/>
                <w:sz w:val="21"/>
                <w:szCs w:val="21"/>
                <w:highlight w:val="none"/>
                <w:vertAlign w:val="baseline"/>
                <w:lang w:val="en-US" w:eastAsia="zh-CN"/>
              </w:rPr>
              <w:sym w:font="Wingdings 2" w:char="00A3"/>
            </w:r>
          </w:p>
        </w:tc>
        <w:tc>
          <w:tcPr>
            <w:tcW w:w="2681" w:type="dxa"/>
            <w:gridSpan w:val="2"/>
            <w:vAlign w:val="center"/>
          </w:tcPr>
          <w:p>
            <w:pPr>
              <w:jc w:val="center"/>
              <w:rPr>
                <w:rFonts w:hint="default"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cs="Times New Roman"/>
                <w:b w:val="0"/>
                <w:bCs w:val="0"/>
                <w:color w:val="auto"/>
                <w:sz w:val="21"/>
                <w:szCs w:val="21"/>
                <w:highlight w:val="none"/>
                <w:vertAlign w:val="baseline"/>
                <w:lang w:val="en-US" w:eastAsia="zh-CN"/>
              </w:rPr>
              <w:t>M3□</w:t>
            </w:r>
          </w:p>
        </w:tc>
        <w:tc>
          <w:tcPr>
            <w:tcW w:w="2681" w:type="dxa"/>
            <w:gridSpan w:val="2"/>
            <w:vAlign w:val="center"/>
          </w:tcPr>
          <w:p>
            <w:pPr>
              <w:jc w:val="center"/>
              <w:rPr>
                <w:rFonts w:hint="default"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cs="Times New Roman"/>
                <w:b w:val="0"/>
                <w:bCs w:val="0"/>
                <w:color w:val="auto"/>
                <w:sz w:val="21"/>
                <w:szCs w:val="21"/>
                <w:highlight w:val="none"/>
                <w:vertAlign w:val="baseline"/>
                <w:lang w:val="en-US" w:eastAsia="zh-CN"/>
              </w:rPr>
              <w:t>M4□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79" w:type="dxa"/>
            <w:gridSpan w:val="2"/>
            <w:vMerge w:val="continue"/>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1339" w:type="dxa"/>
            <w:vAlign w:val="center"/>
          </w:tcPr>
          <w:p>
            <w:pPr>
              <w:jc w:val="center"/>
              <w:rPr>
                <w:rFonts w:hint="default"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cs="Times New Roman"/>
                <w:b w:val="0"/>
                <w:bCs w:val="0"/>
                <w:color w:val="auto"/>
                <w:sz w:val="21"/>
                <w:szCs w:val="21"/>
                <w:highlight w:val="none"/>
                <w:vertAlign w:val="baseline"/>
                <w:lang w:val="en-US" w:eastAsia="zh-CN"/>
              </w:rPr>
              <w:t>P值</w:t>
            </w:r>
          </w:p>
        </w:tc>
        <w:tc>
          <w:tcPr>
            <w:tcW w:w="2679" w:type="dxa"/>
            <w:gridSpan w:val="2"/>
            <w:vAlign w:val="center"/>
          </w:tcPr>
          <w:p>
            <w:pPr>
              <w:jc w:val="center"/>
              <w:rPr>
                <w:rFonts w:hint="default"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cs="Times New Roman"/>
                <w:b w:val="0"/>
                <w:bCs w:val="0"/>
                <w:color w:val="auto"/>
                <w:sz w:val="21"/>
                <w:szCs w:val="21"/>
                <w:highlight w:val="none"/>
                <w:vertAlign w:val="baseline"/>
                <w:lang w:val="en-US" w:eastAsia="zh-CN"/>
              </w:rPr>
              <w:t>P1□</w:t>
            </w:r>
          </w:p>
        </w:tc>
        <w:tc>
          <w:tcPr>
            <w:tcW w:w="2681" w:type="dxa"/>
            <w:gridSpan w:val="2"/>
            <w:vAlign w:val="center"/>
          </w:tcPr>
          <w:p>
            <w:pPr>
              <w:jc w:val="center"/>
              <w:rPr>
                <w:rFonts w:hint="default"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cs="Times New Roman"/>
                <w:b w:val="0"/>
                <w:bCs w:val="0"/>
                <w:color w:val="auto"/>
                <w:sz w:val="21"/>
                <w:szCs w:val="21"/>
                <w:highlight w:val="none"/>
                <w:vertAlign w:val="baseline"/>
                <w:lang w:val="en-US" w:eastAsia="zh-CN"/>
              </w:rPr>
              <w:t>P2□</w:t>
            </w:r>
          </w:p>
        </w:tc>
        <w:tc>
          <w:tcPr>
            <w:tcW w:w="2681" w:type="dxa"/>
            <w:gridSpan w:val="2"/>
            <w:vAlign w:val="center"/>
          </w:tcPr>
          <w:p>
            <w:pPr>
              <w:jc w:val="center"/>
              <w:rPr>
                <w:rFonts w:hint="default"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cs="Times New Roman"/>
                <w:b w:val="0"/>
                <w:bCs w:val="0"/>
                <w:color w:val="auto"/>
                <w:sz w:val="21"/>
                <w:szCs w:val="21"/>
                <w:highlight w:val="none"/>
                <w:vertAlign w:val="baseline"/>
                <w:lang w:val="en-US" w:eastAsia="zh-CN"/>
              </w:rPr>
              <w:t>P3</w:t>
            </w:r>
            <w:r>
              <w:rPr>
                <w:rFonts w:hint="eastAsia" w:ascii="Times New Roman" w:hAnsi="Times New Roman" w:cs="Times New Roman"/>
                <w:b w:val="0"/>
                <w:bCs w:val="0"/>
                <w:color w:val="auto"/>
                <w:sz w:val="21"/>
                <w:szCs w:val="21"/>
                <w:highlight w:val="none"/>
                <w:vertAlign w:val="baseline"/>
                <w:lang w:val="en-US" w:eastAsia="zh-CN"/>
              </w:rPr>
              <w:sym w:font="Wingdings 2" w:char="00A3"/>
            </w:r>
          </w:p>
        </w:tc>
        <w:tc>
          <w:tcPr>
            <w:tcW w:w="2681" w:type="dxa"/>
            <w:gridSpan w:val="2"/>
            <w:vAlign w:val="center"/>
          </w:tcPr>
          <w:p>
            <w:pPr>
              <w:jc w:val="center"/>
              <w:rPr>
                <w:rFonts w:hint="default"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cs="Times New Roman"/>
                <w:b w:val="0"/>
                <w:bCs w:val="0"/>
                <w:color w:val="auto"/>
                <w:sz w:val="21"/>
                <w:szCs w:val="21"/>
                <w:highlight w:val="none"/>
                <w:vertAlign w:val="baseline"/>
                <w:lang w:val="en-US" w:eastAsia="zh-CN"/>
              </w:rPr>
              <w:t>P4□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79" w:type="dxa"/>
            <w:gridSpan w:val="2"/>
            <w:vMerge w:val="restart"/>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环境敏感程度</w:t>
            </w:r>
          </w:p>
        </w:tc>
        <w:tc>
          <w:tcPr>
            <w:tcW w:w="1339" w:type="dxa"/>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大气</w:t>
            </w:r>
          </w:p>
        </w:tc>
        <w:tc>
          <w:tcPr>
            <w:tcW w:w="2679"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E1</w:t>
            </w:r>
            <w:r>
              <w:rPr>
                <w:rFonts w:hint="eastAsia" w:ascii="Times New Roman" w:hAnsi="Times New Roman" w:cs="Times New Roman"/>
                <w:b w:val="0"/>
                <w:bCs w:val="0"/>
                <w:color w:val="auto"/>
                <w:sz w:val="21"/>
                <w:szCs w:val="21"/>
                <w:vertAlign w:val="baseline"/>
                <w:lang w:val="en-US" w:eastAsia="zh-CN"/>
              </w:rPr>
              <w:sym w:font="Wingdings 2" w:char="00A3"/>
            </w:r>
          </w:p>
        </w:tc>
        <w:tc>
          <w:tcPr>
            <w:tcW w:w="4211" w:type="dxa"/>
            <w:gridSpan w:val="3"/>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E2</w:t>
            </w:r>
            <w:r>
              <w:rPr>
                <w:rFonts w:hint="eastAsia" w:ascii="Times New Roman" w:hAnsi="Times New Roman" w:cs="Times New Roman"/>
                <w:b w:val="0"/>
                <w:bCs w:val="0"/>
                <w:color w:val="auto"/>
                <w:sz w:val="21"/>
                <w:szCs w:val="21"/>
                <w:vertAlign w:val="baseline"/>
                <w:lang w:val="en-US" w:eastAsia="zh-CN"/>
              </w:rPr>
              <w:sym w:font="Wingdings 2" w:char="00A3"/>
            </w:r>
          </w:p>
        </w:tc>
        <w:tc>
          <w:tcPr>
            <w:tcW w:w="3832" w:type="dxa"/>
            <w:gridSpan w:val="3"/>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E3</w:t>
            </w:r>
            <w:r>
              <w:rPr>
                <w:rFonts w:hint="eastAsia" w:ascii="Times New Roman" w:hAnsi="Times New Roman" w:cs="Times New Roman"/>
                <w:b w:val="0"/>
                <w:bCs w:val="0"/>
                <w:color w:val="auto"/>
                <w:sz w:val="21"/>
                <w:szCs w:val="21"/>
                <w:vertAlign w:val="baseline"/>
                <w:lang w:val="en-US" w:eastAsia="zh-CN"/>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79" w:type="dxa"/>
            <w:gridSpan w:val="2"/>
            <w:vMerge w:val="continue"/>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1339" w:type="dxa"/>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地表水</w:t>
            </w:r>
          </w:p>
        </w:tc>
        <w:tc>
          <w:tcPr>
            <w:tcW w:w="2679"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E1□</w:t>
            </w:r>
          </w:p>
        </w:tc>
        <w:tc>
          <w:tcPr>
            <w:tcW w:w="4211" w:type="dxa"/>
            <w:gridSpan w:val="3"/>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E2□</w:t>
            </w:r>
          </w:p>
        </w:tc>
        <w:tc>
          <w:tcPr>
            <w:tcW w:w="3832" w:type="dxa"/>
            <w:gridSpan w:val="3"/>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E3</w:t>
            </w:r>
            <w:r>
              <w:rPr>
                <w:rFonts w:hint="eastAsia" w:ascii="Times New Roman" w:hAnsi="Times New Roman" w:cs="Times New Roman"/>
                <w:b w:val="0"/>
                <w:bCs w:val="0"/>
                <w:color w:val="auto"/>
                <w:sz w:val="21"/>
                <w:szCs w:val="21"/>
                <w:vertAlign w:val="baseline"/>
                <w:lang w:val="en-US" w:eastAsia="zh-CN"/>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79" w:type="dxa"/>
            <w:gridSpan w:val="2"/>
            <w:vMerge w:val="continue"/>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1339" w:type="dxa"/>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地下水</w:t>
            </w:r>
          </w:p>
        </w:tc>
        <w:tc>
          <w:tcPr>
            <w:tcW w:w="2679"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E1□</w:t>
            </w:r>
          </w:p>
        </w:tc>
        <w:tc>
          <w:tcPr>
            <w:tcW w:w="4211" w:type="dxa"/>
            <w:gridSpan w:val="3"/>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E2</w:t>
            </w:r>
            <w:r>
              <w:rPr>
                <w:rFonts w:hint="eastAsia" w:ascii="Times New Roman" w:hAnsi="Times New Roman" w:cs="Times New Roman"/>
                <w:b w:val="0"/>
                <w:bCs w:val="0"/>
                <w:color w:val="auto"/>
                <w:sz w:val="21"/>
                <w:szCs w:val="21"/>
                <w:vertAlign w:val="baseline"/>
                <w:lang w:val="en-US" w:eastAsia="zh-CN"/>
              </w:rPr>
              <w:sym w:font="Wingdings 2" w:char="00A3"/>
            </w:r>
          </w:p>
        </w:tc>
        <w:tc>
          <w:tcPr>
            <w:tcW w:w="3832" w:type="dxa"/>
            <w:gridSpan w:val="3"/>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E3</w:t>
            </w:r>
            <w:r>
              <w:rPr>
                <w:rFonts w:hint="eastAsia" w:ascii="Times New Roman" w:hAnsi="Times New Roman" w:cs="Times New Roman"/>
                <w:b w:val="0"/>
                <w:bCs w:val="0"/>
                <w:color w:val="auto"/>
                <w:sz w:val="21"/>
                <w:szCs w:val="21"/>
                <w:vertAlign w:val="baseline"/>
                <w:lang w:val="en-US" w:eastAsia="zh-CN"/>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79"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环境风险潜势</w:t>
            </w:r>
          </w:p>
        </w:tc>
        <w:tc>
          <w:tcPr>
            <w:tcW w:w="1339" w:type="dxa"/>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Ⅳ</w:t>
            </w:r>
            <w:r>
              <w:rPr>
                <w:rFonts w:hint="eastAsia" w:ascii="Times New Roman" w:hAnsi="Times New Roman" w:cs="Times New Roman"/>
                <w:b w:val="0"/>
                <w:bCs w:val="0"/>
                <w:color w:val="auto"/>
                <w:sz w:val="21"/>
                <w:szCs w:val="21"/>
                <w:vertAlign w:val="superscript"/>
                <w:lang w:val="en-US" w:eastAsia="zh-CN"/>
              </w:rPr>
              <w:t>+</w:t>
            </w:r>
            <w:r>
              <w:rPr>
                <w:rFonts w:hint="eastAsia" w:ascii="Times New Roman" w:hAnsi="Times New Roman" w:cs="Times New Roman"/>
                <w:b w:val="0"/>
                <w:bCs w:val="0"/>
                <w:color w:val="auto"/>
                <w:sz w:val="21"/>
                <w:szCs w:val="21"/>
                <w:vertAlign w:val="baseline"/>
                <w:lang w:val="en-US" w:eastAsia="zh-CN"/>
              </w:rPr>
              <w:t>□</w:t>
            </w:r>
          </w:p>
        </w:tc>
        <w:tc>
          <w:tcPr>
            <w:tcW w:w="2679"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Ⅳ</w:t>
            </w:r>
            <w:r>
              <w:rPr>
                <w:rFonts w:hint="eastAsia" w:ascii="Times New Roman" w:hAnsi="Times New Roman" w:cs="Times New Roman"/>
                <w:b w:val="0"/>
                <w:bCs w:val="0"/>
                <w:color w:val="auto"/>
                <w:sz w:val="21"/>
                <w:szCs w:val="21"/>
                <w:vertAlign w:val="baseline"/>
                <w:lang w:val="en-US" w:eastAsia="zh-CN"/>
              </w:rPr>
              <w:t>□</w:t>
            </w:r>
          </w:p>
        </w:tc>
        <w:tc>
          <w:tcPr>
            <w:tcW w:w="2681"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Ⅲ</w:t>
            </w:r>
            <w:r>
              <w:rPr>
                <w:rFonts w:hint="eastAsia" w:ascii="Times New Roman" w:hAnsi="Times New Roman" w:cs="Times New Roman"/>
                <w:b w:val="0"/>
                <w:bCs w:val="0"/>
                <w:color w:val="auto"/>
                <w:sz w:val="21"/>
                <w:szCs w:val="21"/>
                <w:vertAlign w:val="baseline"/>
                <w:lang w:val="en-US" w:eastAsia="zh-CN"/>
              </w:rPr>
              <w:sym w:font="Wingdings 2" w:char="00A3"/>
            </w:r>
          </w:p>
        </w:tc>
        <w:tc>
          <w:tcPr>
            <w:tcW w:w="2681"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Ⅱ</w:t>
            </w:r>
            <w:r>
              <w:rPr>
                <w:rFonts w:hint="eastAsia" w:ascii="Times New Roman" w:hAnsi="Times New Roman" w:cs="Times New Roman"/>
                <w:b w:val="0"/>
                <w:bCs w:val="0"/>
                <w:color w:val="auto"/>
                <w:sz w:val="21"/>
                <w:szCs w:val="21"/>
                <w:vertAlign w:val="baseline"/>
                <w:lang w:val="en-US" w:eastAsia="zh-CN"/>
              </w:rPr>
              <w:t>□</w:t>
            </w:r>
          </w:p>
        </w:tc>
        <w:tc>
          <w:tcPr>
            <w:tcW w:w="2681"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Ⅰ</w:t>
            </w:r>
            <w:r>
              <w:rPr>
                <w:rFonts w:hint="eastAsia" w:ascii="Times New Roman" w:hAnsi="Times New Roman" w:cs="Times New Roman"/>
                <w:b w:val="0"/>
                <w:bCs w:val="0"/>
                <w:color w:val="auto"/>
                <w:sz w:val="21"/>
                <w:szCs w:val="21"/>
                <w:vertAlign w:val="baseline"/>
                <w:lang w:val="en-US" w:eastAsia="zh-CN"/>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79"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评价等级</w:t>
            </w:r>
          </w:p>
        </w:tc>
        <w:tc>
          <w:tcPr>
            <w:tcW w:w="4018" w:type="dxa"/>
            <w:gridSpan w:val="3"/>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一级□</w:t>
            </w:r>
          </w:p>
        </w:tc>
        <w:tc>
          <w:tcPr>
            <w:tcW w:w="2681"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二级</w:t>
            </w:r>
            <w:r>
              <w:rPr>
                <w:rFonts w:hint="eastAsia" w:ascii="Times New Roman" w:hAnsi="Times New Roman" w:cs="Times New Roman"/>
                <w:b w:val="0"/>
                <w:bCs w:val="0"/>
                <w:color w:val="auto"/>
                <w:sz w:val="21"/>
                <w:szCs w:val="21"/>
                <w:vertAlign w:val="baseline"/>
                <w:lang w:val="en-US" w:eastAsia="zh-CN"/>
              </w:rPr>
              <w:sym w:font="Wingdings 2" w:char="00A3"/>
            </w:r>
          </w:p>
        </w:tc>
        <w:tc>
          <w:tcPr>
            <w:tcW w:w="2681"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三级□</w:t>
            </w:r>
          </w:p>
        </w:tc>
        <w:tc>
          <w:tcPr>
            <w:tcW w:w="2681"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简单分析</w:t>
            </w:r>
            <w:r>
              <w:rPr>
                <w:rFonts w:hint="eastAsia" w:ascii="Times New Roman" w:hAnsi="Times New Roman" w:cs="Times New Roman"/>
                <w:b w:val="0"/>
                <w:bCs w:val="0"/>
                <w:color w:val="auto"/>
                <w:sz w:val="21"/>
                <w:szCs w:val="21"/>
                <w:vertAlign w:val="baseline"/>
                <w:lang w:val="en-US" w:eastAsia="zh-CN"/>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55" w:type="dxa"/>
            <w:vMerge w:val="restart"/>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风险识别</w:t>
            </w:r>
          </w:p>
        </w:tc>
        <w:tc>
          <w:tcPr>
            <w:tcW w:w="2224" w:type="dxa"/>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物质危险性</w:t>
            </w:r>
          </w:p>
        </w:tc>
        <w:tc>
          <w:tcPr>
            <w:tcW w:w="6699" w:type="dxa"/>
            <w:gridSpan w:val="5"/>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有毒有害</w:t>
            </w:r>
            <w:r>
              <w:rPr>
                <w:rFonts w:hint="eastAsia" w:ascii="Times New Roman" w:hAnsi="Times New Roman" w:cs="Times New Roman"/>
                <w:b w:val="0"/>
                <w:bCs w:val="0"/>
                <w:color w:val="auto"/>
                <w:sz w:val="21"/>
                <w:szCs w:val="21"/>
                <w:vertAlign w:val="baseline"/>
                <w:lang w:val="en-US" w:eastAsia="zh-CN"/>
              </w:rPr>
              <w:sym w:font="Wingdings 2" w:char="00A3"/>
            </w:r>
          </w:p>
        </w:tc>
        <w:tc>
          <w:tcPr>
            <w:tcW w:w="5362" w:type="dxa"/>
            <w:gridSpan w:val="4"/>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易燃易爆</w:t>
            </w:r>
            <w:r>
              <w:rPr>
                <w:rFonts w:hint="eastAsia" w:ascii="Times New Roman" w:hAnsi="Times New Roman" w:cs="Times New Roman"/>
                <w:b w:val="0"/>
                <w:bCs w:val="0"/>
                <w:color w:val="auto"/>
                <w:sz w:val="21"/>
                <w:szCs w:val="21"/>
                <w:vertAlign w:val="baseline"/>
                <w:lang w:val="en-US" w:eastAsia="zh-CN"/>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55" w:type="dxa"/>
            <w:vMerge w:val="continue"/>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2224" w:type="dxa"/>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环境风险类型</w:t>
            </w:r>
          </w:p>
        </w:tc>
        <w:tc>
          <w:tcPr>
            <w:tcW w:w="6699" w:type="dxa"/>
            <w:gridSpan w:val="5"/>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泄漏</w:t>
            </w:r>
            <w:r>
              <w:rPr>
                <w:rFonts w:hint="eastAsia" w:ascii="Times New Roman" w:hAnsi="Times New Roman" w:cs="Times New Roman"/>
                <w:b w:val="0"/>
                <w:bCs w:val="0"/>
                <w:color w:val="auto"/>
                <w:sz w:val="21"/>
                <w:szCs w:val="21"/>
                <w:vertAlign w:val="baseline"/>
                <w:lang w:val="en-US" w:eastAsia="zh-CN"/>
              </w:rPr>
              <w:sym w:font="Wingdings 2" w:char="0052"/>
            </w:r>
          </w:p>
        </w:tc>
        <w:tc>
          <w:tcPr>
            <w:tcW w:w="5362" w:type="dxa"/>
            <w:gridSpan w:val="4"/>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火灾、爆炸引发伴生/次生污染物排放</w:t>
            </w:r>
            <w:r>
              <w:rPr>
                <w:rFonts w:hint="eastAsia" w:ascii="Times New Roman" w:hAnsi="Times New Roman" w:cs="Times New Roman"/>
                <w:b w:val="0"/>
                <w:bCs w:val="0"/>
                <w:color w:val="auto"/>
                <w:sz w:val="21"/>
                <w:szCs w:val="21"/>
                <w:vertAlign w:val="baseline"/>
                <w:lang w:val="en-US" w:eastAsia="zh-CN"/>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55" w:type="dxa"/>
            <w:vMerge w:val="continue"/>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2224" w:type="dxa"/>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影响途径</w:t>
            </w:r>
          </w:p>
        </w:tc>
        <w:tc>
          <w:tcPr>
            <w:tcW w:w="4018" w:type="dxa"/>
            <w:gridSpan w:val="3"/>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大气</w:t>
            </w:r>
            <w:r>
              <w:rPr>
                <w:rFonts w:hint="eastAsia" w:ascii="Times New Roman" w:hAnsi="Times New Roman" w:cs="Times New Roman"/>
                <w:b w:val="0"/>
                <w:bCs w:val="0"/>
                <w:color w:val="auto"/>
                <w:sz w:val="21"/>
                <w:szCs w:val="21"/>
                <w:vertAlign w:val="baseline"/>
                <w:lang w:val="en-US" w:eastAsia="zh-CN"/>
              </w:rPr>
              <w:sym w:font="Wingdings 2" w:char="0052"/>
            </w:r>
          </w:p>
        </w:tc>
        <w:tc>
          <w:tcPr>
            <w:tcW w:w="4211" w:type="dxa"/>
            <w:gridSpan w:val="3"/>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地表水</w:t>
            </w:r>
            <w:r>
              <w:rPr>
                <w:rFonts w:hint="eastAsia" w:ascii="Times New Roman" w:hAnsi="Times New Roman" w:cs="Times New Roman"/>
                <w:b w:val="0"/>
                <w:bCs w:val="0"/>
                <w:color w:val="auto"/>
                <w:sz w:val="21"/>
                <w:szCs w:val="21"/>
                <w:vertAlign w:val="baseline"/>
                <w:lang w:val="en-US" w:eastAsia="zh-CN"/>
              </w:rPr>
              <w:sym w:font="Wingdings 2" w:char="00A3"/>
            </w:r>
          </w:p>
        </w:tc>
        <w:tc>
          <w:tcPr>
            <w:tcW w:w="3832" w:type="dxa"/>
            <w:gridSpan w:val="3"/>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地下水</w:t>
            </w:r>
            <w:r>
              <w:rPr>
                <w:rFonts w:hint="eastAsia" w:ascii="Times New Roman" w:hAnsi="Times New Roman" w:cs="Times New Roman"/>
                <w:b w:val="0"/>
                <w:bCs w:val="0"/>
                <w:color w:val="auto"/>
                <w:sz w:val="21"/>
                <w:szCs w:val="21"/>
                <w:vertAlign w:val="baseline"/>
                <w:lang w:val="en-US" w:eastAsia="zh-CN"/>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2679"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事故影响分析</w:t>
            </w:r>
          </w:p>
        </w:tc>
        <w:tc>
          <w:tcPr>
            <w:tcW w:w="4018" w:type="dxa"/>
            <w:gridSpan w:val="3"/>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源强设定方法□</w:t>
            </w:r>
          </w:p>
        </w:tc>
        <w:tc>
          <w:tcPr>
            <w:tcW w:w="2681"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计算法□</w:t>
            </w:r>
          </w:p>
        </w:tc>
        <w:tc>
          <w:tcPr>
            <w:tcW w:w="2681"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经验估算法□</w:t>
            </w:r>
          </w:p>
        </w:tc>
        <w:tc>
          <w:tcPr>
            <w:tcW w:w="2681"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其他估算法□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55" w:type="dxa"/>
            <w:vMerge w:val="restart"/>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风险预测与评价</w:t>
            </w:r>
          </w:p>
        </w:tc>
        <w:tc>
          <w:tcPr>
            <w:tcW w:w="2224" w:type="dxa"/>
            <w:vMerge w:val="restart"/>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大气</w:t>
            </w:r>
          </w:p>
        </w:tc>
        <w:tc>
          <w:tcPr>
            <w:tcW w:w="4018" w:type="dxa"/>
            <w:gridSpan w:val="3"/>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预测模型</w:t>
            </w:r>
          </w:p>
        </w:tc>
        <w:tc>
          <w:tcPr>
            <w:tcW w:w="2681"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SLAB</w:t>
            </w:r>
          </w:p>
        </w:tc>
        <w:tc>
          <w:tcPr>
            <w:tcW w:w="2681"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AFTOX</w:t>
            </w:r>
          </w:p>
        </w:tc>
        <w:tc>
          <w:tcPr>
            <w:tcW w:w="2681"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其他</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55" w:type="dxa"/>
            <w:vMerge w:val="continue"/>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2224" w:type="dxa"/>
            <w:vMerge w:val="continue"/>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4018" w:type="dxa"/>
            <w:gridSpan w:val="3"/>
            <w:vMerge w:val="restart"/>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预测结果</w:t>
            </w:r>
          </w:p>
        </w:tc>
        <w:tc>
          <w:tcPr>
            <w:tcW w:w="8043" w:type="dxa"/>
            <w:gridSpan w:val="6"/>
            <w:vAlign w:val="center"/>
          </w:tcPr>
          <w:p>
            <w:pPr>
              <w:jc w:val="center"/>
              <w:rPr>
                <w:rFonts w:hint="default" w:ascii="Times New Roman" w:hAnsi="Times New Roman" w:cs="Times New Roman"/>
                <w:b w:val="0"/>
                <w:bCs w:val="0"/>
                <w:color w:val="auto"/>
                <w:sz w:val="21"/>
                <w:szCs w:val="21"/>
                <w:u w:val="single"/>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55" w:type="dxa"/>
            <w:vMerge w:val="continue"/>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2224" w:type="dxa"/>
            <w:vMerge w:val="continue"/>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4018" w:type="dxa"/>
            <w:gridSpan w:val="3"/>
            <w:vMerge w:val="continue"/>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8043" w:type="dxa"/>
            <w:gridSpan w:val="6"/>
            <w:vAlign w:val="center"/>
          </w:tcPr>
          <w:p>
            <w:pPr>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55" w:type="dxa"/>
            <w:vMerge w:val="continue"/>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2224" w:type="dxa"/>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地表水</w:t>
            </w:r>
          </w:p>
        </w:tc>
        <w:tc>
          <w:tcPr>
            <w:tcW w:w="12061" w:type="dxa"/>
            <w:gridSpan w:val="9"/>
            <w:vAlign w:val="center"/>
          </w:tcPr>
          <w:p>
            <w:pPr>
              <w:jc w:val="center"/>
              <w:rPr>
                <w:rFonts w:hint="default" w:ascii="Times New Roman" w:hAnsi="Times New Roman" w:cs="Times New Roman"/>
                <w:b w:val="0"/>
                <w:bCs w:val="0"/>
                <w:color w:val="auto"/>
                <w:sz w:val="21"/>
                <w:szCs w:val="21"/>
                <w:u w:val="single"/>
                <w:vertAlign w:val="baseline"/>
                <w:lang w:val="en-US" w:eastAsia="zh-CN"/>
              </w:rPr>
            </w:pPr>
            <w:r>
              <w:rPr>
                <w:rFonts w:hint="eastAsia" w:ascii="Times New Roman" w:hAnsi="Times New Roman" w:cs="Times New Roman"/>
                <w:b w:val="0"/>
                <w:bCs w:val="0"/>
                <w:color w:val="auto"/>
                <w:sz w:val="21"/>
                <w:szCs w:val="21"/>
                <w:vertAlign w:val="baseline"/>
                <w:lang w:val="en-US" w:eastAsia="zh-CN"/>
              </w:rPr>
              <w:t>最近环境敏感目标</w:t>
            </w:r>
            <w:r>
              <w:rPr>
                <w:rFonts w:hint="eastAsia" w:ascii="Times New Roman" w:hAnsi="Times New Roman" w:cs="Times New Roman"/>
                <w:b w:val="0"/>
                <w:bCs w:val="0"/>
                <w:color w:val="auto"/>
                <w:sz w:val="21"/>
                <w:szCs w:val="21"/>
                <w:u w:val="single"/>
                <w:vertAlign w:val="baseline"/>
                <w:lang w:val="en-US" w:eastAsia="zh-CN"/>
              </w:rPr>
              <w:t xml:space="preserve">         </w:t>
            </w:r>
            <w:r>
              <w:rPr>
                <w:rFonts w:hint="eastAsia" w:ascii="Times New Roman" w:hAnsi="Times New Roman" w:cs="Times New Roman"/>
                <w:b w:val="0"/>
                <w:bCs w:val="0"/>
                <w:color w:val="auto"/>
                <w:sz w:val="21"/>
                <w:szCs w:val="21"/>
                <w:vertAlign w:val="baseline"/>
                <w:lang w:val="en-US" w:eastAsia="zh-CN"/>
              </w:rPr>
              <w:t>，到达时间</w:t>
            </w:r>
            <w:r>
              <w:rPr>
                <w:rFonts w:hint="eastAsia" w:ascii="Times New Roman" w:hAnsi="Times New Roman" w:cs="Times New Roman"/>
                <w:b w:val="0"/>
                <w:bCs w:val="0"/>
                <w:color w:val="auto"/>
                <w:sz w:val="21"/>
                <w:szCs w:val="21"/>
                <w:u w:val="single"/>
                <w:vertAlign w:val="baseline"/>
                <w:lang w:val="en-US" w:eastAsia="zh-CN"/>
              </w:rPr>
              <w:t xml:space="preserve">         </w:t>
            </w:r>
            <w:r>
              <w:rPr>
                <w:rFonts w:hint="eastAsia" w:ascii="Times New Roman" w:hAnsi="Times New Roman" w:cs="Times New Roman"/>
                <w:b w:val="0"/>
                <w:bCs w:val="0"/>
                <w:color w:val="auto"/>
                <w:sz w:val="21"/>
                <w:szCs w:val="21"/>
                <w:vertAlign w:val="baseline"/>
                <w:lang w:val="en-US" w:eastAsia="zh-CN"/>
              </w:rPr>
              <w:t>h</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55" w:type="dxa"/>
            <w:vMerge w:val="continue"/>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2224" w:type="dxa"/>
            <w:vMerge w:val="restart"/>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地下水</w:t>
            </w:r>
          </w:p>
        </w:tc>
        <w:tc>
          <w:tcPr>
            <w:tcW w:w="12061" w:type="dxa"/>
            <w:gridSpan w:val="9"/>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下游厂区边界到达时间</w:t>
            </w:r>
            <w:r>
              <w:rPr>
                <w:rFonts w:hint="eastAsia" w:ascii="Times New Roman" w:hAnsi="Times New Roman" w:cs="Times New Roman"/>
                <w:b w:val="0"/>
                <w:bCs w:val="0"/>
                <w:color w:val="auto"/>
                <w:sz w:val="21"/>
                <w:szCs w:val="21"/>
                <w:u w:val="single"/>
                <w:vertAlign w:val="baseline"/>
                <w:lang w:val="en-US" w:eastAsia="zh-CN"/>
              </w:rPr>
              <w:t xml:space="preserve">         </w:t>
            </w:r>
            <w:r>
              <w:rPr>
                <w:rFonts w:hint="eastAsia" w:ascii="Times New Roman" w:hAnsi="Times New Roman" w:cs="Times New Roman"/>
                <w:b w:val="0"/>
                <w:bCs w:val="0"/>
                <w:color w:val="auto"/>
                <w:sz w:val="21"/>
                <w:szCs w:val="21"/>
                <w:vertAlign w:val="baseline"/>
                <w:lang w:val="en-US" w:eastAsia="zh-CN"/>
              </w:rPr>
              <w:t>h</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55" w:type="dxa"/>
            <w:vMerge w:val="continue"/>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2224" w:type="dxa"/>
            <w:vMerge w:val="continue"/>
            <w:vAlign w:val="center"/>
          </w:tcPr>
          <w:p>
            <w:pPr>
              <w:jc w:val="center"/>
              <w:rPr>
                <w:rFonts w:hint="default" w:ascii="Times New Roman" w:hAnsi="Times New Roman" w:cs="Times New Roman"/>
                <w:b w:val="0"/>
                <w:bCs w:val="0"/>
                <w:color w:val="auto"/>
                <w:sz w:val="21"/>
                <w:szCs w:val="21"/>
                <w:vertAlign w:val="baseline"/>
                <w:lang w:val="en-US" w:eastAsia="zh-CN"/>
              </w:rPr>
            </w:pPr>
          </w:p>
        </w:tc>
        <w:tc>
          <w:tcPr>
            <w:tcW w:w="12061" w:type="dxa"/>
            <w:gridSpan w:val="9"/>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最近环境敏感目标</w:t>
            </w:r>
            <w:r>
              <w:rPr>
                <w:rFonts w:hint="eastAsia" w:ascii="Times New Roman" w:hAnsi="Times New Roman" w:cs="Times New Roman"/>
                <w:b w:val="0"/>
                <w:bCs w:val="0"/>
                <w:color w:val="auto"/>
                <w:sz w:val="21"/>
                <w:szCs w:val="21"/>
                <w:u w:val="single"/>
                <w:vertAlign w:val="baseline"/>
                <w:lang w:val="en-US" w:eastAsia="zh-CN"/>
              </w:rPr>
              <w:t xml:space="preserve">         </w:t>
            </w:r>
            <w:r>
              <w:rPr>
                <w:rFonts w:hint="eastAsia" w:ascii="Times New Roman" w:hAnsi="Times New Roman" w:cs="Times New Roman"/>
                <w:b w:val="0"/>
                <w:bCs w:val="0"/>
                <w:color w:val="auto"/>
                <w:sz w:val="21"/>
                <w:szCs w:val="21"/>
                <w:vertAlign w:val="baseline"/>
                <w:lang w:val="en-US" w:eastAsia="zh-CN"/>
              </w:rPr>
              <w:t>，到达时间</w:t>
            </w:r>
            <w:r>
              <w:rPr>
                <w:rFonts w:hint="eastAsia" w:ascii="Times New Roman" w:hAnsi="Times New Roman" w:cs="Times New Roman"/>
                <w:b w:val="0"/>
                <w:bCs w:val="0"/>
                <w:color w:val="auto"/>
                <w:sz w:val="21"/>
                <w:szCs w:val="21"/>
                <w:u w:val="single"/>
                <w:vertAlign w:val="baseline"/>
                <w:lang w:val="en-US" w:eastAsia="zh-CN"/>
              </w:rPr>
              <w:t xml:space="preserve">         </w:t>
            </w:r>
            <w:r>
              <w:rPr>
                <w:rFonts w:hint="eastAsia" w:ascii="Times New Roman" w:hAnsi="Times New Roman" w:cs="Times New Roman"/>
                <w:b w:val="0"/>
                <w:bCs w:val="0"/>
                <w:color w:val="auto"/>
                <w:sz w:val="21"/>
                <w:szCs w:val="21"/>
                <w:vertAlign w:val="baseline"/>
                <w:lang w:val="en-US" w:eastAsia="zh-CN"/>
              </w:rPr>
              <w:t>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79"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重点风险防范措施</w:t>
            </w:r>
          </w:p>
        </w:tc>
        <w:tc>
          <w:tcPr>
            <w:tcW w:w="12061" w:type="dxa"/>
            <w:gridSpan w:val="9"/>
            <w:vAlign w:val="center"/>
          </w:tcPr>
          <w:p>
            <w:pPr>
              <w:numPr>
                <w:ilvl w:val="0"/>
                <w:numId w:val="0"/>
              </w:numPr>
              <w:adjustRightInd w:val="0"/>
              <w:snapToGrid w:val="0"/>
              <w:spacing w:line="360" w:lineRule="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企业按照风险评价的要求进行危险化学品的储运和使用，加强安全、运行技术管理的前提下，项目的环境风险可控制在可以接受的范围内。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79" w:type="dxa"/>
            <w:gridSpan w:val="2"/>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评价结论与建议</w:t>
            </w:r>
          </w:p>
        </w:tc>
        <w:tc>
          <w:tcPr>
            <w:tcW w:w="12061" w:type="dxa"/>
            <w:gridSpan w:val="9"/>
            <w:vAlign w:val="center"/>
          </w:tcPr>
          <w:p>
            <w:pPr>
              <w:jc w:val="center"/>
              <w:rPr>
                <w:rFonts w:hint="default" w:ascii="Times New Roman" w:hAnsi="Times New Roman" w:cs="Times New Roman"/>
                <w:b w:val="0"/>
                <w:bCs w:val="0"/>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740" w:type="dxa"/>
            <w:gridSpan w:val="11"/>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注：</w:t>
            </w:r>
            <w:r>
              <w:rPr>
                <w:rFonts w:hint="eastAsia" w:ascii="Times New Roman" w:hAnsi="Times New Roman" w:cs="Times New Roman"/>
                <w:b w:val="0"/>
                <w:bCs w:val="0"/>
                <w:color w:val="auto"/>
                <w:sz w:val="21"/>
                <w:szCs w:val="21"/>
                <w:vertAlign w:val="baseline"/>
                <w:lang w:val="en-US" w:eastAsia="zh-CN"/>
              </w:rPr>
              <w:t>“□”</w:t>
            </w:r>
            <w:r>
              <w:rPr>
                <w:rFonts w:hint="default" w:ascii="Times New Roman" w:hAnsi="Times New Roman" w:cs="Times New Roman"/>
                <w:b w:val="0"/>
                <w:bCs w:val="0"/>
                <w:color w:val="auto"/>
                <w:sz w:val="21"/>
                <w:szCs w:val="21"/>
                <w:vertAlign w:val="baseline"/>
                <w:lang w:val="en-US" w:eastAsia="zh-CN"/>
              </w:rPr>
              <w:t>为勾选项，</w:t>
            </w:r>
            <w:r>
              <w:rPr>
                <w:rFonts w:hint="eastAsia" w:ascii="Times New Roman" w:hAnsi="Times New Roman" w:cs="Times New Roman"/>
                <w:b w:val="0"/>
                <w:bCs w:val="0"/>
                <w:color w:val="auto"/>
                <w:sz w:val="21"/>
                <w:szCs w:val="21"/>
                <w:vertAlign w:val="baseline"/>
                <w:lang w:val="en-US" w:eastAsia="zh-CN"/>
              </w:rPr>
              <w:t>“”</w:t>
            </w:r>
            <w:r>
              <w:rPr>
                <w:rFonts w:hint="default" w:ascii="Times New Roman" w:hAnsi="Times New Roman" w:cs="Times New Roman"/>
                <w:b w:val="0"/>
                <w:bCs w:val="0"/>
                <w:color w:val="auto"/>
                <w:sz w:val="21"/>
                <w:szCs w:val="21"/>
                <w:vertAlign w:val="baseline"/>
                <w:lang w:val="en-US" w:eastAsia="zh-CN"/>
              </w:rPr>
              <w:t>为填写项。</w:t>
            </w:r>
          </w:p>
        </w:tc>
      </w:tr>
    </w:tbl>
    <w:p>
      <w:pPr>
        <w:pStyle w:val="10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bottom"/>
        <w:outlineLvl w:val="9"/>
        <w:rPr>
          <w:color w:val="auto"/>
          <w:sz w:val="24"/>
          <w:szCs w:val="24"/>
        </w:rPr>
        <w:sectPr>
          <w:pgSz w:w="16838" w:h="11906" w:orient="landscape"/>
          <w:pgMar w:top="1451" w:right="1440" w:bottom="1451" w:left="1440" w:header="851" w:footer="992" w:gutter="0"/>
          <w:pgBorders>
            <w:top w:val="none" w:sz="0" w:space="0"/>
            <w:left w:val="none" w:sz="0" w:space="0"/>
            <w:bottom w:val="none" w:sz="0" w:space="0"/>
            <w:right w:val="none" w:sz="0" w:space="0"/>
          </w:pgBorders>
          <w:pgNumType w:fmt="decimal"/>
          <w:cols w:space="0" w:num="1"/>
          <w:rtlGutter w:val="0"/>
          <w:docGrid w:type="lines" w:linePitch="321" w:charSpace="0"/>
        </w:sectPr>
      </w:pPr>
    </w:p>
    <w:p>
      <w:pPr>
        <w:pStyle w:val="5"/>
        <w:adjustRightInd w:val="0"/>
        <w:snapToGrid w:val="0"/>
        <w:spacing w:before="0" w:after="0" w:line="360" w:lineRule="auto"/>
        <w:rPr>
          <w:rFonts w:ascii="Times New Roman" w:hAnsi="Times New Roman" w:eastAsia="宋体"/>
          <w:color w:val="auto"/>
          <w:sz w:val="28"/>
          <w:szCs w:val="28"/>
        </w:rPr>
      </w:pPr>
      <w:bookmarkStart w:id="248" w:name="_Toc23999"/>
      <w:bookmarkStart w:id="249" w:name="_Toc17285"/>
      <w:bookmarkStart w:id="250" w:name="_Toc323023516"/>
      <w:bookmarkStart w:id="251" w:name="_Toc8830"/>
      <w:bookmarkStart w:id="252" w:name="_Toc459118472"/>
      <w:r>
        <w:rPr>
          <w:rFonts w:hint="eastAsia" w:ascii="Times New Roman" w:hAnsi="Times New Roman" w:eastAsia="宋体"/>
          <w:color w:val="auto"/>
          <w:sz w:val="28"/>
          <w:szCs w:val="28"/>
        </w:rPr>
        <w:t>5.</w:t>
      </w:r>
      <w:r>
        <w:rPr>
          <w:rFonts w:hint="eastAsia" w:ascii="Times New Roman" w:hAnsi="Times New Roman" w:eastAsia="宋体"/>
          <w:color w:val="auto"/>
          <w:sz w:val="28"/>
          <w:szCs w:val="28"/>
          <w:lang w:val="en-US" w:eastAsia="zh-CN"/>
        </w:rPr>
        <w:t>5</w:t>
      </w:r>
      <w:r>
        <w:rPr>
          <w:rFonts w:hint="eastAsia" w:ascii="Times New Roman" w:hAnsi="Times New Roman" w:eastAsia="宋体"/>
          <w:color w:val="auto"/>
          <w:sz w:val="28"/>
          <w:szCs w:val="28"/>
        </w:rPr>
        <w:t>对农业生态的环境分析</w:t>
      </w:r>
      <w:bookmarkEnd w:id="248"/>
    </w:p>
    <w:p>
      <w:pPr>
        <w:numPr>
          <w:ilvl w:val="0"/>
          <w:numId w:val="31"/>
        </w:numPr>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对土地利用的影响</w:t>
      </w:r>
    </w:p>
    <w:p>
      <w:pPr>
        <w:spacing w:line="360" w:lineRule="auto"/>
        <w:ind w:firstLine="48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项目区养殖区域永久占用土地90亩，为林地及耕地，基本不会对当地土地利用造成影响。</w:t>
      </w:r>
    </w:p>
    <w:p>
      <w:pPr>
        <w:numPr>
          <w:ilvl w:val="0"/>
          <w:numId w:val="31"/>
        </w:numPr>
        <w:spacing w:line="360" w:lineRule="auto"/>
        <w:ind w:left="0" w:leftChars="0"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对农业生产的影响</w:t>
      </w:r>
    </w:p>
    <w:p>
      <w:pPr>
        <w:spacing w:line="360" w:lineRule="auto"/>
        <w:ind w:firstLine="48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养殖场所在地区人口密集程度较低，但农业开发历史较悠久，土地开发利用率较高，农业土地资源较为紧缺，因此，工程永久性占地将对沿线地区的农业生产产生一定的不利影响。养殖场建设导致的区域主要粮食产量损失统计结果见表5.5-1。</w:t>
      </w:r>
    </w:p>
    <w:p>
      <w:pPr>
        <w:pStyle w:val="101"/>
        <w:keepNext w:val="0"/>
        <w:keepLines w:val="0"/>
        <w:pageBreakBefore w:val="0"/>
        <w:widowControl w:val="0"/>
        <w:tabs>
          <w:tab w:val="left" w:pos="1922"/>
          <w:tab w:val="left" w:pos="4594"/>
          <w:tab w:val="center" w:pos="7039"/>
        </w:tabs>
        <w:kinsoku/>
        <w:wordWrap/>
        <w:overflowPunct/>
        <w:topLinePunct w:val="0"/>
        <w:autoSpaceDE/>
        <w:autoSpaceDN/>
        <w:bidi w:val="0"/>
        <w:adjustRightInd/>
        <w:snapToGrid/>
        <w:spacing w:line="240" w:lineRule="auto"/>
        <w:ind w:firstLine="0" w:firstLineChars="0"/>
        <w:jc w:val="center"/>
        <w:textAlignment w:val="bottom"/>
        <w:outlineLvl w:val="9"/>
        <w:rPr>
          <w:rFonts w:hint="default" w:ascii="Times New Roman" w:hAnsi="Times New Roman" w:cs="Times New Roman"/>
          <w:b/>
          <w:bCs/>
          <w:color w:val="auto"/>
          <w:sz w:val="21"/>
          <w:szCs w:val="21"/>
          <w:lang w:val="en-US"/>
        </w:rPr>
      </w:pPr>
      <w:r>
        <w:rPr>
          <w:rFonts w:hint="default" w:ascii="Times New Roman" w:hAnsi="Times New Roman" w:cs="Times New Roman"/>
          <w:b/>
          <w:bCs/>
          <w:color w:val="auto"/>
          <w:sz w:val="21"/>
          <w:szCs w:val="21"/>
          <w:lang w:eastAsia="zh-CN"/>
        </w:rPr>
        <w:t>表</w:t>
      </w:r>
      <w:r>
        <w:rPr>
          <w:rFonts w:hint="default" w:ascii="Times New Roman" w:hAnsi="Times New Roman" w:cs="Times New Roman"/>
          <w:b/>
          <w:bCs/>
          <w:color w:val="auto"/>
          <w:sz w:val="21"/>
          <w:szCs w:val="21"/>
          <w:lang w:val="en-US" w:eastAsia="zh-CN"/>
        </w:rPr>
        <w:t>5.</w:t>
      </w:r>
      <w:r>
        <w:rPr>
          <w:rFonts w:hint="eastAsia" w:ascii="Times New Roman" w:hAnsi="Times New Roman" w:cs="Times New Roman"/>
          <w:b/>
          <w:bCs/>
          <w:color w:val="auto"/>
          <w:sz w:val="21"/>
          <w:szCs w:val="21"/>
          <w:lang w:val="en-US" w:eastAsia="zh-CN"/>
        </w:rPr>
        <w:t>5-1</w:t>
      </w:r>
      <w:r>
        <w:rPr>
          <w:rFonts w:hint="default" w:ascii="Times New Roman" w:hAnsi="Times New Roman" w:cs="Times New Roman"/>
          <w:b/>
          <w:bCs/>
          <w:color w:val="auto"/>
          <w:sz w:val="21"/>
          <w:szCs w:val="21"/>
          <w:lang w:val="en-US" w:eastAsia="zh-CN"/>
        </w:rPr>
        <w:t xml:space="preserve"> 场地永久性占地导致</w:t>
      </w:r>
      <w:r>
        <w:rPr>
          <w:rFonts w:hint="eastAsia" w:ascii="Times New Roman" w:hAnsi="Times New Roman" w:cs="Times New Roman"/>
          <w:b/>
          <w:bCs/>
          <w:color w:val="auto"/>
          <w:sz w:val="21"/>
          <w:szCs w:val="21"/>
          <w:lang w:val="en-US" w:eastAsia="zh-CN"/>
        </w:rPr>
        <w:t>柑橘</w:t>
      </w:r>
      <w:r>
        <w:rPr>
          <w:rFonts w:hint="default" w:ascii="Times New Roman" w:hAnsi="Times New Roman" w:cs="Times New Roman"/>
          <w:b/>
          <w:bCs/>
          <w:color w:val="auto"/>
          <w:sz w:val="21"/>
          <w:szCs w:val="21"/>
          <w:lang w:val="en-US" w:eastAsia="zh-CN"/>
        </w:rPr>
        <w:t>损失统计表</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6"/>
        <w:gridCol w:w="1316"/>
        <w:gridCol w:w="1317"/>
        <w:gridCol w:w="1317"/>
        <w:gridCol w:w="1317"/>
        <w:gridCol w:w="1521"/>
        <w:gridCol w:w="1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6" w:type="dxa"/>
            <w:vAlign w:val="center"/>
          </w:tcPr>
          <w:p>
            <w:pPr>
              <w:jc w:val="center"/>
              <w:rPr>
                <w:rFonts w:hint="eastAsia"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占地类型</w:t>
            </w:r>
          </w:p>
        </w:tc>
        <w:tc>
          <w:tcPr>
            <w:tcW w:w="1316" w:type="dxa"/>
            <w:vAlign w:val="center"/>
          </w:tcPr>
          <w:p>
            <w:pPr>
              <w:jc w:val="center"/>
              <w:rPr>
                <w:rFonts w:hint="eastAsia"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工程占地（亩）</w:t>
            </w:r>
          </w:p>
        </w:tc>
        <w:tc>
          <w:tcPr>
            <w:tcW w:w="1317" w:type="dxa"/>
            <w:vAlign w:val="center"/>
          </w:tcPr>
          <w:p>
            <w:pPr>
              <w:jc w:val="center"/>
              <w:rPr>
                <w:rFonts w:hint="eastAsia"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单产（t/亩）</w:t>
            </w:r>
          </w:p>
        </w:tc>
        <w:tc>
          <w:tcPr>
            <w:tcW w:w="1317" w:type="dxa"/>
            <w:vAlign w:val="center"/>
          </w:tcPr>
          <w:p>
            <w:pPr>
              <w:jc w:val="center"/>
              <w:rPr>
                <w:rFonts w:hint="eastAsia"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年产量损失（t/a）</w:t>
            </w:r>
          </w:p>
        </w:tc>
        <w:tc>
          <w:tcPr>
            <w:tcW w:w="1317" w:type="dxa"/>
            <w:vAlign w:val="center"/>
          </w:tcPr>
          <w:p>
            <w:pPr>
              <w:jc w:val="center"/>
              <w:rPr>
                <w:rFonts w:hint="eastAsia"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施工期产量损失（t）</w:t>
            </w:r>
          </w:p>
        </w:tc>
        <w:tc>
          <w:tcPr>
            <w:tcW w:w="1521" w:type="dxa"/>
            <w:vAlign w:val="center"/>
          </w:tcPr>
          <w:p>
            <w:pPr>
              <w:jc w:val="center"/>
              <w:rPr>
                <w:rFonts w:hint="eastAsia"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营运期产量损失（t）</w:t>
            </w:r>
          </w:p>
        </w:tc>
        <w:tc>
          <w:tcPr>
            <w:tcW w:w="1113" w:type="dxa"/>
            <w:vAlign w:val="center"/>
          </w:tcPr>
          <w:p>
            <w:pPr>
              <w:jc w:val="center"/>
              <w:rPr>
                <w:rFonts w:hint="eastAsia"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6" w:type="dxa"/>
            <w:vAlign w:val="center"/>
          </w:tcPr>
          <w:p>
            <w:pPr>
              <w:jc w:val="center"/>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林地及耕地</w:t>
            </w:r>
          </w:p>
        </w:tc>
        <w:tc>
          <w:tcPr>
            <w:tcW w:w="1316" w:type="dxa"/>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90</w:t>
            </w:r>
          </w:p>
        </w:tc>
        <w:tc>
          <w:tcPr>
            <w:tcW w:w="1317" w:type="dxa"/>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4</w:t>
            </w:r>
          </w:p>
        </w:tc>
        <w:tc>
          <w:tcPr>
            <w:tcW w:w="1317" w:type="dxa"/>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360</w:t>
            </w:r>
          </w:p>
        </w:tc>
        <w:tc>
          <w:tcPr>
            <w:tcW w:w="1317" w:type="dxa"/>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300</w:t>
            </w:r>
          </w:p>
        </w:tc>
        <w:tc>
          <w:tcPr>
            <w:tcW w:w="1521" w:type="dxa"/>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10800</w:t>
            </w:r>
          </w:p>
        </w:tc>
        <w:tc>
          <w:tcPr>
            <w:tcW w:w="1113" w:type="dxa"/>
            <w:vAlign w:val="center"/>
          </w:tcPr>
          <w:p>
            <w:pPr>
              <w:jc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运营期以30年计</w:t>
            </w:r>
          </w:p>
        </w:tc>
      </w:tr>
    </w:tbl>
    <w:p>
      <w:pPr>
        <w:spacing w:line="360" w:lineRule="auto"/>
        <w:ind w:firstLine="48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年柑橘损失约为360t，10个月施工期柑橘损失量约300t，30年营运期的总损失量将达10800t，被占用林地、耕地丧失了原有的产出能力，从而对当地农民的收入和生活质量有一定的影响，但是，由于养殖场能够带来更多的就业岗位，完全可以补足园地减少带来收入的减少。由此可见，项目的建设对农业生产不会产生明显的影响。</w:t>
      </w:r>
    </w:p>
    <w:p>
      <w:pPr>
        <w:numPr>
          <w:ilvl w:val="0"/>
          <w:numId w:val="31"/>
        </w:numPr>
        <w:spacing w:line="360" w:lineRule="auto"/>
        <w:ind w:left="0" w:leftChars="0"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对农作物生长的影响</w:t>
      </w:r>
    </w:p>
    <w:p>
      <w:pPr>
        <w:spacing w:line="360" w:lineRule="auto"/>
        <w:ind w:firstLine="48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项目建成后，恶臭气体的排放较目前将会明显增多。据有关资料，恶臭气体主要对农作物的影响主要是幼苗期。由于项目产生的恶臭经过采取一些列处理措施进行处理。经处理后项目产生的恶臭气体对农作物的危害较小。</w:t>
      </w:r>
    </w:p>
    <w:p>
      <w:pPr>
        <w:pStyle w:val="5"/>
        <w:adjustRightInd w:val="0"/>
        <w:snapToGrid w:val="0"/>
        <w:spacing w:before="0" w:after="0" w:line="360" w:lineRule="auto"/>
        <w:rPr>
          <w:rFonts w:ascii="Times New Roman" w:hAnsi="Times New Roman" w:eastAsia="宋体"/>
          <w:color w:val="auto"/>
          <w:sz w:val="28"/>
          <w:szCs w:val="28"/>
        </w:rPr>
      </w:pPr>
      <w:bookmarkStart w:id="253" w:name="_Toc89"/>
      <w:r>
        <w:rPr>
          <w:rFonts w:hint="eastAsia" w:ascii="Times New Roman" w:hAnsi="Times New Roman" w:eastAsia="宋体"/>
          <w:color w:val="auto"/>
          <w:sz w:val="28"/>
          <w:szCs w:val="28"/>
        </w:rPr>
        <w:t>5.</w:t>
      </w:r>
      <w:r>
        <w:rPr>
          <w:rFonts w:hint="eastAsia" w:ascii="Times New Roman" w:hAnsi="Times New Roman" w:eastAsia="宋体"/>
          <w:color w:val="auto"/>
          <w:sz w:val="28"/>
          <w:szCs w:val="28"/>
          <w:lang w:val="en-US" w:eastAsia="zh-CN"/>
        </w:rPr>
        <w:t>6</w:t>
      </w:r>
      <w:r>
        <w:rPr>
          <w:rFonts w:hint="eastAsia" w:ascii="Times New Roman" w:hAnsi="Times New Roman" w:eastAsia="宋体"/>
          <w:color w:val="auto"/>
          <w:sz w:val="28"/>
          <w:szCs w:val="28"/>
        </w:rPr>
        <w:t>运输过程环境影响评价</w:t>
      </w:r>
      <w:bookmarkEnd w:id="253"/>
    </w:p>
    <w:p>
      <w:pPr>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本项目年出栏商品猪30000头/a，项目运输车流量平均约 2 次/天（往返、按载重 45 头，每年运输365天计算），项目建设对公路交通噪声和车流量基本无影响，运输过程对周围环境造成的影响主要为载猪车辆散发的恶臭产生的影响。</w:t>
      </w:r>
    </w:p>
    <w:p>
      <w:pPr>
        <w:numPr>
          <w:ilvl w:val="0"/>
          <w:numId w:val="32"/>
        </w:numPr>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运输过程废气影响分析</w:t>
      </w:r>
    </w:p>
    <w:p>
      <w:pPr>
        <w:spacing w:line="360" w:lineRule="auto"/>
        <w:ind w:firstLine="48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运输过程中猪只散发出的恶臭，主要污染物为 H</w:t>
      </w:r>
      <w:r>
        <w:rPr>
          <w:rFonts w:hint="eastAsia" w:ascii="Times New Roman" w:hAnsi="Times New Roman" w:eastAsia="宋体" w:cs="Times New Roman"/>
          <w:color w:val="auto"/>
          <w:sz w:val="24"/>
          <w:szCs w:val="24"/>
          <w:vertAlign w:val="subscript"/>
          <w:lang w:val="en-US" w:eastAsia="zh-CN"/>
        </w:rPr>
        <w:t>2</w:t>
      </w:r>
      <w:r>
        <w:rPr>
          <w:rFonts w:hint="eastAsia" w:ascii="Times New Roman" w:hAnsi="Times New Roman" w:eastAsia="宋体" w:cs="Times New Roman"/>
          <w:color w:val="auto"/>
          <w:sz w:val="24"/>
          <w:szCs w:val="24"/>
          <w:lang w:val="en-US" w:eastAsia="zh-CN"/>
        </w:rPr>
        <w:t>S、NH</w:t>
      </w:r>
      <w:r>
        <w:rPr>
          <w:rFonts w:hint="eastAsia" w:ascii="Times New Roman" w:hAnsi="Times New Roman" w:eastAsia="宋体" w:cs="Times New Roman"/>
          <w:color w:val="auto"/>
          <w:sz w:val="24"/>
          <w:szCs w:val="24"/>
          <w:vertAlign w:val="subscript"/>
          <w:lang w:val="en-US" w:eastAsia="zh-CN"/>
        </w:rPr>
        <w:t>3</w:t>
      </w:r>
      <w:r>
        <w:rPr>
          <w:rFonts w:hint="eastAsia" w:ascii="Times New Roman" w:hAnsi="Times New Roman" w:eastAsia="宋体" w:cs="Times New Roman"/>
          <w:color w:val="auto"/>
          <w:sz w:val="24"/>
          <w:szCs w:val="24"/>
          <w:lang w:val="en-US" w:eastAsia="zh-CN"/>
        </w:rPr>
        <w:t>，产生量较少，车辆处于行驶状态，加快了废气的扩散，且属瞬间污染，因此运输过程中散发的恶臭对环境影响较小。</w:t>
      </w:r>
    </w:p>
    <w:p>
      <w:pPr>
        <w:numPr>
          <w:ilvl w:val="0"/>
          <w:numId w:val="32"/>
        </w:numPr>
        <w:spacing w:line="360" w:lineRule="auto"/>
        <w:ind w:left="0" w:leftChars="0"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运输过程其它影响分析</w:t>
      </w:r>
    </w:p>
    <w:p>
      <w:pPr>
        <w:spacing w:line="360" w:lineRule="auto"/>
        <w:ind w:firstLine="48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运输过程中猪只产生的粪便、尿液如不加收集，随意散落到路面，将会给沿途经过的村庄造成污染，因此载猪车辆应设置粪便、尿液收集装置，将粪便、尿液收集后运回至场区，减轻对沿途环境的影响。</w:t>
      </w:r>
    </w:p>
    <w:p>
      <w:pPr>
        <w:pStyle w:val="5"/>
        <w:adjustRightInd w:val="0"/>
        <w:snapToGrid w:val="0"/>
        <w:spacing w:before="0" w:after="0" w:line="360" w:lineRule="auto"/>
        <w:rPr>
          <w:rFonts w:ascii="Times New Roman" w:hAnsi="Times New Roman" w:eastAsia="宋体"/>
          <w:color w:val="auto"/>
          <w:sz w:val="28"/>
          <w:szCs w:val="28"/>
        </w:rPr>
      </w:pPr>
      <w:bookmarkStart w:id="254" w:name="_Toc23819"/>
      <w:r>
        <w:rPr>
          <w:rFonts w:hint="eastAsia" w:ascii="Times New Roman" w:hAnsi="Times New Roman" w:eastAsia="宋体"/>
          <w:color w:val="auto"/>
          <w:sz w:val="28"/>
          <w:szCs w:val="28"/>
        </w:rPr>
        <w:t>5.</w:t>
      </w:r>
      <w:r>
        <w:rPr>
          <w:rFonts w:hint="eastAsia" w:ascii="Times New Roman" w:hAnsi="Times New Roman" w:eastAsia="宋体"/>
          <w:color w:val="auto"/>
          <w:sz w:val="28"/>
          <w:szCs w:val="28"/>
          <w:lang w:val="en-US" w:eastAsia="zh-CN"/>
        </w:rPr>
        <w:t>7</w:t>
      </w:r>
      <w:r>
        <w:rPr>
          <w:rFonts w:hint="eastAsia" w:ascii="Times New Roman" w:hAnsi="Times New Roman" w:eastAsia="宋体"/>
          <w:color w:val="auto"/>
          <w:sz w:val="28"/>
          <w:szCs w:val="28"/>
        </w:rPr>
        <w:t>周边环境</w:t>
      </w:r>
      <w:r>
        <w:rPr>
          <w:rFonts w:hint="eastAsia" w:ascii="Times New Roman" w:hAnsi="Times New Roman" w:eastAsia="宋体"/>
          <w:color w:val="auto"/>
          <w:sz w:val="28"/>
          <w:szCs w:val="28"/>
          <w:lang w:eastAsia="zh-CN"/>
        </w:rPr>
        <w:t>对本项目</w:t>
      </w:r>
      <w:r>
        <w:rPr>
          <w:rFonts w:hint="eastAsia" w:ascii="Times New Roman" w:hAnsi="Times New Roman" w:eastAsia="宋体"/>
          <w:color w:val="auto"/>
          <w:sz w:val="28"/>
          <w:szCs w:val="28"/>
        </w:rPr>
        <w:t>的影响分析</w:t>
      </w:r>
      <w:bookmarkEnd w:id="254"/>
    </w:p>
    <w:p>
      <w:pPr>
        <w:spacing w:line="360" w:lineRule="auto"/>
        <w:ind w:firstLine="48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项目所在地为农村地区，未受工业企业“三废”污染，区域环境质量较好，外环境对本工程的影响主要为乡村公路上车辆噪声，本工程选址远离交通主干道，场地周围没有大型噪声源。总体而言外环境对养殖场内生猪的生活基本没有影响。</w:t>
      </w:r>
    </w:p>
    <w:p>
      <w:pPr>
        <w:pStyle w:val="5"/>
        <w:adjustRightInd w:val="0"/>
        <w:snapToGrid w:val="0"/>
        <w:spacing w:before="0" w:after="0" w:line="360" w:lineRule="auto"/>
        <w:rPr>
          <w:rFonts w:ascii="Times New Roman" w:hAnsi="Times New Roman" w:eastAsia="宋体"/>
          <w:color w:val="auto"/>
          <w:sz w:val="28"/>
          <w:szCs w:val="28"/>
        </w:rPr>
      </w:pPr>
      <w:bookmarkStart w:id="255" w:name="_Toc29793"/>
      <w:r>
        <w:rPr>
          <w:rFonts w:hint="eastAsia" w:ascii="Times New Roman" w:hAnsi="Times New Roman" w:eastAsia="宋体"/>
          <w:color w:val="auto"/>
          <w:sz w:val="28"/>
          <w:szCs w:val="28"/>
        </w:rPr>
        <w:t>5.</w:t>
      </w:r>
      <w:r>
        <w:rPr>
          <w:rFonts w:hint="eastAsia" w:ascii="Times New Roman" w:hAnsi="Times New Roman" w:eastAsia="宋体"/>
          <w:color w:val="auto"/>
          <w:sz w:val="28"/>
          <w:szCs w:val="28"/>
          <w:lang w:val="en-US" w:eastAsia="zh-CN"/>
        </w:rPr>
        <w:t>8</w:t>
      </w:r>
      <w:r>
        <w:rPr>
          <w:rFonts w:hint="eastAsia" w:ascii="Times New Roman" w:hAnsi="Times New Roman" w:eastAsia="宋体"/>
          <w:color w:val="auto"/>
          <w:sz w:val="28"/>
          <w:szCs w:val="28"/>
        </w:rPr>
        <w:t>本项目对周边环境的影响分析</w:t>
      </w:r>
      <w:bookmarkEnd w:id="255"/>
    </w:p>
    <w:p>
      <w:pPr>
        <w:numPr>
          <w:ilvl w:val="0"/>
          <w:numId w:val="33"/>
        </w:numPr>
        <w:spacing w:line="360" w:lineRule="auto"/>
        <w:ind w:firstLine="48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项目废水对周边环境的影响分析</w:t>
      </w:r>
    </w:p>
    <w:p>
      <w:pPr>
        <w:spacing w:line="360" w:lineRule="auto"/>
        <w:ind w:firstLine="48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本项目生活污水先经化粪池处理、食堂废水先经隔油池处理，猪粪经过干湿分离，干粪暂存于堆粪间，好氧堆肥还田利用，湿粪与生活废水一同经过污水处理区处理后用于周边消纳地灌溉，无废水外排。</w:t>
      </w:r>
    </w:p>
    <w:p>
      <w:pPr>
        <w:numPr>
          <w:ilvl w:val="0"/>
          <w:numId w:val="33"/>
        </w:numPr>
        <w:spacing w:line="360" w:lineRule="auto"/>
        <w:ind w:left="0" w:leftChars="0" w:firstLine="480" w:firstLineChars="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项目废气对周边环境的影响分析</w:t>
      </w:r>
    </w:p>
    <w:p>
      <w:pPr>
        <w:spacing w:line="360" w:lineRule="auto"/>
        <w:ind w:firstLine="48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根据 5.2.1.5 项目废气 NH</w:t>
      </w:r>
      <w:r>
        <w:rPr>
          <w:rFonts w:hint="eastAsia" w:ascii="Times New Roman" w:hAnsi="Times New Roman" w:eastAsia="宋体" w:cs="Times New Roman"/>
          <w:color w:val="auto"/>
          <w:sz w:val="24"/>
          <w:szCs w:val="24"/>
          <w:vertAlign w:val="subscript"/>
          <w:lang w:val="en-US" w:eastAsia="zh-CN"/>
        </w:rPr>
        <w:t>3</w:t>
      </w:r>
      <w:r>
        <w:rPr>
          <w:rFonts w:hint="eastAsia" w:ascii="Times New Roman" w:hAnsi="Times New Roman" w:eastAsia="宋体" w:cs="Times New Roman"/>
          <w:color w:val="auto"/>
          <w:sz w:val="24"/>
          <w:szCs w:val="24"/>
          <w:lang w:val="en-US" w:eastAsia="zh-CN"/>
        </w:rPr>
        <w:t>和 H</w:t>
      </w:r>
      <w:r>
        <w:rPr>
          <w:rFonts w:hint="eastAsia" w:ascii="Times New Roman" w:hAnsi="Times New Roman" w:eastAsia="宋体" w:cs="Times New Roman"/>
          <w:color w:val="auto"/>
          <w:sz w:val="24"/>
          <w:szCs w:val="24"/>
          <w:vertAlign w:val="subscript"/>
          <w:lang w:val="en-US" w:eastAsia="zh-CN"/>
        </w:rPr>
        <w:t>2</w:t>
      </w:r>
      <w:r>
        <w:rPr>
          <w:rFonts w:hint="eastAsia" w:ascii="Times New Roman" w:hAnsi="Times New Roman" w:eastAsia="宋体" w:cs="Times New Roman"/>
          <w:color w:val="auto"/>
          <w:sz w:val="24"/>
          <w:szCs w:val="24"/>
          <w:lang w:val="en-US" w:eastAsia="zh-CN"/>
        </w:rPr>
        <w:t>S 的污染情况的预测，预测结果可知项目下风向居民点能够满足《环境影响评价技术导则--大气环境》（HJ2.2-2018）附录 D 其他污染物空气质量浓度参考限值。本项目</w:t>
      </w:r>
      <w:r>
        <w:rPr>
          <w:rFonts w:hint="eastAsia" w:ascii="Times New Roman" w:hAnsi="Times New Roman" w:eastAsia="宋体" w:cs="Times New Roman"/>
          <w:b w:val="0"/>
          <w:bCs/>
          <w:color w:val="auto"/>
          <w:sz w:val="24"/>
          <w:szCs w:val="24"/>
          <w:highlight w:val="none"/>
        </w:rPr>
        <w:t>以猪舍、</w:t>
      </w:r>
      <w:r>
        <w:rPr>
          <w:rFonts w:hint="eastAsia" w:ascii="Times New Roman" w:hAnsi="Times New Roman" w:eastAsia="宋体" w:cs="Times New Roman"/>
          <w:b w:val="0"/>
          <w:bCs/>
          <w:color w:val="auto"/>
          <w:sz w:val="24"/>
          <w:szCs w:val="24"/>
          <w:highlight w:val="none"/>
          <w:lang w:eastAsia="zh-CN"/>
        </w:rPr>
        <w:t>污水处理区、堆粪间</w:t>
      </w:r>
      <w:r>
        <w:rPr>
          <w:rFonts w:hint="eastAsia" w:ascii="Times New Roman" w:hAnsi="Times New Roman" w:eastAsia="宋体" w:cs="Times New Roman"/>
          <w:b w:val="0"/>
          <w:bCs/>
          <w:color w:val="auto"/>
          <w:sz w:val="24"/>
          <w:szCs w:val="24"/>
          <w:highlight w:val="none"/>
        </w:rPr>
        <w:t>为中心设置200m</w:t>
      </w:r>
      <w:r>
        <w:rPr>
          <w:rFonts w:hint="eastAsia" w:ascii="Times New Roman" w:hAnsi="Times New Roman" w:eastAsia="宋体" w:cs="Times New Roman"/>
          <w:b w:val="0"/>
          <w:bCs/>
          <w:color w:val="auto"/>
          <w:sz w:val="24"/>
          <w:szCs w:val="24"/>
          <w:highlight w:val="none"/>
          <w:lang w:val="en-US" w:eastAsia="zh-CN"/>
        </w:rPr>
        <w:t>卫生防护距离</w:t>
      </w:r>
      <w:r>
        <w:rPr>
          <w:rFonts w:hint="eastAsia"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lang w:val="en-US" w:eastAsia="zh-CN"/>
        </w:rPr>
        <w:t>卫生防护距离范围内不存在集中居民区、医疗卫生、行政办公等敏感保护目标，项目无组织排放源边界外200m 区域的卫生防护距离内有1户居民，现已签订租赁协议。本项目周围均为茂密的果园，可有效阻挡、稀释净化恶臭污染源，减小对周围大气环境的影响，在采取以上措施后对外界影响较小。</w:t>
      </w:r>
    </w:p>
    <w:p>
      <w:pPr>
        <w:numPr>
          <w:ilvl w:val="0"/>
          <w:numId w:val="33"/>
        </w:numPr>
        <w:spacing w:line="360" w:lineRule="auto"/>
        <w:ind w:left="0" w:leftChars="0" w:firstLine="480" w:firstLineChars="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项目噪声对周边环境的影响分析</w:t>
      </w:r>
    </w:p>
    <w:p>
      <w:pPr>
        <w:spacing w:line="360" w:lineRule="auto"/>
        <w:ind w:firstLine="48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评价范围内无居民。本项目运营期各声源厂界预测值满足《声环境质量标准》（GB3096-2008）的 2 类标准限值。本项目运营期生产噪声对周围环境的声环境影响较小。</w:t>
      </w:r>
    </w:p>
    <w:p>
      <w:pPr>
        <w:spacing w:line="360" w:lineRule="auto"/>
        <w:ind w:firstLine="48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综上所述，本项目在采取相应的防治措施后，对周围环境影响较小。</w:t>
      </w:r>
    </w:p>
    <w:p>
      <w:pPr>
        <w:spacing w:line="360" w:lineRule="auto"/>
        <w:ind w:firstLine="480" w:firstLineChars="200"/>
        <w:rPr>
          <w:rFonts w:hint="eastAsia" w:ascii="Times New Roman" w:hAnsi="Times New Roman" w:eastAsia="宋体" w:cs="Times New Roman"/>
          <w:color w:val="auto"/>
          <w:sz w:val="24"/>
          <w:szCs w:val="24"/>
          <w:lang w:val="en-US" w:eastAsia="zh-CN"/>
        </w:rPr>
      </w:pPr>
    </w:p>
    <w:p>
      <w:pPr>
        <w:pStyle w:val="33"/>
        <w:rPr>
          <w:rFonts w:hint="eastAsia" w:ascii="Times New Roman" w:hAnsi="Times New Roman" w:eastAsia="宋体" w:cs="Times New Roman"/>
          <w:color w:val="auto"/>
          <w:sz w:val="32"/>
          <w:szCs w:val="32"/>
          <w:lang w:val="en-US" w:eastAsia="zh-CN"/>
        </w:rPr>
        <w:sectPr>
          <w:pgSz w:w="11906" w:h="16838"/>
          <w:pgMar w:top="1440" w:right="1451" w:bottom="1440" w:left="1451" w:header="851" w:footer="992" w:gutter="0"/>
          <w:pgBorders>
            <w:top w:val="none" w:sz="0" w:space="0"/>
            <w:left w:val="none" w:sz="0" w:space="0"/>
            <w:bottom w:val="none" w:sz="0" w:space="0"/>
            <w:right w:val="none" w:sz="0" w:space="0"/>
          </w:pgBorders>
          <w:pgNumType w:fmt="decimal"/>
          <w:cols w:space="0" w:num="1"/>
          <w:rtlGutter w:val="0"/>
          <w:docGrid w:type="lines" w:linePitch="321" w:charSpace="0"/>
        </w:sectPr>
      </w:pPr>
    </w:p>
    <w:p>
      <w:pPr>
        <w:pStyle w:val="4"/>
        <w:adjustRightInd w:val="0"/>
        <w:snapToGrid w:val="0"/>
        <w:spacing w:line="360" w:lineRule="auto"/>
        <w:jc w:val="center"/>
        <w:rPr>
          <w:rFonts w:hint="eastAsia" w:ascii="Times New Roman" w:hAnsi="Times New Roman" w:eastAsia="宋体" w:cs="Times New Roman"/>
          <w:color w:val="auto"/>
          <w:sz w:val="32"/>
          <w:szCs w:val="32"/>
          <w:lang w:val="en-US" w:eastAsia="zh-CN"/>
        </w:rPr>
      </w:pPr>
      <w:bookmarkStart w:id="256" w:name="_Toc30033"/>
      <w:r>
        <w:rPr>
          <w:rFonts w:hint="eastAsia" w:ascii="Times New Roman" w:hAnsi="Times New Roman" w:eastAsia="宋体" w:cs="Times New Roman"/>
          <w:color w:val="auto"/>
          <w:sz w:val="32"/>
          <w:szCs w:val="32"/>
          <w:lang w:val="en-US" w:eastAsia="zh-CN"/>
        </w:rPr>
        <w:t>6</w:t>
      </w:r>
      <w:bookmarkEnd w:id="249"/>
      <w:bookmarkEnd w:id="250"/>
      <w:bookmarkStart w:id="257" w:name="_Toc265365759"/>
      <w:bookmarkStart w:id="258" w:name="_Toc266215717"/>
      <w:bookmarkStart w:id="259" w:name="_Toc285628800"/>
      <w:bookmarkStart w:id="260" w:name="_Toc5479"/>
      <w:bookmarkStart w:id="261" w:name="_Toc187996849"/>
      <w:bookmarkStart w:id="262" w:name="_Toc505029051"/>
      <w:bookmarkStart w:id="263" w:name="_Toc152756361"/>
      <w:bookmarkStart w:id="264" w:name="_Toc319041396"/>
      <w:r>
        <w:rPr>
          <w:rFonts w:hint="eastAsia" w:ascii="Times New Roman" w:hAnsi="Times New Roman" w:eastAsia="宋体" w:cs="Times New Roman"/>
          <w:color w:val="auto"/>
          <w:sz w:val="32"/>
          <w:szCs w:val="32"/>
          <w:lang w:val="en-US" w:eastAsia="zh-CN"/>
        </w:rPr>
        <w:t>环境保护措施及其技术、经济论证</w:t>
      </w:r>
      <w:bookmarkEnd w:id="251"/>
      <w:bookmarkEnd w:id="256"/>
    </w:p>
    <w:p>
      <w:pPr>
        <w:spacing w:line="360" w:lineRule="auto"/>
        <w:ind w:firstLine="480"/>
        <w:rPr>
          <w:rFonts w:hint="eastAsia" w:ascii="Times New Roman" w:hAnsi="Times New Roman" w:eastAsia="宋体" w:cs="Times New Roman"/>
          <w:color w:val="auto"/>
          <w:sz w:val="24"/>
          <w:szCs w:val="24"/>
          <w:lang w:eastAsia="zh-CN"/>
        </w:rPr>
      </w:pPr>
      <w:bookmarkStart w:id="265" w:name="_Toc8817"/>
      <w:r>
        <w:rPr>
          <w:rFonts w:hint="eastAsia" w:ascii="Times New Roman" w:hAnsi="Times New Roman" w:eastAsia="宋体" w:cs="Times New Roman"/>
          <w:color w:val="auto"/>
          <w:sz w:val="24"/>
          <w:szCs w:val="24"/>
          <w:lang w:eastAsia="zh-CN"/>
        </w:rPr>
        <w:t>防止项目开发建设及运营过程中产生的污染物对水环境、大气环境、声环境及生态环境带来明显影响，建设单位对外排污染物采取了一系列的污染防治措施，现就建设单位对水、气、声、固废等方面拟采取的防治措施进行论证分析。</w:t>
      </w:r>
    </w:p>
    <w:p>
      <w:pPr>
        <w:pStyle w:val="86"/>
        <w:adjustRightInd w:val="0"/>
        <w:snapToGrid w:val="0"/>
        <w:spacing w:beforeLines="0" w:afterLines="0"/>
        <w:rPr>
          <w:rFonts w:ascii="Times New Roman" w:hAnsi="Times New Roman" w:eastAsia="宋体"/>
          <w:color w:val="auto"/>
        </w:rPr>
      </w:pPr>
      <w:bookmarkStart w:id="266" w:name="_Toc28699"/>
      <w:r>
        <w:rPr>
          <w:rFonts w:hint="eastAsia" w:ascii="Times New Roman" w:hAnsi="Times New Roman" w:eastAsia="宋体"/>
          <w:color w:val="auto"/>
        </w:rPr>
        <w:t>6</w:t>
      </w:r>
      <w:r>
        <w:rPr>
          <w:rFonts w:ascii="Times New Roman" w:hAnsi="Times New Roman" w:eastAsia="宋体"/>
          <w:color w:val="auto"/>
        </w:rPr>
        <w:t>.1施工期环保措施论证</w:t>
      </w:r>
      <w:bookmarkEnd w:id="257"/>
      <w:bookmarkEnd w:id="258"/>
      <w:bookmarkEnd w:id="259"/>
      <w:bookmarkEnd w:id="260"/>
      <w:bookmarkEnd w:id="261"/>
      <w:bookmarkEnd w:id="262"/>
      <w:bookmarkEnd w:id="263"/>
      <w:bookmarkEnd w:id="265"/>
      <w:bookmarkEnd w:id="266"/>
    </w:p>
    <w:p>
      <w:pPr>
        <w:spacing w:line="360" w:lineRule="auto"/>
        <w:ind w:firstLine="480"/>
        <w:rPr>
          <w:rFonts w:hint="eastAsia" w:ascii="Times New Roman" w:hAnsi="Times New Roman" w:eastAsia="宋体" w:cs="Times New Roman"/>
          <w:color w:val="auto"/>
          <w:sz w:val="24"/>
          <w:szCs w:val="24"/>
          <w:lang w:eastAsia="zh-CN"/>
        </w:rPr>
      </w:pPr>
      <w:bookmarkStart w:id="267" w:name="_Toc25812"/>
      <w:bookmarkStart w:id="268" w:name="_Toc266215719"/>
      <w:r>
        <w:rPr>
          <w:rFonts w:hint="eastAsia" w:ascii="Times New Roman" w:hAnsi="Times New Roman" w:eastAsia="宋体" w:cs="Times New Roman"/>
          <w:color w:val="auto"/>
          <w:sz w:val="24"/>
          <w:szCs w:val="24"/>
          <w:lang w:eastAsia="zh-CN"/>
        </w:rPr>
        <w:t>本项目占地面积约</w:t>
      </w:r>
      <w:r>
        <w:rPr>
          <w:rFonts w:hint="eastAsia" w:ascii="Times New Roman" w:hAnsi="Times New Roman" w:eastAsia="宋体" w:cs="Times New Roman"/>
          <w:color w:val="auto"/>
          <w:sz w:val="24"/>
          <w:szCs w:val="24"/>
          <w:lang w:val="en-US" w:eastAsia="zh-CN"/>
        </w:rPr>
        <w:t>90亩</w:t>
      </w:r>
      <w:r>
        <w:rPr>
          <w:rFonts w:hint="eastAsia" w:ascii="Times New Roman" w:hAnsi="Times New Roman" w:eastAsia="宋体" w:cs="Times New Roman"/>
          <w:color w:val="auto"/>
          <w:sz w:val="24"/>
          <w:szCs w:val="24"/>
          <w:lang w:eastAsia="zh-CN"/>
        </w:rPr>
        <w:t>，施工内容主要包括场地平整，土建、附属设施的新建、设备安装等。施工期间对环境的影响主要是扬尘、废水、施工噪声、建筑垃圾及生态影响等。评价针对其影响提出相应的污染防治措施。</w:t>
      </w:r>
    </w:p>
    <w:p>
      <w:pPr>
        <w:pStyle w:val="87"/>
        <w:adjustRightInd w:val="0"/>
        <w:snapToGrid w:val="0"/>
        <w:spacing w:beforeLines="0" w:afterLines="0"/>
        <w:rPr>
          <w:rFonts w:ascii="Times New Roman" w:hAnsi="Times New Roman" w:eastAsia="宋体"/>
          <w:b/>
          <w:color w:val="auto"/>
          <w:kern w:val="0"/>
        </w:rPr>
      </w:pPr>
      <w:r>
        <w:rPr>
          <w:rFonts w:hint="eastAsia" w:ascii="Times New Roman" w:hAnsi="Times New Roman" w:eastAsia="宋体"/>
          <w:b/>
          <w:color w:val="auto"/>
          <w:kern w:val="0"/>
        </w:rPr>
        <w:t>6</w:t>
      </w:r>
      <w:r>
        <w:rPr>
          <w:rFonts w:ascii="Times New Roman" w:hAnsi="Times New Roman" w:eastAsia="宋体"/>
          <w:b/>
          <w:color w:val="auto"/>
          <w:kern w:val="0"/>
        </w:rPr>
        <w:t>.1.1施工期大气</w:t>
      </w:r>
      <w:bookmarkEnd w:id="267"/>
      <w:r>
        <w:rPr>
          <w:rFonts w:hint="eastAsia" w:ascii="Times New Roman" w:hAnsi="Times New Roman" w:eastAsia="宋体"/>
          <w:b/>
          <w:color w:val="auto"/>
          <w:kern w:val="0"/>
        </w:rPr>
        <w:t>环境保护措施</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auto"/>
          <w:kern w:val="2"/>
          <w:sz w:val="24"/>
          <w:lang w:val="en-US" w:eastAsia="zh-CN"/>
        </w:rPr>
      </w:pPr>
      <w:bookmarkStart w:id="269" w:name="_Toc1930"/>
      <w:r>
        <w:rPr>
          <w:rFonts w:hint="eastAsia" w:ascii="Times New Roman" w:hAnsi="Times New Roman" w:cs="Times New Roman" w:eastAsiaTheme="minorEastAsia"/>
          <w:color w:val="auto"/>
          <w:kern w:val="2"/>
          <w:sz w:val="24"/>
          <w:lang w:val="en-US" w:eastAsia="zh-CN"/>
        </w:rPr>
        <w:t>施工期大气环境污染主要为：施工扬尘、施工车辆汽车尾气。场内扬尘量的大小与天气干燥程度、风速大小等诸因素有关；场外扬尘量与道路路况、车辆行驶速度等诸因素有关。评价提出相应的防治措施如下：</w:t>
      </w:r>
    </w:p>
    <w:p>
      <w:pPr>
        <w:keepNext w:val="0"/>
        <w:keepLines w:val="0"/>
        <w:numPr>
          <w:ilvl w:val="0"/>
          <w:numId w:val="34"/>
        </w:numPr>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auto"/>
          <w:kern w:val="2"/>
          <w:sz w:val="24"/>
          <w:lang w:val="en-US" w:eastAsia="zh-CN"/>
        </w:rPr>
      </w:pPr>
      <w:r>
        <w:rPr>
          <w:rFonts w:hint="eastAsia" w:ascii="Times New Roman" w:hAnsi="Times New Roman" w:cs="Times New Roman" w:eastAsiaTheme="minorEastAsia"/>
          <w:color w:val="auto"/>
          <w:kern w:val="2"/>
          <w:sz w:val="24"/>
          <w:lang w:val="en-US" w:eastAsia="zh-CN"/>
        </w:rPr>
        <w:t>施工过程遇到连续晴好干燥天气时，对堆土表面洒水，防止起尘；</w:t>
      </w:r>
    </w:p>
    <w:p>
      <w:pPr>
        <w:keepNext w:val="0"/>
        <w:keepLines w:val="0"/>
        <w:numPr>
          <w:ilvl w:val="0"/>
          <w:numId w:val="34"/>
        </w:numPr>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auto"/>
          <w:kern w:val="2"/>
          <w:sz w:val="24"/>
          <w:lang w:val="en-US" w:eastAsia="zh-CN"/>
        </w:rPr>
      </w:pPr>
      <w:r>
        <w:rPr>
          <w:rFonts w:hint="eastAsia" w:ascii="Times New Roman" w:hAnsi="Times New Roman" w:cs="Times New Roman" w:eastAsiaTheme="minorEastAsia"/>
          <w:color w:val="auto"/>
          <w:kern w:val="2"/>
          <w:sz w:val="24"/>
          <w:lang w:val="en-US" w:eastAsia="zh-CN"/>
        </w:rPr>
        <w:t>水泥、砂土堆放时遮盖、密闭；</w:t>
      </w:r>
    </w:p>
    <w:p>
      <w:pPr>
        <w:keepNext w:val="0"/>
        <w:keepLines w:val="0"/>
        <w:numPr>
          <w:ilvl w:val="0"/>
          <w:numId w:val="34"/>
        </w:numPr>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auto"/>
          <w:kern w:val="2"/>
          <w:sz w:val="24"/>
          <w:lang w:val="en-US" w:eastAsia="zh-CN"/>
        </w:rPr>
      </w:pPr>
      <w:r>
        <w:rPr>
          <w:rFonts w:hint="eastAsia" w:ascii="Times New Roman" w:hAnsi="Times New Roman" w:cs="Times New Roman" w:eastAsiaTheme="minorEastAsia"/>
          <w:color w:val="auto"/>
          <w:kern w:val="2"/>
          <w:sz w:val="24"/>
          <w:lang w:val="en-US" w:eastAsia="zh-CN"/>
        </w:rPr>
        <w:t>对于运输水泥、砂石的车辆，应谨防运输车辆装载过满，并采取遮盖、密闭措施，减少其沿途抛洒，并及时清扫散落在路面的泥土和灰尘，冲洗轮胎，定时洒水压尘，减少运输过程中的扬尘；</w:t>
      </w:r>
    </w:p>
    <w:p>
      <w:pPr>
        <w:keepNext w:val="0"/>
        <w:keepLines w:val="0"/>
        <w:numPr>
          <w:ilvl w:val="0"/>
          <w:numId w:val="34"/>
        </w:numPr>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auto"/>
          <w:kern w:val="2"/>
          <w:sz w:val="24"/>
          <w:lang w:val="en-US" w:eastAsia="zh-CN"/>
        </w:rPr>
      </w:pPr>
      <w:r>
        <w:rPr>
          <w:rFonts w:hint="eastAsia" w:ascii="Times New Roman" w:hAnsi="Times New Roman" w:cs="Times New Roman" w:eastAsiaTheme="minorEastAsia"/>
          <w:color w:val="auto"/>
          <w:kern w:val="2"/>
          <w:sz w:val="24"/>
          <w:lang w:val="en-US" w:eastAsia="zh-CN"/>
        </w:rPr>
        <w:t>开挖时，对作业面适当喷水，使其保持一定的湿度，以减少扬尘量；</w:t>
      </w:r>
    </w:p>
    <w:p>
      <w:pPr>
        <w:keepNext w:val="0"/>
        <w:keepLines w:val="0"/>
        <w:numPr>
          <w:ilvl w:val="0"/>
          <w:numId w:val="34"/>
        </w:numPr>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auto"/>
          <w:kern w:val="2"/>
          <w:sz w:val="24"/>
          <w:lang w:val="en-US" w:eastAsia="zh-CN"/>
        </w:rPr>
      </w:pPr>
      <w:r>
        <w:rPr>
          <w:rFonts w:hint="eastAsia" w:ascii="Times New Roman" w:hAnsi="Times New Roman" w:cs="Times New Roman" w:eastAsiaTheme="minorEastAsia"/>
          <w:color w:val="auto"/>
          <w:kern w:val="2"/>
          <w:sz w:val="24"/>
          <w:lang w:val="en-US" w:eastAsia="zh-CN"/>
        </w:rPr>
        <w:t>施工现场要围栏或部分围栏，减少施工扬尘扩散范围；</w:t>
      </w:r>
    </w:p>
    <w:p>
      <w:pPr>
        <w:keepNext w:val="0"/>
        <w:keepLines w:val="0"/>
        <w:numPr>
          <w:ilvl w:val="0"/>
          <w:numId w:val="34"/>
        </w:numPr>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auto"/>
          <w:kern w:val="2"/>
          <w:sz w:val="24"/>
          <w:lang w:val="en-US" w:eastAsia="zh-CN"/>
        </w:rPr>
      </w:pPr>
      <w:r>
        <w:rPr>
          <w:rFonts w:hint="eastAsia" w:ascii="Times New Roman" w:hAnsi="Times New Roman" w:cs="Times New Roman" w:eastAsiaTheme="minorEastAsia"/>
          <w:color w:val="auto"/>
          <w:kern w:val="2"/>
          <w:sz w:val="24"/>
          <w:lang w:val="en-US" w:eastAsia="zh-CN"/>
        </w:rPr>
        <w:t>风速过大时应停止施工作业，并对堆放的砂石等建筑材料进行遮盖处理；</w:t>
      </w:r>
    </w:p>
    <w:p>
      <w:pPr>
        <w:keepNext w:val="0"/>
        <w:keepLines w:val="0"/>
        <w:numPr>
          <w:ilvl w:val="0"/>
          <w:numId w:val="34"/>
        </w:numPr>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auto"/>
          <w:kern w:val="2"/>
          <w:sz w:val="24"/>
          <w:lang w:val="en-US" w:eastAsia="zh-CN"/>
        </w:rPr>
      </w:pPr>
      <w:r>
        <w:rPr>
          <w:rFonts w:hint="eastAsia" w:ascii="Times New Roman" w:hAnsi="Times New Roman" w:cs="Times New Roman" w:eastAsiaTheme="minorEastAsia"/>
          <w:color w:val="auto"/>
          <w:kern w:val="2"/>
          <w:sz w:val="24"/>
          <w:lang w:val="en-US" w:eastAsia="zh-CN"/>
        </w:rPr>
        <w:t>对于运输车辆尾气，通过加强对施工机械的维护和保养，加强对施工机械施工进程的管理，提高使用效率，使用清洁能源等措施。</w:t>
      </w:r>
    </w:p>
    <w:p>
      <w:pPr>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评价认为，上述大气污染防治措施有效可行，采取上述防治措施后，可以有 效地减小施工期废气的污染影响。</w:t>
      </w:r>
    </w:p>
    <w:p>
      <w:pPr>
        <w:pStyle w:val="87"/>
        <w:adjustRightInd w:val="0"/>
        <w:snapToGrid w:val="0"/>
        <w:spacing w:beforeLines="0" w:afterLines="0"/>
        <w:rPr>
          <w:rFonts w:ascii="Times New Roman" w:hAnsi="Times New Roman" w:eastAsia="宋体"/>
          <w:b/>
          <w:color w:val="auto"/>
          <w:kern w:val="0"/>
        </w:rPr>
      </w:pPr>
      <w:r>
        <w:rPr>
          <w:rFonts w:hint="eastAsia" w:ascii="Times New Roman" w:hAnsi="Times New Roman" w:eastAsia="宋体"/>
          <w:b/>
          <w:color w:val="auto"/>
          <w:kern w:val="0"/>
        </w:rPr>
        <w:t>6.1.</w:t>
      </w:r>
      <w:r>
        <w:rPr>
          <w:rFonts w:hint="eastAsia" w:ascii="Times New Roman" w:hAnsi="Times New Roman" w:eastAsia="宋体"/>
          <w:b/>
          <w:color w:val="auto"/>
          <w:kern w:val="0"/>
          <w:lang w:val="en-US" w:eastAsia="zh-CN"/>
        </w:rPr>
        <w:t>2</w:t>
      </w:r>
      <w:r>
        <w:rPr>
          <w:rFonts w:ascii="Times New Roman" w:hAnsi="Times New Roman" w:eastAsia="宋体"/>
          <w:b/>
          <w:color w:val="auto"/>
          <w:kern w:val="0"/>
        </w:rPr>
        <w:t>施工期</w:t>
      </w:r>
      <w:r>
        <w:rPr>
          <w:rFonts w:hint="eastAsia" w:ascii="Times New Roman" w:hAnsi="Times New Roman" w:eastAsia="宋体"/>
          <w:b/>
          <w:color w:val="auto"/>
          <w:kern w:val="0"/>
          <w:lang w:eastAsia="zh-CN"/>
        </w:rPr>
        <w:t>废水</w:t>
      </w:r>
      <w:r>
        <w:rPr>
          <w:rFonts w:hint="eastAsia" w:ascii="Times New Roman" w:hAnsi="Times New Roman" w:eastAsia="宋体"/>
          <w:b/>
          <w:color w:val="auto"/>
          <w:kern w:val="0"/>
        </w:rPr>
        <w:t>保护措施</w:t>
      </w:r>
    </w:p>
    <w:p>
      <w:pPr>
        <w:spacing w:line="360" w:lineRule="auto"/>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根据废水的不同性质，进行分类收集处理。施工过程中排放的各类作业废水如搅拌机清洗水、洗石冲灰废水以及车辆的冲洗水等。日产生量较小，主要污染成分为</w:t>
      </w:r>
      <w:r>
        <w:rPr>
          <w:rFonts w:hint="eastAsia" w:ascii="Times New Roman" w:hAnsi="Times New Roman" w:cs="Times New Roman" w:eastAsiaTheme="minorEastAsia"/>
          <w:color w:val="auto"/>
          <w:kern w:val="2"/>
          <w:sz w:val="24"/>
          <w:lang w:eastAsia="zh-CN"/>
        </w:rPr>
        <w:t>悬浮物</w:t>
      </w:r>
      <w:r>
        <w:rPr>
          <w:rFonts w:hint="eastAsia" w:ascii="Times New Roman" w:hAnsi="Times New Roman" w:eastAsia="宋体" w:cs="Times New Roman"/>
          <w:color w:val="auto"/>
          <w:sz w:val="24"/>
          <w:szCs w:val="24"/>
          <w:lang w:eastAsia="zh-CN"/>
        </w:rPr>
        <w:t>，</w:t>
      </w:r>
      <w:r>
        <w:rPr>
          <w:rFonts w:hint="eastAsia" w:ascii="Times New Roman" w:hAnsi="Times New Roman" w:cs="Times New Roman" w:eastAsiaTheme="minorEastAsia"/>
          <w:color w:val="auto"/>
          <w:kern w:val="2"/>
          <w:sz w:val="24"/>
          <w:lang w:eastAsia="zh-CN"/>
        </w:rPr>
        <w:t>施工场地修建临时沉淀池，含 SS 生产废水排入沉淀池进行处理后用于场内降尘用水</w:t>
      </w:r>
      <w:r>
        <w:rPr>
          <w:rFonts w:hint="eastAsia" w:ascii="Times New Roman" w:hAnsi="Times New Roman" w:eastAsia="宋体" w:cs="Times New Roman"/>
          <w:color w:val="auto"/>
          <w:sz w:val="24"/>
          <w:szCs w:val="24"/>
          <w:lang w:eastAsia="zh-CN"/>
        </w:rPr>
        <w:t>。</w:t>
      </w:r>
    </w:p>
    <w:p>
      <w:pPr>
        <w:spacing w:line="360" w:lineRule="auto"/>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施工期生活污水产生量为</w:t>
      </w:r>
      <w:r>
        <w:rPr>
          <w:rFonts w:hint="eastAsia" w:ascii="Times New Roman" w:hAnsi="Times New Roman" w:eastAsia="宋体" w:cs="Times New Roman"/>
          <w:color w:val="auto"/>
          <w:sz w:val="24"/>
          <w:szCs w:val="24"/>
          <w:lang w:val="en-US" w:eastAsia="zh-CN"/>
        </w:rPr>
        <w:t>0.64</w:t>
      </w:r>
      <w:r>
        <w:rPr>
          <w:rFonts w:hint="eastAsia" w:ascii="Times New Roman" w:hAnsi="Times New Roman" w:eastAsia="宋体" w:cs="Times New Roman"/>
          <w:color w:val="auto"/>
          <w:sz w:val="24"/>
          <w:szCs w:val="24"/>
          <w:lang w:eastAsia="zh-CN"/>
        </w:rPr>
        <w:t>m</w:t>
      </w:r>
      <w:r>
        <w:rPr>
          <w:rFonts w:hint="eastAsia" w:ascii="Times New Roman" w:hAnsi="Times New Roman" w:eastAsia="宋体" w:cs="Times New Roman"/>
          <w:color w:val="auto"/>
          <w:sz w:val="24"/>
          <w:szCs w:val="24"/>
          <w:vertAlign w:val="superscript"/>
          <w:lang w:eastAsia="zh-CN"/>
        </w:rPr>
        <w:t>3</w:t>
      </w:r>
      <w:r>
        <w:rPr>
          <w:rFonts w:hint="eastAsia" w:ascii="Times New Roman" w:hAnsi="Times New Roman" w:eastAsia="宋体" w:cs="Times New Roman"/>
          <w:color w:val="auto"/>
          <w:sz w:val="24"/>
          <w:szCs w:val="24"/>
          <w:lang w:eastAsia="zh-CN"/>
        </w:rPr>
        <w:t>/d。施工营地内设置临时化粪池，经收集处理后用作周边农田施肥。</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评价认为施工期废水污染防治措施简单实用，技术经济可行。</w:t>
      </w:r>
    </w:p>
    <w:p>
      <w:pPr>
        <w:pStyle w:val="87"/>
        <w:adjustRightInd w:val="0"/>
        <w:snapToGrid w:val="0"/>
        <w:spacing w:beforeLines="0" w:afterLines="0"/>
        <w:rPr>
          <w:rFonts w:ascii="Times New Roman" w:hAnsi="Times New Roman" w:eastAsia="宋体"/>
          <w:b/>
          <w:color w:val="auto"/>
          <w:kern w:val="0"/>
        </w:rPr>
      </w:pPr>
      <w:r>
        <w:rPr>
          <w:rFonts w:hint="eastAsia" w:ascii="Times New Roman" w:hAnsi="Times New Roman" w:eastAsia="宋体"/>
          <w:b/>
          <w:color w:val="auto"/>
          <w:kern w:val="0"/>
        </w:rPr>
        <w:t>6.1.</w:t>
      </w:r>
      <w:r>
        <w:rPr>
          <w:rFonts w:hint="eastAsia" w:ascii="Times New Roman" w:hAnsi="Times New Roman" w:eastAsia="宋体"/>
          <w:b/>
          <w:color w:val="auto"/>
          <w:kern w:val="0"/>
          <w:lang w:val="en-US" w:eastAsia="zh-CN"/>
        </w:rPr>
        <w:t>3</w:t>
      </w:r>
      <w:bookmarkEnd w:id="268"/>
      <w:bookmarkEnd w:id="269"/>
      <w:r>
        <w:rPr>
          <w:rFonts w:ascii="Times New Roman" w:hAnsi="Times New Roman" w:eastAsia="宋体"/>
          <w:b/>
          <w:color w:val="auto"/>
          <w:kern w:val="0"/>
        </w:rPr>
        <w:t>施工期</w:t>
      </w:r>
      <w:r>
        <w:rPr>
          <w:rFonts w:hint="eastAsia" w:ascii="Times New Roman" w:hAnsi="Times New Roman" w:eastAsia="宋体"/>
          <w:b/>
          <w:color w:val="auto"/>
          <w:kern w:val="0"/>
          <w:lang w:eastAsia="zh-CN"/>
        </w:rPr>
        <w:t>噪声</w:t>
      </w:r>
      <w:r>
        <w:rPr>
          <w:rFonts w:hint="eastAsia" w:ascii="Times New Roman" w:hAnsi="Times New Roman" w:eastAsia="宋体"/>
          <w:b/>
          <w:color w:val="auto"/>
          <w:kern w:val="0"/>
        </w:rPr>
        <w:t>保护措施</w:t>
      </w:r>
    </w:p>
    <w:p>
      <w:pPr>
        <w:adjustRightInd w:val="0"/>
        <w:snapToGrid w:val="0"/>
        <w:spacing w:line="360" w:lineRule="auto"/>
        <w:ind w:firstLine="480" w:firstLineChars="200"/>
        <w:rPr>
          <w:rFonts w:hint="eastAsia" w:ascii="Times New Roman" w:hAnsi="Times New Roman" w:eastAsia="宋体"/>
          <w:snapToGrid w:val="0"/>
          <w:color w:val="auto"/>
          <w:sz w:val="24"/>
        </w:rPr>
      </w:pPr>
      <w:r>
        <w:rPr>
          <w:rFonts w:hint="eastAsia" w:ascii="Times New Roman" w:hAnsi="Times New Roman" w:eastAsia="宋体"/>
          <w:snapToGrid w:val="0"/>
          <w:color w:val="auto"/>
          <w:sz w:val="24"/>
        </w:rPr>
        <w:t>根据目前的机械制造水平，施工噪声既不能避免，又不能从根本上采取措施予以消除，只能通过加强对施工设备的管理，合理组织施工、才能尽可能地减轻施工设备噪声对施工场地的周围环境的影响。为最大限度地降低施工噪声对区域的影响，施工方必须采取严格的措施：</w:t>
      </w:r>
    </w:p>
    <w:p>
      <w:pPr>
        <w:numPr>
          <w:ilvl w:val="0"/>
          <w:numId w:val="35"/>
        </w:numPr>
        <w:adjustRightInd w:val="0"/>
        <w:snapToGrid w:val="0"/>
        <w:spacing w:line="360" w:lineRule="auto"/>
        <w:ind w:firstLine="480" w:firstLineChars="200"/>
        <w:rPr>
          <w:rFonts w:hint="eastAsia" w:ascii="Times New Roman" w:hAnsi="Times New Roman" w:eastAsia="宋体"/>
          <w:snapToGrid w:val="0"/>
          <w:color w:val="auto"/>
          <w:sz w:val="24"/>
        </w:rPr>
      </w:pPr>
      <w:r>
        <w:rPr>
          <w:rFonts w:hint="eastAsia" w:ascii="Times New Roman" w:hAnsi="Times New Roman" w:eastAsia="宋体"/>
          <w:snapToGrid w:val="0"/>
          <w:color w:val="auto"/>
          <w:sz w:val="24"/>
        </w:rPr>
        <w:t>首先从噪声源强进行控制：建设单位在与施工单位签订合同时，应要求其使用的主要机械设备为低噪设备。尽量选低噪声液压施工机械替代气压机械；尽可能使用商品混凝土，不使用混凝土搅拌机。同时在施工过程中施工单位应设专人对设备进行定期保养和维护，并负责对现场工作人员进行培训，严格按操作规范使用各类机械。</w:t>
      </w:r>
    </w:p>
    <w:p>
      <w:pPr>
        <w:numPr>
          <w:ilvl w:val="0"/>
          <w:numId w:val="35"/>
        </w:numPr>
        <w:adjustRightInd w:val="0"/>
        <w:snapToGrid w:val="0"/>
        <w:spacing w:line="360" w:lineRule="auto"/>
        <w:ind w:firstLine="480" w:firstLineChars="200"/>
        <w:rPr>
          <w:rFonts w:ascii="Times New Roman" w:hAnsi="Times New Roman" w:eastAsia="宋体"/>
          <w:snapToGrid w:val="0"/>
          <w:color w:val="auto"/>
          <w:sz w:val="24"/>
        </w:rPr>
      </w:pPr>
      <w:r>
        <w:rPr>
          <w:rFonts w:hint="eastAsia" w:ascii="Times New Roman" w:hAnsi="Times New Roman" w:eastAsia="宋体"/>
          <w:snapToGrid w:val="0"/>
          <w:color w:val="auto"/>
          <w:sz w:val="24"/>
        </w:rPr>
        <w:t>作业时在高噪声设备周围设置屏蔽，不低于 1.8m。</w:t>
      </w:r>
    </w:p>
    <w:p>
      <w:pPr>
        <w:numPr>
          <w:ilvl w:val="0"/>
          <w:numId w:val="35"/>
        </w:numPr>
        <w:adjustRightInd w:val="0"/>
        <w:snapToGrid w:val="0"/>
        <w:spacing w:line="360" w:lineRule="auto"/>
        <w:ind w:firstLine="480" w:firstLineChars="200"/>
        <w:rPr>
          <w:rFonts w:ascii="Times New Roman" w:hAnsi="Times New Roman" w:eastAsia="宋体"/>
          <w:snapToGrid w:val="0"/>
          <w:color w:val="auto"/>
          <w:sz w:val="24"/>
        </w:rPr>
      </w:pPr>
      <w:r>
        <w:rPr>
          <w:rFonts w:hint="eastAsia" w:ascii="Times New Roman" w:hAnsi="Times New Roman" w:eastAsia="宋体"/>
          <w:snapToGrid w:val="0"/>
          <w:color w:val="auto"/>
          <w:sz w:val="24"/>
        </w:rPr>
        <w:t>合理安排施工进度和作业时间，尽量避免高噪声设备同时作业，夜间 （晚 22 点到次日早晨 6 点）禁止施工。</w:t>
      </w:r>
    </w:p>
    <w:p>
      <w:pPr>
        <w:numPr>
          <w:ilvl w:val="0"/>
          <w:numId w:val="35"/>
        </w:numPr>
        <w:adjustRightInd w:val="0"/>
        <w:snapToGrid w:val="0"/>
        <w:spacing w:line="360" w:lineRule="auto"/>
        <w:ind w:firstLine="480" w:firstLineChars="200"/>
        <w:rPr>
          <w:rFonts w:ascii="Times New Roman" w:hAnsi="Times New Roman" w:eastAsia="宋体"/>
          <w:snapToGrid w:val="0"/>
          <w:color w:val="auto"/>
          <w:sz w:val="24"/>
        </w:rPr>
      </w:pPr>
      <w:r>
        <w:rPr>
          <w:rFonts w:hint="eastAsia" w:ascii="Times New Roman" w:hAnsi="Times New Roman" w:eastAsia="宋体"/>
          <w:snapToGrid w:val="0"/>
          <w:color w:val="auto"/>
          <w:sz w:val="24"/>
        </w:rPr>
        <w:t>对人为的施工噪声应有管理制度和降噪措施，并进行严格控制：承担材料运输的车辆，进入施工现场避免鸣笛，并要减速慢行，装卸材料应做到轻拿轻放，最大限度地减少噪声影响。</w:t>
      </w:r>
    </w:p>
    <w:p>
      <w:pPr>
        <w:numPr>
          <w:ilvl w:val="0"/>
          <w:numId w:val="35"/>
        </w:numPr>
        <w:adjustRightInd w:val="0"/>
        <w:snapToGrid w:val="0"/>
        <w:spacing w:line="360" w:lineRule="auto"/>
        <w:ind w:firstLine="480" w:firstLineChars="200"/>
        <w:rPr>
          <w:rFonts w:ascii="Times New Roman" w:hAnsi="Times New Roman" w:eastAsia="宋体"/>
          <w:snapToGrid w:val="0"/>
          <w:color w:val="auto"/>
          <w:sz w:val="24"/>
        </w:rPr>
      </w:pPr>
      <w:r>
        <w:rPr>
          <w:rFonts w:hint="eastAsia" w:ascii="Times New Roman" w:hAnsi="Times New Roman" w:eastAsia="宋体"/>
          <w:snapToGrid w:val="0"/>
          <w:color w:val="auto"/>
          <w:sz w:val="24"/>
        </w:rPr>
        <w:t>建设管理部门应加强对施工场地的噪声管理，施工企业也应对施工噪声进行自律，文明施工，避免因施工噪声产生纠纷。</w:t>
      </w:r>
    </w:p>
    <w:p>
      <w:pPr>
        <w:adjustRightInd w:val="0"/>
        <w:snapToGrid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评价认为采取上述措施后可大大降低施工期噪声对周围环境的影响，防治措施合理有效，技术经济可行。</w:t>
      </w:r>
    </w:p>
    <w:p>
      <w:pPr>
        <w:pStyle w:val="87"/>
        <w:adjustRightInd w:val="0"/>
        <w:snapToGrid w:val="0"/>
        <w:spacing w:beforeLines="0" w:afterLines="0"/>
        <w:rPr>
          <w:rFonts w:ascii="Times New Roman" w:hAnsi="Times New Roman" w:eastAsia="宋体"/>
          <w:b/>
          <w:color w:val="auto"/>
          <w:kern w:val="0"/>
        </w:rPr>
      </w:pPr>
      <w:r>
        <w:rPr>
          <w:rFonts w:hint="eastAsia" w:ascii="Times New Roman" w:hAnsi="Times New Roman" w:eastAsia="宋体"/>
          <w:b/>
          <w:color w:val="auto"/>
          <w:kern w:val="0"/>
        </w:rPr>
        <w:t>6.1.</w:t>
      </w:r>
      <w:r>
        <w:rPr>
          <w:rFonts w:hint="eastAsia" w:ascii="Times New Roman" w:hAnsi="Times New Roman" w:eastAsia="宋体"/>
          <w:b/>
          <w:color w:val="auto"/>
          <w:kern w:val="0"/>
          <w:lang w:val="en-US" w:eastAsia="zh-CN"/>
        </w:rPr>
        <w:t>4</w:t>
      </w:r>
      <w:r>
        <w:rPr>
          <w:rFonts w:ascii="Times New Roman" w:hAnsi="Times New Roman" w:eastAsia="宋体"/>
          <w:b/>
          <w:color w:val="auto"/>
          <w:kern w:val="0"/>
        </w:rPr>
        <w:t>施工期</w:t>
      </w:r>
      <w:r>
        <w:rPr>
          <w:rFonts w:hint="eastAsia" w:ascii="Times New Roman" w:hAnsi="Times New Roman" w:eastAsia="宋体"/>
          <w:b/>
          <w:color w:val="auto"/>
          <w:kern w:val="0"/>
          <w:lang w:eastAsia="zh-CN"/>
        </w:rPr>
        <w:t>固废</w:t>
      </w:r>
      <w:r>
        <w:rPr>
          <w:rFonts w:hint="eastAsia" w:ascii="Times New Roman" w:hAnsi="Times New Roman" w:eastAsia="宋体"/>
          <w:b/>
          <w:color w:val="auto"/>
          <w:kern w:val="0"/>
        </w:rPr>
        <w:t>保护措施</w:t>
      </w:r>
    </w:p>
    <w:p>
      <w:pPr>
        <w:adjustRightInd w:val="0"/>
        <w:snapToGrid w:val="0"/>
        <w:spacing w:line="360" w:lineRule="auto"/>
        <w:ind w:firstLine="480" w:firstLineChars="200"/>
        <w:rPr>
          <w:rFonts w:hint="eastAsia" w:ascii="Times New Roman" w:hAnsi="Times New Roman" w:eastAsia="宋体"/>
          <w:snapToGrid w:val="0"/>
          <w:color w:val="auto"/>
          <w:sz w:val="24"/>
        </w:rPr>
      </w:pPr>
      <w:r>
        <w:rPr>
          <w:rFonts w:hint="eastAsia" w:ascii="Times New Roman" w:hAnsi="Times New Roman" w:eastAsia="宋体"/>
          <w:snapToGrid w:val="0"/>
          <w:color w:val="auto"/>
          <w:sz w:val="24"/>
        </w:rPr>
        <w:t>本项目施工期固体废物主要来自施工人员的生活垃圾及弃土。</w:t>
      </w:r>
    </w:p>
    <w:p>
      <w:pPr>
        <w:adjustRightInd w:val="0"/>
        <w:snapToGrid w:val="0"/>
        <w:spacing w:line="360" w:lineRule="auto"/>
        <w:ind w:firstLine="480" w:firstLineChars="200"/>
        <w:rPr>
          <w:rFonts w:hint="eastAsia" w:ascii="Times New Roman" w:hAnsi="Times New Roman" w:eastAsia="宋体"/>
          <w:snapToGrid w:val="0"/>
          <w:color w:val="auto"/>
          <w:sz w:val="24"/>
        </w:rPr>
      </w:pPr>
      <w:r>
        <w:rPr>
          <w:rFonts w:hint="eastAsia" w:ascii="Times New Roman" w:hAnsi="Times New Roman" w:eastAsia="宋体"/>
          <w:snapToGrid w:val="0"/>
          <w:color w:val="auto"/>
          <w:sz w:val="24"/>
        </w:rPr>
        <w:t>生活垃圾：施工期产生的生活垃圾约 20kg/d，施工场内设垃圾收集点，送至村垃圾集中收集点，由环卫部门统一清运处理。</w:t>
      </w:r>
    </w:p>
    <w:p>
      <w:pPr>
        <w:adjustRightInd w:val="0"/>
        <w:snapToGrid w:val="0"/>
        <w:spacing w:line="360" w:lineRule="auto"/>
        <w:ind w:firstLine="480" w:firstLineChars="200"/>
        <w:rPr>
          <w:rFonts w:hint="eastAsia" w:ascii="Times New Roman" w:hAnsi="Times New Roman" w:eastAsia="宋体"/>
          <w:snapToGrid w:val="0"/>
          <w:color w:val="auto"/>
          <w:sz w:val="24"/>
        </w:rPr>
      </w:pPr>
      <w:r>
        <w:rPr>
          <w:rFonts w:hint="eastAsia" w:ascii="Times New Roman" w:hAnsi="Times New Roman" w:eastAsia="宋体"/>
          <w:snapToGrid w:val="0"/>
          <w:color w:val="auto"/>
          <w:sz w:val="24"/>
        </w:rPr>
        <w:t>弃土弃渣：项目在施工过程中存在施工弃土，需进行专门处理。根据主体工程设计资料项目挖方量</w:t>
      </w:r>
      <w:r>
        <w:rPr>
          <w:rFonts w:hint="eastAsia" w:ascii="Times New Roman" w:hAnsi="Times New Roman" w:eastAsia="宋体"/>
          <w:snapToGrid w:val="0"/>
          <w:color w:val="auto"/>
          <w:sz w:val="24"/>
          <w:lang w:val="en-US" w:eastAsia="zh-CN"/>
        </w:rPr>
        <w:t>8.60</w:t>
      </w:r>
      <w:r>
        <w:rPr>
          <w:rFonts w:hint="eastAsia" w:ascii="Times New Roman" w:hAnsi="Times New Roman" w:eastAsia="宋体"/>
          <w:snapToGrid w:val="0"/>
          <w:color w:val="auto"/>
          <w:sz w:val="24"/>
        </w:rPr>
        <w:t>万 m</w:t>
      </w:r>
      <w:r>
        <w:rPr>
          <w:rFonts w:hint="eastAsia" w:ascii="Times New Roman" w:hAnsi="Times New Roman" w:eastAsia="宋体"/>
          <w:snapToGrid w:val="0"/>
          <w:color w:val="auto"/>
          <w:sz w:val="24"/>
          <w:vertAlign w:val="superscript"/>
        </w:rPr>
        <w:t>3</w:t>
      </w:r>
      <w:r>
        <w:rPr>
          <w:rFonts w:hint="eastAsia" w:ascii="Times New Roman" w:hAnsi="Times New Roman" w:eastAsia="宋体"/>
          <w:snapToGrid w:val="0"/>
          <w:color w:val="auto"/>
          <w:sz w:val="24"/>
        </w:rPr>
        <w:t>，填方量</w:t>
      </w:r>
      <w:r>
        <w:rPr>
          <w:rFonts w:hint="eastAsia" w:ascii="Times New Roman" w:hAnsi="Times New Roman" w:eastAsia="宋体"/>
          <w:snapToGrid w:val="0"/>
          <w:color w:val="auto"/>
          <w:sz w:val="24"/>
          <w:lang w:val="en-US" w:eastAsia="zh-CN"/>
        </w:rPr>
        <w:t>8.60</w:t>
      </w:r>
      <w:r>
        <w:rPr>
          <w:rFonts w:hint="eastAsia" w:ascii="Times New Roman" w:hAnsi="Times New Roman" w:eastAsia="宋体"/>
          <w:snapToGrid w:val="0"/>
          <w:color w:val="auto"/>
          <w:sz w:val="24"/>
        </w:rPr>
        <w:t>万m</w:t>
      </w:r>
      <w:r>
        <w:rPr>
          <w:rFonts w:hint="eastAsia" w:ascii="Times New Roman" w:hAnsi="Times New Roman" w:eastAsia="宋体"/>
          <w:snapToGrid w:val="0"/>
          <w:color w:val="auto"/>
          <w:sz w:val="24"/>
          <w:vertAlign w:val="superscript"/>
        </w:rPr>
        <w:t>3</w:t>
      </w:r>
      <w:r>
        <w:rPr>
          <w:rFonts w:hint="eastAsia" w:ascii="Times New Roman" w:hAnsi="Times New Roman" w:eastAsia="宋体"/>
          <w:snapToGrid w:val="0"/>
          <w:color w:val="auto"/>
          <w:sz w:val="24"/>
        </w:rPr>
        <w:t>，项目不存在弃方量。</w:t>
      </w:r>
    </w:p>
    <w:p>
      <w:pPr>
        <w:adjustRightInd w:val="0"/>
        <w:snapToGrid w:val="0"/>
        <w:spacing w:line="360" w:lineRule="auto"/>
        <w:ind w:firstLine="480" w:firstLineChars="200"/>
        <w:rPr>
          <w:rFonts w:hint="eastAsia" w:ascii="Times New Roman" w:hAnsi="Times New Roman" w:eastAsia="宋体"/>
          <w:snapToGrid w:val="0"/>
          <w:color w:val="auto"/>
          <w:sz w:val="24"/>
        </w:rPr>
      </w:pPr>
      <w:r>
        <w:rPr>
          <w:rFonts w:hint="eastAsia" w:ascii="Times New Roman" w:hAnsi="Times New Roman" w:eastAsia="宋体"/>
          <w:snapToGrid w:val="0"/>
          <w:color w:val="auto"/>
          <w:sz w:val="24"/>
        </w:rPr>
        <w:t>建筑垃圾：项目在建设基础设施时候，会产生一部分的建筑垃圾，建筑垃圾统计收集，送至村垃圾集中收集点，由环卫部门统一清运处理。</w:t>
      </w:r>
    </w:p>
    <w:p>
      <w:pPr>
        <w:adjustRightInd w:val="0"/>
        <w:snapToGrid w:val="0"/>
        <w:spacing w:line="360" w:lineRule="auto"/>
        <w:ind w:firstLine="480" w:firstLineChars="200"/>
        <w:rPr>
          <w:rFonts w:ascii="Times New Roman" w:hAnsi="Times New Roman" w:eastAsia="宋体"/>
          <w:snapToGrid w:val="0"/>
          <w:color w:val="auto"/>
          <w:sz w:val="24"/>
        </w:rPr>
      </w:pPr>
      <w:r>
        <w:rPr>
          <w:rFonts w:hint="eastAsia" w:ascii="Times New Roman" w:hAnsi="Times New Roman" w:eastAsia="宋体"/>
          <w:snapToGrid w:val="0"/>
          <w:color w:val="auto"/>
          <w:sz w:val="24"/>
        </w:rPr>
        <w:t>评价认为项目采取上述措施后，固废可做到定点堆放、合理收集处置，确保不对环境造成二次污染。固体废物污染防治措施简单实用，技术经济可行。</w:t>
      </w:r>
    </w:p>
    <w:p>
      <w:pPr>
        <w:pStyle w:val="87"/>
        <w:adjustRightInd w:val="0"/>
        <w:snapToGrid w:val="0"/>
        <w:spacing w:beforeLines="0" w:afterLines="0"/>
        <w:rPr>
          <w:rFonts w:ascii="Times New Roman" w:hAnsi="Times New Roman" w:eastAsia="宋体"/>
          <w:b/>
          <w:color w:val="auto"/>
          <w:kern w:val="0"/>
        </w:rPr>
      </w:pPr>
      <w:r>
        <w:rPr>
          <w:rFonts w:hint="eastAsia" w:ascii="Times New Roman" w:hAnsi="Times New Roman" w:eastAsia="宋体"/>
          <w:b/>
          <w:color w:val="auto"/>
          <w:kern w:val="0"/>
        </w:rPr>
        <w:t>6.1.</w:t>
      </w:r>
      <w:r>
        <w:rPr>
          <w:rFonts w:hint="eastAsia" w:ascii="Times New Roman" w:hAnsi="Times New Roman" w:eastAsia="宋体"/>
          <w:b/>
          <w:color w:val="auto"/>
          <w:kern w:val="0"/>
          <w:lang w:val="en-US" w:eastAsia="zh-CN"/>
        </w:rPr>
        <w:t>5</w:t>
      </w:r>
      <w:r>
        <w:rPr>
          <w:rFonts w:ascii="Times New Roman" w:hAnsi="Times New Roman" w:eastAsia="宋体"/>
          <w:b/>
          <w:color w:val="auto"/>
          <w:kern w:val="0"/>
        </w:rPr>
        <w:t>施工期</w:t>
      </w:r>
      <w:r>
        <w:rPr>
          <w:rFonts w:hint="eastAsia" w:ascii="Times New Roman" w:hAnsi="Times New Roman" w:eastAsia="宋体"/>
          <w:b/>
          <w:color w:val="auto"/>
          <w:kern w:val="0"/>
          <w:lang w:eastAsia="zh-CN"/>
        </w:rPr>
        <w:t>生态环境</w:t>
      </w:r>
      <w:r>
        <w:rPr>
          <w:rFonts w:hint="eastAsia" w:ascii="Times New Roman" w:hAnsi="Times New Roman" w:eastAsia="宋体"/>
          <w:b/>
          <w:color w:val="auto"/>
          <w:kern w:val="0"/>
        </w:rPr>
        <w:t>保护措施</w:t>
      </w:r>
    </w:p>
    <w:p>
      <w:pPr>
        <w:pStyle w:val="16"/>
        <w:adjustRightInd w:val="0"/>
        <w:snapToGrid w:val="0"/>
        <w:spacing w:line="360" w:lineRule="auto"/>
        <w:ind w:right="0"/>
        <w:jc w:val="both"/>
        <w:outlineLvl w:val="3"/>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val="en-US" w:eastAsia="zh-CN"/>
        </w:rPr>
        <w:t>6.1.5</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生态减缓补偿措施</w:t>
      </w:r>
    </w:p>
    <w:p>
      <w:pPr>
        <w:adjustRightInd w:val="0"/>
        <w:snapToGrid w:val="0"/>
        <w:spacing w:line="360" w:lineRule="auto"/>
        <w:ind w:firstLine="480" w:firstLineChars="200"/>
        <w:rPr>
          <w:rFonts w:hint="eastAsia" w:ascii="Times New Roman" w:hAnsi="Times New Roman" w:eastAsia="宋体"/>
          <w:snapToGrid w:val="0"/>
          <w:color w:val="auto"/>
          <w:sz w:val="24"/>
        </w:rPr>
      </w:pPr>
      <w:r>
        <w:rPr>
          <w:rFonts w:hint="eastAsia" w:ascii="Times New Roman" w:hAnsi="Times New Roman" w:eastAsia="宋体"/>
          <w:snapToGrid w:val="0"/>
          <w:color w:val="auto"/>
          <w:sz w:val="24"/>
        </w:rPr>
        <w:t>针对本项目的实际情况，本次环评建议采取以下生态减缓补偿措施：</w:t>
      </w:r>
    </w:p>
    <w:p>
      <w:pPr>
        <w:numPr>
          <w:ilvl w:val="0"/>
          <w:numId w:val="36"/>
        </w:numPr>
        <w:adjustRightInd w:val="0"/>
        <w:snapToGrid w:val="0"/>
        <w:spacing w:line="360" w:lineRule="auto"/>
        <w:ind w:firstLine="480" w:firstLineChars="200"/>
        <w:rPr>
          <w:rFonts w:hint="eastAsia" w:ascii="Times New Roman" w:hAnsi="Times New Roman" w:eastAsia="宋体"/>
          <w:snapToGrid w:val="0"/>
          <w:color w:val="auto"/>
          <w:sz w:val="24"/>
        </w:rPr>
      </w:pPr>
      <w:r>
        <w:rPr>
          <w:rFonts w:hint="eastAsia" w:ascii="Times New Roman" w:hAnsi="Times New Roman" w:eastAsia="宋体"/>
          <w:snapToGrid w:val="0"/>
          <w:color w:val="auto"/>
          <w:sz w:val="24"/>
        </w:rPr>
        <w:t>严格控制施工线路，施工范围，避免对施工区外的生态环境造成破坏。</w:t>
      </w:r>
    </w:p>
    <w:p>
      <w:pPr>
        <w:numPr>
          <w:ilvl w:val="0"/>
          <w:numId w:val="36"/>
        </w:numPr>
        <w:adjustRightInd w:val="0"/>
        <w:snapToGrid w:val="0"/>
        <w:spacing w:line="360" w:lineRule="auto"/>
        <w:ind w:firstLine="480" w:firstLineChars="200"/>
        <w:rPr>
          <w:rFonts w:ascii="Times New Roman" w:hAnsi="Times New Roman" w:eastAsia="宋体"/>
          <w:snapToGrid w:val="0"/>
          <w:color w:val="auto"/>
          <w:sz w:val="24"/>
        </w:rPr>
      </w:pPr>
      <w:r>
        <w:rPr>
          <w:rFonts w:hint="eastAsia" w:ascii="Times New Roman" w:hAnsi="Times New Roman" w:eastAsia="宋体"/>
          <w:snapToGrid w:val="0"/>
          <w:color w:val="auto"/>
          <w:sz w:val="24"/>
        </w:rPr>
        <w:t>建设所需物料堆放在场区，可减少对土地的占用，减少对生态的影响。</w:t>
      </w:r>
    </w:p>
    <w:p>
      <w:pPr>
        <w:numPr>
          <w:ilvl w:val="0"/>
          <w:numId w:val="36"/>
        </w:numPr>
        <w:adjustRightInd w:val="0"/>
        <w:snapToGrid w:val="0"/>
        <w:spacing w:line="360" w:lineRule="auto"/>
        <w:ind w:firstLine="480" w:firstLineChars="200"/>
        <w:rPr>
          <w:rFonts w:ascii="Times New Roman" w:hAnsi="Times New Roman" w:eastAsia="宋体"/>
          <w:snapToGrid w:val="0"/>
          <w:color w:val="auto"/>
          <w:sz w:val="24"/>
        </w:rPr>
      </w:pPr>
      <w:r>
        <w:rPr>
          <w:rFonts w:hint="eastAsia" w:ascii="Times New Roman" w:hAnsi="Times New Roman" w:eastAsia="宋体"/>
          <w:snapToGrid w:val="0"/>
          <w:color w:val="auto"/>
          <w:sz w:val="24"/>
        </w:rPr>
        <w:t>禁止建筑垃圾乱堆乱放，占压施工场地以外土地。在加快施工进度的前提下，施工完毕后进行覆土绿化，破坏的植被进行及时恢复，不会对生态环境造成明显影响。</w:t>
      </w:r>
    </w:p>
    <w:p>
      <w:pPr>
        <w:pStyle w:val="16"/>
        <w:adjustRightInd w:val="0"/>
        <w:snapToGrid w:val="0"/>
        <w:spacing w:line="360" w:lineRule="auto"/>
        <w:ind w:right="0"/>
        <w:jc w:val="both"/>
        <w:outlineLvl w:val="3"/>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val="en-US" w:eastAsia="zh-CN"/>
        </w:rPr>
        <w:t>6.1.5.2</w:t>
      </w:r>
      <w:r>
        <w:rPr>
          <w:rFonts w:hint="eastAsia" w:ascii="Times New Roman" w:hAnsi="Times New Roman" w:eastAsia="宋体"/>
          <w:color w:val="auto"/>
          <w:sz w:val="24"/>
          <w:szCs w:val="24"/>
        </w:rPr>
        <w:t>水土保持措施</w:t>
      </w:r>
    </w:p>
    <w:p>
      <w:pPr>
        <w:numPr>
          <w:ilvl w:val="0"/>
          <w:numId w:val="37"/>
        </w:numPr>
        <w:adjustRightInd w:val="0"/>
        <w:snapToGrid w:val="0"/>
        <w:spacing w:line="360" w:lineRule="auto"/>
        <w:ind w:firstLine="480" w:firstLineChars="200"/>
        <w:rPr>
          <w:rFonts w:hint="eastAsia" w:ascii="Times New Roman" w:hAnsi="Times New Roman" w:eastAsia="宋体"/>
          <w:snapToGrid w:val="0"/>
          <w:color w:val="auto"/>
          <w:sz w:val="24"/>
        </w:rPr>
      </w:pPr>
      <w:r>
        <w:rPr>
          <w:rFonts w:hint="eastAsia" w:ascii="Times New Roman" w:hAnsi="Times New Roman" w:eastAsia="宋体"/>
          <w:snapToGrid w:val="0"/>
          <w:color w:val="auto"/>
          <w:sz w:val="24"/>
        </w:rPr>
        <w:t>设置导流系统</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及时做好排水导流工作，减轻水流对裸露地表的冲刷，应设置拦砂坝，在施工中应实施排水工程，以预防地面径流直接冲刷施工浮土，导致水土流失加剧。</w:t>
      </w:r>
    </w:p>
    <w:p>
      <w:pPr>
        <w:numPr>
          <w:ilvl w:val="0"/>
          <w:numId w:val="37"/>
        </w:numPr>
        <w:adjustRightInd w:val="0"/>
        <w:snapToGrid w:val="0"/>
        <w:spacing w:line="360" w:lineRule="auto"/>
        <w:ind w:left="0" w:leftChars="0" w:firstLine="480" w:firstLineChars="200"/>
        <w:rPr>
          <w:rFonts w:hint="eastAsia" w:ascii="Times New Roman" w:hAnsi="Times New Roman" w:eastAsia="宋体"/>
          <w:snapToGrid w:val="0"/>
          <w:color w:val="auto"/>
          <w:sz w:val="24"/>
        </w:rPr>
      </w:pPr>
      <w:r>
        <w:rPr>
          <w:rFonts w:hint="eastAsia" w:ascii="Times New Roman" w:hAnsi="Times New Roman" w:eastAsia="宋体"/>
          <w:snapToGrid w:val="0"/>
          <w:color w:val="auto"/>
          <w:sz w:val="24"/>
        </w:rPr>
        <w:t>施工时间选择</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本项目在建设施工期间，有大面积的裸露地表，容易形成水土流失面。项目应合理安排施工，尽量将土石方开挖期避开大规模的降雨天气，并尽量缩短挖方时间，尽量在雨季到来之前完成挖方工程。若遇雨季，应对水土流失进行重点防护。</w:t>
      </w:r>
    </w:p>
    <w:p>
      <w:pPr>
        <w:numPr>
          <w:ilvl w:val="0"/>
          <w:numId w:val="37"/>
        </w:numPr>
        <w:adjustRightInd w:val="0"/>
        <w:snapToGrid w:val="0"/>
        <w:spacing w:line="360" w:lineRule="auto"/>
        <w:ind w:left="0" w:leftChars="0"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项目所在地挖方、填方应尽量平衡，剥离土石方就地消化为填土石方。对开挖的土壤分层堆放，分层回填，以保护植被生长层，恢复土壤生产力。</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评价认为在工程施工阶段采取上述防治措施后，可有效防止施工期生态环境的恶化，将施工期对生态环境的影响降至最低。污染防治措施有效，技术经济可行。</w:t>
      </w:r>
    </w:p>
    <w:p>
      <w:pPr>
        <w:pStyle w:val="86"/>
        <w:adjustRightInd w:val="0"/>
        <w:snapToGrid w:val="0"/>
        <w:spacing w:beforeLines="0" w:afterLines="0"/>
        <w:rPr>
          <w:rFonts w:ascii="Times New Roman" w:hAnsi="Times New Roman" w:eastAsia="宋体"/>
          <w:color w:val="auto"/>
        </w:rPr>
      </w:pPr>
      <w:bookmarkStart w:id="270" w:name="_Toc6773"/>
      <w:bookmarkStart w:id="271" w:name="_Toc20380"/>
      <w:bookmarkStart w:id="272" w:name="_Toc13768"/>
      <w:r>
        <w:rPr>
          <w:rFonts w:hint="eastAsia" w:ascii="Times New Roman" w:hAnsi="Times New Roman" w:eastAsia="宋体"/>
          <w:color w:val="auto"/>
        </w:rPr>
        <w:t>6.2运营期环保措施论证</w:t>
      </w:r>
      <w:bookmarkEnd w:id="270"/>
      <w:bookmarkEnd w:id="271"/>
      <w:bookmarkEnd w:id="272"/>
    </w:p>
    <w:p>
      <w:pPr>
        <w:pStyle w:val="87"/>
        <w:adjustRightInd w:val="0"/>
        <w:snapToGrid w:val="0"/>
        <w:spacing w:beforeLines="0" w:afterLines="0"/>
        <w:rPr>
          <w:rFonts w:ascii="Times New Roman" w:hAnsi="Times New Roman" w:eastAsia="宋体"/>
          <w:b/>
          <w:color w:val="auto"/>
          <w:kern w:val="0"/>
        </w:rPr>
      </w:pPr>
      <w:bookmarkStart w:id="273" w:name="_Toc13634"/>
      <w:r>
        <w:rPr>
          <w:rFonts w:hint="eastAsia" w:ascii="Times New Roman" w:hAnsi="Times New Roman" w:eastAsia="宋体"/>
          <w:b/>
          <w:color w:val="auto"/>
          <w:kern w:val="0"/>
        </w:rPr>
        <w:t>6.2.1大气污染防治措施</w:t>
      </w:r>
      <w:bookmarkEnd w:id="264"/>
      <w:bookmarkEnd w:id="273"/>
      <w:r>
        <w:rPr>
          <w:rFonts w:hint="eastAsia" w:ascii="Times New Roman" w:hAnsi="Times New Roman" w:eastAsia="宋体"/>
          <w:b/>
          <w:color w:val="auto"/>
          <w:kern w:val="0"/>
        </w:rPr>
        <w:t>及技术经济论证</w:t>
      </w:r>
    </w:p>
    <w:p>
      <w:pPr>
        <w:pStyle w:val="16"/>
        <w:adjustRightInd w:val="0"/>
        <w:snapToGrid w:val="0"/>
        <w:spacing w:line="360" w:lineRule="auto"/>
        <w:ind w:right="0"/>
        <w:jc w:val="both"/>
        <w:outlineLvl w:val="3"/>
        <w:rPr>
          <w:rFonts w:hint="eastAsia" w:ascii="Times New Roman" w:hAnsi="Times New Roman" w:eastAsia="宋体"/>
          <w:color w:val="auto"/>
          <w:sz w:val="24"/>
          <w:szCs w:val="24"/>
          <w:lang w:eastAsia="zh-CN"/>
        </w:rPr>
      </w:pPr>
      <w:bookmarkStart w:id="274" w:name="_Toc152593072"/>
      <w:bookmarkStart w:id="275" w:name="_Toc319041397"/>
      <w:bookmarkStart w:id="276" w:name="_Toc301963172"/>
      <w:bookmarkStart w:id="277" w:name="_Toc301963483"/>
      <w:bookmarkStart w:id="278" w:name="_Toc288051925"/>
      <w:bookmarkStart w:id="279" w:name="_Toc3944"/>
      <w:r>
        <w:rPr>
          <w:rFonts w:hint="eastAsia" w:ascii="Times New Roman" w:hAnsi="Times New Roman" w:eastAsia="宋体"/>
          <w:color w:val="auto"/>
          <w:sz w:val="24"/>
          <w:szCs w:val="24"/>
          <w:lang w:val="en-US" w:eastAsia="zh-CN"/>
        </w:rPr>
        <w:t>6.2.1.1</w:t>
      </w:r>
      <w:r>
        <w:rPr>
          <w:rFonts w:hint="eastAsia" w:ascii="Times New Roman" w:hAnsi="Times New Roman" w:eastAsia="宋体"/>
          <w:color w:val="auto"/>
          <w:sz w:val="24"/>
          <w:szCs w:val="24"/>
        </w:rPr>
        <w:t>恶臭治理措施分析</w:t>
      </w:r>
    </w:p>
    <w:p>
      <w:pPr>
        <w:adjustRightInd w:val="0"/>
        <w:snapToGrid w:val="0"/>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由于猪舍为全封闭设计，较容易集中处理。根据《畜禽养殖业污染治理工程技术规范》（HJ497-2009）及《畜禽养殖业污染防治</w:t>
      </w:r>
      <w:r>
        <w:rPr>
          <w:rFonts w:hint="eastAsia" w:ascii="Times New Roman" w:hAnsi="Times New Roman" w:eastAsia="宋体" w:cs="Times New Roman"/>
          <w:color w:val="auto"/>
          <w:sz w:val="24"/>
          <w:szCs w:val="24"/>
          <w:lang w:eastAsia="zh-CN"/>
        </w:rPr>
        <w:t>技术</w:t>
      </w:r>
      <w:r>
        <w:rPr>
          <w:rFonts w:hint="eastAsia" w:ascii="Times New Roman" w:hAnsi="Times New Roman" w:eastAsia="宋体" w:cs="Times New Roman"/>
          <w:color w:val="auto"/>
          <w:sz w:val="24"/>
          <w:szCs w:val="24"/>
        </w:rPr>
        <w:t>规范》（HJ/T81-2001）相关要求，结合本项目生产实际，以集中收集处理为主，辅以预防及管理措施。</w:t>
      </w:r>
      <w:r>
        <w:rPr>
          <w:rFonts w:hint="eastAsia" w:ascii="Times New Roman" w:hAnsi="Times New Roman" w:eastAsia="宋体" w:cs="Times New Roman"/>
          <w:color w:val="auto"/>
          <w:sz w:val="24"/>
          <w:szCs w:val="24"/>
          <w:lang w:eastAsia="zh-CN"/>
        </w:rPr>
        <w:t>污水处理区</w:t>
      </w:r>
      <w:r>
        <w:rPr>
          <w:rFonts w:hint="eastAsia" w:ascii="Times New Roman" w:hAnsi="Times New Roman" w:eastAsia="宋体" w:cs="Times New Roman"/>
          <w:color w:val="auto"/>
          <w:sz w:val="24"/>
          <w:szCs w:val="24"/>
        </w:rPr>
        <w:t>的恶臭主要通过在池体以及周边喷洒除臭剂。本评价主要提出如下措施减少恶臭污染物的产生：</w:t>
      </w:r>
    </w:p>
    <w:p>
      <w:pPr>
        <w:pStyle w:val="16"/>
        <w:numPr>
          <w:ilvl w:val="0"/>
          <w:numId w:val="38"/>
        </w:numPr>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源头控制</w:t>
      </w:r>
    </w:p>
    <w:p>
      <w:pPr>
        <w:adjustRightInd w:val="0"/>
        <w:snapToGrid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①猪舍内产生的粪尿依靠重力进入缝隙地板下的收集池，不需用清水对圈舍粪尿日常清理，大大减少了粪污产生量并实现粪尿及时清理，保持猪舍的清洁和干燥；同时注意舍内防潮；加强猪舍消毒措施，全部猪舍必须配备地面消毒设备；猪舍设计为密闭结构，设置屋面通风设备，安装通风机，加强舍内通风。</w:t>
      </w:r>
    </w:p>
    <w:p>
      <w:pPr>
        <w:adjustRightInd w:val="0"/>
        <w:snapToGrid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②养殖场的排水系统实行雨水和污水分离收集输送系统，场内排尿沟采用矩形、浆砌砖结构型式，内底面抹光，加钢筋砼活动盖板密封。</w:t>
      </w:r>
    </w:p>
    <w:p>
      <w:pPr>
        <w:adjustRightInd w:val="0"/>
        <w:snapToGrid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③夏季在产生臭气污染源处投放吸附剂（沸石、锯末、膨润土、蛭石），除臭剂等减少恶臭污染。</w:t>
      </w:r>
    </w:p>
    <w:p>
      <w:pPr>
        <w:adjustRightInd w:val="0"/>
        <w:snapToGrid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④科学设计日粮，提高饲料利用率：猪采食饲料后，饲料在消化道消化过程中（尤其后段肠道），因微生物腐败分解而产生臭气；同时，没有消化吸收部分在体外被微生物降解，也产生恶臭。产生的粪污越多，臭气就越多。提高日粮的消化率、减少干物质（特别是蛋白质）排出量，既减少肠道臭气的产生，又可减少粪便排出后臭气的产生，这是减少恶臭来源的有效措施。试验证明，日粮消化率由 85%提高至 90%，粪便干物质排出量就减少三分之一；日粮蛋白质减少 2%，粪便排泄量就降低 20%。可采用经氨基酸平衡的低蛋白日粮和采用稀饲喂养方式减少恶臭的产生。</w:t>
      </w:r>
    </w:p>
    <w:p>
      <w:pPr>
        <w:adjustRightInd w:val="0"/>
        <w:snapToGrid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⑤合理使用饲料添加剂：提倡日粮中添加酶制剂、酸制剂、EM 制剂、丝兰属植物提取物、沸石等，除提高猪生产性能外，对控制恶臭具有重要作用。</w:t>
      </w:r>
    </w:p>
    <w:p>
      <w:pPr>
        <w:adjustRightInd w:val="0"/>
        <w:snapToGrid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⑥场区内利用一切空地、边角地带，特别是在猪舍、</w:t>
      </w:r>
      <w:r>
        <w:rPr>
          <w:rFonts w:hint="eastAsia" w:ascii="Times New Roman" w:hAnsi="Times New Roman" w:eastAsia="宋体" w:cs="Times New Roman"/>
          <w:color w:val="auto"/>
          <w:sz w:val="24"/>
          <w:szCs w:val="24"/>
          <w:lang w:eastAsia="zh-CN"/>
        </w:rPr>
        <w:t>污水处理区</w:t>
      </w:r>
      <w:r>
        <w:rPr>
          <w:rFonts w:hint="eastAsia" w:ascii="Times New Roman" w:hAnsi="Times New Roman" w:eastAsia="宋体" w:cs="Times New Roman"/>
          <w:color w:val="auto"/>
          <w:sz w:val="24"/>
          <w:szCs w:val="24"/>
        </w:rPr>
        <w:t>周边等地方合理布局和设置绿化，绿化树木选择能抗污力强，净化空气好的植物，利用绿色植物吸收恶臭等物质，减轻臭气的影响。</w:t>
      </w:r>
    </w:p>
    <w:p>
      <w:pPr>
        <w:adjustRightInd w:val="0"/>
        <w:snapToGrid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⑦加强个人劳动卫生保护；加强猪场卫生管理，重视杀虫灭蝇工作。</w:t>
      </w:r>
    </w:p>
    <w:p>
      <w:pPr>
        <w:adjustRightInd w:val="0"/>
        <w:snapToGrid w:val="0"/>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经查阅资料，大量实验表明 EM 微生物对粪便具有明显的除臭作用。其除臭的主要机理为：动物摄入大量的有益微生物在胃肠道内形成了生态优势抑制了腐败菌的活动，促进营养物质的消化吸收，防止产生有害物质氨和胺，使粪便在动物的体内臭味有所减轻；摄入的有益微生物和撒在地面上的有益微生物生长繁殖时能以硫化氢等物质为营养，这样由腐败产生的氨被这些微生物吸收了一部分。另外 EM 微生物在除臭过程中，能有效地保持猪粪中 N、P、K 及有机质养分，亦有提高肥效的作用。</w:t>
      </w:r>
    </w:p>
    <w:p>
      <w:pPr>
        <w:numPr>
          <w:ilvl w:val="0"/>
          <w:numId w:val="38"/>
        </w:numPr>
        <w:adjustRightInd w:val="0"/>
        <w:snapToGrid w:val="0"/>
        <w:spacing w:line="360" w:lineRule="auto"/>
        <w:ind w:left="0" w:leftChars="0"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过程控制</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①项目采用漏缝板干清粪工艺，项目采用墙体集热板、猪舍内热交换器、红外灯和水帘风机相结合进行猪舍内温度控制，猪转栏时利用高压水枪冲圈消毒，夏季加强猪舍通风，降低舍内有害气体浓度，产生的粪渣等固废及时运至贮存或处理场所，以减少污染。</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②加强布置按功能区进行相应划分，各构筑物之间设绿化隔离带，利用绿色植物的吸收作用，以减少恶臭气体的逸散，减轻恶臭对周围环境的影响。</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③喷洒除臭剂</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对猪舍喷洒微生物除臭剂，利用能够转化或者降解恶臭物质的特殊微生物的高效吸附、吸收和降解作用对恶臭气体进行净化，化恶臭为无臭。不含任何化学药品，也不含转基因产品成份，不会造成二次污染。</w:t>
      </w:r>
    </w:p>
    <w:p>
      <w:pPr>
        <w:numPr>
          <w:ilvl w:val="0"/>
          <w:numId w:val="38"/>
        </w:numPr>
        <w:adjustRightInd w:val="0"/>
        <w:snapToGrid w:val="0"/>
        <w:spacing w:line="360" w:lineRule="auto"/>
        <w:ind w:left="0" w:leftChars="0" w:firstLine="480" w:firstLineChars="200"/>
        <w:rPr>
          <w:rFonts w:hint="eastAsia" w:ascii="Times New Roman" w:hAnsi="Times New Roman" w:eastAsia="宋体" w:cs="Times New Roman"/>
          <w:b w:val="0"/>
          <w:bCs w:val="0"/>
          <w:color w:val="auto"/>
          <w:sz w:val="24"/>
          <w:szCs w:val="24"/>
        </w:rPr>
      </w:pPr>
      <w:r>
        <w:rPr>
          <w:rFonts w:hint="eastAsia" w:ascii="Times New Roman" w:hAnsi="Times New Roman" w:eastAsia="宋体" w:cs="Times New Roman"/>
          <w:b w:val="0"/>
          <w:bCs w:val="0"/>
          <w:color w:val="auto"/>
          <w:sz w:val="24"/>
          <w:szCs w:val="24"/>
        </w:rPr>
        <w:t>终端处理</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 xml:space="preserve">1）猪舍恶臭处理措施 </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①本项目采用封闭设计，猪舍地面采用钢结构，</w:t>
      </w:r>
      <w:r>
        <w:rPr>
          <w:rFonts w:hint="eastAsia" w:ascii="Times New Roman" w:hAnsi="Times New Roman" w:eastAsia="宋体" w:cs="Times New Roman"/>
          <w:b w:val="0"/>
          <w:bCs/>
          <w:color w:val="auto"/>
          <w:sz w:val="24"/>
          <w:szCs w:val="24"/>
          <w:lang w:eastAsia="zh-CN"/>
        </w:rPr>
        <w:t>房屋设有排风通风扇</w:t>
      </w:r>
      <w:r>
        <w:rPr>
          <w:rFonts w:hint="eastAsia" w:ascii="Times New Roman" w:hAnsi="Times New Roman" w:eastAsia="宋体" w:cs="Times New Roman"/>
          <w:b w:val="0"/>
          <w:bCs/>
          <w:color w:val="auto"/>
          <w:sz w:val="24"/>
          <w:szCs w:val="24"/>
        </w:rPr>
        <w:t>，新风</w:t>
      </w:r>
      <w:r>
        <w:rPr>
          <w:rFonts w:hint="eastAsia" w:ascii="Times New Roman" w:hAnsi="Times New Roman" w:eastAsia="宋体" w:cs="Times New Roman"/>
          <w:b w:val="0"/>
          <w:bCs/>
          <w:color w:val="auto"/>
          <w:sz w:val="24"/>
          <w:szCs w:val="24"/>
          <w:lang w:eastAsia="zh-CN"/>
        </w:rPr>
        <w:t>排风通风扇</w:t>
      </w:r>
      <w:r>
        <w:rPr>
          <w:rFonts w:hint="eastAsia" w:ascii="Times New Roman" w:hAnsi="Times New Roman" w:eastAsia="宋体" w:cs="Times New Roman"/>
          <w:b w:val="0"/>
          <w:bCs/>
          <w:color w:val="auto"/>
          <w:sz w:val="24"/>
          <w:szCs w:val="24"/>
        </w:rPr>
        <w:t>进入，废气由侧墙排除，同时将在猪舍墙壁设置水帘，加强恶臭气体的净化效果。</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③</w:t>
      </w:r>
      <w:r>
        <w:rPr>
          <w:rFonts w:hint="eastAsia" w:ascii="Times New Roman" w:hAnsi="Times New Roman" w:eastAsia="宋体" w:cs="Times New Roman"/>
          <w:b w:val="0"/>
          <w:bCs/>
          <w:color w:val="auto"/>
          <w:sz w:val="24"/>
          <w:szCs w:val="24"/>
          <w:lang w:eastAsia="zh-CN"/>
        </w:rPr>
        <w:t>本项目臭气最终通过风机口排出。</w:t>
      </w:r>
      <w:r>
        <w:rPr>
          <w:rFonts w:hint="eastAsia" w:ascii="Times New Roman" w:hAnsi="Times New Roman" w:eastAsia="宋体" w:cs="Times New Roman"/>
          <w:b w:val="0"/>
          <w:bCs/>
          <w:color w:val="auto"/>
          <w:sz w:val="24"/>
          <w:szCs w:val="24"/>
        </w:rPr>
        <w:t>在猪舍排风</w:t>
      </w:r>
      <w:r>
        <w:rPr>
          <w:rFonts w:hint="eastAsia" w:ascii="Times New Roman" w:hAnsi="Times New Roman" w:eastAsia="宋体" w:cs="Times New Roman"/>
          <w:b w:val="0"/>
          <w:bCs/>
          <w:color w:val="auto"/>
          <w:sz w:val="24"/>
          <w:szCs w:val="24"/>
          <w:lang w:eastAsia="zh-CN"/>
        </w:rPr>
        <w:t>风机口</w:t>
      </w:r>
      <w:r>
        <w:rPr>
          <w:rFonts w:hint="eastAsia" w:ascii="Times New Roman" w:hAnsi="Times New Roman" w:eastAsia="宋体" w:cs="Times New Roman"/>
          <w:b w:val="0"/>
          <w:bCs/>
          <w:color w:val="auto"/>
          <w:sz w:val="24"/>
          <w:szCs w:val="24"/>
        </w:rPr>
        <w:t>处</w:t>
      </w:r>
      <w:r>
        <w:rPr>
          <w:rFonts w:hint="eastAsia" w:ascii="Times New Roman" w:hAnsi="Times New Roman" w:eastAsia="宋体" w:cs="Times New Roman"/>
          <w:b w:val="0"/>
          <w:bCs/>
          <w:color w:val="auto"/>
          <w:sz w:val="24"/>
          <w:szCs w:val="24"/>
          <w:lang w:eastAsia="zh-CN"/>
        </w:rPr>
        <w:t>设置多层密目网，在密目网上</w:t>
      </w:r>
      <w:r>
        <w:rPr>
          <w:rFonts w:hint="eastAsia" w:ascii="Times New Roman" w:hAnsi="Times New Roman" w:eastAsia="宋体" w:cs="Times New Roman"/>
          <w:b w:val="0"/>
          <w:bCs/>
          <w:color w:val="auto"/>
          <w:sz w:val="24"/>
          <w:szCs w:val="24"/>
        </w:rPr>
        <w:t>喷洒除臭剂可有效降低猪舍的臭气排放，臭气产生量减小。从而达到消除恶臭的目的。</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2）</w:t>
      </w:r>
      <w:r>
        <w:rPr>
          <w:rFonts w:hint="eastAsia" w:ascii="Times New Roman" w:hAnsi="Times New Roman" w:eastAsia="宋体" w:cs="Times New Roman"/>
          <w:b w:val="0"/>
          <w:bCs/>
          <w:color w:val="auto"/>
          <w:sz w:val="24"/>
          <w:szCs w:val="24"/>
          <w:lang w:eastAsia="zh-CN"/>
        </w:rPr>
        <w:t>污水处理区</w:t>
      </w:r>
      <w:r>
        <w:rPr>
          <w:rFonts w:hint="eastAsia" w:ascii="Times New Roman" w:hAnsi="Times New Roman" w:eastAsia="宋体" w:cs="Times New Roman"/>
          <w:b w:val="0"/>
          <w:bCs/>
          <w:color w:val="auto"/>
          <w:sz w:val="24"/>
          <w:szCs w:val="24"/>
        </w:rPr>
        <w:t>、</w:t>
      </w:r>
      <w:r>
        <w:rPr>
          <w:rFonts w:hint="eastAsia" w:ascii="Times New Roman" w:hAnsi="Times New Roman" w:eastAsia="宋体" w:cs="Times New Roman"/>
          <w:b w:val="0"/>
          <w:bCs/>
          <w:color w:val="auto"/>
          <w:sz w:val="24"/>
          <w:szCs w:val="24"/>
          <w:lang w:eastAsia="zh-CN"/>
        </w:rPr>
        <w:t>堆粪间</w:t>
      </w:r>
      <w:r>
        <w:rPr>
          <w:rFonts w:hint="eastAsia" w:ascii="Times New Roman" w:hAnsi="Times New Roman" w:eastAsia="宋体" w:cs="Times New Roman"/>
          <w:b w:val="0"/>
          <w:bCs/>
          <w:color w:val="auto"/>
          <w:sz w:val="24"/>
          <w:szCs w:val="24"/>
        </w:rPr>
        <w:t xml:space="preserve">恶臭处理措施 </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根据《畜禽养殖业污染治理工程技术规范》（HJ497-2009），养殖场粪污处理各工艺单元宜设计为密闭形式，减少恶臭对周围环境的污染。密闭化的粪污处理设施宜建恶臭集中处理设施，各工艺过程中产生的臭气集中收集处理后排放，排气筒高度不得低于15m。</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针对本项目粪污处理单元工艺特点，</w:t>
      </w:r>
      <w:r>
        <w:rPr>
          <w:rFonts w:hint="eastAsia" w:ascii="Times New Roman" w:hAnsi="Times New Roman" w:eastAsia="宋体" w:cs="Times New Roman"/>
          <w:b w:val="0"/>
          <w:bCs/>
          <w:color w:val="auto"/>
          <w:sz w:val="24"/>
          <w:szCs w:val="24"/>
          <w:lang w:eastAsia="zh-CN"/>
        </w:rPr>
        <w:t>本项目堆粪间</w:t>
      </w:r>
      <w:r>
        <w:rPr>
          <w:rFonts w:hint="eastAsia" w:ascii="Times New Roman" w:hAnsi="Times New Roman" w:eastAsia="宋体" w:cs="Times New Roman"/>
          <w:b w:val="0"/>
          <w:bCs/>
          <w:color w:val="auto"/>
          <w:sz w:val="24"/>
          <w:szCs w:val="24"/>
        </w:rPr>
        <w:t>的废气进行收集处理后再高空排放，本项目</w:t>
      </w:r>
      <w:r>
        <w:rPr>
          <w:rFonts w:hint="eastAsia" w:ascii="Times New Roman" w:hAnsi="Times New Roman" w:eastAsia="宋体" w:cs="Times New Roman"/>
          <w:b w:val="0"/>
          <w:bCs/>
          <w:color w:val="auto"/>
          <w:sz w:val="24"/>
          <w:szCs w:val="24"/>
          <w:lang w:eastAsia="zh-CN"/>
        </w:rPr>
        <w:t>堆粪间</w:t>
      </w:r>
      <w:r>
        <w:rPr>
          <w:rFonts w:hint="eastAsia" w:ascii="Times New Roman" w:hAnsi="Times New Roman" w:eastAsia="宋体" w:cs="Times New Roman"/>
          <w:b w:val="0"/>
          <w:bCs/>
          <w:color w:val="auto"/>
          <w:sz w:val="24"/>
          <w:szCs w:val="24"/>
        </w:rPr>
        <w:t>加盖密闭设置、固液分离池设置在堆粪车间内部，收集含恶臭污染物气体经</w:t>
      </w:r>
      <w:r>
        <w:rPr>
          <w:rFonts w:hint="eastAsia" w:ascii="Times New Roman" w:hAnsi="Times New Roman" w:eastAsia="宋体" w:cs="Times New Roman"/>
          <w:b w:val="0"/>
          <w:bCs/>
          <w:color w:val="auto"/>
          <w:sz w:val="24"/>
          <w:szCs w:val="24"/>
          <w:lang w:eastAsia="zh-CN"/>
        </w:rPr>
        <w:t>喷淋洗涤吸收塔</w:t>
      </w:r>
      <w:r>
        <w:rPr>
          <w:rFonts w:hint="eastAsia" w:ascii="Times New Roman" w:hAnsi="Times New Roman" w:eastAsia="宋体" w:cs="Times New Roman"/>
          <w:b w:val="0"/>
          <w:bCs/>
          <w:color w:val="auto"/>
          <w:sz w:val="24"/>
          <w:szCs w:val="24"/>
        </w:rPr>
        <w:t xml:space="preserve">除臭处理后排放，排气筒高度设定为15m。 </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lang w:eastAsia="zh-CN"/>
        </w:rPr>
        <w:t>喷淋洗涤吸收塔</w:t>
      </w:r>
      <w:r>
        <w:rPr>
          <w:rFonts w:hint="eastAsia" w:ascii="Times New Roman" w:hAnsi="Times New Roman" w:eastAsia="宋体" w:cs="Times New Roman"/>
          <w:b w:val="0"/>
          <w:bCs/>
          <w:color w:val="auto"/>
          <w:sz w:val="24"/>
          <w:szCs w:val="24"/>
        </w:rPr>
        <w:t>对恶臭气体收集率按</w:t>
      </w:r>
      <w:r>
        <w:rPr>
          <w:rFonts w:hint="eastAsia" w:ascii="Times New Roman" w:hAnsi="Times New Roman" w:eastAsia="宋体" w:cs="Times New Roman"/>
          <w:b w:val="0"/>
          <w:bCs/>
          <w:color w:val="auto"/>
          <w:sz w:val="24"/>
          <w:szCs w:val="24"/>
          <w:lang w:val="en-US" w:eastAsia="zh-CN"/>
        </w:rPr>
        <w:t>98</w:t>
      </w:r>
      <w:r>
        <w:rPr>
          <w:rFonts w:hint="eastAsia" w:ascii="Times New Roman" w:hAnsi="Times New Roman" w:eastAsia="宋体" w:cs="Times New Roman"/>
          <w:b w:val="0"/>
          <w:bCs/>
          <w:color w:val="auto"/>
          <w:sz w:val="24"/>
          <w:szCs w:val="24"/>
        </w:rPr>
        <w:t>%计，对H</w:t>
      </w:r>
      <w:r>
        <w:rPr>
          <w:rFonts w:hint="eastAsia" w:ascii="Times New Roman" w:hAnsi="Times New Roman" w:eastAsia="宋体" w:cs="Times New Roman"/>
          <w:b w:val="0"/>
          <w:bCs/>
          <w:color w:val="auto"/>
          <w:sz w:val="24"/>
          <w:szCs w:val="24"/>
          <w:vertAlign w:val="subscript"/>
        </w:rPr>
        <w:t>2</w:t>
      </w:r>
      <w:r>
        <w:rPr>
          <w:rFonts w:hint="eastAsia" w:ascii="Times New Roman" w:hAnsi="Times New Roman" w:eastAsia="宋体" w:cs="Times New Roman"/>
          <w:b w:val="0"/>
          <w:bCs/>
          <w:color w:val="auto"/>
          <w:sz w:val="24"/>
          <w:szCs w:val="24"/>
        </w:rPr>
        <w:t>S、NH</w:t>
      </w:r>
      <w:r>
        <w:rPr>
          <w:rFonts w:hint="eastAsia" w:ascii="Times New Roman" w:hAnsi="Times New Roman" w:eastAsia="宋体" w:cs="Times New Roman"/>
          <w:b w:val="0"/>
          <w:bCs/>
          <w:color w:val="auto"/>
          <w:sz w:val="24"/>
          <w:szCs w:val="24"/>
          <w:vertAlign w:val="subscript"/>
        </w:rPr>
        <w:t>3</w:t>
      </w:r>
      <w:r>
        <w:rPr>
          <w:rFonts w:hint="eastAsia" w:ascii="Times New Roman" w:hAnsi="Times New Roman" w:eastAsia="宋体" w:cs="Times New Roman"/>
          <w:b w:val="0"/>
          <w:bCs/>
          <w:color w:val="auto"/>
          <w:sz w:val="24"/>
          <w:szCs w:val="24"/>
        </w:rPr>
        <w:t xml:space="preserve">等恶臭气体的去除率以90%计。 </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3）卫生防护距离的设置</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根据本报告书第6.2.3章节“大气环境防护距离和卫生防护距离”，本环评</w:t>
      </w:r>
      <w:r>
        <w:rPr>
          <w:rFonts w:hint="eastAsia" w:ascii="Times New Roman" w:hAnsi="Times New Roman" w:eastAsia="宋体" w:cs="Times New Roman"/>
          <w:b w:val="0"/>
          <w:bCs/>
          <w:color w:val="auto"/>
          <w:sz w:val="24"/>
          <w:szCs w:val="24"/>
          <w:highlight w:val="none"/>
        </w:rPr>
        <w:t>以猪舍、</w:t>
      </w:r>
      <w:r>
        <w:rPr>
          <w:rFonts w:hint="eastAsia" w:ascii="Times New Roman" w:hAnsi="Times New Roman" w:eastAsia="宋体" w:cs="Times New Roman"/>
          <w:b w:val="0"/>
          <w:bCs/>
          <w:color w:val="auto"/>
          <w:sz w:val="24"/>
          <w:szCs w:val="24"/>
          <w:highlight w:val="none"/>
          <w:lang w:eastAsia="zh-CN"/>
        </w:rPr>
        <w:t>污水处理区、堆粪间</w:t>
      </w:r>
      <w:r>
        <w:rPr>
          <w:rFonts w:hint="eastAsia" w:ascii="Times New Roman" w:hAnsi="Times New Roman" w:eastAsia="宋体" w:cs="Times New Roman"/>
          <w:b w:val="0"/>
          <w:bCs/>
          <w:color w:val="auto"/>
          <w:sz w:val="24"/>
          <w:szCs w:val="24"/>
          <w:highlight w:val="none"/>
        </w:rPr>
        <w:t>为中心设置200m卫生防护距离。</w:t>
      </w:r>
      <w:r>
        <w:rPr>
          <w:rFonts w:hint="eastAsia" w:ascii="Times New Roman" w:hAnsi="Times New Roman" w:eastAsia="宋体" w:cs="Times New Roman"/>
          <w:b w:val="0"/>
          <w:bCs/>
          <w:color w:val="auto"/>
          <w:sz w:val="24"/>
          <w:szCs w:val="24"/>
        </w:rPr>
        <w:t>根据现场勘查，现本项目卫生防护距离覆盖范围内</w:t>
      </w:r>
      <w:r>
        <w:rPr>
          <w:rFonts w:hint="eastAsia" w:ascii="Times New Roman" w:hAnsi="Times New Roman" w:eastAsia="宋体" w:cs="Times New Roman"/>
          <w:b w:val="0"/>
          <w:bCs/>
          <w:color w:val="auto"/>
          <w:sz w:val="24"/>
          <w:szCs w:val="24"/>
          <w:lang w:eastAsia="zh-CN"/>
        </w:rPr>
        <w:t>无居民</w:t>
      </w:r>
      <w:r>
        <w:rPr>
          <w:rFonts w:hint="eastAsia" w:ascii="Times New Roman" w:hAnsi="Times New Roman" w:eastAsia="宋体" w:cs="Times New Roman"/>
          <w:b w:val="0"/>
          <w:bCs/>
          <w:color w:val="auto"/>
          <w:sz w:val="24"/>
          <w:szCs w:val="24"/>
        </w:rPr>
        <w:t>，不存在学校、医院等敏感点。</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环评要求：今后在项目卫生防护距离范围内不得新建居住设施、学校、医院等环境敏感点。不得规划建设食品、制药等工业企业。</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同时还要求：</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 xml:space="preserve">①在各种池子停产修理时，池底积泥会暴露出来散发臭气，应取及时清除积泥的措施来防止臭气的影响。综上分析，环评提出的恶臭防治措施具有较好的可行性和可靠性； </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 xml:space="preserve">②运输车辆密闭，避开运输高峰期，尽量减少臭气对运输线路附近大气环境的影响； </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 xml:space="preserve">③粪污定期清理； </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5）补充措施和建议</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 xml:space="preserve">①合理布局和规划养殖场 </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I、办公生活区、生产区、</w:t>
      </w:r>
      <w:r>
        <w:rPr>
          <w:rFonts w:hint="eastAsia" w:ascii="Times New Roman" w:hAnsi="Times New Roman" w:eastAsia="宋体" w:cs="Times New Roman"/>
          <w:b w:val="0"/>
          <w:bCs/>
          <w:color w:val="auto"/>
          <w:sz w:val="24"/>
          <w:szCs w:val="24"/>
          <w:lang w:eastAsia="zh-CN"/>
        </w:rPr>
        <w:t>污水处理区</w:t>
      </w:r>
      <w:r>
        <w:rPr>
          <w:rFonts w:hint="eastAsia" w:ascii="Times New Roman" w:hAnsi="Times New Roman" w:eastAsia="宋体" w:cs="Times New Roman"/>
          <w:b w:val="0"/>
          <w:bCs/>
          <w:color w:val="auto"/>
          <w:sz w:val="24"/>
          <w:szCs w:val="24"/>
        </w:rPr>
        <w:t xml:space="preserve">布置按功能区进行划分，各构筑物之间设置绿化带，利用绿色植物的吸收作用，减少恶臭气体的逸散，减轻恶臭对周围环境的影响。 </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II、办公生活区布置在</w:t>
      </w:r>
      <w:r>
        <w:rPr>
          <w:rFonts w:hint="eastAsia" w:ascii="Times New Roman" w:hAnsi="Times New Roman" w:eastAsia="宋体" w:cs="Times New Roman"/>
          <w:b w:val="0"/>
          <w:bCs/>
          <w:color w:val="auto"/>
          <w:sz w:val="24"/>
          <w:szCs w:val="24"/>
          <w:lang w:eastAsia="zh-CN"/>
        </w:rPr>
        <w:t>污水处理区</w:t>
      </w:r>
      <w:r>
        <w:rPr>
          <w:rFonts w:hint="eastAsia" w:ascii="Times New Roman" w:hAnsi="Times New Roman" w:eastAsia="宋体" w:cs="Times New Roman"/>
          <w:b w:val="0"/>
          <w:bCs/>
          <w:color w:val="auto"/>
          <w:sz w:val="24"/>
          <w:szCs w:val="24"/>
        </w:rPr>
        <w:t xml:space="preserve">的上风向。 </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 xml:space="preserve">②合理设计生产及配套设施 </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 xml:space="preserve">I、堆粪车间设计为密闭结构，安装负压通风机，加强舍内通风。 </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II、本项目排水系统实行雨水和污水分离收集输送系统，场内粪污沟采用矩形、浆砌砖结构型式，内底面抹光，加钢筋砼活动盖板密封；保持污水排放系统的通畅，减少臭气的产生量；</w:t>
      </w:r>
      <w:r>
        <w:rPr>
          <w:rFonts w:hint="eastAsia" w:ascii="Times New Roman" w:hAnsi="Times New Roman" w:eastAsia="宋体" w:cs="Times New Roman"/>
          <w:b w:val="0"/>
          <w:bCs/>
          <w:color w:val="auto"/>
          <w:sz w:val="24"/>
          <w:szCs w:val="24"/>
          <w:lang w:eastAsia="zh-CN"/>
        </w:rPr>
        <w:t>污水处理区</w:t>
      </w:r>
      <w:r>
        <w:rPr>
          <w:rFonts w:hint="eastAsia" w:ascii="Times New Roman" w:hAnsi="Times New Roman" w:eastAsia="宋体" w:cs="Times New Roman"/>
          <w:b w:val="0"/>
          <w:bCs/>
          <w:color w:val="auto"/>
          <w:sz w:val="24"/>
          <w:szCs w:val="24"/>
        </w:rPr>
        <w:t>选取合适设备，</w:t>
      </w:r>
      <w:r>
        <w:rPr>
          <w:rFonts w:hint="eastAsia" w:ascii="Times New Roman" w:hAnsi="Times New Roman" w:eastAsia="宋体" w:cs="Times New Roman"/>
          <w:b w:val="0"/>
          <w:bCs/>
          <w:color w:val="auto"/>
          <w:sz w:val="24"/>
          <w:szCs w:val="24"/>
          <w:highlight w:val="none"/>
        </w:rPr>
        <w:t>并进行密闭（包括</w:t>
      </w:r>
      <w:r>
        <w:rPr>
          <w:rFonts w:hint="eastAsia" w:ascii="Times New Roman" w:hAnsi="Times New Roman" w:eastAsia="宋体" w:cs="Times New Roman"/>
          <w:b w:val="0"/>
          <w:bCs/>
          <w:color w:val="auto"/>
          <w:sz w:val="24"/>
          <w:szCs w:val="24"/>
          <w:highlight w:val="none"/>
          <w:lang w:eastAsia="zh-CN"/>
        </w:rPr>
        <w:t>集粪池</w:t>
      </w:r>
      <w:r>
        <w:rPr>
          <w:rFonts w:hint="eastAsia" w:ascii="Times New Roman" w:hAnsi="Times New Roman" w:eastAsia="宋体" w:cs="Times New Roman"/>
          <w:b w:val="0"/>
          <w:bCs/>
          <w:color w:val="auto"/>
          <w:sz w:val="24"/>
          <w:szCs w:val="24"/>
          <w:highlight w:val="none"/>
        </w:rPr>
        <w:t>、调节池、污泥池等），不能完全密闭的污水处理池，如缺氧池、好氧池等，尽</w:t>
      </w:r>
      <w:r>
        <w:rPr>
          <w:rFonts w:hint="eastAsia" w:ascii="Times New Roman" w:hAnsi="Times New Roman" w:eastAsia="宋体" w:cs="Times New Roman"/>
          <w:b w:val="0"/>
          <w:bCs/>
          <w:color w:val="auto"/>
          <w:sz w:val="24"/>
          <w:szCs w:val="24"/>
        </w:rPr>
        <w:t xml:space="preserve">量利用山林原有植被与养殖场其他区域进行隔离；确保安装的污水收集和处理系统正常运转。 </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 xml:space="preserve">③规范管理 </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I、干湿分离后产生的粪渣要及时运送至</w:t>
      </w:r>
      <w:r>
        <w:rPr>
          <w:rFonts w:hint="eastAsia" w:ascii="Times New Roman" w:hAnsi="Times New Roman" w:eastAsia="宋体" w:cs="Times New Roman"/>
          <w:b w:val="0"/>
          <w:bCs/>
          <w:color w:val="auto"/>
          <w:sz w:val="24"/>
          <w:szCs w:val="24"/>
          <w:lang w:eastAsia="zh-CN"/>
        </w:rPr>
        <w:t>堆粪间</w:t>
      </w:r>
      <w:r>
        <w:rPr>
          <w:rFonts w:hint="eastAsia" w:ascii="Times New Roman" w:hAnsi="Times New Roman" w:eastAsia="宋体" w:cs="Times New Roman"/>
          <w:b w:val="0"/>
          <w:bCs/>
          <w:color w:val="auto"/>
          <w:sz w:val="24"/>
          <w:szCs w:val="24"/>
        </w:rPr>
        <w:t>暂存，同时及时对</w:t>
      </w:r>
      <w:r>
        <w:rPr>
          <w:rFonts w:hint="eastAsia" w:ascii="Times New Roman" w:hAnsi="Times New Roman" w:eastAsia="宋体" w:cs="Times New Roman"/>
          <w:b w:val="0"/>
          <w:bCs/>
          <w:color w:val="auto"/>
          <w:sz w:val="24"/>
          <w:szCs w:val="24"/>
          <w:lang w:eastAsia="zh-CN"/>
        </w:rPr>
        <w:t>堆粪间</w:t>
      </w:r>
      <w:r>
        <w:rPr>
          <w:rFonts w:hint="eastAsia" w:ascii="Times New Roman" w:hAnsi="Times New Roman" w:eastAsia="宋体" w:cs="Times New Roman"/>
          <w:b w:val="0"/>
          <w:bCs/>
          <w:color w:val="auto"/>
          <w:sz w:val="24"/>
          <w:szCs w:val="24"/>
        </w:rPr>
        <w:t xml:space="preserve">喷洒微生物除臭剂，以减少恶臭气体的产生和传播。 </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 xml:space="preserve">II、注意通风换气，保持圈舍卫生，以减少恶臭的产生。 </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 xml:space="preserve">III、注意消毒，防止产生氯代有机物及其它的二次污染物。 </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 xml:space="preserve">IV、预防病死猪污染，加强对病死猪的无害化处理，及时将死猪和分娩物 </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清理出圈经无害化降解处理机处置，严防死畜对环境的污染。</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项目通过对以上措施的落实，可最大限度的减轻项目废气无组织排放对周围环境造成的影响，措施可行。</w:t>
      </w:r>
    </w:p>
    <w:p>
      <w:pPr>
        <w:pStyle w:val="16"/>
        <w:rPr>
          <w:rFonts w:hint="eastAsia" w:ascii="Times New Roman" w:hAnsi="Times New Roman" w:eastAsia="宋体" w:cs="Times New Roman"/>
          <w:color w:val="auto"/>
          <w:sz w:val="21"/>
          <w:szCs w:val="21"/>
        </w:rPr>
      </w:pPr>
    </w:p>
    <w:p>
      <w:pPr>
        <w:pStyle w:val="16"/>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表6.</w:t>
      </w:r>
      <w:r>
        <w:rPr>
          <w:rFonts w:hint="eastAsia" w:ascii="Times New Roman" w:hAnsi="Times New Roman" w:eastAsia="宋体" w:cs="Times New Roman"/>
          <w:color w:val="auto"/>
          <w:sz w:val="21"/>
          <w:szCs w:val="21"/>
          <w:lang w:val="en-US" w:eastAsia="zh-CN"/>
        </w:rPr>
        <w:t>2</w:t>
      </w:r>
      <w:r>
        <w:rPr>
          <w:rFonts w:hint="eastAsia" w:ascii="Times New Roman" w:hAnsi="Times New Roman" w:eastAsia="宋体" w:cs="Times New Roman"/>
          <w:color w:val="auto"/>
          <w:sz w:val="21"/>
          <w:szCs w:val="21"/>
        </w:rPr>
        <w:t>-1 工程废气污染防治措施一览表</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1358"/>
        <w:gridCol w:w="4861"/>
        <w:gridCol w:w="2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6" w:type="dxa"/>
            <w:vAlign w:val="center"/>
          </w:tcPr>
          <w:p>
            <w:pPr>
              <w:pStyle w:val="16"/>
              <w:spacing w:line="240" w:lineRule="auto"/>
              <w:ind w:left="0" w:right="0"/>
              <w:jc w:val="center"/>
              <w:rPr>
                <w:rFonts w:hint="eastAsia" w:ascii="Times New Roman" w:hAnsi="Times New Roman" w:eastAsia="宋体" w:cs="Times New Roman"/>
                <w:b/>
                <w:bCs w:val="0"/>
                <w:color w:val="auto"/>
                <w:sz w:val="21"/>
                <w:szCs w:val="21"/>
                <w:lang w:eastAsia="zh-CN"/>
              </w:rPr>
            </w:pPr>
            <w:r>
              <w:rPr>
                <w:rFonts w:hint="eastAsia" w:ascii="Times New Roman" w:hAnsi="Times New Roman" w:eastAsia="宋体" w:cs="Times New Roman"/>
                <w:b/>
                <w:bCs w:val="0"/>
                <w:color w:val="auto"/>
                <w:sz w:val="21"/>
                <w:szCs w:val="21"/>
                <w:lang w:eastAsia="zh-CN"/>
              </w:rPr>
              <w:t>序号</w:t>
            </w:r>
          </w:p>
        </w:tc>
        <w:tc>
          <w:tcPr>
            <w:tcW w:w="1358" w:type="dxa"/>
            <w:vAlign w:val="center"/>
          </w:tcPr>
          <w:p>
            <w:pPr>
              <w:pStyle w:val="16"/>
              <w:spacing w:line="240" w:lineRule="auto"/>
              <w:ind w:left="0" w:right="0"/>
              <w:jc w:val="center"/>
              <w:rPr>
                <w:rFonts w:hint="eastAsia" w:ascii="Times New Roman" w:hAnsi="Times New Roman" w:eastAsia="宋体" w:cs="Times New Roman"/>
                <w:b/>
                <w:bCs w:val="0"/>
                <w:color w:val="auto"/>
                <w:sz w:val="21"/>
                <w:szCs w:val="21"/>
                <w:lang w:eastAsia="zh-CN"/>
              </w:rPr>
            </w:pPr>
            <w:r>
              <w:rPr>
                <w:rFonts w:hint="eastAsia" w:ascii="Times New Roman" w:hAnsi="Times New Roman" w:eastAsia="宋体" w:cs="Times New Roman"/>
                <w:b/>
                <w:bCs w:val="0"/>
                <w:color w:val="auto"/>
                <w:sz w:val="21"/>
                <w:szCs w:val="21"/>
                <w:lang w:eastAsia="zh-CN"/>
              </w:rPr>
              <w:t>排放源</w:t>
            </w:r>
          </w:p>
        </w:tc>
        <w:tc>
          <w:tcPr>
            <w:tcW w:w="4861" w:type="dxa"/>
            <w:vAlign w:val="center"/>
          </w:tcPr>
          <w:p>
            <w:pPr>
              <w:pStyle w:val="16"/>
              <w:spacing w:line="240" w:lineRule="auto"/>
              <w:ind w:left="0" w:right="0"/>
              <w:jc w:val="center"/>
              <w:rPr>
                <w:rFonts w:hint="eastAsia" w:ascii="Times New Roman" w:hAnsi="Times New Roman" w:eastAsia="宋体" w:cs="Times New Roman"/>
                <w:b/>
                <w:bCs w:val="0"/>
                <w:color w:val="auto"/>
                <w:sz w:val="21"/>
                <w:szCs w:val="21"/>
                <w:lang w:eastAsia="zh-CN"/>
              </w:rPr>
            </w:pPr>
            <w:r>
              <w:rPr>
                <w:rFonts w:hint="eastAsia" w:ascii="Times New Roman" w:hAnsi="Times New Roman" w:eastAsia="宋体" w:cs="Times New Roman"/>
                <w:b/>
                <w:bCs w:val="0"/>
                <w:color w:val="auto"/>
                <w:sz w:val="21"/>
                <w:szCs w:val="21"/>
                <w:lang w:eastAsia="zh-CN"/>
              </w:rPr>
              <w:t>防治措施</w:t>
            </w:r>
          </w:p>
        </w:tc>
        <w:tc>
          <w:tcPr>
            <w:tcW w:w="2305" w:type="dxa"/>
            <w:vAlign w:val="center"/>
          </w:tcPr>
          <w:p>
            <w:pPr>
              <w:pStyle w:val="16"/>
              <w:spacing w:line="240" w:lineRule="auto"/>
              <w:ind w:left="0" w:right="0"/>
              <w:jc w:val="center"/>
              <w:rPr>
                <w:rFonts w:hint="eastAsia" w:ascii="Times New Roman" w:hAnsi="Times New Roman" w:eastAsia="宋体" w:cs="Times New Roman"/>
                <w:b/>
                <w:bCs w:val="0"/>
                <w:color w:val="auto"/>
                <w:sz w:val="21"/>
                <w:szCs w:val="21"/>
                <w:lang w:eastAsia="zh-CN"/>
              </w:rPr>
            </w:pPr>
            <w:r>
              <w:rPr>
                <w:rFonts w:hint="eastAsia" w:ascii="Times New Roman" w:hAnsi="Times New Roman" w:eastAsia="宋体" w:cs="Times New Roman"/>
                <w:b/>
                <w:bCs w:val="0"/>
                <w:color w:val="auto"/>
                <w:sz w:val="21"/>
                <w:szCs w:val="21"/>
                <w:lang w:eastAsia="zh-CN"/>
              </w:rPr>
              <w:t>治理目标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6"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1</w:t>
            </w:r>
          </w:p>
        </w:tc>
        <w:tc>
          <w:tcPr>
            <w:tcW w:w="1358"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lang w:eastAsia="zh-CN"/>
              </w:rPr>
            </w:pPr>
            <w:r>
              <w:rPr>
                <w:rFonts w:hint="eastAsia" w:ascii="Times New Roman" w:hAnsi="Times New Roman" w:eastAsia="宋体" w:cs="Times New Roman"/>
                <w:b w:val="0"/>
                <w:bCs/>
                <w:color w:val="auto"/>
                <w:sz w:val="21"/>
                <w:szCs w:val="21"/>
                <w:lang w:eastAsia="zh-CN"/>
              </w:rPr>
              <w:t>养殖猪舍</w:t>
            </w:r>
          </w:p>
        </w:tc>
        <w:tc>
          <w:tcPr>
            <w:tcW w:w="4861"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rPr>
              <w:t>封闭式猪舍，减少粪污沟表面积、采用有一定坡度的排污沟、频繁清粪、在猪舍设置水喷淋装置进行喷淋除臭</w:t>
            </w:r>
            <w:r>
              <w:rPr>
                <w:rFonts w:hint="eastAsia" w:ascii="Times New Roman" w:hAnsi="Times New Roman" w:eastAsia="宋体" w:cs="Times New Roman"/>
                <w:b w:val="0"/>
                <w:bCs/>
                <w:color w:val="auto"/>
                <w:sz w:val="21"/>
                <w:szCs w:val="21"/>
                <w:lang w:eastAsia="zh-CN"/>
              </w:rPr>
              <w:t>，并在风机出口设置除臭网进行除臭</w:t>
            </w:r>
            <w:r>
              <w:rPr>
                <w:rFonts w:hint="eastAsia" w:ascii="Times New Roman" w:hAnsi="Times New Roman" w:eastAsia="宋体" w:cs="Times New Roman"/>
                <w:b w:val="0"/>
                <w:bCs/>
                <w:color w:val="auto"/>
                <w:sz w:val="21"/>
                <w:szCs w:val="21"/>
              </w:rPr>
              <w:t>，定期在喷淋装置中加入环境友好型除臭菌等</w:t>
            </w:r>
          </w:p>
        </w:tc>
        <w:tc>
          <w:tcPr>
            <w:tcW w:w="2305" w:type="dxa"/>
            <w:vMerge w:val="restart"/>
            <w:vAlign w:val="center"/>
          </w:tcPr>
          <w:p>
            <w:pPr>
              <w:pStyle w:val="16"/>
              <w:spacing w:line="240" w:lineRule="auto"/>
              <w:ind w:left="0" w:right="0"/>
              <w:jc w:val="center"/>
              <w:rPr>
                <w:rFonts w:hint="eastAsia"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rPr>
              <w:t>满足《恶臭污染物排放标准》二级标准要求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6"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2</w:t>
            </w:r>
          </w:p>
        </w:tc>
        <w:tc>
          <w:tcPr>
            <w:tcW w:w="1358" w:type="dxa"/>
            <w:vAlign w:val="center"/>
          </w:tcPr>
          <w:p>
            <w:pPr>
              <w:pStyle w:val="16"/>
              <w:spacing w:line="240" w:lineRule="auto"/>
              <w:ind w:left="0" w:right="0"/>
              <w:jc w:val="center"/>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eastAsia="zh-CN"/>
              </w:rPr>
              <w:t>污水处理区</w:t>
            </w:r>
          </w:p>
        </w:tc>
        <w:tc>
          <w:tcPr>
            <w:tcW w:w="4861" w:type="dxa"/>
            <w:vAlign w:val="center"/>
          </w:tcPr>
          <w:p>
            <w:pPr>
              <w:pStyle w:val="16"/>
              <w:spacing w:line="240" w:lineRule="auto"/>
              <w:ind w:left="0" w:right="0"/>
              <w:jc w:val="center"/>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rPr>
              <w:t>加盖密封</w:t>
            </w:r>
            <w:r>
              <w:rPr>
                <w:rFonts w:hint="eastAsia" w:ascii="Times New Roman" w:hAnsi="Times New Roman" w:eastAsia="宋体" w:cs="Times New Roman"/>
                <w:b w:val="0"/>
                <w:bCs/>
                <w:color w:val="auto"/>
                <w:sz w:val="21"/>
                <w:szCs w:val="21"/>
                <w:highlight w:val="none"/>
                <w:lang w:eastAsia="zh-CN"/>
              </w:rPr>
              <w:t>，喷洒生物除臭剂，</w:t>
            </w:r>
            <w:r>
              <w:rPr>
                <w:rFonts w:hint="eastAsia" w:ascii="Times New Roman" w:hAnsi="Times New Roman" w:eastAsia="宋体" w:cs="Times New Roman"/>
                <w:b w:val="0"/>
                <w:bCs/>
                <w:color w:val="auto"/>
                <w:sz w:val="21"/>
                <w:szCs w:val="21"/>
                <w:highlight w:val="none"/>
                <w:lang w:val="en-US" w:eastAsia="zh-CN"/>
              </w:rPr>
              <w:t>周边绿化</w:t>
            </w:r>
          </w:p>
        </w:tc>
        <w:tc>
          <w:tcPr>
            <w:tcW w:w="2305" w:type="dxa"/>
            <w:vMerge w:val="continue"/>
            <w:vAlign w:val="center"/>
          </w:tcPr>
          <w:p>
            <w:pPr>
              <w:pStyle w:val="16"/>
              <w:spacing w:line="240" w:lineRule="auto"/>
              <w:ind w:left="0" w:right="0"/>
              <w:jc w:val="center"/>
              <w:rPr>
                <w:rFonts w:hint="eastAsia" w:ascii="Times New Roman" w:hAnsi="Times New Roman" w:eastAsia="宋体" w:cs="Times New Roman"/>
                <w:b w:val="0"/>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6" w:type="dxa"/>
            <w:vAlign w:val="center"/>
          </w:tcPr>
          <w:p>
            <w:pPr>
              <w:pStyle w:val="16"/>
              <w:spacing w:line="240" w:lineRule="auto"/>
              <w:ind w:left="0" w:right="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3</w:t>
            </w:r>
          </w:p>
        </w:tc>
        <w:tc>
          <w:tcPr>
            <w:tcW w:w="1358"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lang w:eastAsia="zh-CN"/>
              </w:rPr>
            </w:pPr>
            <w:r>
              <w:rPr>
                <w:rFonts w:hint="eastAsia" w:ascii="Times New Roman" w:hAnsi="Times New Roman" w:eastAsia="宋体" w:cs="Times New Roman"/>
                <w:b w:val="0"/>
                <w:bCs/>
                <w:color w:val="auto"/>
                <w:sz w:val="21"/>
                <w:szCs w:val="21"/>
                <w:lang w:val="en-US" w:eastAsia="zh-CN"/>
              </w:rPr>
              <w:t>堆粪间</w:t>
            </w:r>
          </w:p>
        </w:tc>
        <w:tc>
          <w:tcPr>
            <w:tcW w:w="4861"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lang w:eastAsia="zh-CN"/>
              </w:rPr>
            </w:pPr>
            <w:r>
              <w:rPr>
                <w:rFonts w:hint="eastAsia" w:ascii="Times New Roman" w:hAnsi="Times New Roman" w:eastAsia="宋体" w:cs="Times New Roman"/>
                <w:b w:val="0"/>
                <w:bCs/>
                <w:color w:val="auto"/>
                <w:sz w:val="21"/>
                <w:szCs w:val="21"/>
                <w:lang w:eastAsia="zh-CN"/>
              </w:rPr>
              <w:t>负压抽风后经喷淋洗涤吸收塔处理</w:t>
            </w:r>
          </w:p>
        </w:tc>
        <w:tc>
          <w:tcPr>
            <w:tcW w:w="2305" w:type="dxa"/>
            <w:vMerge w:val="continue"/>
            <w:vAlign w:val="center"/>
          </w:tcPr>
          <w:p>
            <w:pPr>
              <w:pStyle w:val="16"/>
              <w:spacing w:line="240" w:lineRule="auto"/>
              <w:ind w:left="0" w:right="0"/>
              <w:jc w:val="center"/>
              <w:rPr>
                <w:rFonts w:hint="eastAsia" w:ascii="Times New Roman" w:hAnsi="Times New Roman" w:eastAsia="宋体" w:cs="Times New Roman"/>
                <w:b w:val="0"/>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6" w:type="dxa"/>
            <w:vAlign w:val="center"/>
          </w:tcPr>
          <w:p>
            <w:pPr>
              <w:pStyle w:val="16"/>
              <w:spacing w:line="240" w:lineRule="auto"/>
              <w:ind w:left="0" w:right="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4</w:t>
            </w:r>
          </w:p>
        </w:tc>
        <w:tc>
          <w:tcPr>
            <w:tcW w:w="1358"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lang w:eastAsia="zh-CN"/>
              </w:rPr>
            </w:pPr>
            <w:r>
              <w:rPr>
                <w:rFonts w:hint="eastAsia" w:ascii="Times New Roman" w:hAnsi="Times New Roman" w:eastAsia="宋体" w:cs="Times New Roman"/>
                <w:b w:val="0"/>
                <w:bCs/>
                <w:color w:val="auto"/>
                <w:sz w:val="21"/>
                <w:szCs w:val="21"/>
                <w:lang w:eastAsia="zh-CN"/>
              </w:rPr>
              <w:t>全场</w:t>
            </w:r>
          </w:p>
        </w:tc>
        <w:tc>
          <w:tcPr>
            <w:tcW w:w="4861"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lang w:eastAsia="zh-CN"/>
              </w:rPr>
            </w:pPr>
            <w:r>
              <w:rPr>
                <w:rFonts w:hint="eastAsia" w:ascii="Times New Roman" w:hAnsi="Times New Roman" w:eastAsia="宋体" w:cs="Times New Roman"/>
                <w:b w:val="0"/>
                <w:bCs/>
                <w:color w:val="auto"/>
                <w:sz w:val="21"/>
                <w:szCs w:val="21"/>
                <w:lang w:eastAsia="zh-CN"/>
              </w:rPr>
              <w:t>周边绿化</w:t>
            </w:r>
          </w:p>
        </w:tc>
        <w:tc>
          <w:tcPr>
            <w:tcW w:w="2305" w:type="dxa"/>
            <w:vMerge w:val="continue"/>
            <w:vAlign w:val="center"/>
          </w:tcPr>
          <w:p>
            <w:pPr>
              <w:pStyle w:val="16"/>
              <w:spacing w:line="240" w:lineRule="auto"/>
              <w:ind w:left="0" w:right="0"/>
              <w:jc w:val="center"/>
              <w:rPr>
                <w:rFonts w:hint="eastAsia" w:ascii="Times New Roman" w:hAnsi="Times New Roman" w:eastAsia="宋体" w:cs="Times New Roman"/>
                <w:b w:val="0"/>
                <w:bCs/>
                <w:color w:val="auto"/>
                <w:sz w:val="21"/>
                <w:szCs w:val="21"/>
              </w:rPr>
            </w:pPr>
          </w:p>
        </w:tc>
      </w:tr>
    </w:tbl>
    <w:p>
      <w:pPr>
        <w:pStyle w:val="16"/>
        <w:numPr>
          <w:ilvl w:val="0"/>
          <w:numId w:val="39"/>
        </w:numPr>
        <w:adjustRightInd w:val="0"/>
        <w:snapToGrid w:val="0"/>
        <w:spacing w:line="360" w:lineRule="auto"/>
        <w:ind w:left="0" w:leftChars="0" w:right="0" w:firstLine="482" w:firstLineChars="200"/>
        <w:jc w:val="both"/>
        <w:rPr>
          <w:rFonts w:hint="eastAsia" w:ascii="Times New Roman" w:hAnsi="Times New Roman" w:eastAsia="宋体" w:cs="Times New Roman"/>
          <w:b/>
          <w:bCs w:val="0"/>
          <w:color w:val="auto"/>
          <w:sz w:val="24"/>
          <w:szCs w:val="24"/>
        </w:rPr>
      </w:pPr>
      <w:r>
        <w:rPr>
          <w:rFonts w:hint="eastAsia" w:ascii="Times New Roman" w:hAnsi="Times New Roman" w:eastAsia="宋体" w:cs="Times New Roman"/>
          <w:b/>
          <w:bCs w:val="0"/>
          <w:color w:val="auto"/>
          <w:sz w:val="24"/>
          <w:szCs w:val="24"/>
        </w:rPr>
        <w:t>防护距离的划定及恶臭防治措施有效性和可行性分析</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highlight w:val="none"/>
          <w:lang w:val="en-US" w:eastAsia="zh-CN"/>
        </w:rPr>
      </w:pPr>
      <w:r>
        <w:rPr>
          <w:rFonts w:hint="eastAsia" w:ascii="Times New Roman" w:hAnsi="Times New Roman" w:eastAsia="宋体" w:cs="Times New Roman"/>
          <w:b w:val="0"/>
          <w:bCs/>
          <w:color w:val="auto"/>
          <w:sz w:val="24"/>
          <w:szCs w:val="24"/>
        </w:rPr>
        <w:t>根据本报告书第 5.2.1.8 章节“大气环境防护距离和卫生防护距离”，</w:t>
      </w:r>
      <w:r>
        <w:rPr>
          <w:rFonts w:hint="eastAsia" w:ascii="Times New Roman" w:hAnsi="Times New Roman" w:eastAsia="宋体" w:cs="Times New Roman"/>
          <w:b w:val="0"/>
          <w:bCs/>
          <w:color w:val="auto"/>
          <w:sz w:val="24"/>
          <w:szCs w:val="24"/>
          <w:lang w:val="en-US" w:eastAsia="zh-CN"/>
        </w:rPr>
        <w:t>本项目</w:t>
      </w:r>
      <w:r>
        <w:rPr>
          <w:rFonts w:hint="eastAsia" w:ascii="Times New Roman" w:hAnsi="Times New Roman" w:eastAsia="宋体" w:cs="Times New Roman"/>
          <w:b w:val="0"/>
          <w:bCs/>
          <w:color w:val="auto"/>
          <w:sz w:val="24"/>
          <w:szCs w:val="24"/>
        </w:rPr>
        <w:t>以</w:t>
      </w:r>
      <w:r>
        <w:rPr>
          <w:rFonts w:hint="eastAsia" w:ascii="Times New Roman" w:hAnsi="Times New Roman" w:eastAsia="宋体" w:cs="Times New Roman"/>
          <w:b w:val="0"/>
          <w:bCs/>
          <w:color w:val="auto"/>
          <w:sz w:val="24"/>
          <w:szCs w:val="24"/>
          <w:highlight w:val="none"/>
        </w:rPr>
        <w:t>猪舍、</w:t>
      </w:r>
      <w:r>
        <w:rPr>
          <w:rFonts w:hint="eastAsia" w:ascii="Times New Roman" w:hAnsi="Times New Roman" w:eastAsia="宋体" w:cs="Times New Roman"/>
          <w:b w:val="0"/>
          <w:bCs/>
          <w:color w:val="auto"/>
          <w:sz w:val="24"/>
          <w:szCs w:val="24"/>
          <w:highlight w:val="none"/>
          <w:lang w:eastAsia="zh-CN"/>
        </w:rPr>
        <w:t>污水处理区、堆粪间</w:t>
      </w:r>
      <w:r>
        <w:rPr>
          <w:rFonts w:hint="eastAsia" w:ascii="Times New Roman" w:hAnsi="Times New Roman" w:eastAsia="宋体" w:cs="Times New Roman"/>
          <w:b w:val="0"/>
          <w:bCs/>
          <w:color w:val="auto"/>
          <w:sz w:val="24"/>
          <w:szCs w:val="24"/>
          <w:highlight w:val="none"/>
        </w:rPr>
        <w:t>为中心设置200m</w:t>
      </w:r>
      <w:r>
        <w:rPr>
          <w:rFonts w:hint="eastAsia" w:ascii="Times New Roman" w:hAnsi="Times New Roman" w:eastAsia="宋体" w:cs="Times New Roman"/>
          <w:b w:val="0"/>
          <w:bCs/>
          <w:color w:val="auto"/>
          <w:sz w:val="24"/>
          <w:szCs w:val="24"/>
          <w:highlight w:val="none"/>
          <w:lang w:val="en-US" w:eastAsia="zh-CN"/>
        </w:rPr>
        <w:t>卫生防护距离</w:t>
      </w:r>
      <w:r>
        <w:rPr>
          <w:rFonts w:hint="eastAsia" w:ascii="Times New Roman" w:hAnsi="Times New Roman" w:eastAsia="宋体" w:cs="Times New Roman"/>
          <w:b w:val="0"/>
          <w:bCs/>
          <w:color w:val="auto"/>
          <w:sz w:val="24"/>
          <w:szCs w:val="24"/>
          <w:highlight w:val="none"/>
          <w:lang w:eastAsia="zh-CN"/>
        </w:rPr>
        <w:t>。</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环评要求：今后在项目卫生防护距离范围内不得新建人居居住设施、学校、医院等环境敏感点。不得规划建设食品、制药等工业企业。同时还要求：</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①在各种池子停产修理时，池底积泥会暴露出来散发臭气，应取及时清除积泥的措施来防止臭气的影响。综上分析，环评提出的恶臭防治措施具有较好的可行性和可靠性；</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②运输车辆密闭，避开运输高峰期，尽量减少臭气对运输线路附近大气环境的影响；</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③污泥日产日清；</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项目通过对以上措施的落实，可最大限度的减轻项目恶臭无组织排放对周围环境造成的影响，措施可行。</w:t>
      </w:r>
    </w:p>
    <w:p>
      <w:pPr>
        <w:pStyle w:val="16"/>
        <w:numPr>
          <w:ilvl w:val="0"/>
          <w:numId w:val="39"/>
        </w:numPr>
        <w:adjustRightInd w:val="0"/>
        <w:snapToGrid w:val="0"/>
        <w:spacing w:line="360" w:lineRule="auto"/>
        <w:ind w:left="0" w:leftChars="0" w:right="0" w:firstLine="482" w:firstLineChars="200"/>
        <w:jc w:val="both"/>
        <w:rPr>
          <w:rFonts w:hint="eastAsia" w:ascii="Times New Roman" w:hAnsi="Times New Roman" w:eastAsia="宋体" w:cs="Times New Roman"/>
          <w:b/>
          <w:bCs/>
          <w:color w:val="auto"/>
          <w:sz w:val="24"/>
          <w:szCs w:val="24"/>
        </w:rPr>
      </w:pPr>
      <w:r>
        <w:rPr>
          <w:rFonts w:hint="eastAsia" w:ascii="Times New Roman" w:hAnsi="Times New Roman" w:eastAsia="宋体" w:cs="Times New Roman"/>
          <w:b/>
          <w:bCs/>
          <w:color w:val="auto"/>
          <w:sz w:val="24"/>
          <w:szCs w:val="24"/>
        </w:rPr>
        <w:t>恶臭治理措施可行性分析</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本项目</w:t>
      </w:r>
      <w:r>
        <w:rPr>
          <w:rFonts w:hint="eastAsia" w:ascii="Times New Roman" w:hAnsi="Times New Roman" w:eastAsia="宋体" w:cs="Times New Roman"/>
          <w:b w:val="0"/>
          <w:bCs/>
          <w:color w:val="auto"/>
          <w:sz w:val="24"/>
          <w:szCs w:val="24"/>
          <w:lang w:eastAsia="zh-CN"/>
        </w:rPr>
        <w:t>堆粪间</w:t>
      </w:r>
      <w:r>
        <w:rPr>
          <w:rFonts w:hint="eastAsia" w:ascii="Times New Roman" w:hAnsi="Times New Roman" w:eastAsia="宋体" w:cs="Times New Roman"/>
          <w:b w:val="0"/>
          <w:bCs/>
          <w:color w:val="auto"/>
          <w:sz w:val="24"/>
          <w:szCs w:val="24"/>
        </w:rPr>
        <w:t>恶臭气体采取治理措施如下：</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lang w:eastAsia="zh-CN"/>
        </w:rPr>
        <w:t>堆粪间</w:t>
      </w:r>
      <w:r>
        <w:rPr>
          <w:rFonts w:hint="eastAsia" w:ascii="Times New Roman" w:hAnsi="Times New Roman" w:eastAsia="宋体" w:cs="Times New Roman"/>
          <w:b w:val="0"/>
          <w:bCs/>
          <w:color w:val="auto"/>
          <w:sz w:val="24"/>
          <w:szCs w:val="24"/>
        </w:rPr>
        <w:t>全封闭，通过集气系统收集恶臭气体至</w:t>
      </w:r>
      <w:r>
        <w:rPr>
          <w:rFonts w:hint="eastAsia" w:ascii="Times New Roman" w:hAnsi="Times New Roman" w:eastAsia="宋体" w:cs="Times New Roman"/>
          <w:b w:val="0"/>
          <w:bCs/>
          <w:color w:val="auto"/>
          <w:sz w:val="24"/>
          <w:szCs w:val="24"/>
          <w:lang w:eastAsia="zh-CN"/>
        </w:rPr>
        <w:t>喷淋洗涤吸收塔</w:t>
      </w:r>
      <w:r>
        <w:rPr>
          <w:rFonts w:hint="eastAsia" w:ascii="Times New Roman" w:hAnsi="Times New Roman" w:eastAsia="宋体" w:cs="Times New Roman"/>
          <w:b w:val="0"/>
          <w:bCs/>
          <w:color w:val="auto"/>
          <w:sz w:val="24"/>
          <w:szCs w:val="24"/>
        </w:rPr>
        <w:t>处理后通过 15m 排气筒排放。</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lang w:eastAsia="zh-CN"/>
        </w:rPr>
        <w:t>喷淋洗涤吸收塔工作原理：废气</w:t>
      </w:r>
      <w:r>
        <w:rPr>
          <w:rFonts w:hint="eastAsia" w:ascii="Times New Roman" w:hAnsi="Times New Roman" w:eastAsia="宋体" w:cs="Times New Roman"/>
          <w:b w:val="0"/>
          <w:bCs/>
          <w:color w:val="auto"/>
          <w:sz w:val="24"/>
          <w:szCs w:val="24"/>
          <w:lang w:val="en-US" w:eastAsia="zh-CN"/>
        </w:rPr>
        <w:t>通过风管支管汇入风管主管</w:t>
      </w:r>
      <w:r>
        <w:rPr>
          <w:rFonts w:hint="eastAsia" w:ascii="Times New Roman" w:hAnsi="Times New Roman" w:eastAsia="宋体" w:cs="Times New Roman"/>
          <w:b w:val="0"/>
          <w:bCs/>
          <w:color w:val="auto"/>
          <w:sz w:val="24"/>
          <w:szCs w:val="24"/>
          <w:lang w:eastAsia="zh-CN"/>
        </w:rPr>
        <w:t>进入喷淋</w:t>
      </w:r>
      <w:r>
        <w:rPr>
          <w:rFonts w:hint="eastAsia" w:ascii="Times New Roman" w:hAnsi="Times New Roman" w:eastAsia="宋体" w:cs="Times New Roman"/>
          <w:b w:val="0"/>
          <w:bCs/>
          <w:color w:val="auto"/>
          <w:sz w:val="24"/>
          <w:szCs w:val="24"/>
          <w:lang w:val="en-US" w:eastAsia="zh-CN"/>
        </w:rPr>
        <w:t>洗涤</w:t>
      </w:r>
      <w:r>
        <w:rPr>
          <w:rFonts w:hint="eastAsia" w:ascii="Times New Roman" w:hAnsi="Times New Roman" w:eastAsia="宋体" w:cs="Times New Roman"/>
          <w:b w:val="0"/>
          <w:bCs/>
          <w:color w:val="auto"/>
          <w:sz w:val="24"/>
          <w:szCs w:val="24"/>
          <w:lang w:eastAsia="zh-CN"/>
        </w:rPr>
        <w:t>吸收塔，</w:t>
      </w:r>
      <w:r>
        <w:rPr>
          <w:rFonts w:hint="eastAsia" w:ascii="Times New Roman" w:hAnsi="Times New Roman" w:eastAsia="宋体" w:cs="Times New Roman"/>
          <w:b w:val="0"/>
          <w:bCs/>
          <w:color w:val="auto"/>
          <w:sz w:val="24"/>
          <w:szCs w:val="24"/>
          <w:lang w:val="en-US" w:eastAsia="zh-CN"/>
        </w:rPr>
        <w:t>喷淋塔配套加药设备为塔内吸收液补充药剂，</w:t>
      </w:r>
      <w:r>
        <w:rPr>
          <w:rFonts w:hint="eastAsia" w:ascii="Times New Roman" w:hAnsi="Times New Roman" w:eastAsia="宋体" w:cs="Times New Roman"/>
          <w:b w:val="0"/>
          <w:bCs/>
          <w:color w:val="auto"/>
          <w:sz w:val="24"/>
          <w:szCs w:val="24"/>
          <w:lang w:eastAsia="zh-CN"/>
        </w:rPr>
        <w:t>废气进入吸收塔</w:t>
      </w:r>
      <w:r>
        <w:rPr>
          <w:rFonts w:hint="eastAsia" w:ascii="Times New Roman" w:hAnsi="Times New Roman" w:eastAsia="宋体" w:cs="Times New Roman"/>
          <w:b w:val="0"/>
          <w:bCs/>
          <w:color w:val="auto"/>
          <w:sz w:val="24"/>
          <w:szCs w:val="24"/>
          <w:lang w:val="en-US" w:eastAsia="zh-CN"/>
        </w:rPr>
        <w:t>后</w:t>
      </w:r>
      <w:r>
        <w:rPr>
          <w:rFonts w:hint="eastAsia" w:ascii="Times New Roman" w:hAnsi="Times New Roman" w:eastAsia="宋体" w:cs="Times New Roman"/>
          <w:b w:val="0"/>
          <w:bCs/>
          <w:color w:val="auto"/>
          <w:sz w:val="24"/>
          <w:szCs w:val="24"/>
          <w:lang w:eastAsia="zh-CN"/>
        </w:rPr>
        <w:t>，塔体上部喷淋吸收液，下部进入塔体的</w:t>
      </w:r>
      <w:r>
        <w:rPr>
          <w:rFonts w:hint="eastAsia" w:ascii="Times New Roman" w:hAnsi="Times New Roman" w:eastAsia="宋体" w:cs="Times New Roman"/>
          <w:b w:val="0"/>
          <w:bCs/>
          <w:color w:val="auto"/>
          <w:sz w:val="24"/>
          <w:szCs w:val="24"/>
          <w:lang w:val="en-US" w:eastAsia="zh-CN"/>
        </w:rPr>
        <w:t>恶臭气体、</w:t>
      </w:r>
      <w:r>
        <w:rPr>
          <w:rFonts w:hint="eastAsia" w:ascii="Times New Roman" w:hAnsi="Times New Roman" w:eastAsia="宋体" w:cs="Times New Roman"/>
          <w:b w:val="0"/>
          <w:bCs/>
          <w:color w:val="auto"/>
          <w:sz w:val="24"/>
          <w:szCs w:val="24"/>
          <w:lang w:eastAsia="zh-CN"/>
        </w:rPr>
        <w:t>有害气体与喷淋液呈逆流流动，</w:t>
      </w:r>
      <w:r>
        <w:rPr>
          <w:rFonts w:hint="eastAsia" w:ascii="Times New Roman" w:hAnsi="Times New Roman" w:eastAsia="宋体" w:cs="Times New Roman"/>
          <w:b w:val="0"/>
          <w:bCs/>
          <w:color w:val="auto"/>
          <w:sz w:val="24"/>
          <w:szCs w:val="24"/>
          <w:lang w:val="en-US" w:eastAsia="zh-CN"/>
        </w:rPr>
        <w:t>充分接触</w:t>
      </w:r>
      <w:r>
        <w:rPr>
          <w:rFonts w:hint="eastAsia" w:ascii="Times New Roman" w:hAnsi="Times New Roman" w:eastAsia="宋体" w:cs="Times New Roman"/>
          <w:b w:val="0"/>
          <w:bCs/>
          <w:color w:val="auto"/>
          <w:sz w:val="24"/>
          <w:szCs w:val="24"/>
          <w:lang w:eastAsia="zh-CN"/>
        </w:rPr>
        <w:t>吸收废气后的吸收液流入塔底循环</w:t>
      </w:r>
      <w:r>
        <w:rPr>
          <w:rFonts w:hint="eastAsia" w:ascii="Times New Roman" w:hAnsi="Times New Roman" w:eastAsia="宋体" w:cs="Times New Roman"/>
          <w:b w:val="0"/>
          <w:bCs/>
          <w:color w:val="auto"/>
          <w:sz w:val="24"/>
          <w:szCs w:val="24"/>
          <w:lang w:val="en-US" w:eastAsia="zh-CN"/>
        </w:rPr>
        <w:t>储</w:t>
      </w:r>
      <w:r>
        <w:rPr>
          <w:rFonts w:hint="eastAsia" w:ascii="Times New Roman" w:hAnsi="Times New Roman" w:eastAsia="宋体" w:cs="Times New Roman"/>
          <w:b w:val="0"/>
          <w:bCs/>
          <w:color w:val="auto"/>
          <w:sz w:val="24"/>
          <w:szCs w:val="24"/>
          <w:lang w:eastAsia="zh-CN"/>
        </w:rPr>
        <w:t>液槽中，用耐腐蚀的</w:t>
      </w:r>
      <w:r>
        <w:rPr>
          <w:rFonts w:hint="eastAsia" w:ascii="Times New Roman" w:hAnsi="Times New Roman" w:eastAsia="宋体" w:cs="Times New Roman"/>
          <w:b w:val="0"/>
          <w:bCs/>
          <w:color w:val="auto"/>
          <w:sz w:val="24"/>
          <w:szCs w:val="24"/>
          <w:lang w:val="en-US" w:eastAsia="zh-CN"/>
        </w:rPr>
        <w:t>循环泵</w:t>
      </w:r>
      <w:r>
        <w:rPr>
          <w:rFonts w:hint="eastAsia" w:ascii="Times New Roman" w:hAnsi="Times New Roman" w:eastAsia="宋体" w:cs="Times New Roman"/>
          <w:b w:val="0"/>
          <w:bCs/>
          <w:color w:val="auto"/>
          <w:sz w:val="24"/>
          <w:szCs w:val="24"/>
          <w:lang w:eastAsia="zh-CN"/>
        </w:rPr>
        <w:t>抽出重新送进吸收塔，这样循环往复，不断地对废气中的有害气体进行吸收，</w:t>
      </w:r>
      <w:r>
        <w:rPr>
          <w:rFonts w:hint="eastAsia" w:ascii="Times New Roman" w:hAnsi="Times New Roman" w:eastAsia="宋体" w:cs="Times New Roman"/>
          <w:b w:val="0"/>
          <w:bCs/>
          <w:color w:val="auto"/>
          <w:sz w:val="24"/>
          <w:szCs w:val="24"/>
          <w:lang w:val="en-US" w:eastAsia="zh-CN"/>
        </w:rPr>
        <w:t>到达净化废气的效果</w:t>
      </w:r>
      <w:r>
        <w:rPr>
          <w:rFonts w:hint="eastAsia" w:ascii="Times New Roman" w:hAnsi="Times New Roman" w:eastAsia="宋体" w:cs="Times New Roman"/>
          <w:b w:val="0"/>
          <w:bCs/>
          <w:color w:val="auto"/>
          <w:sz w:val="24"/>
          <w:szCs w:val="24"/>
        </w:rPr>
        <w:t>。</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highlight w:val="none"/>
        </w:rPr>
        <w:t>目前</w:t>
      </w:r>
      <w:r>
        <w:rPr>
          <w:rFonts w:hint="eastAsia" w:ascii="Times New Roman" w:hAnsi="Times New Roman" w:eastAsia="宋体" w:cs="Times New Roman"/>
          <w:b w:val="0"/>
          <w:bCs/>
          <w:color w:val="auto"/>
          <w:sz w:val="24"/>
          <w:szCs w:val="24"/>
          <w:highlight w:val="none"/>
          <w:lang w:eastAsia="zh-CN"/>
        </w:rPr>
        <w:t>喷淋洗涤吸收塔</w:t>
      </w:r>
      <w:r>
        <w:rPr>
          <w:rFonts w:hint="eastAsia" w:ascii="Times New Roman" w:hAnsi="Times New Roman" w:eastAsia="宋体" w:cs="Times New Roman"/>
          <w:b w:val="0"/>
          <w:bCs/>
          <w:color w:val="auto"/>
          <w:sz w:val="24"/>
          <w:szCs w:val="24"/>
          <w:highlight w:val="none"/>
        </w:rPr>
        <w:t>已广泛应用于治理污水处理厂产生的恶臭气体（主要成分为 NH</w:t>
      </w:r>
      <w:r>
        <w:rPr>
          <w:rFonts w:hint="eastAsia" w:ascii="Times New Roman" w:hAnsi="Times New Roman" w:eastAsia="宋体" w:cs="Times New Roman"/>
          <w:b w:val="0"/>
          <w:bCs/>
          <w:color w:val="auto"/>
          <w:sz w:val="24"/>
          <w:szCs w:val="24"/>
          <w:highlight w:val="none"/>
          <w:vertAlign w:val="subscript"/>
        </w:rPr>
        <w:t>3</w:t>
      </w:r>
      <w:r>
        <w:rPr>
          <w:rFonts w:hint="eastAsia" w:ascii="Times New Roman" w:hAnsi="Times New Roman" w:eastAsia="宋体" w:cs="Times New Roman"/>
          <w:b w:val="0"/>
          <w:bCs/>
          <w:color w:val="auto"/>
          <w:sz w:val="24"/>
          <w:szCs w:val="24"/>
          <w:highlight w:val="none"/>
        </w:rPr>
        <w:t>和 H</w:t>
      </w:r>
      <w:r>
        <w:rPr>
          <w:rFonts w:hint="eastAsia" w:ascii="Times New Roman" w:hAnsi="Times New Roman" w:eastAsia="宋体" w:cs="Times New Roman"/>
          <w:b w:val="0"/>
          <w:bCs/>
          <w:color w:val="auto"/>
          <w:sz w:val="24"/>
          <w:szCs w:val="24"/>
          <w:highlight w:val="none"/>
          <w:vertAlign w:val="subscript"/>
        </w:rPr>
        <w:t>2</w:t>
      </w:r>
      <w:r>
        <w:rPr>
          <w:rFonts w:hint="eastAsia" w:ascii="Times New Roman" w:hAnsi="Times New Roman" w:eastAsia="宋体" w:cs="Times New Roman"/>
          <w:b w:val="0"/>
          <w:bCs/>
          <w:color w:val="auto"/>
          <w:sz w:val="24"/>
          <w:szCs w:val="24"/>
          <w:highlight w:val="none"/>
        </w:rPr>
        <w:t>S，和本项目污染物类似），根据《污水厂生物滤池除臭技术》（文章编号：1006-5377（2010）01-0058-01），</w:t>
      </w:r>
      <w:r>
        <w:rPr>
          <w:rFonts w:hint="eastAsia" w:ascii="Times New Roman" w:hAnsi="Times New Roman" w:eastAsia="宋体" w:cs="Times New Roman"/>
          <w:b w:val="0"/>
          <w:bCs/>
          <w:color w:val="auto"/>
          <w:sz w:val="24"/>
          <w:szCs w:val="24"/>
          <w:highlight w:val="none"/>
          <w:lang w:eastAsia="zh-CN"/>
        </w:rPr>
        <w:t>喷淋洗涤吸收塔</w:t>
      </w:r>
      <w:r>
        <w:rPr>
          <w:rFonts w:hint="eastAsia" w:ascii="Times New Roman" w:hAnsi="Times New Roman" w:eastAsia="宋体" w:cs="Times New Roman"/>
          <w:b w:val="0"/>
          <w:bCs/>
          <w:color w:val="auto"/>
          <w:sz w:val="24"/>
          <w:szCs w:val="24"/>
          <w:highlight w:val="none"/>
        </w:rPr>
        <w:t>效率最高可达到 95%~99%。因此本项目采取</w:t>
      </w:r>
      <w:r>
        <w:rPr>
          <w:rFonts w:hint="eastAsia" w:ascii="Times New Roman" w:hAnsi="Times New Roman" w:eastAsia="宋体" w:cs="Times New Roman"/>
          <w:b w:val="0"/>
          <w:bCs/>
          <w:color w:val="auto"/>
          <w:sz w:val="24"/>
          <w:szCs w:val="24"/>
          <w:highlight w:val="none"/>
          <w:lang w:eastAsia="zh-CN"/>
        </w:rPr>
        <w:t>喷淋洗涤吸收塔</w:t>
      </w:r>
      <w:r>
        <w:rPr>
          <w:rFonts w:hint="eastAsia" w:ascii="Times New Roman" w:hAnsi="Times New Roman" w:eastAsia="宋体" w:cs="Times New Roman"/>
          <w:b w:val="0"/>
          <w:bCs/>
          <w:color w:val="auto"/>
          <w:sz w:val="24"/>
          <w:szCs w:val="24"/>
          <w:highlight w:val="none"/>
        </w:rPr>
        <w:t>去除</w:t>
      </w:r>
      <w:r>
        <w:rPr>
          <w:rFonts w:hint="eastAsia" w:ascii="Times New Roman" w:hAnsi="Times New Roman" w:eastAsia="宋体" w:cs="Times New Roman"/>
          <w:b w:val="0"/>
          <w:bCs/>
          <w:color w:val="auto"/>
          <w:sz w:val="24"/>
          <w:szCs w:val="24"/>
          <w:highlight w:val="none"/>
          <w:lang w:val="en-US" w:eastAsia="zh-CN"/>
        </w:rPr>
        <w:t>堆粪间</w:t>
      </w:r>
      <w:r>
        <w:rPr>
          <w:rFonts w:hint="eastAsia" w:ascii="Times New Roman" w:hAnsi="Times New Roman" w:eastAsia="宋体" w:cs="Times New Roman"/>
          <w:b w:val="0"/>
          <w:bCs/>
          <w:color w:val="auto"/>
          <w:sz w:val="24"/>
          <w:szCs w:val="24"/>
          <w:highlight w:val="none"/>
        </w:rPr>
        <w:t>恶臭气体措施可行。</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综上所述，项目恶臭污染防治措施技术程度，有效可行。</w:t>
      </w:r>
    </w:p>
    <w:p>
      <w:pPr>
        <w:pStyle w:val="16"/>
        <w:adjustRightInd w:val="0"/>
        <w:snapToGrid w:val="0"/>
        <w:spacing w:line="360" w:lineRule="auto"/>
        <w:ind w:left="0" w:right="0" w:firstLine="482" w:firstLineChars="200"/>
        <w:jc w:val="both"/>
        <w:rPr>
          <w:rFonts w:hint="eastAsia" w:ascii="Times New Roman" w:hAnsi="Times New Roman" w:eastAsia="宋体" w:cs="Times New Roman"/>
          <w:b/>
          <w:bCs w:val="0"/>
          <w:color w:val="auto"/>
          <w:sz w:val="24"/>
          <w:szCs w:val="24"/>
        </w:rPr>
      </w:pPr>
      <w:r>
        <w:rPr>
          <w:rFonts w:hint="eastAsia" w:ascii="Times New Roman" w:hAnsi="Times New Roman" w:eastAsia="宋体" w:cs="Times New Roman"/>
          <w:b/>
          <w:bCs w:val="0"/>
          <w:color w:val="auto"/>
          <w:sz w:val="24"/>
          <w:szCs w:val="24"/>
          <w:lang w:val="en-US" w:eastAsia="zh-CN"/>
        </w:rPr>
        <w:t>4、</w:t>
      </w:r>
      <w:r>
        <w:rPr>
          <w:rFonts w:hint="eastAsia" w:ascii="Times New Roman" w:hAnsi="Times New Roman" w:eastAsia="宋体" w:cs="Times New Roman"/>
          <w:b/>
          <w:bCs w:val="0"/>
          <w:color w:val="auto"/>
          <w:sz w:val="24"/>
          <w:szCs w:val="24"/>
        </w:rPr>
        <w:t>补充措施与建议</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恶臭污染物排放弥散于空气中，就目前我国的国情而言，要消除和克服这种恶臭异味对厂区内及厂界外近距离范围的影响是不易做到的，只能采取个人防护和减少向外扩散等辅助性措施来解决。具体来说，工程在建设和今后运行时应采取以下对策措施：</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1）加强厂区及厂界绿化绿色植物具有一定的吸收有害气体，减轻恶臭异味的作用，为达到此种目的，工程应保证绿化面积达30%以上。绿化植物的选择也应考虑抗污力强，净化空气好的植物；此外，在厂区内应广种花草、果树，使厂区形成花园式布局。各季的果树花和花卉香味可以降低或减轻恶臭味在空气中的浓度（至少人的感觉会降低）而达到防护的目的。常见优势树种列入表 6</w:t>
      </w:r>
      <w:r>
        <w:rPr>
          <w:rFonts w:hint="eastAsia" w:ascii="Times New Roman" w:hAnsi="Times New Roman" w:eastAsia="宋体" w:cs="Times New Roman"/>
          <w:b w:val="0"/>
          <w:bCs/>
          <w:color w:val="auto"/>
          <w:sz w:val="24"/>
          <w:szCs w:val="24"/>
          <w:lang w:val="en-US" w:eastAsia="zh-CN"/>
        </w:rPr>
        <w:t>.2-2</w:t>
      </w:r>
      <w:r>
        <w:rPr>
          <w:rFonts w:hint="eastAsia" w:ascii="Times New Roman" w:hAnsi="Times New Roman" w:eastAsia="宋体" w:cs="Times New Roman"/>
          <w:b w:val="0"/>
          <w:bCs/>
          <w:color w:val="auto"/>
          <w:sz w:val="24"/>
          <w:szCs w:val="24"/>
        </w:rPr>
        <w:t>。</w:t>
      </w:r>
    </w:p>
    <w:p>
      <w:pPr>
        <w:pStyle w:val="16"/>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表6.2-</w:t>
      </w:r>
      <w:r>
        <w:rPr>
          <w:rFonts w:hint="eastAsia" w:ascii="Times New Roman" w:hAnsi="Times New Roman" w:eastAsia="宋体" w:cs="Times New Roman"/>
          <w:color w:val="auto"/>
          <w:sz w:val="21"/>
          <w:szCs w:val="21"/>
          <w:lang w:val="en-US" w:eastAsia="zh-CN"/>
        </w:rPr>
        <w:t>2</w:t>
      </w:r>
      <w:r>
        <w:rPr>
          <w:rFonts w:hint="eastAsia" w:ascii="Times New Roman" w:hAnsi="Times New Roman" w:eastAsia="宋体" w:cs="Times New Roman"/>
          <w:color w:val="auto"/>
          <w:sz w:val="21"/>
          <w:szCs w:val="21"/>
        </w:rPr>
        <w:t xml:space="preserve"> 绿化树种的特性及保护环境功能</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73"/>
        <w:gridCol w:w="3073"/>
        <w:gridCol w:w="3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3" w:type="dxa"/>
            <w:vAlign w:val="center"/>
          </w:tcPr>
          <w:p>
            <w:pPr>
              <w:pStyle w:val="16"/>
              <w:spacing w:line="240" w:lineRule="auto"/>
              <w:ind w:left="0" w:right="0"/>
              <w:jc w:val="center"/>
              <w:rPr>
                <w:rFonts w:hint="eastAsia" w:ascii="Times New Roman" w:hAnsi="Times New Roman" w:eastAsia="宋体" w:cs="Times New Roman"/>
                <w:b/>
                <w:bCs w:val="0"/>
                <w:color w:val="auto"/>
                <w:sz w:val="21"/>
                <w:szCs w:val="21"/>
                <w:lang w:eastAsia="zh-CN"/>
              </w:rPr>
            </w:pPr>
            <w:r>
              <w:rPr>
                <w:rFonts w:hint="eastAsia" w:ascii="Times New Roman" w:hAnsi="Times New Roman" w:eastAsia="宋体" w:cs="Times New Roman"/>
                <w:b/>
                <w:bCs w:val="0"/>
                <w:color w:val="auto"/>
                <w:sz w:val="21"/>
                <w:szCs w:val="21"/>
                <w:lang w:eastAsia="zh-CN"/>
              </w:rPr>
              <w:t>种类</w:t>
            </w:r>
          </w:p>
        </w:tc>
        <w:tc>
          <w:tcPr>
            <w:tcW w:w="3073" w:type="dxa"/>
            <w:vAlign w:val="center"/>
          </w:tcPr>
          <w:p>
            <w:pPr>
              <w:pStyle w:val="16"/>
              <w:spacing w:line="240" w:lineRule="auto"/>
              <w:ind w:left="0" w:right="0"/>
              <w:jc w:val="center"/>
              <w:rPr>
                <w:rFonts w:hint="eastAsia" w:ascii="Times New Roman" w:hAnsi="Times New Roman" w:eastAsia="宋体" w:cs="Times New Roman"/>
                <w:b/>
                <w:bCs w:val="0"/>
                <w:color w:val="auto"/>
                <w:sz w:val="21"/>
                <w:szCs w:val="21"/>
                <w:lang w:eastAsia="zh-CN"/>
              </w:rPr>
            </w:pPr>
            <w:r>
              <w:rPr>
                <w:rFonts w:hint="eastAsia" w:ascii="Times New Roman" w:hAnsi="Times New Roman" w:eastAsia="宋体" w:cs="Times New Roman"/>
                <w:b/>
                <w:bCs w:val="0"/>
                <w:color w:val="auto"/>
                <w:sz w:val="21"/>
                <w:szCs w:val="21"/>
                <w:lang w:eastAsia="zh-CN"/>
              </w:rPr>
              <w:t>特性</w:t>
            </w:r>
          </w:p>
        </w:tc>
        <w:tc>
          <w:tcPr>
            <w:tcW w:w="3074" w:type="dxa"/>
            <w:vAlign w:val="center"/>
          </w:tcPr>
          <w:p>
            <w:pPr>
              <w:pStyle w:val="16"/>
              <w:spacing w:line="240" w:lineRule="auto"/>
              <w:ind w:left="0" w:right="0"/>
              <w:jc w:val="center"/>
              <w:rPr>
                <w:rFonts w:hint="eastAsia" w:ascii="Times New Roman" w:hAnsi="Times New Roman" w:eastAsia="宋体" w:cs="Times New Roman"/>
                <w:b/>
                <w:bCs w:val="0"/>
                <w:color w:val="auto"/>
                <w:sz w:val="21"/>
                <w:szCs w:val="21"/>
                <w:lang w:eastAsia="zh-CN"/>
              </w:rPr>
            </w:pPr>
            <w:r>
              <w:rPr>
                <w:rFonts w:hint="eastAsia" w:ascii="Times New Roman" w:hAnsi="Times New Roman" w:eastAsia="宋体" w:cs="Times New Roman"/>
                <w:b/>
                <w:bCs w:val="0"/>
                <w:color w:val="auto"/>
                <w:sz w:val="21"/>
                <w:szCs w:val="21"/>
                <w:lang w:eastAsia="zh-CN"/>
              </w:rPr>
              <w:t>保护环境功能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3"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lang w:eastAsia="zh-CN"/>
              </w:rPr>
            </w:pPr>
            <w:r>
              <w:rPr>
                <w:rFonts w:hint="eastAsia" w:ascii="Times New Roman" w:hAnsi="Times New Roman" w:eastAsia="宋体" w:cs="Times New Roman"/>
                <w:b w:val="0"/>
                <w:bCs/>
                <w:color w:val="auto"/>
                <w:sz w:val="21"/>
                <w:szCs w:val="21"/>
                <w:lang w:eastAsia="zh-CN"/>
              </w:rPr>
              <w:t>银杏</w:t>
            </w:r>
          </w:p>
        </w:tc>
        <w:tc>
          <w:tcPr>
            <w:tcW w:w="3073"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rPr>
              <w:t>耐寒、适应性强</w:t>
            </w:r>
          </w:p>
        </w:tc>
        <w:tc>
          <w:tcPr>
            <w:tcW w:w="3074"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rPr>
              <w:t>吸收有害气体、杀菌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3"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lang w:eastAsia="zh-CN"/>
              </w:rPr>
            </w:pPr>
            <w:r>
              <w:rPr>
                <w:rFonts w:hint="eastAsia" w:ascii="Times New Roman" w:hAnsi="Times New Roman" w:eastAsia="宋体" w:cs="Times New Roman"/>
                <w:b w:val="0"/>
                <w:bCs/>
                <w:color w:val="auto"/>
                <w:sz w:val="21"/>
                <w:szCs w:val="21"/>
                <w:lang w:eastAsia="zh-CN"/>
              </w:rPr>
              <w:t>刺槐</w:t>
            </w:r>
          </w:p>
        </w:tc>
        <w:tc>
          <w:tcPr>
            <w:tcW w:w="3073"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rPr>
              <w:t>耐塞、抗旱、怕水湿</w:t>
            </w:r>
          </w:p>
        </w:tc>
        <w:tc>
          <w:tcPr>
            <w:tcW w:w="3074"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rPr>
              <w:t>抗污染，吸收有害气体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3"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lang w:eastAsia="zh-CN"/>
              </w:rPr>
            </w:pPr>
            <w:r>
              <w:rPr>
                <w:rFonts w:hint="eastAsia" w:ascii="Times New Roman" w:hAnsi="Times New Roman" w:eastAsia="宋体" w:cs="Times New Roman"/>
                <w:b w:val="0"/>
                <w:bCs/>
                <w:color w:val="auto"/>
                <w:sz w:val="21"/>
                <w:szCs w:val="21"/>
                <w:lang w:eastAsia="zh-CN"/>
              </w:rPr>
              <w:t>泡桐</w:t>
            </w:r>
          </w:p>
        </w:tc>
        <w:tc>
          <w:tcPr>
            <w:tcW w:w="3073"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rPr>
              <w:t>耐旱、不耐水湿</w:t>
            </w:r>
          </w:p>
        </w:tc>
        <w:tc>
          <w:tcPr>
            <w:tcW w:w="3074"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rPr>
              <w:t>抗污染、吸收有害气体、防尘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3"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lang w:eastAsia="zh-CN"/>
              </w:rPr>
            </w:pPr>
            <w:r>
              <w:rPr>
                <w:rFonts w:hint="eastAsia" w:ascii="Times New Roman" w:hAnsi="Times New Roman" w:eastAsia="宋体" w:cs="Times New Roman"/>
                <w:b w:val="0"/>
                <w:bCs/>
                <w:color w:val="auto"/>
                <w:sz w:val="21"/>
                <w:szCs w:val="21"/>
                <w:lang w:eastAsia="zh-CN"/>
              </w:rPr>
              <w:t>油松</w:t>
            </w:r>
          </w:p>
        </w:tc>
        <w:tc>
          <w:tcPr>
            <w:tcW w:w="3073"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rPr>
              <w:t>耐寒、耐旱、常绿</w:t>
            </w:r>
          </w:p>
        </w:tc>
        <w:tc>
          <w:tcPr>
            <w:tcW w:w="3074"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rPr>
              <w:t>防尘、防风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3"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lang w:eastAsia="zh-CN"/>
              </w:rPr>
            </w:pPr>
            <w:r>
              <w:rPr>
                <w:rFonts w:hint="eastAsia" w:ascii="Times New Roman" w:hAnsi="Times New Roman" w:eastAsia="宋体" w:cs="Times New Roman"/>
                <w:b w:val="0"/>
                <w:bCs/>
                <w:color w:val="auto"/>
                <w:sz w:val="21"/>
                <w:szCs w:val="21"/>
                <w:lang w:eastAsia="zh-CN"/>
              </w:rPr>
              <w:t>槐树</w:t>
            </w:r>
          </w:p>
        </w:tc>
        <w:tc>
          <w:tcPr>
            <w:tcW w:w="3073"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rPr>
              <w:t>喜干冷气候</w:t>
            </w:r>
          </w:p>
        </w:tc>
        <w:tc>
          <w:tcPr>
            <w:tcW w:w="3074"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rPr>
              <w:t>抗污染、吸收有害气体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3"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lang w:eastAsia="zh-CN"/>
              </w:rPr>
            </w:pPr>
            <w:r>
              <w:rPr>
                <w:rFonts w:hint="eastAsia" w:ascii="Times New Roman" w:hAnsi="Times New Roman" w:eastAsia="宋体" w:cs="Times New Roman"/>
                <w:b w:val="0"/>
                <w:bCs/>
                <w:color w:val="auto"/>
                <w:sz w:val="21"/>
                <w:szCs w:val="21"/>
                <w:lang w:eastAsia="zh-CN"/>
              </w:rPr>
              <w:t>旱柳</w:t>
            </w:r>
          </w:p>
        </w:tc>
        <w:tc>
          <w:tcPr>
            <w:tcW w:w="3073"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rPr>
              <w:t>耐旱、耐水湿</w:t>
            </w:r>
          </w:p>
        </w:tc>
        <w:tc>
          <w:tcPr>
            <w:tcW w:w="3074"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rPr>
              <w:t>吸收有害气体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3"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lang w:eastAsia="zh-CN"/>
              </w:rPr>
            </w:pPr>
            <w:r>
              <w:rPr>
                <w:rFonts w:hint="eastAsia" w:ascii="Times New Roman" w:hAnsi="Times New Roman" w:eastAsia="宋体" w:cs="Times New Roman"/>
                <w:b w:val="0"/>
                <w:bCs/>
                <w:color w:val="auto"/>
                <w:sz w:val="21"/>
                <w:szCs w:val="21"/>
                <w:lang w:eastAsia="zh-CN"/>
              </w:rPr>
              <w:t>垂柳</w:t>
            </w:r>
          </w:p>
        </w:tc>
        <w:tc>
          <w:tcPr>
            <w:tcW w:w="3073"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rPr>
              <w:t>耐水湿</w:t>
            </w:r>
          </w:p>
        </w:tc>
        <w:tc>
          <w:tcPr>
            <w:tcW w:w="3074"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rPr>
              <w:t>吸收有害气体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3"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lang w:eastAsia="zh-CN"/>
              </w:rPr>
            </w:pPr>
            <w:r>
              <w:rPr>
                <w:rFonts w:hint="eastAsia" w:ascii="Times New Roman" w:hAnsi="Times New Roman" w:eastAsia="宋体" w:cs="Times New Roman"/>
                <w:b w:val="0"/>
                <w:bCs/>
                <w:color w:val="auto"/>
                <w:sz w:val="21"/>
                <w:szCs w:val="21"/>
                <w:lang w:eastAsia="zh-CN"/>
              </w:rPr>
              <w:t>加杨</w:t>
            </w:r>
          </w:p>
        </w:tc>
        <w:tc>
          <w:tcPr>
            <w:tcW w:w="3073"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rPr>
              <w:t>耐涝</w:t>
            </w:r>
          </w:p>
        </w:tc>
        <w:tc>
          <w:tcPr>
            <w:tcW w:w="3074"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rPr>
              <w:t>吸收有害气体、防风</w:t>
            </w:r>
          </w:p>
        </w:tc>
      </w:tr>
    </w:tbl>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lang w:eastAsia="zh-CN"/>
        </w:rPr>
        <w:t>（</w:t>
      </w:r>
      <w:r>
        <w:rPr>
          <w:rFonts w:hint="eastAsia" w:ascii="Times New Roman" w:hAnsi="Times New Roman" w:eastAsia="宋体" w:cs="Times New Roman"/>
          <w:b w:val="0"/>
          <w:bCs/>
          <w:color w:val="auto"/>
          <w:sz w:val="24"/>
          <w:szCs w:val="24"/>
          <w:lang w:val="en-US" w:eastAsia="zh-CN"/>
        </w:rPr>
        <w:t>2</w:t>
      </w:r>
      <w:r>
        <w:rPr>
          <w:rFonts w:hint="eastAsia" w:ascii="Times New Roman" w:hAnsi="Times New Roman" w:eastAsia="宋体" w:cs="Times New Roman"/>
          <w:b w:val="0"/>
          <w:bCs/>
          <w:color w:val="auto"/>
          <w:sz w:val="24"/>
          <w:szCs w:val="24"/>
          <w:lang w:eastAsia="zh-CN"/>
        </w:rPr>
        <w:t>）</w:t>
      </w:r>
      <w:r>
        <w:rPr>
          <w:rFonts w:hint="eastAsia" w:ascii="Times New Roman" w:hAnsi="Times New Roman" w:eastAsia="宋体" w:cs="Times New Roman"/>
          <w:b w:val="0"/>
          <w:bCs/>
          <w:color w:val="auto"/>
          <w:sz w:val="24"/>
          <w:szCs w:val="24"/>
        </w:rPr>
        <w:t>加强个人劳动卫生保护。</w:t>
      </w:r>
    </w:p>
    <w:p>
      <w:pPr>
        <w:pStyle w:val="16"/>
        <w:adjustRightInd w:val="0"/>
        <w:snapToGrid w:val="0"/>
        <w:spacing w:line="360" w:lineRule="auto"/>
        <w:ind w:left="0" w:right="0" w:firstLine="480" w:firstLineChars="200"/>
        <w:jc w:val="both"/>
        <w:rPr>
          <w:rFonts w:hint="eastAsia"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（3）重视作好消毒杀菌、灭蚊蝇等环境卫生工作。</w:t>
      </w:r>
    </w:p>
    <w:p>
      <w:pPr>
        <w:pStyle w:val="16"/>
        <w:adjustRightInd w:val="0"/>
        <w:snapToGrid w:val="0"/>
        <w:spacing w:line="360" w:lineRule="auto"/>
        <w:ind w:right="0"/>
        <w:jc w:val="both"/>
        <w:outlineLvl w:val="3"/>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val="en-US" w:eastAsia="zh-CN"/>
        </w:rPr>
        <w:t>6.2.1.2食堂油烟治理措施分析</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（1）食堂油烟治理措施技术可行性分析</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本项目设有职工食堂，食堂用能以液化气为燃料，属于清洁能源，燃烧对周围环境空气质量影响小，因此本项目运营过程中食堂产生的废气主要为厨房油烟。本项目人工定员50人，全部在厂内就餐，则油烟产生量为0.045kg/d。</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按国家《饮食行业油烟排放标准（试行）》（GB18483-2001）标准的要求，本环评要求在食堂安装油烟净化器处理，烟气净化设施（去除率大于75%，风机风量约2000m</w:t>
      </w:r>
      <w:r>
        <w:rPr>
          <w:rFonts w:hint="eastAsia" w:ascii="Times New Roman" w:hAnsi="Times New Roman" w:eastAsia="宋体" w:cs="Times New Roman"/>
          <w:color w:val="auto"/>
          <w:sz w:val="24"/>
          <w:szCs w:val="24"/>
          <w:vertAlign w:val="superscript"/>
          <w:lang w:val="en-US" w:eastAsia="zh-CN"/>
        </w:rPr>
        <w:t>3</w:t>
      </w:r>
      <w:r>
        <w:rPr>
          <w:rFonts w:hint="eastAsia" w:ascii="Times New Roman" w:hAnsi="Times New Roman" w:eastAsia="宋体" w:cs="Times New Roman"/>
          <w:color w:val="auto"/>
          <w:sz w:val="24"/>
          <w:szCs w:val="24"/>
          <w:lang w:val="en-US" w:eastAsia="zh-CN"/>
        </w:rPr>
        <w:t>/h），由专用烟道至食堂楼顶排放，则食堂油烟污染物排放量为0.01125kg/d，食堂工作时间约6h/d，则排放浓度为0.9375mg/m</w:t>
      </w:r>
      <w:r>
        <w:rPr>
          <w:rFonts w:hint="eastAsia" w:ascii="Times New Roman" w:hAnsi="Times New Roman" w:eastAsia="宋体" w:cs="Times New Roman"/>
          <w:color w:val="auto"/>
          <w:sz w:val="24"/>
          <w:szCs w:val="24"/>
          <w:vertAlign w:val="superscript"/>
          <w:lang w:val="en-US" w:eastAsia="zh-CN"/>
        </w:rPr>
        <w:t>3</w:t>
      </w:r>
      <w:r>
        <w:rPr>
          <w:rFonts w:hint="eastAsia" w:ascii="Times New Roman" w:hAnsi="Times New Roman" w:eastAsia="宋体" w:cs="Times New Roman"/>
          <w:color w:val="auto"/>
          <w:sz w:val="24"/>
          <w:szCs w:val="24"/>
          <w:lang w:val="en-US" w:eastAsia="zh-CN"/>
        </w:rPr>
        <w:t>。</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综上，食堂油烟采取相应措施后能够满足《饮食业油烟排放标准》（试行）（GB18483-2001）的排放标准油烟最高允许排放浓度（≤2.0mg/m</w:t>
      </w:r>
      <w:r>
        <w:rPr>
          <w:rFonts w:hint="eastAsia" w:ascii="Times New Roman" w:hAnsi="Times New Roman" w:eastAsia="宋体" w:cs="Times New Roman"/>
          <w:color w:val="auto"/>
          <w:sz w:val="24"/>
          <w:szCs w:val="24"/>
          <w:vertAlign w:val="superscript"/>
          <w:lang w:val="en-US" w:eastAsia="zh-CN"/>
        </w:rPr>
        <w:t>3</w:t>
      </w:r>
      <w:r>
        <w:rPr>
          <w:rFonts w:hint="eastAsia" w:ascii="Times New Roman" w:hAnsi="Times New Roman" w:eastAsia="宋体" w:cs="Times New Roman"/>
          <w:color w:val="auto"/>
          <w:sz w:val="24"/>
          <w:szCs w:val="24"/>
          <w:lang w:val="en-US" w:eastAsia="zh-CN"/>
        </w:rPr>
        <w:t>）要求，治理措施有效可行。</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油烟净化器分为机械式、湿式、静电式和复合式：</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（1）机械式油烟净化设备</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机械式油烟净化设备的主要特点是简单、易于制造、造价低、施工快、便于维护，技术关键是滤料的选取与布置方式、空塔流速的确定。这种方法对油粒的净化效率较高，但对恶臭物质没有去除能力。因此，此法实用性较差，在油烟治理上通常作为预处理，而不作为一种独立的治理设备使用。</w:t>
      </w:r>
    </w:p>
    <w:p>
      <w:pPr>
        <w:numPr>
          <w:ilvl w:val="0"/>
          <w:numId w:val="0"/>
        </w:numPr>
        <w:adjustRightInd w:val="0"/>
        <w:snapToGrid w:val="0"/>
        <w:spacing w:line="360" w:lineRule="auto"/>
        <w:ind w:left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（2）湿式油烟净化设备</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湿式油烟净化设备的优点是价格适中，净化效率高，可同时部分去除 SO</w:t>
      </w:r>
      <w:r>
        <w:rPr>
          <w:rFonts w:hint="eastAsia" w:ascii="Times New Roman" w:hAnsi="Times New Roman" w:eastAsia="宋体" w:cs="Times New Roman"/>
          <w:color w:val="auto"/>
          <w:sz w:val="24"/>
          <w:szCs w:val="24"/>
          <w:vertAlign w:val="subscript"/>
          <w:lang w:val="en-US" w:eastAsia="zh-CN"/>
        </w:rPr>
        <w:t>2</w:t>
      </w:r>
      <w:r>
        <w:rPr>
          <w:rFonts w:hint="eastAsia" w:ascii="Times New Roman" w:hAnsi="Times New Roman" w:eastAsia="宋体" w:cs="Times New Roman"/>
          <w:color w:val="auto"/>
          <w:sz w:val="24"/>
          <w:szCs w:val="24"/>
          <w:lang w:val="en-US" w:eastAsia="zh-CN"/>
        </w:rPr>
        <w:t>、 CO、NOx等，对醛类、芳烃类等气态污染物也有一定的去除效果。缺点是安装繁琐、耗水量大，循环吸收液如不经过处理直接排放，还会造成二次污染。另外，吸收液循环箱安装在室外，由于在北方地区，管路及箱体需做保温处理，增加了安装费用及制造难度，因此，该类设备目前在我国广东等南方地区应用比较广泛，而在北方地区，越来越受到来自于静电式、复合式油烟净化设备的竞争压力。</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（3）静电式油烟净化设备</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静电式油烟净化设备是利用电力作用清除气体中固体或液体以达到净化的目的。具有如下优点；净化效率高、结构简单、气流速度低、压力损失小、能量消耗低、安装方便，产品分卧式、挂壁式、管道式、立柜式多种，不受现场安装 位置限制，目前在大型和中高档餐饮单位中应用多。</w:t>
      </w:r>
    </w:p>
    <w:p>
      <w:pPr>
        <w:numPr>
          <w:ilvl w:val="0"/>
          <w:numId w:val="0"/>
        </w:numPr>
        <w:adjustRightInd w:val="0"/>
        <w:snapToGrid w:val="0"/>
        <w:spacing w:line="360" w:lineRule="auto"/>
        <w:ind w:left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（4）复合式油烟净化设备</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复合式油烟净化设备是使用机械式、湿式、静电式中任何两种或两种以上净化方式组合去除油烟的净化设备。设备兼顾了各种处理方法的优点。根据油烟粒子粒径分布进行合理组合，故具有较高的净化效率；再由于机械式、湿式、静电式油烟净化设备取得的技术进步，都可迅速应用到复合式上，所以复合式油烟净化设备将是未来一定时期油烟净化设备研究、开发、生产的重点。</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四类油烟净化设备性能比较见表 6.2-3。</w:t>
      </w:r>
    </w:p>
    <w:p>
      <w:pPr>
        <w:pStyle w:val="16"/>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表6.2-</w:t>
      </w:r>
      <w:r>
        <w:rPr>
          <w:rFonts w:hint="eastAsia" w:ascii="Times New Roman" w:hAnsi="Times New Roman" w:eastAsia="宋体" w:cs="Times New Roman"/>
          <w:color w:val="auto"/>
          <w:sz w:val="21"/>
          <w:szCs w:val="21"/>
          <w:lang w:val="en-US" w:eastAsia="zh-CN"/>
        </w:rPr>
        <w:t>3</w:t>
      </w:r>
      <w:r>
        <w:rPr>
          <w:rFonts w:hint="eastAsia" w:ascii="Times New Roman" w:hAnsi="Times New Roman" w:eastAsia="宋体" w:cs="Times New Roman"/>
          <w:color w:val="auto"/>
          <w:sz w:val="21"/>
          <w:szCs w:val="21"/>
        </w:rPr>
        <w:t xml:space="preserve"> 四类油烟净化设备性能比较表</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45"/>
        <w:gridCol w:w="1620"/>
        <w:gridCol w:w="56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Align w:val="center"/>
          </w:tcPr>
          <w:p>
            <w:pPr>
              <w:pStyle w:val="16"/>
              <w:spacing w:line="240" w:lineRule="auto"/>
              <w:ind w:left="0" w:right="0"/>
              <w:jc w:val="center"/>
              <w:rPr>
                <w:rFonts w:hint="eastAsia" w:ascii="Times New Roman" w:hAnsi="Times New Roman" w:eastAsia="宋体" w:cs="Times New Roman"/>
                <w:b/>
                <w:bCs w:val="0"/>
                <w:color w:val="auto"/>
                <w:sz w:val="21"/>
                <w:szCs w:val="21"/>
                <w:lang w:val="en-US" w:eastAsia="zh-CN"/>
              </w:rPr>
            </w:pPr>
            <w:r>
              <w:rPr>
                <w:rFonts w:hint="eastAsia" w:ascii="Times New Roman" w:hAnsi="Times New Roman" w:eastAsia="宋体" w:cs="Times New Roman"/>
                <w:b/>
                <w:bCs w:val="0"/>
                <w:color w:val="auto"/>
                <w:sz w:val="21"/>
                <w:szCs w:val="21"/>
                <w:lang w:val="en-US" w:eastAsia="zh-CN"/>
              </w:rPr>
              <w:t>设备类型</w:t>
            </w:r>
          </w:p>
        </w:tc>
        <w:tc>
          <w:tcPr>
            <w:tcW w:w="1620" w:type="dxa"/>
            <w:vAlign w:val="center"/>
          </w:tcPr>
          <w:p>
            <w:pPr>
              <w:pStyle w:val="16"/>
              <w:spacing w:line="240" w:lineRule="auto"/>
              <w:ind w:left="0" w:right="0"/>
              <w:jc w:val="center"/>
              <w:rPr>
                <w:rFonts w:hint="eastAsia" w:ascii="Times New Roman" w:hAnsi="Times New Roman" w:eastAsia="宋体" w:cs="Times New Roman"/>
                <w:b/>
                <w:bCs w:val="0"/>
                <w:color w:val="auto"/>
                <w:sz w:val="21"/>
                <w:szCs w:val="21"/>
                <w:lang w:val="en-US" w:eastAsia="zh-CN"/>
              </w:rPr>
            </w:pPr>
            <w:r>
              <w:rPr>
                <w:rFonts w:hint="eastAsia" w:ascii="Times New Roman" w:hAnsi="Times New Roman" w:eastAsia="宋体" w:cs="Times New Roman"/>
                <w:b/>
                <w:bCs w:val="0"/>
                <w:color w:val="auto"/>
                <w:sz w:val="21"/>
                <w:szCs w:val="21"/>
                <w:lang w:val="en-US" w:eastAsia="zh-CN"/>
              </w:rPr>
              <w:t>去除率（%）</w:t>
            </w:r>
          </w:p>
        </w:tc>
        <w:tc>
          <w:tcPr>
            <w:tcW w:w="5655" w:type="dxa"/>
            <w:vAlign w:val="center"/>
          </w:tcPr>
          <w:p>
            <w:pPr>
              <w:pStyle w:val="16"/>
              <w:spacing w:line="240" w:lineRule="auto"/>
              <w:ind w:left="0" w:right="0"/>
              <w:jc w:val="center"/>
              <w:rPr>
                <w:rFonts w:hint="eastAsia" w:ascii="Times New Roman" w:hAnsi="Times New Roman" w:eastAsia="宋体" w:cs="Times New Roman"/>
                <w:b/>
                <w:bCs w:val="0"/>
                <w:color w:val="auto"/>
                <w:sz w:val="21"/>
                <w:szCs w:val="21"/>
                <w:lang w:val="en-US" w:eastAsia="zh-CN"/>
              </w:rPr>
            </w:pPr>
            <w:r>
              <w:rPr>
                <w:rFonts w:hint="eastAsia" w:ascii="Times New Roman" w:hAnsi="Times New Roman" w:eastAsia="宋体" w:cs="Times New Roman"/>
                <w:b/>
                <w:bCs w:val="0"/>
                <w:color w:val="auto"/>
                <w:sz w:val="21"/>
                <w:szCs w:val="21"/>
                <w:lang w:val="en-US" w:eastAsia="zh-CN"/>
              </w:rPr>
              <w:t>日常维护要求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机械式油烟净化器</w:t>
            </w:r>
          </w:p>
        </w:tc>
        <w:tc>
          <w:tcPr>
            <w:tcW w:w="1620" w:type="dxa"/>
            <w:vAlign w:val="center"/>
          </w:tcPr>
          <w:p>
            <w:pPr>
              <w:pStyle w:val="16"/>
              <w:spacing w:line="240" w:lineRule="auto"/>
              <w:ind w:left="0" w:right="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75~80</w:t>
            </w:r>
          </w:p>
        </w:tc>
        <w:tc>
          <w:tcPr>
            <w:tcW w:w="5655"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每月更换一次滤网或更换吸附材料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湿式油烟净化器</w:t>
            </w:r>
          </w:p>
        </w:tc>
        <w:tc>
          <w:tcPr>
            <w:tcW w:w="1620" w:type="dxa"/>
            <w:vAlign w:val="center"/>
          </w:tcPr>
          <w:p>
            <w:pPr>
              <w:pStyle w:val="16"/>
              <w:spacing w:line="240" w:lineRule="auto"/>
              <w:ind w:left="0" w:right="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75~80</w:t>
            </w:r>
          </w:p>
        </w:tc>
        <w:tc>
          <w:tcPr>
            <w:tcW w:w="5655"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定期收集油污，添加药剂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静电式油烟净化器</w:t>
            </w:r>
          </w:p>
        </w:tc>
        <w:tc>
          <w:tcPr>
            <w:tcW w:w="1620" w:type="dxa"/>
            <w:vAlign w:val="center"/>
          </w:tcPr>
          <w:p>
            <w:pPr>
              <w:pStyle w:val="16"/>
              <w:spacing w:line="240" w:lineRule="auto"/>
              <w:ind w:left="0" w:right="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75~80</w:t>
            </w:r>
          </w:p>
        </w:tc>
        <w:tc>
          <w:tcPr>
            <w:tcW w:w="5655"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每半年清洗一次极板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复合式油烟净化器</w:t>
            </w:r>
          </w:p>
        </w:tc>
        <w:tc>
          <w:tcPr>
            <w:tcW w:w="1620" w:type="dxa"/>
            <w:vAlign w:val="center"/>
          </w:tcPr>
          <w:p>
            <w:pPr>
              <w:pStyle w:val="16"/>
              <w:spacing w:line="240" w:lineRule="auto"/>
              <w:ind w:left="0" w:right="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80~90</w:t>
            </w:r>
          </w:p>
        </w:tc>
        <w:tc>
          <w:tcPr>
            <w:tcW w:w="5655"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每半年清洗一次极板，需经常清洗滤网或更换吸附材料</w:t>
            </w:r>
          </w:p>
        </w:tc>
      </w:tr>
    </w:tbl>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从经济、效率、结构、能耗、安装等各个方面考虑，建设单位选择静电式油烟净化器，另外需要注意油烟净化设施应尽量设置在进口端，避免设于出口端。因为进入净化装置的油烟温度越高净化的效果越好，尤其在冬季影响更为明显；另外，净化设施后置会使大量未经处理的油烟聚集在管道内壁，成为火险隐患，因此要尽量避免。</w:t>
      </w:r>
    </w:p>
    <w:p>
      <w:pPr>
        <w:numPr>
          <w:ilvl w:val="0"/>
          <w:numId w:val="0"/>
        </w:numPr>
        <w:adjustRightInd w:val="0"/>
        <w:snapToGrid w:val="0"/>
        <w:spacing w:line="360" w:lineRule="auto"/>
        <w:ind w:left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（2）食堂油烟治理措施经济可行性分析</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本项目食堂油烟净化器购置费用为1.2万元，年运行费用为0.412万元，运行费用见下表：</w:t>
      </w:r>
    </w:p>
    <w:p>
      <w:pPr>
        <w:pStyle w:val="16"/>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表6.2-</w:t>
      </w:r>
      <w:r>
        <w:rPr>
          <w:rFonts w:hint="eastAsia" w:ascii="Times New Roman" w:hAnsi="Times New Roman" w:eastAsia="宋体" w:cs="Times New Roman"/>
          <w:color w:val="auto"/>
          <w:sz w:val="21"/>
          <w:szCs w:val="21"/>
          <w:lang w:val="en-US" w:eastAsia="zh-CN"/>
        </w:rPr>
        <w:t xml:space="preserve">4 </w:t>
      </w:r>
      <w:r>
        <w:rPr>
          <w:rFonts w:hint="eastAsia" w:ascii="Times New Roman" w:hAnsi="Times New Roman" w:eastAsia="宋体" w:cs="Times New Roman"/>
          <w:color w:val="auto"/>
          <w:sz w:val="21"/>
          <w:szCs w:val="21"/>
        </w:rPr>
        <w:t xml:space="preserve"> 食堂油烟污染防治年运行费用</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5"/>
        <w:gridCol w:w="2305"/>
        <w:gridCol w:w="2305"/>
        <w:gridCol w:w="2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5" w:type="dxa"/>
            <w:vAlign w:val="center"/>
          </w:tcPr>
          <w:p>
            <w:pPr>
              <w:pStyle w:val="16"/>
              <w:spacing w:line="240" w:lineRule="auto"/>
              <w:ind w:left="0" w:right="0"/>
              <w:jc w:val="center"/>
              <w:rPr>
                <w:rFonts w:hint="eastAsia" w:ascii="Times New Roman" w:hAnsi="Times New Roman" w:eastAsia="宋体" w:cs="Times New Roman"/>
                <w:b/>
                <w:bCs w:val="0"/>
                <w:color w:val="auto"/>
                <w:sz w:val="21"/>
                <w:szCs w:val="21"/>
                <w:lang w:val="en-US" w:eastAsia="zh-CN"/>
              </w:rPr>
            </w:pPr>
            <w:r>
              <w:rPr>
                <w:rFonts w:hint="eastAsia" w:ascii="Times New Roman" w:hAnsi="Times New Roman" w:eastAsia="宋体" w:cs="Times New Roman"/>
                <w:b/>
                <w:bCs w:val="0"/>
                <w:color w:val="auto"/>
                <w:sz w:val="21"/>
                <w:szCs w:val="21"/>
                <w:lang w:val="en-US" w:eastAsia="zh-CN"/>
              </w:rPr>
              <w:t>序号</w:t>
            </w:r>
          </w:p>
        </w:tc>
        <w:tc>
          <w:tcPr>
            <w:tcW w:w="2305" w:type="dxa"/>
            <w:vAlign w:val="center"/>
          </w:tcPr>
          <w:p>
            <w:pPr>
              <w:pStyle w:val="16"/>
              <w:spacing w:line="240" w:lineRule="auto"/>
              <w:ind w:left="0" w:right="0"/>
              <w:jc w:val="center"/>
              <w:rPr>
                <w:rFonts w:hint="eastAsia" w:ascii="Times New Roman" w:hAnsi="Times New Roman" w:eastAsia="宋体" w:cs="Times New Roman"/>
                <w:b/>
                <w:bCs w:val="0"/>
                <w:color w:val="auto"/>
                <w:sz w:val="21"/>
                <w:szCs w:val="21"/>
                <w:lang w:val="en-US" w:eastAsia="zh-CN"/>
              </w:rPr>
            </w:pPr>
            <w:r>
              <w:rPr>
                <w:rFonts w:hint="eastAsia" w:ascii="Times New Roman" w:hAnsi="Times New Roman" w:eastAsia="宋体" w:cs="Times New Roman"/>
                <w:b/>
                <w:bCs w:val="0"/>
                <w:color w:val="auto"/>
                <w:sz w:val="21"/>
                <w:szCs w:val="21"/>
                <w:lang w:val="en-US" w:eastAsia="zh-CN"/>
              </w:rPr>
              <w:t>费用名称</w:t>
            </w:r>
          </w:p>
        </w:tc>
        <w:tc>
          <w:tcPr>
            <w:tcW w:w="2305" w:type="dxa"/>
            <w:vAlign w:val="center"/>
          </w:tcPr>
          <w:p>
            <w:pPr>
              <w:pStyle w:val="16"/>
              <w:spacing w:line="240" w:lineRule="auto"/>
              <w:ind w:left="0" w:right="0"/>
              <w:jc w:val="center"/>
              <w:rPr>
                <w:rFonts w:hint="eastAsia" w:ascii="Times New Roman" w:hAnsi="Times New Roman" w:eastAsia="宋体" w:cs="Times New Roman"/>
                <w:b/>
                <w:bCs w:val="0"/>
                <w:color w:val="auto"/>
                <w:sz w:val="21"/>
                <w:szCs w:val="21"/>
                <w:lang w:val="en-US" w:eastAsia="zh-CN"/>
              </w:rPr>
            </w:pPr>
            <w:r>
              <w:rPr>
                <w:rFonts w:hint="eastAsia" w:ascii="Times New Roman" w:hAnsi="Times New Roman" w:eastAsia="宋体" w:cs="Times New Roman"/>
                <w:b/>
                <w:bCs w:val="0"/>
                <w:color w:val="auto"/>
                <w:sz w:val="21"/>
                <w:szCs w:val="21"/>
                <w:lang w:val="en-US" w:eastAsia="zh-CN"/>
              </w:rPr>
              <w:t>说明</w:t>
            </w:r>
          </w:p>
        </w:tc>
        <w:tc>
          <w:tcPr>
            <w:tcW w:w="2305" w:type="dxa"/>
            <w:vAlign w:val="center"/>
          </w:tcPr>
          <w:p>
            <w:pPr>
              <w:pStyle w:val="16"/>
              <w:spacing w:line="240" w:lineRule="auto"/>
              <w:ind w:left="0" w:right="0"/>
              <w:jc w:val="center"/>
              <w:rPr>
                <w:rFonts w:hint="eastAsia" w:ascii="Times New Roman" w:hAnsi="Times New Roman" w:eastAsia="宋体" w:cs="Times New Roman"/>
                <w:b/>
                <w:bCs w:val="0"/>
                <w:color w:val="auto"/>
                <w:sz w:val="21"/>
                <w:szCs w:val="21"/>
                <w:lang w:val="en-US" w:eastAsia="zh-CN"/>
              </w:rPr>
            </w:pPr>
            <w:r>
              <w:rPr>
                <w:rFonts w:hint="eastAsia" w:ascii="Times New Roman" w:hAnsi="Times New Roman" w:eastAsia="宋体" w:cs="Times New Roman"/>
                <w:b/>
                <w:bCs w:val="0"/>
                <w:color w:val="auto"/>
                <w:sz w:val="21"/>
                <w:szCs w:val="21"/>
                <w:lang w:val="en-US" w:eastAsia="zh-CN"/>
              </w:rPr>
              <w:t>费用（万元）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5" w:type="dxa"/>
            <w:vAlign w:val="center"/>
          </w:tcPr>
          <w:p>
            <w:pPr>
              <w:pStyle w:val="16"/>
              <w:spacing w:line="240" w:lineRule="auto"/>
              <w:ind w:left="0" w:right="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1</w:t>
            </w:r>
          </w:p>
        </w:tc>
        <w:tc>
          <w:tcPr>
            <w:tcW w:w="2305"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电费</w:t>
            </w:r>
          </w:p>
        </w:tc>
        <w:tc>
          <w:tcPr>
            <w:tcW w:w="2305" w:type="dxa"/>
            <w:vAlign w:val="center"/>
          </w:tcPr>
          <w:p>
            <w:pPr>
              <w:pStyle w:val="16"/>
              <w:spacing w:line="240" w:lineRule="auto"/>
              <w:ind w:left="0" w:right="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2度/h，2920度/a，电的单价1元/度</w:t>
            </w:r>
          </w:p>
        </w:tc>
        <w:tc>
          <w:tcPr>
            <w:tcW w:w="2305" w:type="dxa"/>
            <w:vAlign w:val="center"/>
          </w:tcPr>
          <w:p>
            <w:pPr>
              <w:pStyle w:val="16"/>
              <w:spacing w:line="240" w:lineRule="auto"/>
              <w:ind w:left="0" w:right="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0.292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5" w:type="dxa"/>
            <w:vAlign w:val="center"/>
          </w:tcPr>
          <w:p>
            <w:pPr>
              <w:pStyle w:val="16"/>
              <w:spacing w:line="240" w:lineRule="auto"/>
              <w:ind w:left="0" w:right="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2</w:t>
            </w:r>
          </w:p>
        </w:tc>
        <w:tc>
          <w:tcPr>
            <w:tcW w:w="2305" w:type="dxa"/>
            <w:vAlign w:val="center"/>
          </w:tcPr>
          <w:p>
            <w:pPr>
              <w:pStyle w:val="16"/>
              <w:spacing w:line="240" w:lineRule="auto"/>
              <w:ind w:left="0" w:right="0"/>
              <w:jc w:val="center"/>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设备折旧及维修费用</w:t>
            </w:r>
          </w:p>
        </w:tc>
        <w:tc>
          <w:tcPr>
            <w:tcW w:w="2305" w:type="dxa"/>
            <w:vAlign w:val="center"/>
          </w:tcPr>
          <w:p>
            <w:pPr>
              <w:pStyle w:val="16"/>
              <w:spacing w:line="240" w:lineRule="auto"/>
              <w:ind w:left="0" w:right="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按10年寿命计</w:t>
            </w:r>
          </w:p>
        </w:tc>
        <w:tc>
          <w:tcPr>
            <w:tcW w:w="2305" w:type="dxa"/>
            <w:vAlign w:val="center"/>
          </w:tcPr>
          <w:p>
            <w:pPr>
              <w:pStyle w:val="16"/>
              <w:spacing w:line="240" w:lineRule="auto"/>
              <w:ind w:left="0" w:right="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15" w:type="dxa"/>
            <w:gridSpan w:val="3"/>
            <w:vAlign w:val="center"/>
          </w:tcPr>
          <w:p>
            <w:pPr>
              <w:pStyle w:val="16"/>
              <w:spacing w:line="240" w:lineRule="auto"/>
              <w:ind w:left="0" w:right="0"/>
              <w:jc w:val="center"/>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合计</w:t>
            </w:r>
          </w:p>
        </w:tc>
        <w:tc>
          <w:tcPr>
            <w:tcW w:w="2305" w:type="dxa"/>
            <w:vAlign w:val="center"/>
          </w:tcPr>
          <w:p>
            <w:pPr>
              <w:pStyle w:val="16"/>
              <w:spacing w:line="240" w:lineRule="auto"/>
              <w:ind w:left="0" w:right="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0.412</w:t>
            </w:r>
          </w:p>
        </w:tc>
      </w:tr>
    </w:tbl>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综上所述，项目废气污染防治措施技术有效可行，投资费用较低，运行费用较低，技术经济可行。</w:t>
      </w:r>
    </w:p>
    <w:p>
      <w:pPr>
        <w:pStyle w:val="16"/>
        <w:adjustRightInd w:val="0"/>
        <w:snapToGrid w:val="0"/>
        <w:spacing w:line="360" w:lineRule="auto"/>
        <w:ind w:right="0"/>
        <w:jc w:val="both"/>
        <w:outlineLvl w:val="3"/>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val="en-US" w:eastAsia="zh-CN"/>
        </w:rPr>
        <w:t>6.2.1.3运输恶臭及尾气</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商品猪外运过程中，猪粪便、尿液等会散发出恶臭，会对公路沿线的环境产生短暂的恶臭污染；车辆运输产生的汽车尾气主要成分为：CO、HC 和 NOx。通过加强运输车辆管理减轻汽车尾气的产生，通过对运输车辆加装粪尿收集装置减轻粪尿随意撒漏对环境造成的影响。项目运输恶臭及尾气经过稀释扩散对沿线敏感点影响较小。</w:t>
      </w:r>
    </w:p>
    <w:p>
      <w:pPr>
        <w:pStyle w:val="16"/>
        <w:adjustRightInd w:val="0"/>
        <w:snapToGrid w:val="0"/>
        <w:spacing w:line="360" w:lineRule="auto"/>
        <w:ind w:right="0"/>
        <w:jc w:val="both"/>
        <w:outlineLvl w:val="3"/>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val="en-US" w:eastAsia="zh-CN"/>
        </w:rPr>
        <w:t>6.2.1.4柴油发电机尾气</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项目备用发电机，安装于发电机房，采用 0#汽油（柴油）为燃料，通过严格按要求操作，控制好燃烧状况，发电机尾气经设备自带除尘装置处理后，引至楼顶高空排放，尾气中烟尘、SO</w:t>
      </w:r>
      <w:r>
        <w:rPr>
          <w:rFonts w:hint="eastAsia" w:ascii="Times New Roman" w:hAnsi="Times New Roman" w:eastAsia="宋体" w:cs="Times New Roman"/>
          <w:color w:val="auto"/>
          <w:sz w:val="24"/>
          <w:szCs w:val="24"/>
          <w:vertAlign w:val="subscript"/>
          <w:lang w:val="en-US" w:eastAsia="zh-CN"/>
        </w:rPr>
        <w:t>2</w:t>
      </w:r>
      <w:r>
        <w:rPr>
          <w:rFonts w:hint="eastAsia" w:ascii="Times New Roman" w:hAnsi="Times New Roman" w:eastAsia="宋体" w:cs="Times New Roman"/>
          <w:color w:val="auto"/>
          <w:sz w:val="24"/>
          <w:szCs w:val="24"/>
          <w:lang w:val="en-US" w:eastAsia="zh-CN"/>
        </w:rPr>
        <w:t>、NOx均能达标排放。由于备用发电机组仅用于停电时的应急电源，故该发电机使用几率较小，发电机使用时间较短，属于间断性排放，对周围环境空气质量影响较小。</w:t>
      </w:r>
    </w:p>
    <w:p>
      <w:pPr>
        <w:pStyle w:val="87"/>
        <w:adjustRightInd w:val="0"/>
        <w:snapToGrid w:val="0"/>
        <w:spacing w:beforeLines="0" w:afterLines="0"/>
        <w:rPr>
          <w:rFonts w:ascii="Times New Roman" w:hAnsi="Times New Roman" w:eastAsia="宋体"/>
          <w:b/>
          <w:color w:val="auto"/>
          <w:kern w:val="0"/>
        </w:rPr>
      </w:pPr>
      <w:r>
        <w:rPr>
          <w:rFonts w:hint="eastAsia" w:ascii="Times New Roman" w:hAnsi="Times New Roman" w:eastAsia="宋体"/>
          <w:b/>
          <w:color w:val="auto"/>
          <w:kern w:val="0"/>
        </w:rPr>
        <w:t>6.2.2水污染防治措施</w:t>
      </w:r>
      <w:bookmarkEnd w:id="274"/>
      <w:bookmarkEnd w:id="275"/>
      <w:bookmarkEnd w:id="276"/>
      <w:bookmarkEnd w:id="277"/>
      <w:bookmarkEnd w:id="278"/>
      <w:bookmarkEnd w:id="279"/>
      <w:r>
        <w:rPr>
          <w:rFonts w:hint="eastAsia" w:ascii="Times New Roman" w:hAnsi="Times New Roman" w:eastAsia="宋体"/>
          <w:b/>
          <w:color w:val="auto"/>
          <w:kern w:val="0"/>
        </w:rPr>
        <w:t>及技术经济论证</w:t>
      </w:r>
    </w:p>
    <w:p>
      <w:pPr>
        <w:pStyle w:val="16"/>
        <w:adjustRightInd w:val="0"/>
        <w:snapToGrid w:val="0"/>
        <w:spacing w:line="360" w:lineRule="auto"/>
        <w:ind w:right="0"/>
        <w:jc w:val="both"/>
        <w:outlineLvl w:val="3"/>
        <w:rPr>
          <w:rFonts w:hint="default" w:ascii="Times New Roman" w:hAnsi="Times New Roman" w:eastAsia="宋体"/>
          <w:color w:val="auto"/>
          <w:sz w:val="24"/>
          <w:szCs w:val="24"/>
          <w:lang w:val="en-US" w:eastAsia="zh-CN"/>
        </w:rPr>
      </w:pPr>
      <w:bookmarkStart w:id="280" w:name="_Toc20906"/>
      <w:bookmarkStart w:id="281" w:name="_Toc211411977"/>
      <w:bookmarkStart w:id="282" w:name="_Toc211738565"/>
      <w:r>
        <w:rPr>
          <w:rFonts w:hint="eastAsia" w:ascii="Times New Roman" w:hAnsi="Times New Roman" w:eastAsia="宋体"/>
          <w:color w:val="auto"/>
          <w:sz w:val="24"/>
          <w:szCs w:val="24"/>
          <w:lang w:val="en-US" w:eastAsia="zh-CN"/>
        </w:rPr>
        <w:t>6.2.2.1废水处理及综合利用措施分析</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本项目污水处理区采用“</w:t>
      </w:r>
      <w:r>
        <w:rPr>
          <w:rFonts w:hint="eastAsia" w:ascii="Times New Roman" w:hAnsi="Times New Roman" w:eastAsia="宋体" w:cstheme="minorBidi"/>
          <w:b w:val="0"/>
          <w:snapToGrid w:val="0"/>
          <w:color w:val="auto"/>
          <w:kern w:val="2"/>
          <w:sz w:val="24"/>
          <w:szCs w:val="22"/>
          <w:lang w:val="en-US" w:eastAsia="zh-CN" w:bidi="ar-SA"/>
        </w:rPr>
        <w:t>格栅井+集粪池+固液分离机+污泥池（调节池）+叠螺脱水机+预反应及预沉池+一级光氧塘+A/O组合池+二沉池+深度反应池+终沉池+氧化塘</w:t>
      </w:r>
      <w:r>
        <w:rPr>
          <w:rFonts w:hint="eastAsia" w:ascii="Times New Roman" w:hAnsi="Times New Roman" w:eastAsia="宋体" w:cs="Times New Roman"/>
          <w:color w:val="auto"/>
          <w:sz w:val="24"/>
          <w:szCs w:val="24"/>
          <w:lang w:val="en-US" w:eastAsia="zh-CN"/>
        </w:rPr>
        <w:t>”处理工艺处理后，项目尾水用于周边消纳地灌溉，不排入周边地表水体。项目拟在环保区建设1座污水处理区，设计处理规模为150m</w:t>
      </w:r>
      <w:r>
        <w:rPr>
          <w:rFonts w:hint="eastAsia" w:ascii="Times New Roman" w:hAnsi="Times New Roman" w:eastAsia="宋体" w:cs="Times New Roman"/>
          <w:color w:val="auto"/>
          <w:sz w:val="24"/>
          <w:szCs w:val="24"/>
          <w:vertAlign w:val="superscript"/>
          <w:lang w:val="en-US" w:eastAsia="zh-CN"/>
        </w:rPr>
        <w:t>3</w:t>
      </w:r>
      <w:r>
        <w:rPr>
          <w:rFonts w:hint="eastAsia" w:ascii="Times New Roman" w:hAnsi="Times New Roman" w:eastAsia="宋体" w:cs="Times New Roman"/>
          <w:color w:val="auto"/>
          <w:sz w:val="24"/>
          <w:szCs w:val="24"/>
          <w:lang w:val="en-US" w:eastAsia="zh-CN"/>
        </w:rPr>
        <w:t>/d，详细工艺流程见图6.2-2。</w:t>
      </w:r>
    </w:p>
    <w:p>
      <w:pPr>
        <w:pStyle w:val="48"/>
        <w:rPr>
          <w:rFonts w:hint="eastAsia" w:ascii="Times New Roman" w:hAnsi="Times New Roman" w:eastAsia="宋体" w:cs="Times New Roman"/>
          <w:color w:val="auto"/>
          <w:sz w:val="24"/>
          <w:szCs w:val="24"/>
          <w:lang w:val="en-US" w:eastAsia="zh-CN"/>
        </w:rPr>
      </w:pPr>
      <w:r>
        <w:drawing>
          <wp:inline distT="0" distB="0" distL="114300" distR="114300">
            <wp:extent cx="5709920" cy="2244090"/>
            <wp:effectExtent l="0" t="0" r="5080" b="3810"/>
            <wp:docPr id="16"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8"/>
                    <pic:cNvPicPr>
                      <a:picLocks noChangeAspect="1"/>
                    </pic:cNvPicPr>
                  </pic:nvPicPr>
                  <pic:blipFill>
                    <a:blip r:embed="rId27"/>
                    <a:stretch>
                      <a:fillRect/>
                    </a:stretch>
                  </pic:blipFill>
                  <pic:spPr>
                    <a:xfrm>
                      <a:off x="0" y="0"/>
                      <a:ext cx="5709920" cy="2244090"/>
                    </a:xfrm>
                    <a:prstGeom prst="rect">
                      <a:avLst/>
                    </a:prstGeom>
                    <a:noFill/>
                    <a:ln>
                      <a:noFill/>
                    </a:ln>
                  </pic:spPr>
                </pic:pic>
              </a:graphicData>
            </a:graphic>
          </wp:inline>
        </w:drawing>
      </w:r>
    </w:p>
    <w:p>
      <w:pPr>
        <w:jc w:val="center"/>
        <w:rPr>
          <w:rFonts w:ascii="Times New Roman" w:hAnsi="Times New Roman" w:eastAsia="宋体" w:cs="Times New Roman"/>
          <w:b/>
          <w:color w:val="auto"/>
          <w:szCs w:val="21"/>
        </w:rPr>
      </w:pPr>
      <w:r>
        <w:rPr>
          <w:rFonts w:hint="eastAsia" w:ascii="Calibri" w:hAnsi="Calibri"/>
          <w:color w:val="auto"/>
          <w:sz w:val="21"/>
          <w:szCs w:val="22"/>
          <w:lang w:eastAsia="zh-CN"/>
        </w:rPr>
        <w:t>图</w:t>
      </w:r>
      <w:r>
        <w:rPr>
          <w:rFonts w:hint="eastAsia" w:ascii="Times New Roman" w:hAnsi="Times New Roman" w:eastAsia="宋体" w:cs="Times New Roman"/>
          <w:b/>
          <w:color w:val="auto"/>
          <w:szCs w:val="21"/>
        </w:rPr>
        <w:t>6.2-</w:t>
      </w:r>
      <w:r>
        <w:rPr>
          <w:rFonts w:hint="eastAsia" w:ascii="Times New Roman" w:hAnsi="Times New Roman" w:eastAsia="宋体" w:cs="Times New Roman"/>
          <w:b/>
          <w:color w:val="auto"/>
          <w:szCs w:val="21"/>
          <w:lang w:val="en-US" w:eastAsia="zh-CN"/>
        </w:rPr>
        <w:t xml:space="preserve">1 </w:t>
      </w:r>
      <w:r>
        <w:rPr>
          <w:rFonts w:ascii="Times New Roman" w:hAnsi="Times New Roman" w:eastAsia="宋体" w:cs="Times New Roman"/>
          <w:b/>
          <w:color w:val="auto"/>
          <w:szCs w:val="21"/>
        </w:rPr>
        <w:t xml:space="preserve"> </w:t>
      </w:r>
      <w:r>
        <w:rPr>
          <w:rFonts w:hint="eastAsia" w:ascii="Times New Roman" w:hAnsi="Times New Roman" w:eastAsia="宋体" w:cs="Times New Roman"/>
          <w:b/>
          <w:color w:val="auto"/>
          <w:szCs w:val="21"/>
          <w:lang w:val="en-US" w:eastAsia="zh-CN"/>
        </w:rPr>
        <w:t>污水</w:t>
      </w:r>
      <w:r>
        <w:rPr>
          <w:rFonts w:hint="eastAsia" w:ascii="Times New Roman" w:hAnsi="Times New Roman" w:eastAsia="宋体" w:cs="Times New Roman"/>
          <w:b/>
          <w:color w:val="auto"/>
          <w:szCs w:val="21"/>
        </w:rPr>
        <w:t>处理工艺流程图</w:t>
      </w:r>
    </w:p>
    <w:p>
      <w:pPr>
        <w:widowControl/>
        <w:tabs>
          <w:tab w:val="left" w:pos="1057"/>
          <w:tab w:val="left" w:pos="2809"/>
          <w:tab w:val="center" w:pos="4153"/>
          <w:tab w:val="left" w:pos="6937"/>
        </w:tabs>
        <w:spacing w:line="360" w:lineRule="auto"/>
        <w:ind w:firstLine="482" w:firstLineChars="200"/>
        <w:jc w:val="left"/>
        <w:rPr>
          <w:rFonts w:hint="eastAsia" w:ascii="Times New Roman" w:hAnsi="Times New Roman" w:eastAsia="宋体" w:cs="Times New Roman"/>
          <w:b/>
          <w:bCs/>
          <w:color w:val="auto"/>
          <w:sz w:val="24"/>
          <w:szCs w:val="24"/>
        </w:rPr>
      </w:pPr>
      <w:r>
        <w:rPr>
          <w:rFonts w:hint="eastAsia" w:ascii="Times New Roman" w:hAnsi="Times New Roman" w:eastAsia="宋体" w:cs="Times New Roman"/>
          <w:b/>
          <w:bCs/>
          <w:color w:val="auto"/>
          <w:sz w:val="24"/>
          <w:szCs w:val="24"/>
        </w:rPr>
        <w:t>固液分离机</w:t>
      </w:r>
    </w:p>
    <w:p>
      <w:pPr>
        <w:widowControl/>
        <w:tabs>
          <w:tab w:val="left" w:pos="1057"/>
          <w:tab w:val="left" w:pos="2809"/>
          <w:tab w:val="center" w:pos="4153"/>
          <w:tab w:val="left" w:pos="6937"/>
        </w:tabs>
        <w:spacing w:line="360" w:lineRule="auto"/>
        <w:ind w:firstLine="480" w:firstLineChars="200"/>
        <w:jc w:val="left"/>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固液分离设备选用水力筛网，水力筛网主体由楔形钢棒经精密制成的不锈钢弧形或平面过滤筛面，待处理废水经隙大、排水顺集水池通过溢流堰均匀分布到倾斜筛面上，由于筛网表面间隙小、平滑、背面间畅、不易阻塞，固态物质被截留，过滤后的水从筛板缝隙中流出进入水解调节池，同时在水力作用下固态物质被推到筛板下端排出，经滤水后运至堆粪棚暂存。</w:t>
      </w:r>
    </w:p>
    <w:p>
      <w:pPr>
        <w:widowControl/>
        <w:tabs>
          <w:tab w:val="left" w:pos="1057"/>
          <w:tab w:val="left" w:pos="2809"/>
          <w:tab w:val="center" w:pos="4153"/>
          <w:tab w:val="left" w:pos="6937"/>
        </w:tabs>
        <w:spacing w:line="360" w:lineRule="auto"/>
        <w:ind w:firstLine="482" w:firstLineChars="200"/>
        <w:jc w:val="left"/>
        <w:rPr>
          <w:rFonts w:hint="eastAsia" w:ascii="Times New Roman" w:hAnsi="Times New Roman" w:eastAsia="宋体" w:cs="Times New Roman"/>
          <w:b/>
          <w:bCs/>
          <w:color w:val="auto"/>
          <w:sz w:val="24"/>
          <w:szCs w:val="24"/>
          <w:lang w:eastAsia="zh-CN"/>
        </w:rPr>
      </w:pPr>
      <w:r>
        <w:rPr>
          <w:rFonts w:hint="eastAsia" w:ascii="Times New Roman" w:hAnsi="Times New Roman" w:eastAsia="宋体" w:cs="Times New Roman"/>
          <w:b/>
          <w:bCs/>
          <w:color w:val="auto"/>
          <w:sz w:val="24"/>
          <w:szCs w:val="24"/>
          <w:lang w:eastAsia="zh-CN"/>
        </w:rPr>
        <w:t>叠螺机</w:t>
      </w:r>
    </w:p>
    <w:p>
      <w:pPr>
        <w:widowControl/>
        <w:tabs>
          <w:tab w:val="left" w:pos="1057"/>
          <w:tab w:val="left" w:pos="2809"/>
          <w:tab w:val="center" w:pos="4153"/>
          <w:tab w:val="left" w:pos="6937"/>
        </w:tabs>
        <w:spacing w:line="360" w:lineRule="auto"/>
        <w:ind w:firstLine="480" w:firstLineChars="200"/>
        <w:jc w:val="left"/>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rPr>
        <w:t>经过干湿分离机把粪渣分离出来，再加药进叠螺机进一步分离固体有机物</w:t>
      </w:r>
      <w:r>
        <w:rPr>
          <w:rFonts w:hint="eastAsia" w:ascii="Times New Roman" w:hAnsi="Times New Roman" w:eastAsia="宋体" w:cs="Times New Roman"/>
          <w:color w:val="auto"/>
          <w:sz w:val="24"/>
          <w:szCs w:val="24"/>
          <w:lang w:eastAsia="zh-CN"/>
        </w:rPr>
        <w:t>。</w:t>
      </w:r>
    </w:p>
    <w:p>
      <w:pPr>
        <w:widowControl/>
        <w:tabs>
          <w:tab w:val="left" w:pos="1057"/>
          <w:tab w:val="left" w:pos="2809"/>
          <w:tab w:val="center" w:pos="4153"/>
          <w:tab w:val="left" w:pos="6937"/>
        </w:tabs>
        <w:spacing w:line="360" w:lineRule="auto"/>
        <w:ind w:firstLine="482" w:firstLineChars="200"/>
        <w:jc w:val="left"/>
        <w:rPr>
          <w:rFonts w:hint="eastAsia" w:ascii="Times New Roman" w:hAnsi="Times New Roman" w:eastAsia="宋体" w:cs="Times New Roman"/>
          <w:b/>
          <w:bCs/>
          <w:color w:val="auto"/>
          <w:sz w:val="24"/>
          <w:szCs w:val="24"/>
          <w:lang w:eastAsia="zh-CN"/>
        </w:rPr>
      </w:pPr>
      <w:r>
        <w:rPr>
          <w:rFonts w:hint="eastAsia" w:ascii="Times New Roman" w:hAnsi="Times New Roman" w:eastAsia="宋体" w:cs="Times New Roman"/>
          <w:b/>
          <w:bCs/>
          <w:color w:val="auto"/>
          <w:sz w:val="24"/>
          <w:szCs w:val="24"/>
          <w:lang w:eastAsia="zh-CN"/>
        </w:rPr>
        <w:t>预沉池</w:t>
      </w:r>
    </w:p>
    <w:p>
      <w:pPr>
        <w:widowControl/>
        <w:tabs>
          <w:tab w:val="left" w:pos="1057"/>
          <w:tab w:val="left" w:pos="2809"/>
          <w:tab w:val="center" w:pos="4153"/>
          <w:tab w:val="left" w:pos="6937"/>
        </w:tabs>
        <w:spacing w:line="360" w:lineRule="auto"/>
        <w:ind w:firstLine="480" w:firstLineChars="200"/>
        <w:jc w:val="left"/>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rPr>
        <w:t>预沉淀池进行悬浮物分离</w:t>
      </w:r>
      <w:r>
        <w:rPr>
          <w:rFonts w:hint="eastAsia" w:ascii="Times New Roman" w:hAnsi="Times New Roman" w:eastAsia="宋体" w:cs="Times New Roman"/>
          <w:color w:val="auto"/>
          <w:sz w:val="24"/>
          <w:szCs w:val="24"/>
          <w:lang w:eastAsia="zh-CN"/>
        </w:rPr>
        <w:t>。</w:t>
      </w:r>
    </w:p>
    <w:p>
      <w:pPr>
        <w:widowControl/>
        <w:tabs>
          <w:tab w:val="left" w:pos="1057"/>
          <w:tab w:val="left" w:pos="2809"/>
          <w:tab w:val="center" w:pos="4153"/>
          <w:tab w:val="left" w:pos="6937"/>
        </w:tabs>
        <w:spacing w:line="360" w:lineRule="auto"/>
        <w:ind w:firstLine="482" w:firstLineChars="200"/>
        <w:jc w:val="left"/>
        <w:rPr>
          <w:rFonts w:hint="eastAsia" w:ascii="Times New Roman" w:hAnsi="Times New Roman" w:eastAsia="宋体" w:cs="Times New Roman"/>
          <w:b/>
          <w:bCs/>
          <w:color w:val="auto"/>
          <w:sz w:val="24"/>
          <w:szCs w:val="24"/>
          <w:lang w:eastAsia="zh-CN"/>
        </w:rPr>
      </w:pPr>
      <w:r>
        <w:rPr>
          <w:rFonts w:hint="eastAsia" w:ascii="Times New Roman" w:hAnsi="Times New Roman" w:eastAsia="宋体" w:cs="Times New Roman"/>
          <w:b/>
          <w:bCs/>
          <w:color w:val="auto"/>
          <w:sz w:val="24"/>
          <w:szCs w:val="24"/>
          <w:lang w:eastAsia="zh-CN"/>
        </w:rPr>
        <w:t>一级光氧塘</w:t>
      </w:r>
    </w:p>
    <w:p>
      <w:pPr>
        <w:widowControl/>
        <w:tabs>
          <w:tab w:val="left" w:pos="1057"/>
          <w:tab w:val="left" w:pos="2809"/>
          <w:tab w:val="center" w:pos="4153"/>
          <w:tab w:val="left" w:pos="6937"/>
        </w:tabs>
        <w:spacing w:line="360" w:lineRule="auto"/>
        <w:ind w:firstLine="480" w:firstLineChars="200"/>
        <w:jc w:val="left"/>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rPr>
        <w:t>经</w:t>
      </w:r>
      <w:r>
        <w:rPr>
          <w:rFonts w:hint="eastAsia" w:ascii="Times New Roman" w:hAnsi="Times New Roman" w:eastAsia="宋体" w:cs="Times New Roman"/>
          <w:color w:val="auto"/>
          <w:sz w:val="24"/>
          <w:szCs w:val="24"/>
          <w:lang w:eastAsia="zh-CN"/>
        </w:rPr>
        <w:t>光氧</w:t>
      </w:r>
      <w:r>
        <w:rPr>
          <w:rFonts w:hint="eastAsia" w:ascii="Times New Roman" w:hAnsi="Times New Roman" w:eastAsia="宋体" w:cs="Times New Roman"/>
          <w:color w:val="auto"/>
          <w:sz w:val="24"/>
          <w:szCs w:val="24"/>
        </w:rPr>
        <w:t>塘靠光氧化进行有机物的降解和开环断链，主要是靠光氧化不会产生沼气</w:t>
      </w:r>
      <w:r>
        <w:rPr>
          <w:rFonts w:hint="eastAsia" w:ascii="Times New Roman" w:hAnsi="Times New Roman" w:eastAsia="宋体" w:cs="Times New Roman"/>
          <w:color w:val="auto"/>
          <w:sz w:val="24"/>
          <w:szCs w:val="24"/>
          <w:lang w:eastAsia="zh-CN"/>
        </w:rPr>
        <w:t>。</w:t>
      </w:r>
    </w:p>
    <w:p>
      <w:pPr>
        <w:widowControl/>
        <w:tabs>
          <w:tab w:val="left" w:pos="1057"/>
          <w:tab w:val="left" w:pos="2809"/>
          <w:tab w:val="center" w:pos="4153"/>
          <w:tab w:val="left" w:pos="6937"/>
        </w:tabs>
        <w:spacing w:line="360" w:lineRule="auto"/>
        <w:ind w:firstLine="482" w:firstLineChars="200"/>
        <w:jc w:val="left"/>
        <w:rPr>
          <w:rFonts w:hint="eastAsia" w:ascii="Times New Roman" w:hAnsi="Times New Roman" w:eastAsia="宋体" w:cs="Times New Roman"/>
          <w:b/>
          <w:bCs/>
          <w:color w:val="auto"/>
          <w:sz w:val="24"/>
          <w:szCs w:val="24"/>
          <w:lang w:eastAsia="zh-CN"/>
        </w:rPr>
      </w:pPr>
      <w:r>
        <w:rPr>
          <w:rFonts w:hint="eastAsia" w:ascii="Times New Roman" w:hAnsi="Times New Roman" w:eastAsia="宋体" w:cs="Times New Roman"/>
          <w:b/>
          <w:bCs/>
          <w:color w:val="auto"/>
          <w:sz w:val="24"/>
          <w:szCs w:val="24"/>
          <w:lang w:eastAsia="zh-CN"/>
        </w:rPr>
        <w:t>组合池</w:t>
      </w:r>
    </w:p>
    <w:p>
      <w:pPr>
        <w:widowControl/>
        <w:tabs>
          <w:tab w:val="left" w:pos="1057"/>
          <w:tab w:val="left" w:pos="2809"/>
          <w:tab w:val="center" w:pos="4153"/>
          <w:tab w:val="left" w:pos="6937"/>
        </w:tabs>
        <w:spacing w:line="360" w:lineRule="auto"/>
        <w:ind w:firstLine="480" w:firstLineChars="200"/>
        <w:jc w:val="left"/>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再进</w:t>
      </w:r>
      <w:r>
        <w:rPr>
          <w:rFonts w:hint="eastAsia" w:ascii="Times New Roman" w:hAnsi="Times New Roman" w:eastAsia="宋体" w:cs="Times New Roman"/>
          <w:color w:val="auto"/>
          <w:sz w:val="24"/>
          <w:szCs w:val="24"/>
        </w:rPr>
        <w:t>入组合池进行生物降解，通过好氧菌吸附，硝化细菌与反硝化细菌的降解，达到去除COD，氨氮，总氮等的目的</w:t>
      </w:r>
      <w:r>
        <w:rPr>
          <w:rFonts w:hint="eastAsia" w:ascii="Times New Roman" w:hAnsi="Times New Roman" w:eastAsia="宋体" w:cs="Times New Roman"/>
          <w:color w:val="auto"/>
          <w:sz w:val="24"/>
          <w:szCs w:val="24"/>
          <w:lang w:eastAsia="zh-CN"/>
        </w:rPr>
        <w:t>，最后再经过芬顿进行高级氧化去除难降解的物质而达到达标排放。</w:t>
      </w:r>
    </w:p>
    <w:p>
      <w:pPr>
        <w:widowControl/>
        <w:tabs>
          <w:tab w:val="left" w:pos="1057"/>
          <w:tab w:val="left" w:pos="2809"/>
          <w:tab w:val="center" w:pos="4153"/>
          <w:tab w:val="left" w:pos="6937"/>
        </w:tabs>
        <w:spacing w:line="360" w:lineRule="auto"/>
        <w:ind w:firstLine="482" w:firstLineChars="200"/>
        <w:jc w:val="left"/>
        <w:rPr>
          <w:rFonts w:hint="eastAsia" w:ascii="Times New Roman" w:hAnsi="Times New Roman" w:eastAsia="宋体" w:cs="Times New Roman"/>
          <w:b/>
          <w:bCs/>
          <w:color w:val="auto"/>
          <w:sz w:val="24"/>
          <w:szCs w:val="24"/>
        </w:rPr>
      </w:pPr>
      <w:r>
        <w:rPr>
          <w:rFonts w:hint="eastAsia" w:ascii="Times New Roman" w:hAnsi="Times New Roman" w:eastAsia="宋体" w:cs="Times New Roman"/>
          <w:b/>
          <w:bCs/>
          <w:color w:val="auto"/>
          <w:sz w:val="24"/>
          <w:szCs w:val="24"/>
        </w:rPr>
        <w:t>氧化塘</w:t>
      </w:r>
    </w:p>
    <w:p>
      <w:pPr>
        <w:widowControl/>
        <w:tabs>
          <w:tab w:val="left" w:pos="1057"/>
          <w:tab w:val="left" w:pos="2809"/>
          <w:tab w:val="center" w:pos="4153"/>
          <w:tab w:val="left" w:pos="6937"/>
        </w:tabs>
        <w:spacing w:line="360" w:lineRule="auto"/>
        <w:ind w:firstLine="480" w:firstLineChars="200"/>
        <w:jc w:val="left"/>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氧化塘就是用人工筑成水池或沟槽，底面铺设防渗漏隔水层，种植芦苇一类的维管束植物或根系发达的水生植物，污水由氧化塘的一端通过布水管渠进入，以推流方式与布满生物膜的介质表面和溶解氧进行充分的植物根区接触而获得净化。</w:t>
      </w:r>
    </w:p>
    <w:p>
      <w:pPr>
        <w:widowControl/>
        <w:tabs>
          <w:tab w:val="left" w:pos="1057"/>
          <w:tab w:val="left" w:pos="2809"/>
          <w:tab w:val="center" w:pos="4153"/>
          <w:tab w:val="left" w:pos="6937"/>
        </w:tabs>
        <w:spacing w:line="360" w:lineRule="auto"/>
        <w:ind w:firstLine="482" w:firstLineChars="200"/>
        <w:jc w:val="left"/>
        <w:rPr>
          <w:rFonts w:hint="eastAsia" w:ascii="Times New Roman" w:hAnsi="Times New Roman" w:eastAsia="宋体" w:cs="Times New Roman"/>
          <w:b/>
          <w:bCs/>
          <w:color w:val="auto"/>
          <w:sz w:val="24"/>
          <w:szCs w:val="24"/>
        </w:rPr>
      </w:pPr>
      <w:r>
        <w:rPr>
          <w:rFonts w:hint="eastAsia" w:ascii="Times New Roman" w:hAnsi="Times New Roman" w:eastAsia="宋体" w:cs="Times New Roman"/>
          <w:b/>
          <w:bCs/>
          <w:color w:val="auto"/>
          <w:sz w:val="24"/>
          <w:szCs w:val="24"/>
        </w:rPr>
        <w:t>污泥处理</w:t>
      </w:r>
    </w:p>
    <w:p>
      <w:pPr>
        <w:widowControl/>
        <w:tabs>
          <w:tab w:val="left" w:pos="1057"/>
          <w:tab w:val="left" w:pos="2809"/>
          <w:tab w:val="center" w:pos="4153"/>
          <w:tab w:val="left" w:pos="6937"/>
        </w:tabs>
        <w:spacing w:line="360" w:lineRule="auto"/>
        <w:ind w:firstLine="480" w:firstLineChars="200"/>
        <w:jc w:val="left"/>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rPr>
        <w:t>生化系统与物化系统排出的剩余污泥进入污泥池，经污泥泵送到污泥脱水机进行脱水，滤液回调节池，干泥送至堆粪棚与猪粪一起堆存。污泥处理系统包括污泥池及污泥泵、脱水机等设施设备</w:t>
      </w:r>
      <w:r>
        <w:rPr>
          <w:rFonts w:hint="eastAsia" w:ascii="Times New Roman" w:hAnsi="Times New Roman" w:eastAsia="宋体" w:cs="Times New Roman"/>
          <w:color w:val="auto"/>
          <w:sz w:val="24"/>
          <w:szCs w:val="24"/>
          <w:lang w:eastAsia="zh-CN"/>
        </w:rPr>
        <w:t>。</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各工序去除率见下表：</w:t>
      </w:r>
    </w:p>
    <w:p>
      <w:pPr>
        <w:jc w:val="center"/>
        <w:rPr>
          <w:rFonts w:hint="eastAsia" w:ascii="Times New Roman" w:hAnsi="Times New Roman" w:eastAsia="宋体" w:cs="Times New Roman"/>
          <w:b/>
          <w:color w:val="auto"/>
          <w:szCs w:val="21"/>
        </w:rPr>
      </w:pPr>
      <w:r>
        <w:rPr>
          <w:rFonts w:ascii="Times New Roman" w:hAnsi="Times New Roman" w:eastAsia="宋体" w:cs="Times New Roman"/>
          <w:b/>
          <w:color w:val="auto"/>
          <w:szCs w:val="21"/>
        </w:rPr>
        <w:t>表</w:t>
      </w:r>
      <w:r>
        <w:rPr>
          <w:rFonts w:hint="eastAsia" w:ascii="Times New Roman" w:hAnsi="Times New Roman" w:eastAsia="宋体" w:cs="Times New Roman"/>
          <w:b/>
          <w:color w:val="auto"/>
          <w:szCs w:val="21"/>
        </w:rPr>
        <w:t>6.2-</w:t>
      </w:r>
      <w:r>
        <w:rPr>
          <w:rFonts w:hint="eastAsia" w:ascii="Times New Roman" w:hAnsi="Times New Roman" w:eastAsia="宋体" w:cs="Times New Roman"/>
          <w:b/>
          <w:color w:val="auto"/>
          <w:szCs w:val="21"/>
          <w:lang w:val="en-US" w:eastAsia="zh-CN"/>
        </w:rPr>
        <w:t xml:space="preserve">5 </w:t>
      </w:r>
      <w:r>
        <w:rPr>
          <w:rFonts w:ascii="Times New Roman" w:hAnsi="Times New Roman" w:eastAsia="宋体" w:cs="Times New Roman"/>
          <w:b/>
          <w:color w:val="auto"/>
          <w:szCs w:val="21"/>
        </w:rPr>
        <w:t xml:space="preserve"> </w:t>
      </w:r>
      <w:r>
        <w:rPr>
          <w:rFonts w:hint="eastAsia" w:ascii="Times New Roman" w:hAnsi="Times New Roman" w:eastAsia="宋体" w:cs="Times New Roman"/>
          <w:b/>
          <w:color w:val="auto"/>
          <w:szCs w:val="21"/>
        </w:rPr>
        <w:t>污水处理系统各单元处理效率分析</w:t>
      </w:r>
    </w:p>
    <w:tbl>
      <w:tblPr>
        <w:tblStyle w:val="35"/>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39"/>
        <w:gridCol w:w="1031"/>
        <w:gridCol w:w="1065"/>
        <w:gridCol w:w="1087"/>
        <w:gridCol w:w="896"/>
        <w:gridCol w:w="896"/>
        <w:gridCol w:w="896"/>
        <w:gridCol w:w="1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07"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项目</w:t>
            </w:r>
          </w:p>
        </w:tc>
        <w:tc>
          <w:tcPr>
            <w:tcW w:w="559"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废水量（</w:t>
            </w:r>
            <w:r>
              <w:rPr>
                <w:rFonts w:cs="Times New Roman"/>
                <w:color w:val="auto"/>
                <w:highlight w:val="none"/>
              </w:rPr>
              <w:t>m</w:t>
            </w:r>
            <w:r>
              <w:rPr>
                <w:rFonts w:cs="Times New Roman"/>
                <w:color w:val="auto"/>
                <w:highlight w:val="none"/>
                <w:vertAlign w:val="superscript"/>
              </w:rPr>
              <w:t>3</w:t>
            </w:r>
            <w:r>
              <w:rPr>
                <w:rFonts w:cs="Times New Roman"/>
                <w:color w:val="auto"/>
                <w:highlight w:val="none"/>
              </w:rPr>
              <w:t>/d</w:t>
            </w:r>
            <w:r>
              <w:rPr>
                <w:rFonts w:hint="eastAsia"/>
                <w:color w:val="auto"/>
                <w:highlight w:val="none"/>
                <w:lang w:val="en-US" w:eastAsia="zh-CN"/>
              </w:rPr>
              <w:t>）</w:t>
            </w:r>
          </w:p>
        </w:tc>
        <w:tc>
          <w:tcPr>
            <w:tcW w:w="578" w:type="pct"/>
            <w:noWrap w:val="0"/>
            <w:vAlign w:val="center"/>
          </w:tcPr>
          <w:p>
            <w:pPr>
              <w:pStyle w:val="98"/>
              <w:keepNext w:val="0"/>
              <w:keepLines w:val="0"/>
              <w:pageBreakBefore w:val="0"/>
              <w:widowControl w:val="0"/>
              <w:kinsoku/>
              <w:wordWrap/>
              <w:overflowPunct/>
              <w:topLinePunct w:val="0"/>
              <w:autoSpaceDE/>
              <w:autoSpaceDN/>
              <w:bidi w:val="0"/>
              <w:snapToGrid/>
              <w:jc w:val="center"/>
              <w:rPr>
                <w:rFonts w:hint="eastAsia"/>
                <w:color w:val="auto"/>
                <w:highlight w:val="none"/>
                <w:lang w:val="en-US" w:eastAsia="zh-CN"/>
              </w:rPr>
            </w:pPr>
            <w:r>
              <w:rPr>
                <w:rFonts w:hint="eastAsia" w:ascii="Times New Roman" w:hAnsi="Times New Roman" w:cs="Times New Roman"/>
                <w:b/>
                <w:bCs/>
                <w:color w:val="auto"/>
                <w:szCs w:val="21"/>
                <w:highlight w:val="none"/>
                <w:lang w:val="en-US" w:eastAsia="zh-CN"/>
              </w:rPr>
              <w:t>COD</w:t>
            </w:r>
            <w:r>
              <w:rPr>
                <w:rFonts w:hint="eastAsia" w:ascii="Times New Roman" w:hAnsi="Times New Roman" w:cs="Times New Roman"/>
                <w:b/>
                <w:bCs/>
                <w:color w:val="auto"/>
                <w:szCs w:val="21"/>
                <w:highlight w:val="none"/>
                <w:vertAlign w:val="subscript"/>
                <w:lang w:val="en-US" w:eastAsia="zh-CN"/>
              </w:rPr>
              <w:t>cr</w:t>
            </w:r>
          </w:p>
        </w:tc>
        <w:tc>
          <w:tcPr>
            <w:tcW w:w="590" w:type="pct"/>
            <w:noWrap w:val="0"/>
            <w:vAlign w:val="center"/>
          </w:tcPr>
          <w:p>
            <w:pPr>
              <w:pStyle w:val="98"/>
              <w:keepNext w:val="0"/>
              <w:keepLines w:val="0"/>
              <w:pageBreakBefore w:val="0"/>
              <w:widowControl w:val="0"/>
              <w:kinsoku/>
              <w:wordWrap/>
              <w:overflowPunct/>
              <w:topLinePunct w:val="0"/>
              <w:autoSpaceDE/>
              <w:autoSpaceDN/>
              <w:bidi w:val="0"/>
              <w:snapToGrid/>
              <w:jc w:val="center"/>
              <w:rPr>
                <w:rFonts w:hint="eastAsia"/>
                <w:color w:val="auto"/>
                <w:highlight w:val="none"/>
                <w:lang w:val="en-US" w:eastAsia="zh-CN"/>
              </w:rPr>
            </w:pPr>
            <w:r>
              <w:rPr>
                <w:rFonts w:hint="eastAsia" w:ascii="Times New Roman" w:hAnsi="Times New Roman" w:cs="Times New Roman"/>
                <w:b/>
                <w:bCs/>
                <w:color w:val="auto"/>
                <w:szCs w:val="21"/>
                <w:highlight w:val="none"/>
                <w:lang w:val="en-US" w:eastAsia="zh-CN"/>
              </w:rPr>
              <w:t>BOD</w:t>
            </w:r>
            <w:r>
              <w:rPr>
                <w:rFonts w:hint="eastAsia" w:ascii="Times New Roman" w:hAnsi="Times New Roman" w:cs="Times New Roman"/>
                <w:b/>
                <w:bCs/>
                <w:color w:val="auto"/>
                <w:szCs w:val="21"/>
                <w:highlight w:val="none"/>
                <w:vertAlign w:val="subscript"/>
                <w:lang w:val="en-US" w:eastAsia="zh-CN"/>
              </w:rPr>
              <w:t>5</w:t>
            </w:r>
          </w:p>
        </w:tc>
        <w:tc>
          <w:tcPr>
            <w:tcW w:w="486" w:type="pct"/>
            <w:noWrap w:val="0"/>
            <w:vAlign w:val="center"/>
          </w:tcPr>
          <w:p>
            <w:pPr>
              <w:pStyle w:val="98"/>
              <w:keepNext w:val="0"/>
              <w:keepLines w:val="0"/>
              <w:pageBreakBefore w:val="0"/>
              <w:widowControl w:val="0"/>
              <w:kinsoku/>
              <w:wordWrap/>
              <w:overflowPunct/>
              <w:topLinePunct w:val="0"/>
              <w:autoSpaceDE/>
              <w:autoSpaceDN/>
              <w:bidi w:val="0"/>
              <w:snapToGrid/>
              <w:jc w:val="center"/>
              <w:rPr>
                <w:rFonts w:hint="eastAsia"/>
                <w:color w:val="auto"/>
                <w:highlight w:val="none"/>
                <w:lang w:val="en-US" w:eastAsia="zh-CN"/>
              </w:rPr>
            </w:pPr>
            <w:r>
              <w:rPr>
                <w:rFonts w:hint="eastAsia" w:ascii="Times New Roman" w:hAnsi="Times New Roman" w:cs="Times New Roman"/>
                <w:b/>
                <w:bCs/>
                <w:color w:val="auto"/>
                <w:szCs w:val="21"/>
                <w:highlight w:val="none"/>
                <w:lang w:val="en-US" w:eastAsia="zh-CN"/>
              </w:rPr>
              <w:t>SS</w:t>
            </w:r>
          </w:p>
        </w:tc>
        <w:tc>
          <w:tcPr>
            <w:tcW w:w="486" w:type="pct"/>
            <w:noWrap w:val="0"/>
            <w:vAlign w:val="center"/>
          </w:tcPr>
          <w:p>
            <w:pPr>
              <w:pStyle w:val="98"/>
              <w:keepNext w:val="0"/>
              <w:keepLines w:val="0"/>
              <w:pageBreakBefore w:val="0"/>
              <w:widowControl w:val="0"/>
              <w:kinsoku/>
              <w:wordWrap/>
              <w:overflowPunct/>
              <w:topLinePunct w:val="0"/>
              <w:autoSpaceDE/>
              <w:autoSpaceDN/>
              <w:bidi w:val="0"/>
              <w:snapToGrid/>
              <w:jc w:val="center"/>
              <w:rPr>
                <w:rFonts w:hint="eastAsia"/>
                <w:color w:val="auto"/>
                <w:highlight w:val="none"/>
                <w:lang w:val="en-US" w:eastAsia="zh-CN"/>
              </w:rPr>
            </w:pPr>
            <w:r>
              <w:rPr>
                <w:rFonts w:hint="eastAsia" w:ascii="Times New Roman" w:hAnsi="Times New Roman" w:cs="Times New Roman"/>
                <w:b/>
                <w:bCs/>
                <w:color w:val="auto"/>
                <w:szCs w:val="21"/>
                <w:highlight w:val="none"/>
                <w:lang w:val="en-US" w:eastAsia="zh-CN"/>
              </w:rPr>
              <w:t>NH</w:t>
            </w:r>
            <w:r>
              <w:rPr>
                <w:rFonts w:hint="eastAsia" w:ascii="Times New Roman" w:hAnsi="Times New Roman" w:cs="Times New Roman"/>
                <w:b/>
                <w:bCs/>
                <w:color w:val="auto"/>
                <w:szCs w:val="21"/>
                <w:highlight w:val="none"/>
                <w:vertAlign w:val="subscript"/>
                <w:lang w:val="en-US" w:eastAsia="zh-CN"/>
              </w:rPr>
              <w:t>3</w:t>
            </w:r>
            <w:r>
              <w:rPr>
                <w:rFonts w:hint="eastAsia" w:ascii="Times New Roman" w:hAnsi="Times New Roman" w:cs="Times New Roman"/>
                <w:b/>
                <w:bCs/>
                <w:color w:val="auto"/>
                <w:szCs w:val="21"/>
                <w:highlight w:val="none"/>
                <w:lang w:val="en-US" w:eastAsia="zh-CN"/>
              </w:rPr>
              <w:t>-N</w:t>
            </w:r>
          </w:p>
        </w:tc>
        <w:tc>
          <w:tcPr>
            <w:tcW w:w="486" w:type="pct"/>
            <w:noWrap w:val="0"/>
            <w:vAlign w:val="center"/>
          </w:tcPr>
          <w:p>
            <w:pPr>
              <w:pStyle w:val="98"/>
              <w:keepNext w:val="0"/>
              <w:keepLines w:val="0"/>
              <w:pageBreakBefore w:val="0"/>
              <w:widowControl w:val="0"/>
              <w:kinsoku/>
              <w:wordWrap/>
              <w:overflowPunct/>
              <w:topLinePunct w:val="0"/>
              <w:autoSpaceDE/>
              <w:autoSpaceDN/>
              <w:bidi w:val="0"/>
              <w:snapToGrid/>
              <w:jc w:val="center"/>
              <w:rPr>
                <w:rFonts w:hint="eastAsia"/>
                <w:color w:val="auto"/>
                <w:highlight w:val="none"/>
                <w:lang w:val="en-US" w:eastAsia="zh-CN"/>
              </w:rPr>
            </w:pPr>
            <w:r>
              <w:rPr>
                <w:rFonts w:hint="eastAsia" w:ascii="Times New Roman" w:hAnsi="Times New Roman" w:cs="Times New Roman"/>
                <w:b/>
                <w:bCs/>
                <w:color w:val="auto"/>
                <w:szCs w:val="21"/>
                <w:highlight w:val="none"/>
                <w:lang w:val="en-US" w:eastAsia="zh-CN"/>
              </w:rPr>
              <w:t>TP</w:t>
            </w:r>
          </w:p>
        </w:tc>
        <w:tc>
          <w:tcPr>
            <w:tcW w:w="704" w:type="pct"/>
            <w:noWrap w:val="0"/>
            <w:vAlign w:val="center"/>
          </w:tcPr>
          <w:p>
            <w:pPr>
              <w:pStyle w:val="98"/>
              <w:keepNext w:val="0"/>
              <w:keepLines w:val="0"/>
              <w:pageBreakBefore w:val="0"/>
              <w:widowControl w:val="0"/>
              <w:kinsoku/>
              <w:wordWrap/>
              <w:overflowPunct/>
              <w:topLinePunct w:val="0"/>
              <w:autoSpaceDE/>
              <w:autoSpaceDN/>
              <w:bidi w:val="0"/>
              <w:snapToGrid/>
              <w:jc w:val="center"/>
              <w:rPr>
                <w:rFonts w:hint="eastAsia"/>
                <w:color w:val="auto"/>
                <w:highlight w:val="none"/>
                <w:lang w:val="en-US" w:eastAsia="zh-CN"/>
              </w:rPr>
            </w:pPr>
            <w:r>
              <w:rPr>
                <w:rFonts w:hint="eastAsia" w:ascii="Times New Roman" w:hAnsi="Times New Roman" w:cs="Times New Roman"/>
                <w:b/>
                <w:bCs/>
                <w:color w:val="auto"/>
                <w:szCs w:val="21"/>
                <w:highlight w:val="none"/>
                <w:lang w:val="en-US" w:eastAsia="zh-CN"/>
              </w:rPr>
              <w:t>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107"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产生浓度（mg/L）</w:t>
            </w:r>
          </w:p>
        </w:tc>
        <w:tc>
          <w:tcPr>
            <w:tcW w:w="559" w:type="pct"/>
            <w:vMerge w:val="restar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s="Times New Roman"/>
                <w:color w:val="auto"/>
                <w:szCs w:val="21"/>
                <w:highlight w:val="none"/>
                <w:lang w:val="en-US" w:eastAsia="zh-CN"/>
              </w:rPr>
              <w:t>24941.95</w:t>
            </w:r>
          </w:p>
        </w:tc>
        <w:tc>
          <w:tcPr>
            <w:tcW w:w="578" w:type="pct"/>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center"/>
              <w:rPr>
                <w:rFonts w:hint="default"/>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10908.93 </w:t>
            </w:r>
          </w:p>
        </w:tc>
        <w:tc>
          <w:tcPr>
            <w:tcW w:w="590" w:type="pct"/>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center"/>
              <w:rPr>
                <w:rFonts w:hint="default"/>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925.35 </w:t>
            </w:r>
          </w:p>
        </w:tc>
        <w:tc>
          <w:tcPr>
            <w:tcW w:w="486" w:type="pct"/>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center"/>
              <w:rPr>
                <w:rFonts w:hint="default"/>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473.50 </w:t>
            </w:r>
          </w:p>
        </w:tc>
        <w:tc>
          <w:tcPr>
            <w:tcW w:w="486" w:type="pct"/>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center"/>
              <w:rPr>
                <w:rFonts w:hint="default"/>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365.65 </w:t>
            </w:r>
          </w:p>
        </w:tc>
        <w:tc>
          <w:tcPr>
            <w:tcW w:w="486" w:type="pct"/>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center"/>
              <w:rPr>
                <w:rFonts w:hint="default"/>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46.91 </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center"/>
              <w:rPr>
                <w:rFonts w:hint="default"/>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500.36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07"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产生量（t/a）</w:t>
            </w:r>
          </w:p>
        </w:tc>
        <w:tc>
          <w:tcPr>
            <w:tcW w:w="559" w:type="pct"/>
            <w:vMerge w:val="continue"/>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p>
        </w:tc>
        <w:tc>
          <w:tcPr>
            <w:tcW w:w="578" w:type="pct"/>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center"/>
              <w:rPr>
                <w:rFonts w:hint="default"/>
                <w:color w:val="auto"/>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272.09</w:t>
            </w:r>
          </w:p>
        </w:tc>
        <w:tc>
          <w:tcPr>
            <w:tcW w:w="590" w:type="pct"/>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center"/>
              <w:rPr>
                <w:rFonts w:hint="default"/>
                <w:color w:val="auto"/>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23.08</w:t>
            </w:r>
          </w:p>
        </w:tc>
        <w:tc>
          <w:tcPr>
            <w:tcW w:w="486" w:type="pct"/>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center"/>
              <w:rPr>
                <w:rFonts w:hint="default"/>
                <w:color w:val="auto"/>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11.81</w:t>
            </w:r>
          </w:p>
        </w:tc>
        <w:tc>
          <w:tcPr>
            <w:tcW w:w="486" w:type="pct"/>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center"/>
              <w:rPr>
                <w:rFonts w:hint="default"/>
                <w:color w:val="auto"/>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9.12</w:t>
            </w:r>
          </w:p>
        </w:tc>
        <w:tc>
          <w:tcPr>
            <w:tcW w:w="486" w:type="pct"/>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center"/>
              <w:rPr>
                <w:rFonts w:hint="default"/>
                <w:color w:val="auto"/>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1.17</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center"/>
              <w:rPr>
                <w:rFonts w:hint="default"/>
                <w:color w:val="auto"/>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12.48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000" w:type="pct"/>
            <w:gridSpan w:val="8"/>
            <w:noWrap w:val="0"/>
            <w:vAlign w:val="center"/>
          </w:tcPr>
          <w:p>
            <w:pPr>
              <w:pStyle w:val="98"/>
              <w:keepNext w:val="0"/>
              <w:keepLines w:val="0"/>
              <w:pageBreakBefore w:val="0"/>
              <w:kinsoku/>
              <w:wordWrap/>
              <w:overflowPunct/>
              <w:topLinePunct w:val="0"/>
              <w:autoSpaceDE/>
              <w:autoSpaceDN/>
              <w:bidi w:val="0"/>
              <w:snapToGrid/>
              <w:jc w:val="center"/>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预反应及预沉淀池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07"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效率（%）</w:t>
            </w:r>
          </w:p>
        </w:tc>
        <w:tc>
          <w:tcPr>
            <w:tcW w:w="559" w:type="pct"/>
            <w:vMerge w:val="restar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s="Times New Roman"/>
                <w:color w:val="auto"/>
                <w:szCs w:val="21"/>
                <w:highlight w:val="none"/>
                <w:lang w:val="en-US" w:eastAsia="zh-CN"/>
              </w:rPr>
              <w:t>24941.95</w:t>
            </w:r>
          </w:p>
        </w:tc>
        <w:tc>
          <w:tcPr>
            <w:tcW w:w="578"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20%</w:t>
            </w:r>
          </w:p>
        </w:tc>
        <w:tc>
          <w:tcPr>
            <w:tcW w:w="590"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20%</w:t>
            </w:r>
          </w:p>
        </w:tc>
        <w:tc>
          <w:tcPr>
            <w:tcW w:w="486"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30%</w:t>
            </w:r>
          </w:p>
        </w:tc>
        <w:tc>
          <w:tcPr>
            <w:tcW w:w="486"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0</w:t>
            </w:r>
          </w:p>
        </w:tc>
        <w:tc>
          <w:tcPr>
            <w:tcW w:w="486"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0</w:t>
            </w:r>
          </w:p>
        </w:tc>
        <w:tc>
          <w:tcPr>
            <w:tcW w:w="704"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07"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出水水质（mg/L）</w:t>
            </w:r>
          </w:p>
        </w:tc>
        <w:tc>
          <w:tcPr>
            <w:tcW w:w="559" w:type="pct"/>
            <w:vMerge w:val="continue"/>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p>
        </w:tc>
        <w:tc>
          <w:tcPr>
            <w:tcW w:w="1065"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 xml:space="preserve">8727.14 </w:t>
            </w:r>
          </w:p>
        </w:tc>
        <w:tc>
          <w:tcPr>
            <w:tcW w:w="1087"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 xml:space="preserve">740.28 </w:t>
            </w:r>
          </w:p>
        </w:tc>
        <w:tc>
          <w:tcPr>
            <w:tcW w:w="89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 xml:space="preserve">331.45 </w:t>
            </w:r>
          </w:p>
        </w:tc>
        <w:tc>
          <w:tcPr>
            <w:tcW w:w="89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 xml:space="preserve">365.65 </w:t>
            </w:r>
          </w:p>
        </w:tc>
        <w:tc>
          <w:tcPr>
            <w:tcW w:w="89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 xml:space="preserve">46.91 </w:t>
            </w:r>
          </w:p>
        </w:tc>
        <w:tc>
          <w:tcPr>
            <w:tcW w:w="1303"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 xml:space="preserve">500.36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000" w:type="pct"/>
            <w:gridSpan w:val="8"/>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一级光氧塘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07"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ind w:firstLine="0" w:firstLineChars="0"/>
              <w:jc w:val="center"/>
              <w:rPr>
                <w:rFonts w:hint="eastAsia" w:ascii="Times New Roman" w:hAnsi="Times New Roman" w:eastAsia="宋体" w:cs="Times New Roman"/>
                <w:snapToGrid w:val="0"/>
                <w:color w:val="auto"/>
                <w:kern w:val="2"/>
                <w:sz w:val="21"/>
                <w:szCs w:val="21"/>
                <w:highlight w:val="none"/>
                <w:lang w:val="en-US" w:eastAsia="zh-CN" w:bidi="ar-SA"/>
              </w:rPr>
            </w:pPr>
            <w:r>
              <w:rPr>
                <w:rFonts w:hint="eastAsia"/>
                <w:color w:val="auto"/>
                <w:highlight w:val="none"/>
                <w:lang w:val="en-US" w:eastAsia="zh-CN"/>
              </w:rPr>
              <w:t>效率（%）</w:t>
            </w:r>
          </w:p>
        </w:tc>
        <w:tc>
          <w:tcPr>
            <w:tcW w:w="559" w:type="pct"/>
            <w:vMerge w:val="restar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s="Times New Roman"/>
                <w:color w:val="auto"/>
                <w:szCs w:val="21"/>
                <w:highlight w:val="none"/>
                <w:lang w:val="en-US" w:eastAsia="zh-CN"/>
              </w:rPr>
              <w:t>24941.95</w:t>
            </w:r>
          </w:p>
        </w:tc>
        <w:tc>
          <w:tcPr>
            <w:tcW w:w="109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80%</w:t>
            </w:r>
          </w:p>
        </w:tc>
        <w:tc>
          <w:tcPr>
            <w:tcW w:w="1079"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80%</w:t>
            </w:r>
          </w:p>
        </w:tc>
        <w:tc>
          <w:tcPr>
            <w:tcW w:w="891"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20%</w:t>
            </w:r>
          </w:p>
        </w:tc>
        <w:tc>
          <w:tcPr>
            <w:tcW w:w="891"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40%</w:t>
            </w:r>
          </w:p>
        </w:tc>
        <w:tc>
          <w:tcPr>
            <w:tcW w:w="891"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30%</w:t>
            </w:r>
          </w:p>
        </w:tc>
        <w:tc>
          <w:tcPr>
            <w:tcW w:w="1299"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07"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ind w:firstLine="0" w:firstLineChars="0"/>
              <w:jc w:val="center"/>
              <w:rPr>
                <w:rFonts w:hint="eastAsia" w:ascii="Times New Roman" w:hAnsi="Times New Roman" w:eastAsia="宋体" w:cs="Times New Roman"/>
                <w:snapToGrid w:val="0"/>
                <w:color w:val="auto"/>
                <w:kern w:val="2"/>
                <w:sz w:val="21"/>
                <w:szCs w:val="21"/>
                <w:highlight w:val="none"/>
                <w:lang w:val="en-US" w:eastAsia="zh-CN" w:bidi="ar-SA"/>
              </w:rPr>
            </w:pPr>
            <w:r>
              <w:rPr>
                <w:rFonts w:hint="eastAsia"/>
                <w:color w:val="auto"/>
                <w:highlight w:val="none"/>
                <w:lang w:val="en-US" w:eastAsia="zh-CN"/>
              </w:rPr>
              <w:t>出水水质（mg/L）</w:t>
            </w:r>
          </w:p>
        </w:tc>
        <w:tc>
          <w:tcPr>
            <w:tcW w:w="559" w:type="pct"/>
            <w:vMerge w:val="continue"/>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p>
        </w:tc>
        <w:tc>
          <w:tcPr>
            <w:tcW w:w="109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 xml:space="preserve">1745.43 </w:t>
            </w:r>
          </w:p>
        </w:tc>
        <w:tc>
          <w:tcPr>
            <w:tcW w:w="1079"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 xml:space="preserve">148.06 </w:t>
            </w:r>
          </w:p>
        </w:tc>
        <w:tc>
          <w:tcPr>
            <w:tcW w:w="891"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 xml:space="preserve">265.16 </w:t>
            </w:r>
          </w:p>
        </w:tc>
        <w:tc>
          <w:tcPr>
            <w:tcW w:w="891"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 xml:space="preserve">219.39 </w:t>
            </w:r>
          </w:p>
        </w:tc>
        <w:tc>
          <w:tcPr>
            <w:tcW w:w="891"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 xml:space="preserve">32.84 </w:t>
            </w:r>
          </w:p>
        </w:tc>
        <w:tc>
          <w:tcPr>
            <w:tcW w:w="1299"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 xml:space="preserve">400.29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000" w:type="pct"/>
            <w:gridSpan w:val="8"/>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A/O池+二沉池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07"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ind w:firstLine="0" w:firstLineChars="0"/>
              <w:jc w:val="center"/>
              <w:rPr>
                <w:rFonts w:hint="eastAsia" w:ascii="Times New Roman" w:hAnsi="Times New Roman" w:eastAsia="宋体" w:cs="Times New Roman"/>
                <w:snapToGrid w:val="0"/>
                <w:color w:val="auto"/>
                <w:kern w:val="2"/>
                <w:sz w:val="21"/>
                <w:szCs w:val="21"/>
                <w:highlight w:val="none"/>
                <w:lang w:val="en-US" w:eastAsia="zh-CN" w:bidi="ar-SA"/>
              </w:rPr>
            </w:pPr>
            <w:r>
              <w:rPr>
                <w:rFonts w:hint="eastAsia"/>
                <w:color w:val="auto"/>
                <w:highlight w:val="none"/>
                <w:lang w:val="en-US" w:eastAsia="zh-CN"/>
              </w:rPr>
              <w:t>效率（%）</w:t>
            </w:r>
          </w:p>
        </w:tc>
        <w:tc>
          <w:tcPr>
            <w:tcW w:w="559" w:type="pct"/>
            <w:vMerge w:val="restar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ind w:firstLine="0" w:firstLineChars="0"/>
              <w:jc w:val="center"/>
              <w:rPr>
                <w:rFonts w:hint="eastAsia" w:ascii="Times New Roman" w:hAnsi="Times New Roman" w:eastAsia="宋体" w:cs="Times New Roman"/>
                <w:snapToGrid w:val="0"/>
                <w:color w:val="auto"/>
                <w:kern w:val="2"/>
                <w:sz w:val="21"/>
                <w:szCs w:val="21"/>
                <w:highlight w:val="none"/>
                <w:lang w:val="en-US" w:eastAsia="zh-CN" w:bidi="ar-SA"/>
              </w:rPr>
            </w:pPr>
            <w:r>
              <w:rPr>
                <w:rFonts w:hint="eastAsia" w:cs="Times New Roman"/>
                <w:color w:val="auto"/>
                <w:szCs w:val="21"/>
                <w:highlight w:val="none"/>
                <w:lang w:val="en-US" w:eastAsia="zh-CN"/>
              </w:rPr>
              <w:t>24941.95</w:t>
            </w:r>
          </w:p>
        </w:tc>
        <w:tc>
          <w:tcPr>
            <w:tcW w:w="578"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80%</w:t>
            </w:r>
          </w:p>
        </w:tc>
        <w:tc>
          <w:tcPr>
            <w:tcW w:w="590"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80%</w:t>
            </w:r>
          </w:p>
        </w:tc>
        <w:tc>
          <w:tcPr>
            <w:tcW w:w="486"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80%</w:t>
            </w:r>
          </w:p>
        </w:tc>
        <w:tc>
          <w:tcPr>
            <w:tcW w:w="486"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60%</w:t>
            </w:r>
          </w:p>
        </w:tc>
        <w:tc>
          <w:tcPr>
            <w:tcW w:w="486"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20%</w:t>
            </w:r>
          </w:p>
        </w:tc>
        <w:tc>
          <w:tcPr>
            <w:tcW w:w="704"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07"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ind w:firstLine="0" w:firstLineChars="0"/>
              <w:jc w:val="center"/>
              <w:rPr>
                <w:rFonts w:hint="eastAsia" w:ascii="Times New Roman" w:hAnsi="Times New Roman" w:eastAsia="宋体" w:cs="Times New Roman"/>
                <w:snapToGrid w:val="0"/>
                <w:color w:val="auto"/>
                <w:kern w:val="2"/>
                <w:sz w:val="21"/>
                <w:szCs w:val="21"/>
                <w:highlight w:val="none"/>
                <w:lang w:val="en-US" w:eastAsia="zh-CN" w:bidi="ar-SA"/>
              </w:rPr>
            </w:pPr>
            <w:r>
              <w:rPr>
                <w:rFonts w:hint="eastAsia"/>
                <w:color w:val="auto"/>
                <w:highlight w:val="none"/>
                <w:lang w:val="en-US" w:eastAsia="zh-CN"/>
              </w:rPr>
              <w:t>出水水质（mg/L）</w:t>
            </w:r>
          </w:p>
        </w:tc>
        <w:tc>
          <w:tcPr>
            <w:tcW w:w="559" w:type="pct"/>
            <w:vMerge w:val="continue"/>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ind w:firstLine="0" w:firstLineChars="0"/>
              <w:jc w:val="center"/>
              <w:rPr>
                <w:rFonts w:hint="eastAsia" w:ascii="Times New Roman" w:hAnsi="Times New Roman" w:eastAsia="宋体" w:cs="Times New Roman"/>
                <w:snapToGrid w:val="0"/>
                <w:color w:val="auto"/>
                <w:kern w:val="2"/>
                <w:sz w:val="21"/>
                <w:szCs w:val="21"/>
                <w:highlight w:val="none"/>
                <w:lang w:val="en-US" w:eastAsia="zh-CN" w:bidi="ar-SA"/>
              </w:rPr>
            </w:pPr>
          </w:p>
        </w:tc>
        <w:tc>
          <w:tcPr>
            <w:tcW w:w="120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 xml:space="preserve">349.09 </w:t>
            </w:r>
          </w:p>
        </w:tc>
        <w:tc>
          <w:tcPr>
            <w:tcW w:w="109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 xml:space="preserve">29.61 </w:t>
            </w:r>
          </w:p>
        </w:tc>
        <w:tc>
          <w:tcPr>
            <w:tcW w:w="87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 xml:space="preserve">53.03 </w:t>
            </w:r>
          </w:p>
        </w:tc>
        <w:tc>
          <w:tcPr>
            <w:tcW w:w="87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 xml:space="preserve">87.76 </w:t>
            </w:r>
          </w:p>
        </w:tc>
        <w:tc>
          <w:tcPr>
            <w:tcW w:w="87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 xml:space="preserve">26.27 </w:t>
            </w:r>
          </w:p>
        </w:tc>
        <w:tc>
          <w:tcPr>
            <w:tcW w:w="1238"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 xml:space="preserve">160.12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000" w:type="pct"/>
            <w:gridSpan w:val="8"/>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深度反应池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07"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ind w:firstLine="0" w:firstLineChars="0"/>
              <w:jc w:val="center"/>
              <w:rPr>
                <w:rFonts w:hint="eastAsia" w:ascii="Times New Roman" w:hAnsi="Times New Roman" w:eastAsia="宋体" w:cs="Times New Roman"/>
                <w:snapToGrid w:val="0"/>
                <w:color w:val="auto"/>
                <w:kern w:val="2"/>
                <w:sz w:val="21"/>
                <w:szCs w:val="21"/>
                <w:highlight w:val="none"/>
                <w:lang w:val="en-US" w:eastAsia="zh-CN" w:bidi="ar-SA"/>
              </w:rPr>
            </w:pPr>
            <w:r>
              <w:rPr>
                <w:rFonts w:hint="eastAsia"/>
                <w:color w:val="auto"/>
                <w:highlight w:val="none"/>
                <w:lang w:val="en-US" w:eastAsia="zh-CN"/>
              </w:rPr>
              <w:t>效率（%）</w:t>
            </w:r>
          </w:p>
        </w:tc>
        <w:tc>
          <w:tcPr>
            <w:tcW w:w="559" w:type="pct"/>
            <w:vMerge w:val="restar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ind w:firstLine="0" w:firstLineChars="0"/>
              <w:jc w:val="center"/>
              <w:rPr>
                <w:rFonts w:hint="eastAsia" w:ascii="Times New Roman" w:hAnsi="Times New Roman" w:eastAsia="宋体" w:cs="Times New Roman"/>
                <w:snapToGrid w:val="0"/>
                <w:color w:val="auto"/>
                <w:kern w:val="2"/>
                <w:sz w:val="21"/>
                <w:szCs w:val="21"/>
                <w:highlight w:val="none"/>
                <w:lang w:val="en-US" w:eastAsia="zh-CN" w:bidi="ar-SA"/>
              </w:rPr>
            </w:pPr>
            <w:r>
              <w:rPr>
                <w:rFonts w:hint="eastAsia" w:cs="Times New Roman"/>
                <w:color w:val="auto"/>
                <w:szCs w:val="21"/>
                <w:highlight w:val="none"/>
                <w:lang w:val="en-US" w:eastAsia="zh-CN"/>
              </w:rPr>
              <w:t>24941.95</w:t>
            </w:r>
          </w:p>
        </w:tc>
        <w:tc>
          <w:tcPr>
            <w:tcW w:w="120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40%</w:t>
            </w:r>
          </w:p>
        </w:tc>
        <w:tc>
          <w:tcPr>
            <w:tcW w:w="109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40%</w:t>
            </w:r>
          </w:p>
        </w:tc>
        <w:tc>
          <w:tcPr>
            <w:tcW w:w="87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40%</w:t>
            </w:r>
          </w:p>
        </w:tc>
        <w:tc>
          <w:tcPr>
            <w:tcW w:w="87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60%</w:t>
            </w:r>
          </w:p>
        </w:tc>
        <w:tc>
          <w:tcPr>
            <w:tcW w:w="87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80%</w:t>
            </w:r>
          </w:p>
        </w:tc>
        <w:tc>
          <w:tcPr>
            <w:tcW w:w="1238"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07"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ind w:firstLine="0" w:firstLineChars="0"/>
              <w:jc w:val="center"/>
              <w:rPr>
                <w:rFonts w:hint="eastAsia" w:ascii="Times New Roman" w:hAnsi="Times New Roman" w:eastAsia="宋体" w:cs="Times New Roman"/>
                <w:snapToGrid w:val="0"/>
                <w:color w:val="auto"/>
                <w:kern w:val="2"/>
                <w:sz w:val="21"/>
                <w:szCs w:val="21"/>
                <w:highlight w:val="none"/>
                <w:lang w:val="en-US" w:eastAsia="zh-CN" w:bidi="ar-SA"/>
              </w:rPr>
            </w:pPr>
            <w:r>
              <w:rPr>
                <w:rFonts w:hint="eastAsia"/>
                <w:color w:val="auto"/>
                <w:highlight w:val="none"/>
                <w:lang w:val="en-US" w:eastAsia="zh-CN"/>
              </w:rPr>
              <w:t>出水水质（mg/L）</w:t>
            </w:r>
          </w:p>
        </w:tc>
        <w:tc>
          <w:tcPr>
            <w:tcW w:w="559" w:type="pct"/>
            <w:vMerge w:val="continue"/>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ind w:firstLine="0" w:firstLineChars="0"/>
              <w:jc w:val="center"/>
              <w:rPr>
                <w:rFonts w:hint="eastAsia" w:ascii="Times New Roman" w:hAnsi="Times New Roman" w:eastAsia="宋体" w:cs="Times New Roman"/>
                <w:snapToGrid w:val="0"/>
                <w:color w:val="auto"/>
                <w:kern w:val="2"/>
                <w:sz w:val="21"/>
                <w:szCs w:val="21"/>
                <w:highlight w:val="none"/>
                <w:lang w:val="en-US" w:eastAsia="zh-CN" w:bidi="ar-SA"/>
              </w:rPr>
            </w:pPr>
          </w:p>
        </w:tc>
        <w:tc>
          <w:tcPr>
            <w:tcW w:w="1065"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 xml:space="preserve">209.45 </w:t>
            </w:r>
          </w:p>
        </w:tc>
        <w:tc>
          <w:tcPr>
            <w:tcW w:w="1087"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 xml:space="preserve">17.77 </w:t>
            </w:r>
          </w:p>
        </w:tc>
        <w:tc>
          <w:tcPr>
            <w:tcW w:w="89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 xml:space="preserve">31.82 </w:t>
            </w:r>
          </w:p>
        </w:tc>
        <w:tc>
          <w:tcPr>
            <w:tcW w:w="89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 xml:space="preserve">35.10 </w:t>
            </w:r>
          </w:p>
        </w:tc>
        <w:tc>
          <w:tcPr>
            <w:tcW w:w="89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 xml:space="preserve">5.25 </w:t>
            </w:r>
          </w:p>
        </w:tc>
        <w:tc>
          <w:tcPr>
            <w:tcW w:w="1303"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 xml:space="preserve">64.05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000" w:type="pct"/>
            <w:gridSpan w:val="8"/>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终沉池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07"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ind w:firstLine="0" w:firstLineChars="0"/>
              <w:jc w:val="center"/>
              <w:rPr>
                <w:rFonts w:hint="eastAsia"/>
                <w:color w:val="auto"/>
                <w:highlight w:val="none"/>
                <w:lang w:val="en-US" w:eastAsia="zh-CN"/>
              </w:rPr>
            </w:pPr>
            <w:r>
              <w:rPr>
                <w:rFonts w:hint="eastAsia"/>
                <w:color w:val="auto"/>
                <w:highlight w:val="none"/>
                <w:lang w:val="en-US" w:eastAsia="zh-CN"/>
              </w:rPr>
              <w:t>效率（%）</w:t>
            </w:r>
          </w:p>
        </w:tc>
        <w:tc>
          <w:tcPr>
            <w:tcW w:w="559" w:type="pct"/>
            <w:vMerge w:val="restar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ind w:firstLine="0" w:firstLineChars="0"/>
              <w:jc w:val="center"/>
              <w:rPr>
                <w:rFonts w:hint="eastAsia" w:ascii="Times New Roman" w:hAnsi="Times New Roman" w:eastAsia="宋体" w:cs="Times New Roman"/>
                <w:snapToGrid w:val="0"/>
                <w:color w:val="auto"/>
                <w:kern w:val="2"/>
                <w:sz w:val="21"/>
                <w:szCs w:val="21"/>
                <w:highlight w:val="none"/>
                <w:lang w:val="en-US" w:eastAsia="zh-CN" w:bidi="ar-SA"/>
              </w:rPr>
            </w:pPr>
            <w:r>
              <w:rPr>
                <w:rFonts w:hint="eastAsia" w:cs="Times New Roman"/>
                <w:color w:val="auto"/>
                <w:szCs w:val="21"/>
                <w:highlight w:val="none"/>
                <w:lang w:val="en-US" w:eastAsia="zh-CN"/>
              </w:rPr>
              <w:t>24941.95</w:t>
            </w:r>
          </w:p>
        </w:tc>
        <w:tc>
          <w:tcPr>
            <w:tcW w:w="578"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0</w:t>
            </w:r>
          </w:p>
        </w:tc>
        <w:tc>
          <w:tcPr>
            <w:tcW w:w="590"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0</w:t>
            </w:r>
          </w:p>
        </w:tc>
        <w:tc>
          <w:tcPr>
            <w:tcW w:w="486"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80%</w:t>
            </w:r>
          </w:p>
        </w:tc>
        <w:tc>
          <w:tcPr>
            <w:tcW w:w="486"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0</w:t>
            </w:r>
          </w:p>
        </w:tc>
        <w:tc>
          <w:tcPr>
            <w:tcW w:w="486"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0</w:t>
            </w:r>
          </w:p>
        </w:tc>
        <w:tc>
          <w:tcPr>
            <w:tcW w:w="704"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07"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ind w:firstLine="0" w:firstLineChars="0"/>
              <w:jc w:val="center"/>
              <w:rPr>
                <w:rFonts w:hint="eastAsia"/>
                <w:color w:val="auto"/>
                <w:highlight w:val="none"/>
                <w:lang w:val="en-US" w:eastAsia="zh-CN"/>
              </w:rPr>
            </w:pPr>
            <w:r>
              <w:rPr>
                <w:rFonts w:hint="eastAsia"/>
                <w:color w:val="auto"/>
                <w:highlight w:val="none"/>
                <w:lang w:val="en-US" w:eastAsia="zh-CN"/>
              </w:rPr>
              <w:t>出水水质（mg/L）</w:t>
            </w:r>
          </w:p>
        </w:tc>
        <w:tc>
          <w:tcPr>
            <w:tcW w:w="559" w:type="pct"/>
            <w:vMerge w:val="continue"/>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ind w:firstLine="0" w:firstLineChars="0"/>
              <w:jc w:val="center"/>
              <w:rPr>
                <w:rFonts w:hint="eastAsia" w:ascii="Times New Roman" w:hAnsi="Times New Roman" w:eastAsia="宋体" w:cs="Times New Roman"/>
                <w:snapToGrid w:val="0"/>
                <w:color w:val="auto"/>
                <w:kern w:val="2"/>
                <w:sz w:val="21"/>
                <w:szCs w:val="21"/>
                <w:highlight w:val="none"/>
                <w:lang w:val="en-US" w:eastAsia="zh-CN" w:bidi="ar-SA"/>
              </w:rPr>
            </w:pPr>
          </w:p>
        </w:tc>
        <w:tc>
          <w:tcPr>
            <w:tcW w:w="1065"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 xml:space="preserve">209.45 </w:t>
            </w:r>
          </w:p>
        </w:tc>
        <w:tc>
          <w:tcPr>
            <w:tcW w:w="1087"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 xml:space="preserve">17.77 </w:t>
            </w:r>
          </w:p>
        </w:tc>
        <w:tc>
          <w:tcPr>
            <w:tcW w:w="89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 xml:space="preserve">6.36 </w:t>
            </w:r>
          </w:p>
        </w:tc>
        <w:tc>
          <w:tcPr>
            <w:tcW w:w="89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 xml:space="preserve">35.10 </w:t>
            </w:r>
          </w:p>
        </w:tc>
        <w:tc>
          <w:tcPr>
            <w:tcW w:w="89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 xml:space="preserve">5.25 </w:t>
            </w:r>
          </w:p>
        </w:tc>
        <w:tc>
          <w:tcPr>
            <w:tcW w:w="1303"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 xml:space="preserve">64.05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000" w:type="pct"/>
            <w:gridSpan w:val="8"/>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氧化塘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07"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ind w:firstLine="0" w:firstLineChars="0"/>
              <w:jc w:val="center"/>
              <w:rPr>
                <w:rFonts w:hint="eastAsia"/>
                <w:color w:val="auto"/>
                <w:highlight w:val="none"/>
                <w:lang w:val="en-US" w:eastAsia="zh-CN"/>
              </w:rPr>
            </w:pPr>
            <w:r>
              <w:rPr>
                <w:rFonts w:hint="eastAsia"/>
                <w:color w:val="auto"/>
                <w:highlight w:val="none"/>
                <w:lang w:val="en-US" w:eastAsia="zh-CN"/>
              </w:rPr>
              <w:t>效率（%）</w:t>
            </w:r>
          </w:p>
        </w:tc>
        <w:tc>
          <w:tcPr>
            <w:tcW w:w="559" w:type="pct"/>
            <w:vMerge w:val="restar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ind w:firstLine="0" w:firstLineChars="0"/>
              <w:jc w:val="center"/>
              <w:rPr>
                <w:rFonts w:hint="eastAsia" w:ascii="Times New Roman" w:hAnsi="Times New Roman" w:eastAsia="宋体" w:cs="Times New Roman"/>
                <w:snapToGrid w:val="0"/>
                <w:color w:val="auto"/>
                <w:kern w:val="2"/>
                <w:sz w:val="21"/>
                <w:szCs w:val="21"/>
                <w:highlight w:val="none"/>
                <w:lang w:val="en-US" w:eastAsia="zh-CN" w:bidi="ar-SA"/>
              </w:rPr>
            </w:pPr>
            <w:r>
              <w:rPr>
                <w:rFonts w:hint="eastAsia" w:cs="Times New Roman"/>
                <w:color w:val="auto"/>
                <w:szCs w:val="21"/>
                <w:highlight w:val="none"/>
                <w:lang w:val="en-US" w:eastAsia="zh-CN"/>
              </w:rPr>
              <w:t>24941.95</w:t>
            </w:r>
          </w:p>
        </w:tc>
        <w:tc>
          <w:tcPr>
            <w:tcW w:w="578"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10%</w:t>
            </w:r>
          </w:p>
        </w:tc>
        <w:tc>
          <w:tcPr>
            <w:tcW w:w="590"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10%</w:t>
            </w:r>
          </w:p>
        </w:tc>
        <w:tc>
          <w:tcPr>
            <w:tcW w:w="486"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10%</w:t>
            </w:r>
          </w:p>
        </w:tc>
        <w:tc>
          <w:tcPr>
            <w:tcW w:w="486"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0</w:t>
            </w:r>
          </w:p>
        </w:tc>
        <w:tc>
          <w:tcPr>
            <w:tcW w:w="486"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0</w:t>
            </w:r>
          </w:p>
        </w:tc>
        <w:tc>
          <w:tcPr>
            <w:tcW w:w="704"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07"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ind w:firstLine="0" w:firstLineChars="0"/>
              <w:jc w:val="center"/>
              <w:rPr>
                <w:rFonts w:hint="eastAsia"/>
                <w:color w:val="auto"/>
                <w:highlight w:val="none"/>
                <w:lang w:val="en-US" w:eastAsia="zh-CN"/>
              </w:rPr>
            </w:pPr>
            <w:r>
              <w:rPr>
                <w:rFonts w:hint="eastAsia"/>
                <w:color w:val="auto"/>
                <w:highlight w:val="none"/>
                <w:lang w:val="en-US" w:eastAsia="zh-CN"/>
              </w:rPr>
              <w:t>出水水质（mg/L）</w:t>
            </w:r>
          </w:p>
        </w:tc>
        <w:tc>
          <w:tcPr>
            <w:tcW w:w="559" w:type="pct"/>
            <w:vMerge w:val="continue"/>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ind w:firstLine="0" w:firstLineChars="0"/>
              <w:jc w:val="center"/>
              <w:rPr>
                <w:rFonts w:hint="eastAsia" w:ascii="Times New Roman" w:hAnsi="Times New Roman" w:eastAsia="宋体" w:cs="Times New Roman"/>
                <w:snapToGrid w:val="0"/>
                <w:color w:val="auto"/>
                <w:kern w:val="2"/>
                <w:sz w:val="21"/>
                <w:szCs w:val="21"/>
                <w:highlight w:val="none"/>
                <w:lang w:val="en-US" w:eastAsia="zh-CN" w:bidi="ar-SA"/>
              </w:rPr>
            </w:pPr>
          </w:p>
        </w:tc>
        <w:tc>
          <w:tcPr>
            <w:tcW w:w="1065"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 xml:space="preserve">188.51 </w:t>
            </w:r>
          </w:p>
        </w:tc>
        <w:tc>
          <w:tcPr>
            <w:tcW w:w="1087"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 xml:space="preserve">15.99 </w:t>
            </w:r>
          </w:p>
        </w:tc>
        <w:tc>
          <w:tcPr>
            <w:tcW w:w="89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 xml:space="preserve">5.73 </w:t>
            </w:r>
          </w:p>
        </w:tc>
        <w:tc>
          <w:tcPr>
            <w:tcW w:w="89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 xml:space="preserve">35.10 </w:t>
            </w:r>
          </w:p>
        </w:tc>
        <w:tc>
          <w:tcPr>
            <w:tcW w:w="896"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 xml:space="preserve">5.25 </w:t>
            </w:r>
          </w:p>
        </w:tc>
        <w:tc>
          <w:tcPr>
            <w:tcW w:w="1303" w:type="dxa"/>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 xml:space="preserve">64.05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67" w:type="pct"/>
            <w:gridSpan w:val="2"/>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《农田灌溉水质标准》（GB5084-2021）中旱作标准</w:t>
            </w:r>
          </w:p>
        </w:tc>
        <w:tc>
          <w:tcPr>
            <w:tcW w:w="578"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200</w:t>
            </w:r>
          </w:p>
        </w:tc>
        <w:tc>
          <w:tcPr>
            <w:tcW w:w="590"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100</w:t>
            </w:r>
          </w:p>
        </w:tc>
        <w:tc>
          <w:tcPr>
            <w:tcW w:w="486"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100</w:t>
            </w:r>
          </w:p>
        </w:tc>
        <w:tc>
          <w:tcPr>
            <w:tcW w:w="486"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80</w:t>
            </w:r>
          </w:p>
        </w:tc>
        <w:tc>
          <w:tcPr>
            <w:tcW w:w="486"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8</w:t>
            </w:r>
          </w:p>
        </w:tc>
        <w:tc>
          <w:tcPr>
            <w:tcW w:w="704"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default"/>
                <w:color w:val="auto"/>
                <w:highlight w:val="none"/>
                <w:lang w:val="en-US" w:eastAsia="zh-CN"/>
              </w:rPr>
            </w:pPr>
            <w:r>
              <w:rPr>
                <w:rFonts w:hint="eastAsia"/>
                <w:color w:val="auto"/>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67" w:type="pct"/>
            <w:gridSpan w:val="2"/>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达标情况</w:t>
            </w:r>
          </w:p>
        </w:tc>
        <w:tc>
          <w:tcPr>
            <w:tcW w:w="578"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达标</w:t>
            </w:r>
          </w:p>
        </w:tc>
        <w:tc>
          <w:tcPr>
            <w:tcW w:w="590"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达标</w:t>
            </w:r>
          </w:p>
        </w:tc>
        <w:tc>
          <w:tcPr>
            <w:tcW w:w="486"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达标</w:t>
            </w:r>
          </w:p>
        </w:tc>
        <w:tc>
          <w:tcPr>
            <w:tcW w:w="486"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达标</w:t>
            </w:r>
          </w:p>
        </w:tc>
        <w:tc>
          <w:tcPr>
            <w:tcW w:w="486"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达标</w:t>
            </w:r>
          </w:p>
        </w:tc>
        <w:tc>
          <w:tcPr>
            <w:tcW w:w="704" w:type="pct"/>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67" w:type="pct"/>
            <w:gridSpan w:val="2"/>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备注</w:t>
            </w:r>
          </w:p>
        </w:tc>
        <w:tc>
          <w:tcPr>
            <w:tcW w:w="3332" w:type="pct"/>
            <w:gridSpan w:val="6"/>
            <w:noWrap w:val="0"/>
            <w:vAlign w:val="center"/>
          </w:tcPr>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ascii="Times New Roman" w:hAnsi="Times New Roman" w:eastAsia="宋体" w:cs="Times New Roman"/>
                <w:color w:val="auto"/>
                <w:szCs w:val="21"/>
                <w:highlight w:val="none"/>
              </w:rPr>
            </w:pPr>
            <w:r>
              <w:rPr>
                <w:rFonts w:hint="eastAsia" w:cs="Times New Roman"/>
                <w:color w:val="auto"/>
                <w:szCs w:val="21"/>
                <w:highlight w:val="none"/>
                <w:lang w:val="en-US" w:eastAsia="zh-CN"/>
              </w:rPr>
              <w:t>1、</w:t>
            </w:r>
            <w:r>
              <w:rPr>
                <w:rFonts w:hint="eastAsia" w:cs="Times New Roman"/>
                <w:color w:val="auto"/>
                <w:szCs w:val="21"/>
                <w:highlight w:val="none"/>
                <w:lang w:eastAsia="zh-CN"/>
              </w:rPr>
              <w:t>氨氮、总磷参照</w:t>
            </w:r>
            <w:r>
              <w:rPr>
                <w:rFonts w:hint="eastAsia" w:ascii="Times New Roman" w:hAnsi="Times New Roman" w:eastAsia="宋体" w:cs="Times New Roman"/>
                <w:color w:val="auto"/>
                <w:szCs w:val="21"/>
                <w:highlight w:val="none"/>
              </w:rPr>
              <w:t>《畜禽养殖业污染物排放标准》（GB18596-2001）</w:t>
            </w:r>
          </w:p>
          <w:p>
            <w:pPr>
              <w:pStyle w:val="122"/>
              <w:keepNext w:val="0"/>
              <w:keepLines w:val="0"/>
              <w:pageBreakBefore w:val="0"/>
              <w:widowControl w:val="0"/>
              <w:kinsoku/>
              <w:wordWrap/>
              <w:overflowPunct/>
              <w:topLinePunct w:val="0"/>
              <w:autoSpaceDE/>
              <w:autoSpaceDN/>
              <w:bidi w:val="0"/>
              <w:snapToGrid/>
              <w:spacing w:beforeLines="0" w:afterLines="0"/>
              <w:jc w:val="center"/>
              <w:rPr>
                <w:rFonts w:hint="eastAsia"/>
                <w:color w:val="auto"/>
                <w:highlight w:val="none"/>
                <w:lang w:val="en-US" w:eastAsia="zh-CN"/>
              </w:rPr>
            </w:pPr>
            <w:r>
              <w:rPr>
                <w:rFonts w:hint="eastAsia"/>
                <w:color w:val="auto"/>
                <w:highlight w:val="none"/>
                <w:lang w:val="en-US" w:eastAsia="zh-CN"/>
              </w:rPr>
              <w:t>2、本项目废水经处理后不外排，全部用于周边农田灌溉</w:t>
            </w:r>
          </w:p>
        </w:tc>
      </w:tr>
    </w:tbl>
    <w:p>
      <w:pPr>
        <w:pStyle w:val="48"/>
        <w:rPr>
          <w:rFonts w:hint="eastAsia" w:ascii="Times New Roman" w:hAnsi="Times New Roman" w:eastAsia="宋体" w:cs="Times New Roman"/>
          <w:b/>
          <w:color w:val="auto"/>
          <w:szCs w:val="21"/>
        </w:rPr>
      </w:pP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本项目采取以上治理措施后，可以做到综合利用不外排，对周围地表水体影响较小。因此，该治理措施可行。</w:t>
      </w:r>
    </w:p>
    <w:p>
      <w:pPr>
        <w:pStyle w:val="16"/>
        <w:adjustRightInd w:val="0"/>
        <w:snapToGrid w:val="0"/>
        <w:spacing w:line="360" w:lineRule="auto"/>
        <w:ind w:right="0"/>
        <w:jc w:val="both"/>
        <w:outlineLvl w:val="3"/>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6.2.2.2去向合理性和土地承载能力分析</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项目废水经污水处理区收集处理后用作周边消纳地灌溉，使猪粪、尿等有机物质得到充分的分解和转化，无废水外排。项目设计约5542亩（369hm2）消纳地，项目土地消纳可行性分析主要依据“农业部办公厅关于印发《畜禽粪污土地承载力测算技术指南》（农办牧【2018】1 号）的通知”，技术指南中提出：畜禽粪污土地承载力及规模养殖场配套土地面积测算以粪肥氮养分供给和植物氮养分需求为基础进行核算。畜禽粪肥养分需求量根据土壤肥力、作物类型和产量、粪肥施用比例等确定。畜禽粪肥养分供给量根据畜禽养殖量、粪污养分产生量、粪污收集处理方式等确定，计算过程如下所述：</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（1）区域畜禽粪污土地承载力分析</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1）区域植物养分需求量</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根据区域内各类植物（包括作物、人工牧草、人工林地等）的氮（磷）养分需求</w:t>
      </w:r>
    </w:p>
    <w:p>
      <w:pPr>
        <w:adjustRightInd w:val="0"/>
        <w:snapToGrid w:val="0"/>
        <w:spacing w:line="360" w:lineRule="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量测算，计算方法如下：</w:t>
      </w:r>
    </w:p>
    <w:p>
      <w:pPr>
        <w:adjustRightInd w:val="0"/>
        <w:snapToGrid w:val="0"/>
        <w:spacing w:line="360" w:lineRule="auto"/>
        <w:ind w:firstLine="240" w:firstLineChars="1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区域植物养分需求量=∑(每种植物总产量(总面积))×单位产量(单位面积)养分需求</w:t>
      </w:r>
    </w:p>
    <w:p>
      <w:pPr>
        <w:adjustRightInd w:val="0"/>
        <w:snapToGrid w:val="0"/>
        <w:spacing w:line="360" w:lineRule="auto"/>
        <w:ind w:firstLine="480" w:firstLineChars="200"/>
        <w:rPr>
          <w:rFonts w:hint="eastAsia" w:ascii="Times New Roman" w:hAnsi="Times New Roman" w:eastAsia="宋体" w:cs="Times New Roman"/>
          <w:b/>
          <w:bCs/>
          <w:color w:val="auto"/>
          <w:sz w:val="24"/>
          <w:szCs w:val="24"/>
          <w:lang w:val="en-US" w:eastAsia="zh-CN"/>
        </w:rPr>
      </w:pPr>
      <w:r>
        <w:rPr>
          <w:rFonts w:hint="eastAsia" w:ascii="Times New Roman" w:hAnsi="Times New Roman" w:eastAsia="宋体" w:cs="Times New Roman"/>
          <w:color w:val="auto"/>
          <w:sz w:val="24"/>
          <w:szCs w:val="24"/>
          <w:lang w:val="en-US" w:eastAsia="zh-CN"/>
        </w:rPr>
        <w:t>本项目配套5542亩（369hm</w:t>
      </w:r>
      <w:r>
        <w:rPr>
          <w:rFonts w:hint="eastAsia" w:ascii="Times New Roman" w:hAnsi="Times New Roman" w:eastAsia="宋体" w:cs="Times New Roman"/>
          <w:color w:val="auto"/>
          <w:sz w:val="24"/>
          <w:szCs w:val="24"/>
          <w:vertAlign w:val="superscript"/>
          <w:lang w:val="en-US" w:eastAsia="zh-CN"/>
        </w:rPr>
        <w:t>2</w:t>
      </w:r>
      <w:r>
        <w:rPr>
          <w:rFonts w:hint="eastAsia" w:ascii="Times New Roman" w:hAnsi="Times New Roman" w:eastAsia="宋体" w:cs="Times New Roman"/>
          <w:color w:val="auto"/>
          <w:sz w:val="24"/>
          <w:szCs w:val="24"/>
          <w:lang w:val="en-US" w:eastAsia="zh-CN"/>
        </w:rPr>
        <w:t>）种植基地，以栽植柑橘为主。柑橘产量水平取25t/hm</w:t>
      </w:r>
      <w:r>
        <w:rPr>
          <w:rFonts w:hint="eastAsia" w:ascii="Times New Roman" w:hAnsi="Times New Roman" w:eastAsia="宋体" w:cs="Times New Roman"/>
          <w:color w:val="auto"/>
          <w:sz w:val="24"/>
          <w:szCs w:val="24"/>
          <w:vertAlign w:val="superscript"/>
          <w:lang w:val="en-US" w:eastAsia="zh-CN"/>
        </w:rPr>
        <w:t>2</w:t>
      </w:r>
      <w:r>
        <w:rPr>
          <w:rFonts w:hint="eastAsia" w:ascii="Times New Roman" w:hAnsi="Times New Roman" w:eastAsia="宋体" w:cs="Times New Roman"/>
          <w:color w:val="auto"/>
          <w:sz w:val="24"/>
          <w:szCs w:val="24"/>
          <w:lang w:val="en-US" w:eastAsia="zh-CN"/>
        </w:rPr>
        <w:t>，单位经济产量养分氮需要量为0.6kg/100kg，单位经济产量养分磷需要量为0.11kg/100kg。则5542亩柑橘氮养分需求量为55.35t，柑橘磷养分需求量为10.15t。</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2）区域植物粪肥养分需求量</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根据不同土壤肥力下，区域内植物氮（磷）总养分需求量中需要施肥的比例、粪肥占施肥比例和粪肥当季利用效率测算，计算方法如下：</w:t>
      </w:r>
    </w:p>
    <w:p>
      <w:pPr>
        <w:adjustRightInd w:val="0"/>
        <w:snapToGrid w:val="0"/>
        <w:spacing w:line="360" w:lineRule="auto"/>
        <w:rPr>
          <w:rFonts w:hint="eastAsia" w:ascii="Times New Roman" w:hAnsi="Times New Roman" w:eastAsia="宋体" w:cs="Times New Roman"/>
          <w:color w:val="4F81BD" w:themeColor="accent1"/>
          <w:sz w:val="24"/>
          <w:szCs w:val="24"/>
          <w:lang w:val="en-US" w:eastAsia="zh-CN"/>
          <w14:textFill>
            <w14:solidFill>
              <w14:schemeClr w14:val="accent1"/>
            </w14:solidFill>
          </w14:textFill>
        </w:rPr>
      </w:pPr>
      <w:r>
        <w:rPr>
          <w:rFonts w:hint="eastAsia" w:ascii="Times New Roman" w:hAnsi="Times New Roman" w:eastAsia="宋体" w:cs="Times New Roman"/>
          <w:color w:val="4F81BD" w:themeColor="accent1"/>
          <w:position w:val="-26"/>
          <w:sz w:val="24"/>
          <w:szCs w:val="24"/>
          <w:lang w:val="en-US" w:eastAsia="zh-CN"/>
          <w14:textFill>
            <w14:solidFill>
              <w14:schemeClr w14:val="accent1"/>
            </w14:solidFill>
          </w14:textFill>
        </w:rPr>
        <w:object>
          <v:shape id="_x0000_i1038" o:spt="75" type="#_x0000_t75" style="height:33pt;width:452pt;" o:ole="t" filled="f" o:preferrelative="t" stroked="f" coordsize="21600,21600">
            <v:path/>
            <v:fill on="f" focussize="0,0"/>
            <v:stroke on="f"/>
            <v:imagedata r:id="rId68" o:title=""/>
            <o:lock v:ext="edit" aspectratio="t"/>
            <w10:wrap type="none"/>
            <w10:anchorlock/>
          </v:shape>
          <o:OLEObject Type="Embed" ProgID="Equation.KSEE3" ShapeID="_x0000_i1038" DrawAspect="Content" ObjectID="_1468075738" r:id="rId67">
            <o:LockedField>false</o:LockedField>
          </o:OLEObject>
        </w:objec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氮（磷）施肥供给养分占比根据土壤氮（磷）养分确定，土壤不同氮磷养分水平下的施肥占比推荐值查阅《畜禽粪污土地承载力测算技术指南》（农牧办【2018】1号）表 2 取值。不同区域的粪肥占施肥比例根据当地实际情况确定；粪肥中氮素当季利用率取值范围推荐值为 25%~30%，磷素当季利用率取值范围推荐值为 30%~35%，具体根据当地实际情况确定。</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本项目位于</w:t>
      </w:r>
      <w:r>
        <w:rPr>
          <w:rFonts w:hint="default" w:ascii="Times New Roman" w:hAnsi="Times New Roman" w:eastAsia="宋体" w:cs="Times New Roman"/>
          <w:color w:val="auto"/>
          <w:sz w:val="24"/>
          <w:szCs w:val="24"/>
          <w:lang w:val="en-US" w:eastAsia="zh-CN"/>
        </w:rPr>
        <w:fldChar w:fldCharType="begin"/>
      </w:r>
      <w:r>
        <w:rPr>
          <w:rFonts w:hint="default" w:ascii="Times New Roman" w:hAnsi="Times New Roman" w:eastAsia="宋体" w:cs="Times New Roman"/>
          <w:color w:val="auto"/>
          <w:sz w:val="24"/>
          <w:szCs w:val="24"/>
          <w:lang w:val="en-US" w:eastAsia="zh-CN"/>
        </w:rPr>
        <w:instrText xml:space="preserve"> = 1 \* ROMAN \* MERGEFORMAT </w:instrText>
      </w:r>
      <w:r>
        <w:rPr>
          <w:rFonts w:hint="default" w:ascii="Times New Roman" w:hAnsi="Times New Roman" w:eastAsia="宋体" w:cs="Times New Roman"/>
          <w:color w:val="auto"/>
          <w:sz w:val="24"/>
          <w:szCs w:val="24"/>
          <w:lang w:val="en-US" w:eastAsia="zh-CN"/>
        </w:rPr>
        <w:fldChar w:fldCharType="separate"/>
      </w:r>
      <w:r>
        <w:rPr>
          <w:rFonts w:hint="default" w:ascii="Times New Roman" w:hAnsi="Times New Roman" w:cs="Times New Roman"/>
          <w:color w:val="auto"/>
        </w:rPr>
        <w:t>I</w:t>
      </w:r>
      <w:r>
        <w:rPr>
          <w:rFonts w:hint="default" w:ascii="Times New Roman" w:hAnsi="Times New Roman" w:eastAsia="宋体" w:cs="Times New Roman"/>
          <w:color w:val="auto"/>
          <w:sz w:val="24"/>
          <w:szCs w:val="24"/>
          <w:lang w:val="en-US" w:eastAsia="zh-CN"/>
        </w:rPr>
        <w:fldChar w:fldCharType="end"/>
      </w:r>
      <w:r>
        <w:rPr>
          <w:rFonts w:hint="eastAsia" w:ascii="Times New Roman" w:hAnsi="Times New Roman" w:eastAsia="宋体" w:cs="Times New Roman"/>
          <w:color w:val="auto"/>
          <w:sz w:val="24"/>
          <w:szCs w:val="24"/>
          <w:lang w:val="en-US" w:eastAsia="zh-CN"/>
        </w:rPr>
        <w:t>区，本项目区域施肥供给占比取35%，粪肥占施肥比例按100%计，氮、磷当季利用率分别取25%、30%。根据计算可知，本项目消纳地养分需求量氮为77.49t、磷为11.84t。</w:t>
      </w:r>
    </w:p>
    <w:p>
      <w:pPr>
        <w:adjustRightInd w:val="0"/>
        <w:snapToGrid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3）单位猪当量粪肥养分供给量</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根据《畜禽养殖粪污土地承载力测算技术指南》5.2.1条：固体粪便和污水以沼气工程处理为主的，粪污收集处理过程中氮留存率推荐值为65%(磷留存率65%)；固体粪便堆肥、污水氧化塘贮存或厌氧发酵后农田利用为主的，粪污收集处理过程中氮留存率推荐值62%(磷留存率72%)。本项目固体粪便堆肥、污水氧化塘贮存发酵后用于农田消纳。因此，本项目取值氮留存率62%，磷留存率72%。</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根据《排污许可证申请与核发技术规范  畜禽养殖行业》（HJ 1029-2019）中公式（7）（8）、表9各类畜禽污染物产生量结合本项目污水处理站处理情况，计算本项目粪污中总磷、总氮产生量。</w:t>
      </w:r>
    </w:p>
    <w:p>
      <w:pPr>
        <w:adjustRightInd w:val="0"/>
        <w:snapToGrid w:val="0"/>
        <w:spacing w:line="360" w:lineRule="auto"/>
        <w:rPr>
          <w:rFonts w:hint="eastAsia" w:ascii="Times New Roman" w:hAnsi="Times New Roman" w:eastAsia="宋体" w:cs="Times New Roman"/>
          <w:color w:val="4F81BD" w:themeColor="accent1"/>
          <w:sz w:val="24"/>
          <w:szCs w:val="24"/>
          <w:lang w:val="en-US" w:eastAsia="zh-CN"/>
          <w14:textFill>
            <w14:solidFill>
              <w14:schemeClr w14:val="accent1"/>
            </w14:solidFill>
          </w14:textFill>
        </w:rPr>
      </w:pPr>
      <w:r>
        <w:rPr>
          <w:rFonts w:hint="default" w:ascii="Times New Roman" w:hAnsi="Times New Roman" w:cs="Times New Roman"/>
          <w:color w:val="4F81BD" w:themeColor="accent1"/>
          <w:highlight w:val="none"/>
          <w:lang w:val="en-US" w:eastAsia="zh-CN"/>
          <w14:textFill>
            <w14:solidFill>
              <w14:schemeClr w14:val="accent1"/>
            </w14:solidFill>
          </w14:textFill>
        </w:rPr>
        <w:drawing>
          <wp:inline distT="0" distB="0" distL="114300" distR="114300">
            <wp:extent cx="5756275" cy="1551305"/>
            <wp:effectExtent l="0" t="0" r="15875" b="10795"/>
            <wp:docPr id="47" name="图片 18" descr="16309160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8" descr="1630916033(1)"/>
                    <pic:cNvPicPr>
                      <a:picLocks noChangeAspect="1"/>
                    </pic:cNvPicPr>
                  </pic:nvPicPr>
                  <pic:blipFill>
                    <a:blip r:embed="rId69"/>
                    <a:stretch>
                      <a:fillRect/>
                    </a:stretch>
                  </pic:blipFill>
                  <pic:spPr>
                    <a:xfrm>
                      <a:off x="0" y="0"/>
                      <a:ext cx="5756275" cy="1551305"/>
                    </a:xfrm>
                    <a:prstGeom prst="rect">
                      <a:avLst/>
                    </a:prstGeom>
                    <a:noFill/>
                    <a:ln>
                      <a:noFill/>
                    </a:ln>
                  </pic:spPr>
                </pic:pic>
              </a:graphicData>
            </a:graphic>
          </wp:inline>
        </w:drawing>
      </w:r>
    </w:p>
    <w:p>
      <w:pPr>
        <w:adjustRightInd w:val="0"/>
        <w:snapToGrid w:val="0"/>
        <w:spacing w:line="360" w:lineRule="auto"/>
        <w:rPr>
          <w:rFonts w:hint="eastAsia" w:ascii="Times New Roman" w:hAnsi="Times New Roman" w:eastAsia="宋体" w:cs="Times New Roman"/>
          <w:color w:val="auto"/>
          <w:sz w:val="24"/>
          <w:szCs w:val="24"/>
          <w:lang w:val="en-US" w:eastAsia="zh-CN"/>
        </w:rPr>
      </w:pPr>
      <w:r>
        <w:rPr>
          <w:rFonts w:hint="default" w:ascii="Times New Roman" w:hAnsi="Times New Roman" w:cs="Times New Roman"/>
          <w:color w:val="4F81BD" w:themeColor="accent1"/>
          <w:highlight w:val="none"/>
          <w:lang w:val="en-US" w:eastAsia="zh-CN"/>
          <w14:textFill>
            <w14:solidFill>
              <w14:schemeClr w14:val="accent1"/>
            </w14:solidFill>
          </w14:textFill>
        </w:rPr>
        <w:drawing>
          <wp:inline distT="0" distB="0" distL="114300" distR="114300">
            <wp:extent cx="5754370" cy="2984500"/>
            <wp:effectExtent l="0" t="0" r="17780" b="6350"/>
            <wp:docPr id="62" name="图片 19" descr="16309160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19" descr="1630916052(1)"/>
                    <pic:cNvPicPr>
                      <a:picLocks noChangeAspect="1"/>
                    </pic:cNvPicPr>
                  </pic:nvPicPr>
                  <pic:blipFill>
                    <a:blip r:embed="rId70"/>
                    <a:stretch>
                      <a:fillRect/>
                    </a:stretch>
                  </pic:blipFill>
                  <pic:spPr>
                    <a:xfrm>
                      <a:off x="0" y="0"/>
                      <a:ext cx="5754370" cy="2984500"/>
                    </a:xfrm>
                    <a:prstGeom prst="rect">
                      <a:avLst/>
                    </a:prstGeom>
                    <a:noFill/>
                    <a:ln>
                      <a:noFill/>
                    </a:ln>
                  </pic:spPr>
                </pic:pic>
              </a:graphicData>
            </a:graphic>
          </wp:inline>
        </w:drawing>
      </w:r>
    </w:p>
    <w:p>
      <w:pPr>
        <w:adjustRightInd w:val="0"/>
        <w:snapToGrid w:val="0"/>
        <w:spacing w:line="360" w:lineRule="auto"/>
        <w:ind w:firstLine="480" w:firstLineChars="200"/>
        <w:rPr>
          <w:rFonts w:hint="eastAsia" w:ascii="Times New Roman" w:hAnsi="Times New Roman" w:eastAsia="宋体" w:cs="Times New Roman"/>
          <w:color w:val="4F81BD" w:themeColor="accent1"/>
          <w:sz w:val="24"/>
          <w:szCs w:val="24"/>
          <w:lang w:val="en-US" w:eastAsia="zh-CN"/>
          <w14:textFill>
            <w14:solidFill>
              <w14:schemeClr w14:val="accent1"/>
            </w14:solidFill>
          </w14:textFill>
        </w:rPr>
      </w:pPr>
      <w:r>
        <w:rPr>
          <w:rFonts w:hint="eastAsia" w:ascii="Times New Roman" w:hAnsi="Times New Roman" w:eastAsia="宋体" w:cs="Times New Roman"/>
          <w:color w:val="auto"/>
          <w:sz w:val="24"/>
          <w:szCs w:val="24"/>
          <w:lang w:val="en-US" w:eastAsia="zh-CN"/>
        </w:rPr>
        <w:t>本项目粪便中E（总氮）=15000×（9.3×1+0）×365×10</w:t>
      </w:r>
      <w:r>
        <w:rPr>
          <w:rFonts w:hint="eastAsia" w:ascii="Times New Roman" w:hAnsi="Times New Roman" w:eastAsia="宋体" w:cs="Times New Roman"/>
          <w:color w:val="auto"/>
          <w:sz w:val="24"/>
          <w:szCs w:val="24"/>
          <w:vertAlign w:val="superscript"/>
          <w:lang w:val="en-US" w:eastAsia="zh-CN"/>
        </w:rPr>
        <w:t>-6</w:t>
      </w:r>
      <w:r>
        <w:rPr>
          <w:rFonts w:hint="eastAsia" w:ascii="Times New Roman" w:hAnsi="Times New Roman" w:eastAsia="宋体" w:cs="Times New Roman"/>
          <w:color w:val="auto"/>
          <w:sz w:val="24"/>
          <w:szCs w:val="24"/>
          <w:lang w:val="en-US" w:eastAsia="zh-CN"/>
        </w:rPr>
        <w:t>=50.9175t；E（总磷）=15000×（2.9×1+0）×365×10</w:t>
      </w:r>
      <w:r>
        <w:rPr>
          <w:rFonts w:hint="eastAsia" w:ascii="Times New Roman" w:hAnsi="Times New Roman" w:eastAsia="宋体" w:cs="Times New Roman"/>
          <w:color w:val="auto"/>
          <w:sz w:val="24"/>
          <w:szCs w:val="24"/>
          <w:vertAlign w:val="superscript"/>
          <w:lang w:val="en-US" w:eastAsia="zh-CN"/>
        </w:rPr>
        <w:t>-6</w:t>
      </w:r>
      <w:r>
        <w:rPr>
          <w:rFonts w:hint="eastAsia" w:ascii="Times New Roman" w:hAnsi="Times New Roman" w:eastAsia="宋体" w:cs="Times New Roman"/>
          <w:color w:val="auto"/>
          <w:sz w:val="24"/>
          <w:szCs w:val="24"/>
          <w:lang w:val="en-US" w:eastAsia="zh-CN"/>
        </w:rPr>
        <w:t>=15.8775t。粪便堆肥、厌氧发酵后，粪肥氮肥供给量为31.57t，磷肥供给量为11.43t。根据污水处理站处理情况可知，灌溉用水中总氮为1.60t，总磷为0.13t。因此，本项目排总氮量为33.17t，排总磷量为11.56t。</w:t>
      </w:r>
    </w:p>
    <w:p>
      <w:pPr>
        <w:adjustRightInd w:val="0"/>
        <w:snapToGrid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本项目存栏15000头猪，则单位猪当量粪肥养分供给量为2.21kg（以氨计）、0.77（以磷计）。</w:t>
      </w:r>
    </w:p>
    <w:p>
      <w:pPr>
        <w:adjustRightInd w:val="0"/>
        <w:snapToGrid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4）畜禽粪污土地承载力</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区域畜禽粪污土地承载力=区域植物粪肥养分需求量/单位猪当量粪肥养分供给量（以猪当量计）。经计算，本项目消纳地可承载35063头猪（以氮肥计）；15376头猪（以磷肥计）。本项目常年存栏量为15000头猪，因此本项目消纳地可承载本项目粪肥。</w:t>
      </w:r>
    </w:p>
    <w:p>
      <w:pPr>
        <w:adjustRightInd w:val="0"/>
        <w:snapToGrid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）粪污消纳配套土地面积可行性分析</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1）粪肥供营养给量</w:t>
      </w:r>
    </w:p>
    <w:p>
      <w:pPr>
        <w:adjustRightInd w:val="0"/>
        <w:snapToGrid w:val="0"/>
        <w:spacing w:line="360" w:lineRule="auto"/>
        <w:ind w:firstLine="420" w:firstLineChars="200"/>
        <w:rPr>
          <w:rFonts w:hint="eastAsia" w:ascii="Times New Roman" w:hAnsi="Times New Roman" w:eastAsia="宋体" w:cs="Times New Roman"/>
          <w:color w:val="auto"/>
          <w:sz w:val="24"/>
          <w:szCs w:val="24"/>
          <w:lang w:val="en-US" w:eastAsia="zh-CN"/>
        </w:rPr>
      </w:pPr>
      <w:r>
        <w:rPr>
          <w:rFonts w:hint="default" w:ascii="Times New Roman" w:hAnsi="Times New Roman" w:cs="Times New Roman"/>
          <w:color w:val="auto"/>
          <w:highlight w:val="none"/>
        </w:rPr>
        <w:drawing>
          <wp:inline distT="0" distB="0" distL="114300" distR="114300">
            <wp:extent cx="5172075" cy="485775"/>
            <wp:effectExtent l="0" t="0" r="9525" b="9525"/>
            <wp:docPr id="94"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17"/>
                    <pic:cNvPicPr>
                      <a:picLocks noChangeAspect="1"/>
                    </pic:cNvPicPr>
                  </pic:nvPicPr>
                  <pic:blipFill>
                    <a:blip r:embed="rId71"/>
                    <a:stretch>
                      <a:fillRect/>
                    </a:stretch>
                  </pic:blipFill>
                  <pic:spPr>
                    <a:xfrm>
                      <a:off x="0" y="0"/>
                      <a:ext cx="5172075" cy="485775"/>
                    </a:xfrm>
                    <a:prstGeom prst="rect">
                      <a:avLst/>
                    </a:prstGeom>
                    <a:noFill/>
                    <a:ln>
                      <a:noFill/>
                    </a:ln>
                  </pic:spPr>
                </pic:pic>
              </a:graphicData>
            </a:graphic>
          </wp:inline>
        </w:drawing>
      </w:r>
    </w:p>
    <w:p>
      <w:pPr>
        <w:adjustRightInd w:val="0"/>
        <w:snapToGrid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根据3）单位猪当量粪肥养分供给量的计算，可知本项目粪肥养分供给量（以氮计）为33.17t，粪肥养分供给量（以磷计）为11.56t。</w:t>
      </w:r>
    </w:p>
    <w:p>
      <w:pPr>
        <w:adjustRightInd w:val="0"/>
        <w:snapToGrid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2）单位土地粪肥养分需求量</w:t>
      </w:r>
    </w:p>
    <w:p>
      <w:pPr>
        <w:adjustRightInd w:val="0"/>
        <w:snapToGrid w:val="0"/>
        <w:spacing w:line="360" w:lineRule="auto"/>
        <w:rPr>
          <w:rFonts w:hint="eastAsia" w:ascii="Times New Roman" w:hAnsi="Times New Roman" w:eastAsia="宋体" w:cs="Times New Roman"/>
          <w:color w:val="0000FF"/>
          <w:sz w:val="24"/>
          <w:szCs w:val="24"/>
          <w:lang w:val="en-US" w:eastAsia="zh-CN"/>
        </w:rPr>
      </w:pPr>
      <w:r>
        <w:rPr>
          <w:rFonts w:hint="default" w:ascii="Times New Roman" w:hAnsi="Times New Roman" w:cs="Times New Roman"/>
          <w:color w:val="0000FF"/>
        </w:rPr>
        <w:drawing>
          <wp:inline distT="0" distB="0" distL="114300" distR="114300">
            <wp:extent cx="5495925" cy="781050"/>
            <wp:effectExtent l="0" t="0" r="9525" b="0"/>
            <wp:docPr id="103"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20"/>
                    <pic:cNvPicPr>
                      <a:picLocks noChangeAspect="1"/>
                    </pic:cNvPicPr>
                  </pic:nvPicPr>
                  <pic:blipFill>
                    <a:blip r:embed="rId72"/>
                    <a:stretch>
                      <a:fillRect/>
                    </a:stretch>
                  </pic:blipFill>
                  <pic:spPr>
                    <a:xfrm>
                      <a:off x="0" y="0"/>
                      <a:ext cx="5495925" cy="781050"/>
                    </a:xfrm>
                    <a:prstGeom prst="rect">
                      <a:avLst/>
                    </a:prstGeom>
                    <a:noFill/>
                    <a:ln>
                      <a:noFill/>
                    </a:ln>
                  </pic:spPr>
                </pic:pic>
              </a:graphicData>
            </a:graphic>
          </wp:inline>
        </w:drawing>
      </w:r>
    </w:p>
    <w:p>
      <w:pPr>
        <w:adjustRightInd w:val="0"/>
        <w:snapToGrid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本项目周边为柑橘园地，根据农办牧[2018]1号文件中表 1，柑橘属于果蔬作物，每产100kg柑橘需要吸收0.6kg氮元素和0.11kg磷元素。根据调查，消纳区柑橘亩产量约25t/hm</w:t>
      </w:r>
      <w:r>
        <w:rPr>
          <w:rFonts w:hint="eastAsia" w:ascii="Times New Roman" w:hAnsi="Times New Roman" w:eastAsia="宋体" w:cs="Times New Roman"/>
          <w:color w:val="auto"/>
          <w:sz w:val="24"/>
          <w:szCs w:val="24"/>
          <w:vertAlign w:val="superscript"/>
          <w:lang w:val="en-US" w:eastAsia="zh-CN"/>
        </w:rPr>
        <w:t>2</w:t>
      </w:r>
      <w:r>
        <w:rPr>
          <w:rFonts w:hint="eastAsia" w:ascii="Times New Roman" w:hAnsi="Times New Roman" w:eastAsia="宋体" w:cs="Times New Roman"/>
          <w:color w:val="auto"/>
          <w:sz w:val="24"/>
          <w:szCs w:val="24"/>
          <w:lang w:val="en-US" w:eastAsia="zh-CN"/>
        </w:rPr>
        <w:t>。则柑橘氮肥单位土地养分需求量为10kg/亩，磷肥单位土地养分需求量为1.83kg/亩。</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根据农办牧[2018]1号文件中表 2，施肥供给养分占比取35%；粪肥占施肥比例取100%；粪肥中氮素当季利用率取值范围推荐值为 25%—30%，本项目取值 25%；粪肥中磷素当季利用率取值范围推荐值为 30%—35%，本项目取值 30%；</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经计算，本项目柑橘单位土地氮肥养分需求量为14kg/亩，单位土地磷肥养分需求量为2.14kg/亩。</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3）粪污消纳配套土地面积</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规模养殖场配套土地面积=规模养殖场粪肥养分供给量（对外销售部分不计算在内）/单位土地粪肥养分需求量。经计算，柑橘粪污消纳配套土地面积为3317亩（以氮肥计），5401亩（以磷肥计）。本项目消纳地为5542亩柑橘，因此，本项目粪污消纳配套土地面积可行。</w:t>
      </w:r>
    </w:p>
    <w:p>
      <w:pPr>
        <w:pStyle w:val="16"/>
        <w:adjustRightInd w:val="0"/>
        <w:snapToGrid w:val="0"/>
        <w:spacing w:line="360" w:lineRule="auto"/>
        <w:ind w:right="0"/>
        <w:jc w:val="both"/>
        <w:outlineLvl w:val="3"/>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6.2.2.3灌溉方案及用水量计算</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①灌溉方案</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畜禽规模养殖污染防治条例》明确提出了推进畜禽养殖废弃物综合利用和无害化处理的污染防治思路：鼓励和支持采取粪肥还田、制取沼气、制造有机肥等方法，对畜禽养殖废弃物进行综合利用；鼓励和支持采取种植和养殖相结合的方式消纳利用畜禽养殖废弃物，促进畜禽粪便、污水等废弃物就地就近利用。配备建设沼液灌溉系统，建设田间高位水池，田间布设灌溉系统。</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本项目消纳地灌溉采用“</w:t>
      </w:r>
      <w:r>
        <w:rPr>
          <w:rFonts w:hint="eastAsia" w:ascii="Times New Roman" w:hAnsi="Times New Roman" w:eastAsia="宋体" w:cs="Times New Roman"/>
          <w:b w:val="0"/>
          <w:bCs/>
          <w:color w:val="auto"/>
          <w:sz w:val="24"/>
          <w:szCs w:val="24"/>
        </w:rPr>
        <w:t>场内</w:t>
      </w:r>
      <w:r>
        <w:rPr>
          <w:rFonts w:hint="eastAsia" w:ascii="Times New Roman" w:hAnsi="Times New Roman" w:eastAsia="宋体" w:cs="Times New Roman"/>
          <w:b w:val="0"/>
          <w:bCs/>
          <w:color w:val="auto"/>
          <w:sz w:val="24"/>
          <w:szCs w:val="24"/>
          <w:lang w:eastAsia="zh-CN"/>
        </w:rPr>
        <w:t>储存</w:t>
      </w:r>
      <w:r>
        <w:rPr>
          <w:rFonts w:hint="eastAsia" w:ascii="Times New Roman" w:hAnsi="Times New Roman" w:eastAsia="宋体" w:cs="Times New Roman"/>
          <w:b w:val="0"/>
          <w:bCs/>
          <w:color w:val="auto"/>
          <w:sz w:val="24"/>
          <w:szCs w:val="24"/>
        </w:rPr>
        <w:t>池→泵→输水管道→</w:t>
      </w:r>
      <w:r>
        <w:rPr>
          <w:rFonts w:hint="eastAsia" w:ascii="Times New Roman" w:hAnsi="Times New Roman" w:eastAsia="宋体" w:cs="Times New Roman"/>
          <w:b w:val="0"/>
          <w:bCs/>
          <w:color w:val="auto"/>
          <w:sz w:val="24"/>
          <w:szCs w:val="24"/>
          <w:lang w:eastAsia="zh-CN"/>
        </w:rPr>
        <w:t>粪污</w:t>
      </w:r>
      <w:r>
        <w:rPr>
          <w:rFonts w:hint="eastAsia" w:ascii="Times New Roman" w:hAnsi="Times New Roman" w:eastAsia="宋体" w:cs="Times New Roman"/>
          <w:b w:val="0"/>
          <w:bCs/>
          <w:color w:val="auto"/>
          <w:sz w:val="24"/>
          <w:szCs w:val="24"/>
          <w:lang w:val="en-US" w:eastAsia="zh-CN"/>
        </w:rPr>
        <w:t>运输车辆</w:t>
      </w:r>
      <w:r>
        <w:rPr>
          <w:rFonts w:hint="eastAsia" w:ascii="Times New Roman" w:hAnsi="Times New Roman" w:eastAsia="宋体" w:cs="Times New Roman"/>
          <w:b w:val="0"/>
          <w:bCs/>
          <w:color w:val="auto"/>
          <w:sz w:val="24"/>
          <w:szCs w:val="24"/>
        </w:rPr>
        <w:t>→灌溉管网</w:t>
      </w:r>
      <w:r>
        <w:rPr>
          <w:rFonts w:hint="eastAsia" w:ascii="Times New Roman" w:hAnsi="Times New Roman" w:eastAsia="宋体" w:cs="Times New Roman"/>
          <w:color w:val="auto"/>
          <w:sz w:val="24"/>
          <w:szCs w:val="24"/>
          <w:lang w:val="en-US" w:eastAsia="zh-CN"/>
        </w:rPr>
        <w:t>”形式，项目配套5542亩（369hm</w:t>
      </w:r>
      <w:r>
        <w:rPr>
          <w:rFonts w:hint="eastAsia" w:ascii="Times New Roman" w:hAnsi="Times New Roman" w:eastAsia="宋体" w:cs="Times New Roman"/>
          <w:color w:val="auto"/>
          <w:sz w:val="24"/>
          <w:szCs w:val="24"/>
          <w:vertAlign w:val="superscript"/>
          <w:lang w:val="en-US" w:eastAsia="zh-CN"/>
        </w:rPr>
        <w:t>2</w:t>
      </w:r>
      <w:r>
        <w:rPr>
          <w:rFonts w:hint="eastAsia" w:ascii="Times New Roman" w:hAnsi="Times New Roman" w:eastAsia="宋体" w:cs="Times New Roman"/>
          <w:color w:val="auto"/>
          <w:sz w:val="24"/>
          <w:szCs w:val="24"/>
          <w:lang w:val="en-US" w:eastAsia="zh-CN"/>
        </w:rPr>
        <w:t>）种植基地（5542亩柑橘）用于消纳营运期污水。根据建设单位提供的资料，场内设</w:t>
      </w:r>
      <w:r>
        <w:rPr>
          <w:rFonts w:hint="eastAsia" w:ascii="Times New Roman" w:hAnsi="Times New Roman" w:eastAsia="宋体" w:cs="Times New Roman"/>
          <w:b w:val="0"/>
          <w:bCs/>
          <w:color w:val="auto"/>
          <w:sz w:val="24"/>
          <w:szCs w:val="24"/>
          <w:lang w:val="en-US" w:eastAsia="zh-CN"/>
        </w:rPr>
        <w:t>1个4720m</w:t>
      </w:r>
      <w:r>
        <w:rPr>
          <w:rFonts w:hint="eastAsia" w:ascii="Times New Roman" w:hAnsi="Times New Roman" w:eastAsia="宋体" w:cs="Times New Roman"/>
          <w:b w:val="0"/>
          <w:bCs/>
          <w:color w:val="auto"/>
          <w:sz w:val="24"/>
          <w:szCs w:val="24"/>
          <w:vertAlign w:val="superscript"/>
          <w:lang w:val="en-US" w:eastAsia="zh-CN"/>
        </w:rPr>
        <w:t>3</w:t>
      </w:r>
      <w:r>
        <w:rPr>
          <w:rFonts w:hint="eastAsia" w:ascii="Times New Roman" w:hAnsi="Times New Roman" w:eastAsia="宋体" w:cs="Times New Roman"/>
          <w:b w:val="0"/>
          <w:bCs/>
          <w:color w:val="auto"/>
          <w:sz w:val="24"/>
          <w:szCs w:val="24"/>
          <w:vertAlign w:val="baseline"/>
          <w:lang w:val="en-US" w:eastAsia="zh-CN"/>
        </w:rPr>
        <w:t>氧化塘（</w:t>
      </w:r>
      <w:r>
        <w:rPr>
          <w:rFonts w:hint="eastAsia" w:ascii="Times New Roman" w:hAnsi="Times New Roman" w:eastAsia="宋体" w:cs="Times New Roman"/>
          <w:b w:val="0"/>
          <w:bCs/>
          <w:color w:val="auto"/>
          <w:sz w:val="24"/>
          <w:szCs w:val="24"/>
          <w:lang w:val="en-US" w:eastAsia="zh-CN"/>
        </w:rPr>
        <w:t>储蓄池</w:t>
      </w:r>
      <w:r>
        <w:rPr>
          <w:rFonts w:hint="eastAsia" w:ascii="Times New Roman" w:hAnsi="Times New Roman" w:eastAsia="宋体" w:cs="Times New Roman"/>
          <w:b w:val="0"/>
          <w:bCs/>
          <w:color w:val="auto"/>
          <w:sz w:val="24"/>
          <w:szCs w:val="24"/>
          <w:vertAlign w:val="baseline"/>
          <w:lang w:val="en-US" w:eastAsia="zh-CN"/>
        </w:rPr>
        <w:t>）和2250</w:t>
      </w:r>
      <w:r>
        <w:rPr>
          <w:rFonts w:hint="eastAsia" w:ascii="Times New Roman" w:hAnsi="Times New Roman" w:eastAsia="宋体" w:cs="Times New Roman"/>
          <w:b w:val="0"/>
          <w:bCs/>
          <w:color w:val="auto"/>
          <w:sz w:val="24"/>
          <w:szCs w:val="24"/>
          <w:lang w:val="en-US" w:eastAsia="zh-CN"/>
        </w:rPr>
        <w:t>m</w:t>
      </w:r>
      <w:r>
        <w:rPr>
          <w:rFonts w:hint="eastAsia" w:ascii="Times New Roman" w:hAnsi="Times New Roman" w:eastAsia="宋体" w:cs="Times New Roman"/>
          <w:b w:val="0"/>
          <w:bCs/>
          <w:color w:val="auto"/>
          <w:sz w:val="24"/>
          <w:szCs w:val="24"/>
          <w:vertAlign w:val="superscript"/>
          <w:lang w:val="en-US" w:eastAsia="zh-CN"/>
        </w:rPr>
        <w:t>3</w:t>
      </w:r>
      <w:r>
        <w:rPr>
          <w:rFonts w:hint="eastAsia" w:ascii="Times New Roman" w:hAnsi="Times New Roman" w:eastAsia="宋体" w:cs="Times New Roman"/>
          <w:b w:val="0"/>
          <w:bCs/>
          <w:color w:val="auto"/>
          <w:sz w:val="24"/>
          <w:szCs w:val="24"/>
          <w:vertAlign w:val="baseline"/>
          <w:lang w:val="en-US" w:eastAsia="zh-CN"/>
        </w:rPr>
        <w:t>的应急池</w:t>
      </w:r>
      <w:r>
        <w:rPr>
          <w:rFonts w:hint="eastAsia" w:ascii="Times New Roman" w:hAnsi="Times New Roman" w:eastAsia="宋体" w:cs="Times New Roman"/>
          <w:color w:val="auto"/>
          <w:sz w:val="24"/>
          <w:szCs w:val="24"/>
          <w:lang w:val="en-US" w:eastAsia="zh-CN"/>
        </w:rPr>
        <w:t>。本项目灌溉系统包括污水提升泵、</w:t>
      </w:r>
      <w:r>
        <w:rPr>
          <w:rFonts w:hint="eastAsia" w:ascii="Times New Roman" w:hAnsi="Times New Roman" w:eastAsia="宋体" w:cs="Times New Roman"/>
          <w:b w:val="0"/>
          <w:bCs/>
          <w:color w:val="auto"/>
          <w:sz w:val="24"/>
          <w:szCs w:val="24"/>
        </w:rPr>
        <w:t>输水管道</w:t>
      </w:r>
      <w:r>
        <w:rPr>
          <w:rFonts w:hint="eastAsia" w:ascii="Times New Roman" w:hAnsi="Times New Roman" w:eastAsia="宋体" w:cs="Times New Roman"/>
          <w:color w:val="auto"/>
          <w:sz w:val="24"/>
          <w:szCs w:val="24"/>
          <w:lang w:val="en-US" w:eastAsia="zh-CN"/>
        </w:rPr>
        <w:t>、蓄水池、</w:t>
      </w:r>
      <w:r>
        <w:rPr>
          <w:rFonts w:hint="eastAsia" w:ascii="Times New Roman" w:hAnsi="Times New Roman" w:eastAsia="宋体" w:cs="Times New Roman"/>
          <w:b w:val="0"/>
          <w:bCs/>
          <w:color w:val="auto"/>
          <w:sz w:val="24"/>
          <w:szCs w:val="24"/>
          <w:lang w:eastAsia="zh-CN"/>
        </w:rPr>
        <w:t>粪污</w:t>
      </w:r>
      <w:r>
        <w:rPr>
          <w:rFonts w:hint="eastAsia" w:ascii="Times New Roman" w:hAnsi="Times New Roman" w:eastAsia="宋体" w:cs="Times New Roman"/>
          <w:b w:val="0"/>
          <w:bCs/>
          <w:color w:val="auto"/>
          <w:sz w:val="24"/>
          <w:szCs w:val="24"/>
          <w:lang w:val="en-US" w:eastAsia="zh-CN"/>
        </w:rPr>
        <w:t>运输车辆</w:t>
      </w:r>
      <w:r>
        <w:rPr>
          <w:rFonts w:hint="eastAsia" w:ascii="Times New Roman" w:hAnsi="Times New Roman" w:eastAsia="宋体" w:cs="Times New Roman"/>
          <w:color w:val="auto"/>
          <w:sz w:val="24"/>
          <w:szCs w:val="24"/>
          <w:lang w:val="en-US" w:eastAsia="zh-CN"/>
        </w:rPr>
        <w:t>，营运期场内储液池达标废水经提升泵和输水管道送至</w:t>
      </w:r>
      <w:r>
        <w:rPr>
          <w:rFonts w:hint="eastAsia" w:ascii="Times New Roman" w:hAnsi="Times New Roman" w:eastAsia="宋体" w:cs="Times New Roman"/>
          <w:b w:val="0"/>
          <w:bCs/>
          <w:color w:val="auto"/>
          <w:sz w:val="24"/>
          <w:szCs w:val="24"/>
          <w:lang w:eastAsia="zh-CN"/>
        </w:rPr>
        <w:t>粪污</w:t>
      </w:r>
      <w:r>
        <w:rPr>
          <w:rFonts w:hint="eastAsia" w:ascii="Times New Roman" w:hAnsi="Times New Roman" w:eastAsia="宋体" w:cs="Times New Roman"/>
          <w:b w:val="0"/>
          <w:bCs/>
          <w:color w:val="auto"/>
          <w:sz w:val="24"/>
          <w:szCs w:val="24"/>
          <w:lang w:val="en-US" w:eastAsia="zh-CN"/>
        </w:rPr>
        <w:t>运输车辆</w:t>
      </w:r>
      <w:r>
        <w:rPr>
          <w:rFonts w:hint="eastAsia" w:ascii="Times New Roman" w:hAnsi="Times New Roman" w:eastAsia="宋体" w:cs="Times New Roman"/>
          <w:color w:val="auto"/>
          <w:sz w:val="24"/>
          <w:szCs w:val="24"/>
          <w:lang w:val="en-US" w:eastAsia="zh-CN"/>
        </w:rPr>
        <w:t>，再通过</w:t>
      </w:r>
      <w:r>
        <w:rPr>
          <w:rFonts w:hint="eastAsia" w:ascii="Times New Roman" w:hAnsi="Times New Roman" w:eastAsia="宋体" w:cs="Times New Roman"/>
          <w:b w:val="0"/>
          <w:bCs/>
          <w:color w:val="auto"/>
          <w:sz w:val="24"/>
          <w:szCs w:val="24"/>
          <w:lang w:eastAsia="zh-CN"/>
        </w:rPr>
        <w:t>粪污</w:t>
      </w:r>
      <w:r>
        <w:rPr>
          <w:rFonts w:hint="eastAsia" w:ascii="Times New Roman" w:hAnsi="Times New Roman" w:eastAsia="宋体" w:cs="Times New Roman"/>
          <w:b w:val="0"/>
          <w:bCs/>
          <w:color w:val="auto"/>
          <w:sz w:val="24"/>
          <w:szCs w:val="24"/>
          <w:lang w:val="en-US" w:eastAsia="zh-CN"/>
        </w:rPr>
        <w:t>运输车辆</w:t>
      </w:r>
      <w:r>
        <w:rPr>
          <w:rFonts w:hint="eastAsia" w:ascii="Times New Roman" w:hAnsi="Times New Roman" w:eastAsia="宋体" w:cs="Times New Roman"/>
          <w:color w:val="auto"/>
          <w:sz w:val="24"/>
          <w:szCs w:val="24"/>
          <w:lang w:val="en-US" w:eastAsia="zh-CN"/>
        </w:rPr>
        <w:t>将粪污运至需要灌溉的地区，运至后由运输车辆配套的灌溉管进行灌溉。</w:t>
      </w:r>
      <w:r>
        <w:rPr>
          <w:rFonts w:hint="eastAsia" w:ascii="Times New Roman" w:hAnsi="Times New Roman" w:eastAsia="宋体" w:cs="Times New Roman"/>
          <w:b w:val="0"/>
          <w:bCs/>
          <w:color w:val="auto"/>
          <w:sz w:val="24"/>
          <w:szCs w:val="24"/>
          <w:lang w:eastAsia="zh-CN"/>
        </w:rPr>
        <w:t>粪污</w:t>
      </w:r>
      <w:r>
        <w:rPr>
          <w:rFonts w:hint="eastAsia" w:ascii="Times New Roman" w:hAnsi="Times New Roman" w:eastAsia="宋体" w:cs="Times New Roman"/>
          <w:b w:val="0"/>
          <w:bCs/>
          <w:color w:val="auto"/>
          <w:sz w:val="24"/>
          <w:szCs w:val="24"/>
          <w:lang w:val="en-US" w:eastAsia="zh-CN"/>
        </w:rPr>
        <w:t>运输车辆相当于移动式田间池</w:t>
      </w:r>
      <w:r>
        <w:rPr>
          <w:rFonts w:hint="eastAsia" w:ascii="Times New Roman" w:hAnsi="Times New Roman" w:eastAsia="宋体" w:cs="Times New Roman"/>
          <w:color w:val="auto"/>
          <w:sz w:val="24"/>
          <w:szCs w:val="24"/>
          <w:lang w:val="en-US" w:eastAsia="zh-CN"/>
        </w:rPr>
        <w:t>。</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②灌溉用水量</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lang w:val="en-US" w:eastAsia="zh-CN"/>
        </w:rPr>
      </w:pPr>
      <w:r>
        <w:rPr>
          <w:rFonts w:hint="eastAsia" w:ascii="Times New Roman" w:hAnsi="Times New Roman" w:eastAsia="宋体" w:cs="Times New Roman"/>
          <w:b w:val="0"/>
          <w:bCs/>
          <w:color w:val="auto"/>
          <w:sz w:val="24"/>
          <w:szCs w:val="24"/>
          <w:highlight w:val="none"/>
          <w:lang w:val="en-US" w:eastAsia="zh-CN"/>
        </w:rPr>
        <w:t>本项目产生废水量共计24941.95m</w:t>
      </w:r>
      <w:r>
        <w:rPr>
          <w:rFonts w:hint="eastAsia" w:ascii="Times New Roman" w:hAnsi="Times New Roman" w:eastAsia="宋体" w:cs="Times New Roman"/>
          <w:b w:val="0"/>
          <w:bCs/>
          <w:color w:val="auto"/>
          <w:sz w:val="24"/>
          <w:szCs w:val="24"/>
          <w:highlight w:val="none"/>
          <w:vertAlign w:val="superscript"/>
          <w:lang w:val="en-US" w:eastAsia="zh-CN"/>
        </w:rPr>
        <w:t>3</w:t>
      </w:r>
      <w:r>
        <w:rPr>
          <w:rFonts w:hint="eastAsia" w:ascii="Times New Roman" w:hAnsi="Times New Roman" w:eastAsia="宋体" w:cs="Times New Roman"/>
          <w:b w:val="0"/>
          <w:bCs/>
          <w:color w:val="auto"/>
          <w:sz w:val="24"/>
          <w:szCs w:val="24"/>
          <w:highlight w:val="none"/>
          <w:vertAlign w:val="baseline"/>
          <w:lang w:val="en-US" w:eastAsia="zh-CN"/>
        </w:rPr>
        <w:t>/a</w:t>
      </w:r>
      <w:r>
        <w:rPr>
          <w:rFonts w:hint="eastAsia" w:ascii="Times New Roman" w:hAnsi="Times New Roman" w:eastAsia="宋体" w:cs="Times New Roman"/>
          <w:b w:val="0"/>
          <w:bCs/>
          <w:color w:val="auto"/>
          <w:sz w:val="24"/>
          <w:szCs w:val="24"/>
          <w:highlight w:val="none"/>
          <w:lang w:val="en-US" w:eastAsia="zh-CN"/>
        </w:rPr>
        <w:t>，因此，全年至少需灌溉24941.95m</w:t>
      </w:r>
      <w:r>
        <w:rPr>
          <w:rFonts w:hint="eastAsia" w:ascii="Times New Roman" w:hAnsi="Times New Roman" w:eastAsia="宋体" w:cs="Times New Roman"/>
          <w:b w:val="0"/>
          <w:bCs/>
          <w:color w:val="auto"/>
          <w:sz w:val="24"/>
          <w:szCs w:val="24"/>
          <w:highlight w:val="none"/>
          <w:vertAlign w:val="superscript"/>
          <w:lang w:val="en-US" w:eastAsia="zh-CN"/>
        </w:rPr>
        <w:t>3</w:t>
      </w:r>
      <w:r>
        <w:rPr>
          <w:rFonts w:hint="eastAsia" w:ascii="Times New Roman" w:hAnsi="Times New Roman" w:eastAsia="宋体" w:cs="Times New Roman"/>
          <w:b w:val="0"/>
          <w:bCs/>
          <w:color w:val="auto"/>
          <w:sz w:val="24"/>
          <w:szCs w:val="24"/>
          <w:highlight w:val="none"/>
          <w:lang w:val="en-US" w:eastAsia="zh-CN"/>
        </w:rPr>
        <w:t>废水。根据四川省用水定额（川府函【2021】8号），本地区为</w:t>
      </w:r>
      <w:r>
        <w:rPr>
          <w:rFonts w:hint="eastAsia" w:ascii="Times New Roman" w:hAnsi="Times New Roman" w:eastAsia="宋体" w:cs="Times New Roman"/>
          <w:b w:val="0"/>
          <w:bCs/>
          <w:color w:val="auto"/>
          <w:sz w:val="24"/>
          <w:szCs w:val="24"/>
          <w:highlight w:val="none"/>
          <w:lang w:val="en-US" w:eastAsia="zh-CN"/>
        </w:rPr>
        <w:fldChar w:fldCharType="begin"/>
      </w:r>
      <w:r>
        <w:rPr>
          <w:rFonts w:hint="eastAsia" w:ascii="Times New Roman" w:hAnsi="Times New Roman" w:eastAsia="宋体" w:cs="Times New Roman"/>
          <w:b w:val="0"/>
          <w:bCs/>
          <w:color w:val="auto"/>
          <w:sz w:val="24"/>
          <w:szCs w:val="24"/>
          <w:highlight w:val="none"/>
          <w:lang w:val="en-US" w:eastAsia="zh-CN"/>
        </w:rPr>
        <w:instrText xml:space="preserve"> = 1 \* ROMAN \* MERGEFORMAT </w:instrText>
      </w:r>
      <w:r>
        <w:rPr>
          <w:rFonts w:hint="eastAsia" w:ascii="Times New Roman" w:hAnsi="Times New Roman" w:eastAsia="宋体" w:cs="Times New Roman"/>
          <w:b w:val="0"/>
          <w:bCs/>
          <w:color w:val="auto"/>
          <w:sz w:val="24"/>
          <w:szCs w:val="24"/>
          <w:highlight w:val="none"/>
          <w:lang w:val="en-US" w:eastAsia="zh-CN"/>
        </w:rPr>
        <w:fldChar w:fldCharType="separate"/>
      </w:r>
      <w:r>
        <w:rPr>
          <w:rFonts w:hint="eastAsia" w:ascii="Times New Roman" w:hAnsi="Times New Roman" w:eastAsia="宋体" w:cs="Times New Roman"/>
          <w:b w:val="0"/>
          <w:bCs/>
          <w:color w:val="auto"/>
          <w:sz w:val="24"/>
          <w:szCs w:val="24"/>
          <w:highlight w:val="none"/>
          <w:lang w:val="en-US" w:eastAsia="zh-CN"/>
        </w:rPr>
        <w:t>I</w:t>
      </w:r>
      <w:r>
        <w:rPr>
          <w:rFonts w:hint="eastAsia" w:ascii="Times New Roman" w:hAnsi="Times New Roman" w:eastAsia="宋体" w:cs="Times New Roman"/>
          <w:b w:val="0"/>
          <w:bCs/>
          <w:color w:val="auto"/>
          <w:sz w:val="24"/>
          <w:szCs w:val="24"/>
          <w:highlight w:val="none"/>
          <w:lang w:val="en-US" w:eastAsia="zh-CN"/>
        </w:rPr>
        <w:fldChar w:fldCharType="end"/>
      </w:r>
      <w:r>
        <w:rPr>
          <w:rFonts w:hint="eastAsia" w:ascii="Times New Roman" w:hAnsi="Times New Roman" w:eastAsia="宋体" w:cs="Times New Roman"/>
          <w:b w:val="0"/>
          <w:bCs/>
          <w:color w:val="auto"/>
          <w:sz w:val="24"/>
          <w:szCs w:val="24"/>
          <w:highlight w:val="none"/>
          <w:lang w:val="en-US" w:eastAsia="zh-CN"/>
        </w:rPr>
        <w:t>区，本项目周边大部分种植柑橘。参照四川省用水定额（川府函【2021】8号）表2主要作物灌溉用水定额可知，柑橘类用水定额为95m</w:t>
      </w:r>
      <w:r>
        <w:rPr>
          <w:rFonts w:hint="eastAsia" w:ascii="Times New Roman" w:hAnsi="Times New Roman" w:eastAsia="宋体" w:cs="Times New Roman"/>
          <w:b w:val="0"/>
          <w:bCs/>
          <w:color w:val="auto"/>
          <w:sz w:val="24"/>
          <w:szCs w:val="24"/>
          <w:highlight w:val="none"/>
          <w:vertAlign w:val="superscript"/>
          <w:lang w:val="en-US" w:eastAsia="zh-CN"/>
        </w:rPr>
        <w:t>3</w:t>
      </w:r>
      <w:r>
        <w:rPr>
          <w:rFonts w:hint="eastAsia" w:ascii="Times New Roman" w:hAnsi="Times New Roman" w:eastAsia="宋体" w:cs="Times New Roman"/>
          <w:b w:val="0"/>
          <w:bCs/>
          <w:color w:val="auto"/>
          <w:sz w:val="24"/>
          <w:szCs w:val="24"/>
          <w:highlight w:val="none"/>
          <w:vertAlign w:val="baseline"/>
          <w:lang w:val="en-US" w:eastAsia="zh-CN"/>
        </w:rPr>
        <w:t>/亩。</w:t>
      </w:r>
      <w:r>
        <w:rPr>
          <w:rFonts w:hint="eastAsia" w:ascii="Times New Roman" w:hAnsi="Times New Roman" w:eastAsia="宋体" w:cs="Times New Roman"/>
          <w:b w:val="0"/>
          <w:bCs/>
          <w:color w:val="auto"/>
          <w:sz w:val="24"/>
          <w:szCs w:val="24"/>
          <w:lang w:val="en-US" w:eastAsia="zh-CN"/>
        </w:rPr>
        <w:t>厂内绿化用水定额为 1.5L/m</w:t>
      </w:r>
      <w:r>
        <w:rPr>
          <w:rFonts w:hint="eastAsia" w:ascii="Times New Roman" w:hAnsi="Times New Roman" w:eastAsia="宋体" w:cs="Times New Roman"/>
          <w:b w:val="0"/>
          <w:bCs/>
          <w:color w:val="auto"/>
          <w:sz w:val="24"/>
          <w:szCs w:val="24"/>
          <w:vertAlign w:val="superscript"/>
          <w:lang w:val="en-US" w:eastAsia="zh-CN"/>
        </w:rPr>
        <w:t>2</w:t>
      </w:r>
      <w:r>
        <w:rPr>
          <w:rFonts w:hint="eastAsia" w:ascii="Times New Roman" w:hAnsi="Times New Roman" w:eastAsia="宋体" w:cs="Times New Roman"/>
          <w:b w:val="0"/>
          <w:bCs/>
          <w:color w:val="auto"/>
          <w:sz w:val="24"/>
          <w:szCs w:val="24"/>
          <w:lang w:val="en-US" w:eastAsia="zh-CN"/>
        </w:rPr>
        <w:t>.d，绿化用水量为22.50m</w:t>
      </w:r>
      <w:r>
        <w:rPr>
          <w:rFonts w:hint="eastAsia" w:ascii="Times New Roman" w:hAnsi="Times New Roman" w:eastAsia="宋体" w:cs="Times New Roman"/>
          <w:b w:val="0"/>
          <w:bCs/>
          <w:color w:val="auto"/>
          <w:sz w:val="24"/>
          <w:szCs w:val="24"/>
          <w:vertAlign w:val="superscript"/>
          <w:lang w:val="en-US" w:eastAsia="zh-CN"/>
        </w:rPr>
        <w:t>3</w:t>
      </w:r>
      <w:r>
        <w:rPr>
          <w:rFonts w:hint="eastAsia" w:ascii="Times New Roman" w:hAnsi="Times New Roman" w:eastAsia="宋体" w:cs="Times New Roman"/>
          <w:b w:val="0"/>
          <w:bCs/>
          <w:color w:val="auto"/>
          <w:sz w:val="24"/>
          <w:szCs w:val="24"/>
          <w:lang w:val="en-US" w:eastAsia="zh-CN"/>
        </w:rPr>
        <w:t>/d，全年至少需灌溉8212.50m</w:t>
      </w:r>
      <w:r>
        <w:rPr>
          <w:rFonts w:hint="eastAsia" w:ascii="Times New Roman" w:hAnsi="Times New Roman" w:eastAsia="宋体" w:cs="Times New Roman"/>
          <w:b w:val="0"/>
          <w:bCs/>
          <w:color w:val="auto"/>
          <w:sz w:val="24"/>
          <w:szCs w:val="24"/>
          <w:vertAlign w:val="superscript"/>
          <w:lang w:val="en-US" w:eastAsia="zh-CN"/>
        </w:rPr>
        <w:t>3</w:t>
      </w:r>
      <w:r>
        <w:rPr>
          <w:rFonts w:hint="eastAsia" w:ascii="Times New Roman" w:hAnsi="Times New Roman" w:eastAsia="宋体" w:cs="Times New Roman"/>
          <w:b w:val="0"/>
          <w:bCs/>
          <w:color w:val="auto"/>
          <w:sz w:val="24"/>
          <w:szCs w:val="24"/>
          <w:lang w:val="en-US" w:eastAsia="zh-CN"/>
        </w:rPr>
        <w:t>废水。废水用于厂区内绿化和周边农田灌溉。目前项目内绿化面积约15000m</w:t>
      </w:r>
      <w:r>
        <w:rPr>
          <w:rFonts w:hint="eastAsia" w:ascii="Times New Roman" w:hAnsi="Times New Roman" w:eastAsia="宋体" w:cs="Times New Roman"/>
          <w:b w:val="0"/>
          <w:bCs/>
          <w:color w:val="auto"/>
          <w:sz w:val="24"/>
          <w:szCs w:val="24"/>
          <w:vertAlign w:val="superscript"/>
          <w:lang w:val="en-US" w:eastAsia="zh-CN"/>
        </w:rPr>
        <w:t>2</w:t>
      </w:r>
      <w:r>
        <w:rPr>
          <w:rFonts w:hint="eastAsia" w:ascii="Times New Roman" w:hAnsi="Times New Roman" w:eastAsia="宋体" w:cs="Times New Roman"/>
          <w:b w:val="0"/>
          <w:bCs/>
          <w:color w:val="auto"/>
          <w:sz w:val="24"/>
          <w:szCs w:val="24"/>
          <w:lang w:val="en-US" w:eastAsia="zh-CN"/>
        </w:rPr>
        <w:t>，每年消耗的污水量为8212.50m</w:t>
      </w:r>
      <w:r>
        <w:rPr>
          <w:rFonts w:hint="eastAsia" w:ascii="Times New Roman" w:hAnsi="Times New Roman" w:eastAsia="宋体" w:cs="Times New Roman"/>
          <w:b w:val="0"/>
          <w:bCs/>
          <w:color w:val="auto"/>
          <w:sz w:val="24"/>
          <w:szCs w:val="24"/>
          <w:vertAlign w:val="superscript"/>
          <w:lang w:val="en-US" w:eastAsia="zh-CN"/>
        </w:rPr>
        <w:t>3</w:t>
      </w:r>
      <w:r>
        <w:rPr>
          <w:rFonts w:hint="eastAsia" w:ascii="Times New Roman" w:hAnsi="Times New Roman" w:eastAsia="宋体" w:cs="Times New Roman"/>
          <w:b w:val="0"/>
          <w:bCs/>
          <w:color w:val="auto"/>
          <w:sz w:val="24"/>
          <w:szCs w:val="24"/>
          <w:lang w:val="en-US" w:eastAsia="zh-CN"/>
        </w:rPr>
        <w:t>，剩余的废水16729.45m</w:t>
      </w:r>
      <w:r>
        <w:rPr>
          <w:rFonts w:hint="eastAsia" w:ascii="Times New Roman" w:hAnsi="Times New Roman" w:eastAsia="宋体" w:cs="Times New Roman"/>
          <w:b w:val="0"/>
          <w:bCs/>
          <w:color w:val="auto"/>
          <w:sz w:val="24"/>
          <w:szCs w:val="24"/>
          <w:vertAlign w:val="superscript"/>
          <w:lang w:val="en-US" w:eastAsia="zh-CN"/>
        </w:rPr>
        <w:t xml:space="preserve">3 </w:t>
      </w:r>
      <w:r>
        <w:rPr>
          <w:rFonts w:hint="eastAsia" w:ascii="Times New Roman" w:hAnsi="Times New Roman" w:eastAsia="宋体" w:cs="Times New Roman"/>
          <w:b w:val="0"/>
          <w:bCs/>
          <w:color w:val="auto"/>
          <w:sz w:val="24"/>
          <w:szCs w:val="24"/>
          <w:lang w:val="en-US" w:eastAsia="zh-CN"/>
        </w:rPr>
        <w:t>用于周边果园灌溉。</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lang w:val="en-US" w:eastAsia="zh-CN"/>
        </w:rPr>
      </w:pPr>
      <w:r>
        <w:rPr>
          <w:rFonts w:hint="eastAsia" w:ascii="Times New Roman" w:hAnsi="Times New Roman" w:eastAsia="宋体" w:cs="Times New Roman"/>
          <w:b w:val="0"/>
          <w:bCs/>
          <w:color w:val="auto"/>
          <w:sz w:val="24"/>
          <w:szCs w:val="24"/>
          <w:lang w:val="en-US" w:eastAsia="zh-CN"/>
        </w:rPr>
        <w:t>本项目消纳地面积共5542亩（369hm</w:t>
      </w:r>
      <w:r>
        <w:rPr>
          <w:rFonts w:hint="eastAsia" w:ascii="Times New Roman" w:hAnsi="Times New Roman" w:eastAsia="宋体" w:cs="Times New Roman"/>
          <w:b w:val="0"/>
          <w:bCs/>
          <w:color w:val="auto"/>
          <w:sz w:val="24"/>
          <w:szCs w:val="24"/>
          <w:vertAlign w:val="superscript"/>
          <w:lang w:val="en-US" w:eastAsia="zh-CN"/>
        </w:rPr>
        <w:t>2</w:t>
      </w:r>
      <w:r>
        <w:rPr>
          <w:rFonts w:hint="eastAsia" w:ascii="Times New Roman" w:hAnsi="Times New Roman" w:eastAsia="宋体" w:cs="Times New Roman"/>
          <w:b w:val="0"/>
          <w:bCs/>
          <w:color w:val="auto"/>
          <w:sz w:val="24"/>
          <w:szCs w:val="24"/>
          <w:lang w:val="en-US" w:eastAsia="zh-CN"/>
        </w:rPr>
        <w:t>），柑橘灌溉用水量约526490m</w:t>
      </w:r>
      <w:r>
        <w:rPr>
          <w:rFonts w:hint="eastAsia" w:ascii="Times New Roman" w:hAnsi="Times New Roman" w:eastAsia="宋体" w:cs="Times New Roman"/>
          <w:b w:val="0"/>
          <w:bCs/>
          <w:color w:val="auto"/>
          <w:sz w:val="24"/>
          <w:szCs w:val="24"/>
          <w:vertAlign w:val="superscript"/>
          <w:lang w:val="en-US" w:eastAsia="zh-CN"/>
        </w:rPr>
        <w:t>3</w:t>
      </w:r>
      <w:r>
        <w:rPr>
          <w:rFonts w:hint="eastAsia" w:ascii="Times New Roman" w:hAnsi="Times New Roman" w:eastAsia="宋体" w:cs="Times New Roman"/>
          <w:b w:val="0"/>
          <w:bCs/>
          <w:color w:val="auto"/>
          <w:sz w:val="24"/>
          <w:szCs w:val="24"/>
          <w:lang w:val="en-US" w:eastAsia="zh-CN"/>
        </w:rPr>
        <w:t>/a，项目用于周边果园灌溉的废水量约16729.45m</w:t>
      </w:r>
      <w:r>
        <w:rPr>
          <w:rFonts w:hint="eastAsia" w:ascii="Times New Roman" w:hAnsi="Times New Roman" w:eastAsia="宋体" w:cs="Times New Roman"/>
          <w:b w:val="0"/>
          <w:bCs/>
          <w:color w:val="auto"/>
          <w:sz w:val="24"/>
          <w:szCs w:val="24"/>
          <w:vertAlign w:val="superscript"/>
          <w:lang w:val="en-US" w:eastAsia="zh-CN"/>
        </w:rPr>
        <w:t>3</w:t>
      </w:r>
      <w:r>
        <w:rPr>
          <w:rFonts w:hint="eastAsia" w:ascii="Times New Roman" w:hAnsi="Times New Roman" w:eastAsia="宋体" w:cs="Times New Roman"/>
          <w:b w:val="0"/>
          <w:bCs/>
          <w:color w:val="auto"/>
          <w:sz w:val="24"/>
          <w:szCs w:val="24"/>
          <w:lang w:val="en-US" w:eastAsia="zh-CN"/>
        </w:rPr>
        <w:t>/a，本项目土地能够完全满足本项目废水消纳需求。四川省丹橙现代果业有限公司已与仁寿县双桥镇宿场村、齐乐镇中隆社区签订消纳土地面积5542亩（369hm</w:t>
      </w:r>
      <w:r>
        <w:rPr>
          <w:rFonts w:hint="eastAsia" w:ascii="Times New Roman" w:hAnsi="Times New Roman" w:eastAsia="宋体" w:cs="Times New Roman"/>
          <w:b w:val="0"/>
          <w:bCs/>
          <w:color w:val="auto"/>
          <w:sz w:val="24"/>
          <w:szCs w:val="24"/>
          <w:vertAlign w:val="superscript"/>
          <w:lang w:val="en-US" w:eastAsia="zh-CN"/>
        </w:rPr>
        <w:t>2</w:t>
      </w:r>
      <w:r>
        <w:rPr>
          <w:rFonts w:hint="eastAsia" w:ascii="Times New Roman" w:hAnsi="Times New Roman" w:eastAsia="宋体" w:cs="Times New Roman"/>
          <w:b w:val="0"/>
          <w:bCs/>
          <w:color w:val="auto"/>
          <w:sz w:val="24"/>
          <w:szCs w:val="24"/>
          <w:lang w:val="en-US" w:eastAsia="zh-CN"/>
        </w:rPr>
        <w:t>），故配套的消纳土地完全能够满足本项目废水消纳需求。</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right="0" w:firstLine="480" w:firstLineChars="200"/>
        <w:jc w:val="both"/>
        <w:textAlignment w:val="auto"/>
        <w:rPr>
          <w:rFonts w:hint="eastAsia" w:ascii="Times New Roman" w:hAnsi="Times New Roman" w:eastAsia="宋体" w:cs="Times New Roman"/>
          <w:b w:val="0"/>
          <w:bCs/>
          <w:color w:val="auto"/>
          <w:sz w:val="24"/>
          <w:szCs w:val="24"/>
          <w:lang w:val="en-US" w:eastAsia="zh-CN"/>
        </w:rPr>
      </w:pPr>
      <w:r>
        <w:rPr>
          <w:rFonts w:hint="eastAsia" w:ascii="Times New Roman" w:hAnsi="Times New Roman" w:eastAsia="宋体" w:cs="Times New Roman"/>
          <w:b w:val="0"/>
          <w:bCs/>
          <w:color w:val="auto"/>
          <w:sz w:val="24"/>
          <w:szCs w:val="24"/>
          <w:lang w:val="en-US" w:eastAsia="zh-CN"/>
        </w:rPr>
        <w:t>综上所述，本项目营运期废水经处理达到《农田灌溉水质标准》（GB5084-2021）</w:t>
      </w:r>
    </w:p>
    <w:p>
      <w:pPr>
        <w:pStyle w:val="16"/>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0" w:firstLineChars="0"/>
        <w:jc w:val="both"/>
        <w:textAlignment w:val="auto"/>
        <w:rPr>
          <w:rFonts w:hint="eastAsia" w:ascii="Times New Roman" w:hAnsi="Times New Roman" w:eastAsia="宋体" w:cs="Times New Roman"/>
          <w:b w:val="0"/>
          <w:bCs/>
          <w:color w:val="auto"/>
          <w:sz w:val="24"/>
          <w:szCs w:val="24"/>
          <w:lang w:val="en-US" w:eastAsia="zh-CN"/>
        </w:rPr>
      </w:pPr>
      <w:r>
        <w:rPr>
          <w:rFonts w:hint="eastAsia" w:ascii="Times New Roman" w:hAnsi="Times New Roman" w:eastAsia="宋体" w:cs="Times New Roman"/>
          <w:b w:val="0"/>
          <w:bCs/>
          <w:color w:val="auto"/>
          <w:sz w:val="24"/>
          <w:szCs w:val="24"/>
          <w:lang w:val="en-US" w:eastAsia="zh-CN"/>
        </w:rPr>
        <w:t>旱作标准（NH</w:t>
      </w:r>
      <w:r>
        <w:rPr>
          <w:rFonts w:hint="eastAsia" w:ascii="Times New Roman" w:hAnsi="Times New Roman" w:eastAsia="宋体" w:cs="Times New Roman"/>
          <w:b w:val="0"/>
          <w:bCs/>
          <w:color w:val="auto"/>
          <w:sz w:val="24"/>
          <w:szCs w:val="24"/>
          <w:vertAlign w:val="subscript"/>
          <w:lang w:val="en-US" w:eastAsia="zh-CN"/>
        </w:rPr>
        <w:t>3</w:t>
      </w:r>
      <w:r>
        <w:rPr>
          <w:rFonts w:hint="eastAsia" w:ascii="Times New Roman" w:hAnsi="Times New Roman" w:eastAsia="宋体" w:cs="Times New Roman"/>
          <w:b w:val="0"/>
          <w:bCs/>
          <w:color w:val="auto"/>
          <w:sz w:val="24"/>
          <w:szCs w:val="24"/>
          <w:lang w:val="en-US" w:eastAsia="zh-CN"/>
        </w:rPr>
        <w:t>-N、TP执行《畜禽养殖业污染物排放标准》（GB18596-2001）表 5中排放限值）后，可用于消纳地灌溉，配套的消纳土地完全能够满足本项目废水消纳需求。</w:t>
      </w:r>
    </w:p>
    <w:p>
      <w:pPr>
        <w:pStyle w:val="16"/>
        <w:adjustRightInd w:val="0"/>
        <w:snapToGrid w:val="0"/>
        <w:spacing w:line="360" w:lineRule="auto"/>
        <w:ind w:right="0"/>
        <w:jc w:val="both"/>
        <w:outlineLvl w:val="3"/>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6.2.2.4其他建设</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建议建设单位要求设计、调试单位在环保设施工程竣工后，对场内环保管理专员进行培训，培训人员包括污水操作工、机修工、电修工等。培训内容：</w:t>
      </w:r>
    </w:p>
    <w:p>
      <w:pPr>
        <w:numPr>
          <w:ilvl w:val="0"/>
          <w:numId w:val="40"/>
        </w:num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场内管道、阀门的分布及安全操作；</w:t>
      </w:r>
    </w:p>
    <w:p>
      <w:pPr>
        <w:numPr>
          <w:ilvl w:val="0"/>
          <w:numId w:val="40"/>
        </w:num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掌握设备的操作规程；</w:t>
      </w:r>
    </w:p>
    <w:p>
      <w:pPr>
        <w:numPr>
          <w:ilvl w:val="0"/>
          <w:numId w:val="40"/>
        </w:num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掌握异常问题的排除方法，应包括故障判别、分析及排除方法；</w:t>
      </w:r>
    </w:p>
    <w:p>
      <w:pPr>
        <w:pStyle w:val="87"/>
        <w:adjustRightInd w:val="0"/>
        <w:snapToGrid w:val="0"/>
        <w:spacing w:beforeLines="0" w:afterLines="0"/>
        <w:rPr>
          <w:rFonts w:ascii="Times New Roman" w:hAnsi="Times New Roman" w:eastAsia="宋体"/>
          <w:b/>
          <w:color w:val="auto"/>
          <w:kern w:val="0"/>
        </w:rPr>
      </w:pPr>
      <w:r>
        <w:rPr>
          <w:rFonts w:hint="eastAsia" w:ascii="Times New Roman" w:hAnsi="Times New Roman" w:eastAsia="宋体"/>
          <w:b/>
          <w:color w:val="auto"/>
          <w:kern w:val="0"/>
        </w:rPr>
        <w:t>6.2.3噪声污染防治对策措施</w:t>
      </w:r>
      <w:bookmarkEnd w:id="280"/>
      <w:bookmarkEnd w:id="281"/>
      <w:bookmarkEnd w:id="282"/>
      <w:r>
        <w:rPr>
          <w:rFonts w:hint="eastAsia" w:ascii="Times New Roman" w:hAnsi="Times New Roman" w:eastAsia="宋体"/>
          <w:b/>
          <w:color w:val="auto"/>
          <w:kern w:val="0"/>
        </w:rPr>
        <w:t>及技术经济论证</w:t>
      </w:r>
    </w:p>
    <w:p>
      <w:pPr>
        <w:pStyle w:val="87"/>
        <w:adjustRightInd w:val="0"/>
        <w:snapToGrid w:val="0"/>
        <w:spacing w:beforeLines="0" w:afterLines="0"/>
        <w:ind w:firstLine="480" w:firstLineChars="200"/>
        <w:outlineLvl w:val="9"/>
        <w:rPr>
          <w:rFonts w:hint="eastAsia" w:ascii="Times New Roman" w:hAnsi="Times New Roman" w:eastAsia="宋体"/>
          <w:color w:val="auto"/>
          <w:sz w:val="24"/>
          <w:szCs w:val="24"/>
        </w:rPr>
      </w:pPr>
      <w:bookmarkStart w:id="283" w:name="_Toc18805"/>
      <w:r>
        <w:rPr>
          <w:rFonts w:hint="eastAsia" w:ascii="Times New Roman" w:hAnsi="Times New Roman" w:eastAsia="宋体"/>
          <w:color w:val="auto"/>
          <w:sz w:val="24"/>
          <w:szCs w:val="24"/>
        </w:rPr>
        <w:t>本项目营运期噪声主要包括水泵、发电机等设备噪声，猪叫声产生的噪声以及进出车辆噪声等。主要采取以下降噪措施：</w:t>
      </w:r>
    </w:p>
    <w:p>
      <w:pPr>
        <w:pStyle w:val="87"/>
        <w:numPr>
          <w:ilvl w:val="0"/>
          <w:numId w:val="41"/>
        </w:numPr>
        <w:adjustRightInd w:val="0"/>
        <w:snapToGrid w:val="0"/>
        <w:spacing w:beforeLines="0" w:afterLines="0"/>
        <w:ind w:firstLine="480" w:firstLineChars="200"/>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水泵加装减振器，进水管道设可曲挠管道橡胶伸缩接头以减小水锤冲击和水泵震动产生的噪声，连接水泵进出口的水管、进出隔墙处与运转设备连接的管道均采用减震吊架。</w:t>
      </w:r>
    </w:p>
    <w:p>
      <w:pPr>
        <w:pStyle w:val="87"/>
        <w:numPr>
          <w:ilvl w:val="0"/>
          <w:numId w:val="41"/>
        </w:numPr>
        <w:adjustRightInd w:val="0"/>
        <w:snapToGrid w:val="0"/>
        <w:spacing w:beforeLines="0" w:afterLines="0"/>
        <w:ind w:firstLine="480" w:firstLineChars="200"/>
        <w:outlineLvl w:val="9"/>
        <w:rPr>
          <w:rFonts w:ascii="Times New Roman" w:hAnsi="Times New Roman" w:eastAsia="宋体"/>
          <w:color w:val="auto"/>
          <w:sz w:val="24"/>
          <w:szCs w:val="24"/>
        </w:rPr>
      </w:pPr>
      <w:r>
        <w:rPr>
          <w:rFonts w:hint="eastAsia" w:ascii="Times New Roman" w:hAnsi="Times New Roman" w:eastAsia="宋体"/>
          <w:color w:val="auto"/>
          <w:sz w:val="24"/>
          <w:szCs w:val="24"/>
        </w:rPr>
        <w:t>应急柴油发电机，选用低噪声设备、对发电机组基础安装减振垫，发电机房安装隔声、吸声材料，出风口设置消声器。</w:t>
      </w:r>
    </w:p>
    <w:p>
      <w:pPr>
        <w:pStyle w:val="87"/>
        <w:numPr>
          <w:ilvl w:val="0"/>
          <w:numId w:val="41"/>
        </w:numPr>
        <w:adjustRightInd w:val="0"/>
        <w:snapToGrid w:val="0"/>
        <w:spacing w:beforeLines="0" w:afterLines="0"/>
        <w:ind w:firstLine="480" w:firstLineChars="200"/>
        <w:outlineLvl w:val="9"/>
        <w:rPr>
          <w:rFonts w:ascii="Times New Roman" w:hAnsi="Times New Roman" w:eastAsia="宋体"/>
          <w:color w:val="auto"/>
          <w:sz w:val="24"/>
          <w:szCs w:val="24"/>
        </w:rPr>
      </w:pPr>
      <w:r>
        <w:rPr>
          <w:rFonts w:hint="eastAsia" w:ascii="Times New Roman" w:hAnsi="Times New Roman" w:eastAsia="宋体"/>
          <w:color w:val="auto"/>
          <w:sz w:val="24"/>
          <w:szCs w:val="24"/>
        </w:rPr>
        <w:t>通风风机选用低噪声型，基础安装减振垫。</w:t>
      </w:r>
    </w:p>
    <w:p>
      <w:pPr>
        <w:pStyle w:val="87"/>
        <w:numPr>
          <w:ilvl w:val="0"/>
          <w:numId w:val="41"/>
        </w:numPr>
        <w:adjustRightInd w:val="0"/>
        <w:snapToGrid w:val="0"/>
        <w:spacing w:beforeLines="0" w:afterLines="0"/>
        <w:ind w:firstLine="480" w:firstLineChars="200"/>
        <w:outlineLvl w:val="9"/>
        <w:rPr>
          <w:rFonts w:ascii="Times New Roman" w:hAnsi="Times New Roman" w:eastAsia="宋体"/>
          <w:color w:val="auto"/>
          <w:sz w:val="24"/>
          <w:szCs w:val="24"/>
        </w:rPr>
      </w:pPr>
      <w:r>
        <w:rPr>
          <w:rFonts w:hint="eastAsia" w:ascii="Times New Roman" w:hAnsi="Times New Roman" w:eastAsia="宋体"/>
          <w:color w:val="auto"/>
          <w:sz w:val="24"/>
          <w:szCs w:val="24"/>
        </w:rPr>
        <w:t>搅拌机选用低噪声设备，基础安装减振垫，噪声影响较小。</w:t>
      </w:r>
    </w:p>
    <w:p>
      <w:pPr>
        <w:pStyle w:val="87"/>
        <w:numPr>
          <w:ilvl w:val="0"/>
          <w:numId w:val="41"/>
        </w:numPr>
        <w:adjustRightInd w:val="0"/>
        <w:snapToGrid w:val="0"/>
        <w:spacing w:beforeLines="0" w:afterLines="0"/>
        <w:ind w:firstLine="480" w:firstLineChars="200"/>
        <w:outlineLvl w:val="9"/>
        <w:rPr>
          <w:rFonts w:ascii="Times New Roman" w:hAnsi="Times New Roman" w:eastAsia="宋体"/>
          <w:color w:val="auto"/>
          <w:sz w:val="24"/>
          <w:szCs w:val="24"/>
        </w:rPr>
      </w:pPr>
      <w:r>
        <w:rPr>
          <w:rFonts w:hint="eastAsia" w:ascii="Times New Roman" w:hAnsi="Times New Roman" w:eastAsia="宋体"/>
          <w:color w:val="auto"/>
          <w:sz w:val="24"/>
          <w:szCs w:val="24"/>
        </w:rPr>
        <w:t>猪叫声属于间断性噪声源，养殖场通过合理安排饲养时间、注意管理，防止猪受到惊吓造成鸣叫而扰民；将猪只运进和运出的时间安排在昼间，尽可能的减少猪叫噪声对周围居民的影响。</w:t>
      </w:r>
    </w:p>
    <w:p>
      <w:pPr>
        <w:pStyle w:val="87"/>
        <w:numPr>
          <w:ilvl w:val="0"/>
          <w:numId w:val="41"/>
        </w:numPr>
        <w:adjustRightInd w:val="0"/>
        <w:snapToGrid w:val="0"/>
        <w:spacing w:beforeLines="0" w:afterLines="0"/>
        <w:ind w:firstLine="480" w:firstLineChars="200"/>
        <w:outlineLvl w:val="9"/>
        <w:rPr>
          <w:rFonts w:ascii="Times New Roman" w:hAnsi="Times New Roman" w:eastAsia="宋体"/>
          <w:color w:val="auto"/>
          <w:sz w:val="24"/>
          <w:szCs w:val="24"/>
        </w:rPr>
      </w:pPr>
      <w:r>
        <w:rPr>
          <w:rFonts w:hint="eastAsia" w:ascii="Times New Roman" w:hAnsi="Times New Roman" w:eastAsia="宋体"/>
          <w:color w:val="auto"/>
          <w:sz w:val="24"/>
          <w:szCs w:val="24"/>
        </w:rPr>
        <w:t>场内对车辆采取限速、禁鸣的要求，可以有效降低车辆运输带来的噪声；另外，运输车辆沿途必须按规范操作，尽量少鸣笛，以免对周围村民生活造成影响或因鸣笛使猪只受到惊吓而鸣叫，从而产生扰民。</w:t>
      </w:r>
    </w:p>
    <w:p>
      <w:pPr>
        <w:pStyle w:val="87"/>
        <w:numPr>
          <w:ilvl w:val="0"/>
          <w:numId w:val="41"/>
        </w:numPr>
        <w:adjustRightInd w:val="0"/>
        <w:snapToGrid w:val="0"/>
        <w:spacing w:beforeLines="0" w:afterLines="0"/>
        <w:ind w:firstLine="480" w:firstLineChars="200"/>
        <w:outlineLvl w:val="9"/>
        <w:rPr>
          <w:rFonts w:ascii="Times New Roman" w:hAnsi="Times New Roman" w:eastAsia="宋体"/>
          <w:color w:val="auto"/>
          <w:sz w:val="24"/>
          <w:szCs w:val="24"/>
        </w:rPr>
      </w:pPr>
      <w:r>
        <w:rPr>
          <w:rFonts w:hint="eastAsia" w:ascii="Times New Roman" w:hAnsi="Times New Roman" w:eastAsia="宋体"/>
          <w:color w:val="auto"/>
          <w:sz w:val="24"/>
          <w:szCs w:val="24"/>
        </w:rPr>
        <w:t>加强场区内绿化，充分利用建筑物、绿化带阻隔声波传播。</w:t>
      </w:r>
    </w:p>
    <w:p>
      <w:p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综上所述，营运期采取以上声环境保护措施，可知厂界噪声满足《工业企业厂界环境噪声排放标准》（GB12348-2008）2类标准要求，实现达标排放。</w:t>
      </w:r>
    </w:p>
    <w:p>
      <w:p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项目设备进场运营后日常维护费用约为</w:t>
      </w:r>
      <w:r>
        <w:rPr>
          <w:rFonts w:hint="eastAsia" w:ascii="Times New Roman" w:hAnsi="Times New Roman" w:eastAsia="宋体" w:cs="Times New Roman"/>
          <w:bCs/>
          <w:color w:val="auto"/>
          <w:sz w:val="24"/>
          <w:szCs w:val="24"/>
          <w:lang w:val="en-US" w:eastAsia="zh-CN"/>
        </w:rPr>
        <w:t>1.8</w:t>
      </w:r>
      <w:r>
        <w:rPr>
          <w:rFonts w:hint="eastAsia" w:ascii="Times New Roman" w:hAnsi="Times New Roman" w:eastAsia="宋体" w:cs="Times New Roman"/>
          <w:bCs/>
          <w:color w:val="auto"/>
          <w:sz w:val="24"/>
          <w:szCs w:val="24"/>
        </w:rPr>
        <w:t>万元/年，费用较低，故上述噪声措施经济、技术可行。</w:t>
      </w:r>
    </w:p>
    <w:p>
      <w:pPr>
        <w:pStyle w:val="87"/>
        <w:adjustRightInd w:val="0"/>
        <w:snapToGrid w:val="0"/>
        <w:spacing w:beforeLines="0" w:afterLines="0"/>
        <w:rPr>
          <w:rFonts w:ascii="Times New Roman" w:hAnsi="Times New Roman" w:eastAsia="宋体"/>
          <w:b/>
          <w:color w:val="auto"/>
          <w:kern w:val="0"/>
          <w:highlight w:val="none"/>
        </w:rPr>
      </w:pPr>
      <w:r>
        <w:rPr>
          <w:rFonts w:hint="eastAsia" w:ascii="Times New Roman" w:hAnsi="Times New Roman" w:eastAsia="宋体"/>
          <w:b/>
          <w:color w:val="auto"/>
          <w:kern w:val="0"/>
          <w:highlight w:val="none"/>
        </w:rPr>
        <w:t>6.2.4固体废物污染防治对策措施</w:t>
      </w:r>
      <w:bookmarkEnd w:id="283"/>
      <w:r>
        <w:rPr>
          <w:rFonts w:hint="eastAsia" w:ascii="Times New Roman" w:hAnsi="Times New Roman" w:eastAsia="宋体"/>
          <w:b/>
          <w:color w:val="auto"/>
          <w:kern w:val="0"/>
          <w:highlight w:val="none"/>
        </w:rPr>
        <w:t>及技术经济论证</w:t>
      </w:r>
    </w:p>
    <w:p>
      <w:pPr>
        <w:pStyle w:val="16"/>
        <w:adjustRightInd w:val="0"/>
        <w:snapToGrid w:val="0"/>
        <w:spacing w:line="360" w:lineRule="auto"/>
        <w:ind w:right="0"/>
        <w:jc w:val="both"/>
        <w:outlineLvl w:val="3"/>
        <w:rPr>
          <w:rFonts w:hint="default" w:ascii="Times New Roman" w:hAnsi="Times New Roman" w:eastAsia="宋体"/>
          <w:color w:val="auto"/>
          <w:sz w:val="24"/>
          <w:szCs w:val="24"/>
          <w:highlight w:val="none"/>
          <w:lang w:val="en-US" w:eastAsia="zh-CN"/>
        </w:rPr>
      </w:pPr>
      <w:bookmarkStart w:id="284" w:name="_Toc21581"/>
      <w:r>
        <w:rPr>
          <w:rFonts w:hint="eastAsia" w:ascii="Times New Roman" w:hAnsi="Times New Roman" w:eastAsia="宋体"/>
          <w:color w:val="auto"/>
          <w:sz w:val="24"/>
          <w:szCs w:val="24"/>
          <w:highlight w:val="none"/>
          <w:lang w:val="en-US" w:eastAsia="zh-CN"/>
        </w:rPr>
        <w:t>6.2.4.1固体废物污染防治措施可行性分析</w:t>
      </w:r>
    </w:p>
    <w:p>
      <w:pPr>
        <w:adjustRightInd w:val="0"/>
        <w:snapToGrid w:val="0"/>
        <w:spacing w:line="360" w:lineRule="auto"/>
        <w:ind w:firstLine="480" w:firstLineChars="200"/>
        <w:rPr>
          <w:rFonts w:hint="eastAsia" w:ascii="Times New Roman" w:hAnsi="Times New Roman" w:eastAsia="宋体" w:cs="Times New Roman"/>
          <w:bCs/>
          <w:color w:val="auto"/>
          <w:sz w:val="24"/>
          <w:szCs w:val="24"/>
          <w:highlight w:val="none"/>
        </w:rPr>
      </w:pPr>
      <w:r>
        <w:rPr>
          <w:rFonts w:hint="eastAsia" w:ascii="Times New Roman" w:hAnsi="Times New Roman" w:eastAsia="宋体" w:cs="Times New Roman"/>
          <w:bCs/>
          <w:color w:val="auto"/>
          <w:sz w:val="24"/>
          <w:szCs w:val="24"/>
          <w:highlight w:val="none"/>
        </w:rPr>
        <w:t>生产运营过程中产生的固体废物主要为猪粪、病死猪、办公区生活垃圾、废包装材料、少量医疗废物、</w:t>
      </w:r>
      <w:r>
        <w:rPr>
          <w:rFonts w:hint="eastAsia" w:ascii="Times New Roman" w:hAnsi="Times New Roman" w:eastAsia="宋体" w:cs="Times New Roman"/>
          <w:bCs/>
          <w:color w:val="auto"/>
          <w:sz w:val="24"/>
          <w:szCs w:val="24"/>
          <w:highlight w:val="none"/>
          <w:lang w:eastAsia="zh-CN"/>
        </w:rPr>
        <w:t>污水处理区</w:t>
      </w:r>
      <w:r>
        <w:rPr>
          <w:rFonts w:hint="eastAsia" w:ascii="Times New Roman" w:hAnsi="Times New Roman" w:eastAsia="宋体" w:cs="Times New Roman"/>
          <w:bCs/>
          <w:color w:val="auto"/>
          <w:sz w:val="24"/>
          <w:szCs w:val="24"/>
          <w:highlight w:val="none"/>
        </w:rPr>
        <w:t>产生的污泥等。</w:t>
      </w:r>
    </w:p>
    <w:p>
      <w:pPr>
        <w:numPr>
          <w:ilvl w:val="0"/>
          <w:numId w:val="42"/>
        </w:numPr>
        <w:adjustRightInd w:val="0"/>
        <w:snapToGrid w:val="0"/>
        <w:spacing w:line="360" w:lineRule="auto"/>
        <w:ind w:firstLine="480" w:firstLineChars="200"/>
        <w:rPr>
          <w:rFonts w:hint="eastAsia" w:ascii="Times New Roman" w:hAnsi="Times New Roman" w:eastAsia="宋体" w:cs="Times New Roman"/>
          <w:bCs/>
          <w:color w:val="auto"/>
          <w:sz w:val="24"/>
          <w:szCs w:val="24"/>
          <w:highlight w:val="none"/>
        </w:rPr>
      </w:pPr>
      <w:r>
        <w:rPr>
          <w:rFonts w:hint="eastAsia" w:ascii="Times New Roman" w:hAnsi="Times New Roman" w:eastAsia="宋体" w:cs="Times New Roman"/>
          <w:bCs/>
          <w:color w:val="auto"/>
          <w:sz w:val="24"/>
          <w:szCs w:val="24"/>
          <w:highlight w:val="none"/>
        </w:rPr>
        <w:t>猪粪防治措施技术可行性</w:t>
      </w:r>
    </w:p>
    <w:p>
      <w:p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本项目猪粪采用“</w:t>
      </w:r>
      <w:r>
        <w:rPr>
          <w:rFonts w:hint="eastAsia" w:ascii="Times New Roman" w:hAnsi="Times New Roman" w:eastAsia="宋体" w:cs="Times New Roman"/>
          <w:bCs/>
          <w:color w:val="auto"/>
          <w:sz w:val="24"/>
          <w:szCs w:val="24"/>
          <w:lang w:eastAsia="zh-CN"/>
        </w:rPr>
        <w:t>重力式干清粪</w:t>
      </w:r>
      <w:r>
        <w:rPr>
          <w:rFonts w:hint="eastAsia" w:ascii="Times New Roman" w:hAnsi="Times New Roman" w:eastAsia="宋体" w:cs="Times New Roman"/>
          <w:bCs/>
          <w:color w:val="auto"/>
          <w:sz w:val="24"/>
          <w:szCs w:val="24"/>
        </w:rPr>
        <w:t>工艺”，圈舍采用真空压力差排粪方式由管道直接排入污水处理系统进行固液分离后，粪渣直接排入</w:t>
      </w:r>
      <w:r>
        <w:rPr>
          <w:rFonts w:hint="eastAsia" w:ascii="Times New Roman" w:hAnsi="Times New Roman" w:eastAsia="宋体" w:cs="Times New Roman"/>
          <w:bCs/>
          <w:color w:val="auto"/>
          <w:sz w:val="24"/>
          <w:szCs w:val="24"/>
          <w:lang w:eastAsia="zh-CN"/>
        </w:rPr>
        <w:t>堆粪间</w:t>
      </w:r>
      <w:r>
        <w:rPr>
          <w:rFonts w:hint="eastAsia" w:ascii="Times New Roman" w:hAnsi="Times New Roman" w:eastAsia="宋体" w:cs="Times New Roman"/>
          <w:bCs/>
          <w:color w:val="auto"/>
          <w:sz w:val="24"/>
          <w:szCs w:val="24"/>
        </w:rPr>
        <w:t>；本项目固废分离机设置在堆粪车间内部，固液分离后，粪便直接从分离机中由输送机排出，堆于</w:t>
      </w:r>
      <w:r>
        <w:rPr>
          <w:rFonts w:hint="eastAsia" w:ascii="Times New Roman" w:hAnsi="Times New Roman" w:eastAsia="宋体" w:cs="Times New Roman"/>
          <w:bCs/>
          <w:color w:val="auto"/>
          <w:sz w:val="24"/>
          <w:szCs w:val="24"/>
          <w:lang w:eastAsia="zh-CN"/>
        </w:rPr>
        <w:t>堆粪间</w:t>
      </w:r>
      <w:r>
        <w:rPr>
          <w:rFonts w:hint="eastAsia" w:ascii="Times New Roman" w:hAnsi="Times New Roman" w:eastAsia="宋体" w:cs="Times New Roman"/>
          <w:bCs/>
          <w:color w:val="auto"/>
          <w:sz w:val="24"/>
          <w:szCs w:val="24"/>
        </w:rPr>
        <w:t>；本项目</w:t>
      </w:r>
      <w:r>
        <w:rPr>
          <w:rFonts w:hint="eastAsia" w:ascii="Times New Roman" w:hAnsi="Times New Roman" w:eastAsia="宋体" w:cs="Times New Roman"/>
          <w:bCs/>
          <w:color w:val="auto"/>
          <w:sz w:val="24"/>
          <w:szCs w:val="24"/>
          <w:lang w:eastAsia="zh-CN"/>
        </w:rPr>
        <w:t>污泥</w:t>
      </w:r>
      <w:r>
        <w:rPr>
          <w:rFonts w:hint="eastAsia" w:ascii="Times New Roman" w:hAnsi="Times New Roman" w:eastAsia="宋体" w:cs="Times New Roman"/>
          <w:bCs/>
          <w:color w:val="auto"/>
          <w:sz w:val="24"/>
          <w:szCs w:val="24"/>
        </w:rPr>
        <w:t>固液分离机脱水处理后与</w:t>
      </w:r>
      <w:r>
        <w:rPr>
          <w:rFonts w:hint="eastAsia" w:ascii="Times New Roman" w:hAnsi="Times New Roman" w:eastAsia="宋体" w:cs="Times New Roman"/>
          <w:bCs/>
          <w:color w:val="auto"/>
          <w:sz w:val="24"/>
          <w:szCs w:val="24"/>
          <w:lang w:eastAsia="zh-CN"/>
        </w:rPr>
        <w:t>干粪</w:t>
      </w:r>
      <w:r>
        <w:rPr>
          <w:rFonts w:hint="eastAsia" w:ascii="Times New Roman" w:hAnsi="Times New Roman" w:eastAsia="宋体" w:cs="Times New Roman"/>
          <w:bCs/>
          <w:color w:val="auto"/>
          <w:sz w:val="24"/>
          <w:szCs w:val="24"/>
        </w:rPr>
        <w:t>一起</w:t>
      </w:r>
      <w:r>
        <w:rPr>
          <w:rFonts w:hint="eastAsia" w:ascii="Times New Roman" w:hAnsi="Times New Roman" w:eastAsia="宋体" w:cs="Times New Roman"/>
          <w:bCs/>
          <w:color w:val="auto"/>
          <w:sz w:val="24"/>
          <w:szCs w:val="24"/>
          <w:lang w:eastAsia="zh-CN"/>
        </w:rPr>
        <w:t>在堆粪间内进行好氧堆肥</w:t>
      </w:r>
      <w:r>
        <w:rPr>
          <w:rFonts w:hint="eastAsia" w:ascii="Times New Roman" w:hAnsi="Times New Roman" w:eastAsia="宋体" w:cs="Times New Roman"/>
          <w:bCs/>
          <w:color w:val="auto"/>
          <w:sz w:val="24"/>
          <w:szCs w:val="24"/>
        </w:rPr>
        <w:t>，</w:t>
      </w:r>
      <w:r>
        <w:rPr>
          <w:rFonts w:hint="eastAsia" w:ascii="Times New Roman" w:hAnsi="Times New Roman" w:eastAsia="宋体" w:cs="Times New Roman"/>
          <w:bCs/>
          <w:color w:val="auto"/>
          <w:sz w:val="24"/>
          <w:szCs w:val="24"/>
          <w:lang w:eastAsia="zh-CN"/>
        </w:rPr>
        <w:t>堆肥产物进行还田利用。根据</w:t>
      </w:r>
      <w:r>
        <w:rPr>
          <w:rFonts w:hint="eastAsia" w:ascii="Times New Roman" w:hAnsi="Times New Roman" w:eastAsia="宋体" w:cs="Times New Roman"/>
          <w:bCs/>
          <w:color w:val="auto"/>
          <w:sz w:val="24"/>
          <w:szCs w:val="24"/>
          <w:lang w:val="en-US" w:eastAsia="zh-CN"/>
        </w:rPr>
        <w:t>6.2.2.2章节计算，本项目堆肥产物还田</w:t>
      </w:r>
      <w:r>
        <w:rPr>
          <w:rFonts w:hint="eastAsia" w:ascii="Times New Roman" w:hAnsi="Times New Roman" w:eastAsia="宋体" w:cs="Times New Roman"/>
          <w:bCs/>
          <w:color w:val="auto"/>
          <w:sz w:val="24"/>
          <w:szCs w:val="24"/>
        </w:rPr>
        <w:t>措施可行。</w:t>
      </w:r>
    </w:p>
    <w:p>
      <w:pPr>
        <w:numPr>
          <w:ilvl w:val="0"/>
          <w:numId w:val="42"/>
        </w:numPr>
        <w:adjustRightInd w:val="0"/>
        <w:snapToGrid w:val="0"/>
        <w:spacing w:line="360" w:lineRule="auto"/>
        <w:ind w:left="0" w:leftChars="0"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病死猪防治措施技术可行性</w:t>
      </w:r>
    </w:p>
    <w:p>
      <w:p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根据《畜禽养殖业污染防治技术规范》（HJ/T81-2001）中明确病死畜禽尸体的处理与处置应遵循以下几点：</w:t>
      </w:r>
    </w:p>
    <w:p>
      <w:p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①病死禽畜尸体要及时处理，严禁随意丢弃，严禁出售或作为饲料再利用。</w:t>
      </w:r>
    </w:p>
    <w:p>
      <w:p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②病死禽畜尸体处理应采用焚烧炉焚烧的方法。在养殖场比较集中的地区，应集中设置焚烧设施，同时焚烧产生的烟气应采取有效的净化措施，防止烟尘、一氧化碳、恶臭等对周围大气环境的污染。</w:t>
      </w:r>
    </w:p>
    <w:p>
      <w:p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③不具备焚烧条件的养殖场应设置两个以上安全填埋井，填埋井应为混凝土结构，深度大于 2m，直径 1m，井口加盖密封。进行填埋时，在每次投入畜禽尸体后，应覆盖一层厚度大于 10cm 的熟石灰，井填埋后，须用粘土填埋压实并封口。</w:t>
      </w:r>
    </w:p>
    <w:p>
      <w:p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病死猪只的危害性则要看具体死因，若因为猪只抗病性弱、开放性外伤、感冒、发烧等常见疾病死亡的猪只，企业采用无害化生物降解处理机进行无害化处理，传染性疾病死亡的猪只由上级部门检查后制定处理方案，不在项目场内处理。</w:t>
      </w:r>
    </w:p>
    <w:p>
      <w:p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default" w:ascii="Times New Roman" w:hAnsi="Times New Roman" w:eastAsia="宋体" w:cs="Times New Roman"/>
          <w:color w:val="auto"/>
          <w:sz w:val="24"/>
          <w:szCs w:val="24"/>
          <w:lang w:val="en-US" w:eastAsia="zh-CN"/>
        </w:rPr>
        <w:t>根据本项目的特点和所处区域的实际情况，</w:t>
      </w:r>
      <w:r>
        <w:rPr>
          <w:rFonts w:hint="eastAsia" w:ascii="Times New Roman" w:hAnsi="Times New Roman" w:eastAsia="宋体" w:cs="Times New Roman"/>
          <w:color w:val="auto"/>
          <w:sz w:val="24"/>
          <w:szCs w:val="24"/>
          <w:lang w:val="en-US" w:eastAsia="zh-CN"/>
        </w:rPr>
        <w:t>本项目设置1个化尸池，用于病死猪填埋。本项目</w:t>
      </w:r>
      <w:r>
        <w:rPr>
          <w:rFonts w:hint="default" w:ascii="Times New Roman" w:hAnsi="Times New Roman" w:eastAsia="宋体" w:cs="Times New Roman"/>
          <w:color w:val="auto"/>
          <w:sz w:val="24"/>
          <w:szCs w:val="24"/>
          <w:lang w:val="en-US" w:eastAsia="zh-CN"/>
        </w:rPr>
        <w:t>填埋井应为混凝土结构，深</w:t>
      </w:r>
      <w:r>
        <w:rPr>
          <w:rFonts w:hint="eastAsia" w:ascii="Times New Roman" w:hAnsi="Times New Roman" w:eastAsia="宋体" w:cs="Times New Roman"/>
          <w:color w:val="auto"/>
          <w:sz w:val="24"/>
          <w:szCs w:val="24"/>
          <w:lang w:val="en-US" w:eastAsia="zh-CN"/>
        </w:rPr>
        <w:t>2.5</w:t>
      </w:r>
      <w:r>
        <w:rPr>
          <w:rFonts w:hint="default" w:ascii="Times New Roman" w:hAnsi="Times New Roman" w:eastAsia="宋体" w:cs="Times New Roman"/>
          <w:color w:val="auto"/>
          <w:sz w:val="24"/>
          <w:szCs w:val="24"/>
          <w:lang w:val="en-US" w:eastAsia="zh-CN"/>
        </w:rPr>
        <w:t>m，直径</w:t>
      </w:r>
      <w:r>
        <w:rPr>
          <w:rFonts w:hint="eastAsia" w:ascii="Times New Roman" w:hAnsi="Times New Roman" w:eastAsia="宋体" w:cs="Times New Roman"/>
          <w:color w:val="auto"/>
          <w:sz w:val="24"/>
          <w:szCs w:val="24"/>
          <w:lang w:val="en-US" w:eastAsia="zh-CN"/>
        </w:rPr>
        <w:t>10</w:t>
      </w:r>
      <w:r>
        <w:rPr>
          <w:rFonts w:hint="default" w:ascii="Times New Roman" w:hAnsi="Times New Roman" w:eastAsia="宋体" w:cs="Times New Roman"/>
          <w:color w:val="auto"/>
          <w:sz w:val="24"/>
          <w:szCs w:val="24"/>
          <w:lang w:val="en-US" w:eastAsia="zh-CN"/>
        </w:rPr>
        <w:t>m，井口加盖密封</w:t>
      </w:r>
      <w:r>
        <w:rPr>
          <w:rFonts w:hint="eastAsia" w:ascii="Times New Roman" w:hAnsi="Times New Roman" w:eastAsia="宋体" w:cs="Times New Roman"/>
          <w:bCs/>
          <w:color w:val="auto"/>
          <w:sz w:val="24"/>
          <w:szCs w:val="24"/>
        </w:rPr>
        <w:t>。</w:t>
      </w:r>
    </w:p>
    <w:p>
      <w:pPr>
        <w:numPr>
          <w:ilvl w:val="0"/>
          <w:numId w:val="42"/>
        </w:numPr>
        <w:adjustRightInd w:val="0"/>
        <w:snapToGrid w:val="0"/>
        <w:spacing w:line="360" w:lineRule="auto"/>
        <w:ind w:left="0" w:leftChars="0"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医疗废物防治措施技术可行性</w:t>
      </w:r>
    </w:p>
    <w:p>
      <w:p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猪只防疫、消毒会产生废疫苗瓶、废消毒剂瓶、针头等医疗废物，场区内应临时贮存（危废暂存间），产生量约</w:t>
      </w:r>
      <w:r>
        <w:rPr>
          <w:rFonts w:hint="eastAsia" w:ascii="Times New Roman" w:hAnsi="Times New Roman" w:eastAsia="宋体" w:cs="Times New Roman"/>
          <w:color w:val="auto"/>
          <w:sz w:val="24"/>
          <w:szCs w:val="24"/>
          <w:lang w:val="en-US" w:eastAsia="zh-CN"/>
        </w:rPr>
        <w:t>0.075</w:t>
      </w:r>
      <w:r>
        <w:rPr>
          <w:rFonts w:hint="eastAsia" w:ascii="Times New Roman" w:hAnsi="Times New Roman" w:eastAsia="宋体" w:cs="Times New Roman"/>
          <w:bCs/>
          <w:color w:val="auto"/>
          <w:sz w:val="24"/>
          <w:szCs w:val="24"/>
        </w:rPr>
        <w:t>t/a，定期交由有相关危险废物处置资质的单位处理。</w:t>
      </w:r>
    </w:p>
    <w:p>
      <w:p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厂区设置单独的危废暂存间，危废暂存间的设置应按照《危险废物贮存污染控制标准》（GB18597-2001）3.3 中贮存设施的标准，执行重点防渗（采用 P8 等级混凝土+2mmHDPE 膜防渗结构）。该工艺处理医疗废物，措施可行。</w:t>
      </w:r>
    </w:p>
    <w:p>
      <w:pPr>
        <w:numPr>
          <w:ilvl w:val="0"/>
          <w:numId w:val="42"/>
        </w:numPr>
        <w:adjustRightInd w:val="0"/>
        <w:snapToGrid w:val="0"/>
        <w:spacing w:line="360" w:lineRule="auto"/>
        <w:ind w:left="0" w:leftChars="0"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生活垃圾防治措施技术可行性</w:t>
      </w:r>
    </w:p>
    <w:p>
      <w:p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生活垃圾的产生量为</w:t>
      </w:r>
      <w:r>
        <w:rPr>
          <w:rFonts w:hint="eastAsia" w:ascii="Times New Roman" w:hAnsi="Times New Roman" w:eastAsia="宋体" w:cs="Times New Roman"/>
          <w:bCs/>
          <w:color w:val="auto"/>
          <w:sz w:val="24"/>
          <w:szCs w:val="24"/>
          <w:lang w:val="en-US" w:eastAsia="zh-CN"/>
        </w:rPr>
        <w:t>9.125t</w:t>
      </w:r>
      <w:r>
        <w:rPr>
          <w:rFonts w:hint="eastAsia" w:ascii="Times New Roman" w:hAnsi="Times New Roman" w:eastAsia="宋体" w:cs="Times New Roman"/>
          <w:bCs/>
          <w:color w:val="auto"/>
          <w:sz w:val="24"/>
          <w:szCs w:val="24"/>
        </w:rPr>
        <w:t>/a，定点收集后由企业送至村垃圾收集点，最终由环卫部门收集处置，对外环境影响较小。</w:t>
      </w:r>
    </w:p>
    <w:p>
      <w:p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项目所在地设置垃圾桶，将生活垃圾进行清运到指定垃圾收集点。项目生活垃圾收集处置措施可行。</w:t>
      </w:r>
    </w:p>
    <w:p>
      <w:pPr>
        <w:numPr>
          <w:ilvl w:val="0"/>
          <w:numId w:val="42"/>
        </w:numPr>
        <w:adjustRightInd w:val="0"/>
        <w:snapToGrid w:val="0"/>
        <w:spacing w:line="360" w:lineRule="auto"/>
        <w:ind w:left="0" w:leftChars="0"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废包装材料防治措施技术可行性</w:t>
      </w:r>
    </w:p>
    <w:p>
      <w:p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本项目购买商品饲料和各种添加剂等，由此产生废包装材料约</w:t>
      </w:r>
      <w:r>
        <w:rPr>
          <w:rFonts w:hint="eastAsia" w:ascii="Times New Roman" w:hAnsi="Times New Roman" w:eastAsia="宋体" w:cs="Times New Roman"/>
          <w:bCs/>
          <w:color w:val="auto"/>
          <w:sz w:val="24"/>
          <w:szCs w:val="24"/>
          <w:lang w:val="en-US" w:eastAsia="zh-CN"/>
        </w:rPr>
        <w:t>5.0</w:t>
      </w:r>
      <w:r>
        <w:rPr>
          <w:rFonts w:hint="eastAsia" w:ascii="Times New Roman" w:hAnsi="Times New Roman" w:eastAsia="宋体" w:cs="Times New Roman"/>
          <w:bCs/>
          <w:color w:val="auto"/>
          <w:sz w:val="24"/>
          <w:szCs w:val="24"/>
        </w:rPr>
        <w:t>t/a，收集后全部外售资源回收站回收利用，措施可行。</w:t>
      </w:r>
    </w:p>
    <w:p>
      <w:p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综上所述，固体废物处置措施体现了综合利用、安全贮存的废物处理宗旨，总投资约</w:t>
      </w:r>
      <w:r>
        <w:rPr>
          <w:rFonts w:hint="eastAsia" w:ascii="Times New Roman" w:hAnsi="Times New Roman" w:eastAsia="宋体" w:cs="Times New Roman"/>
          <w:bCs/>
          <w:color w:val="auto"/>
          <w:sz w:val="24"/>
          <w:szCs w:val="24"/>
          <w:lang w:val="en-US" w:eastAsia="zh-CN"/>
        </w:rPr>
        <w:t>20</w:t>
      </w:r>
      <w:r>
        <w:rPr>
          <w:rFonts w:hint="eastAsia" w:ascii="Times New Roman" w:hAnsi="Times New Roman" w:eastAsia="宋体" w:cs="Times New Roman"/>
          <w:bCs/>
          <w:color w:val="auto"/>
          <w:sz w:val="24"/>
          <w:szCs w:val="24"/>
        </w:rPr>
        <w:t>万元，固废处置措施简便易行，技术经济可行。</w:t>
      </w:r>
    </w:p>
    <w:p>
      <w:p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综上所述，本项目固体废弃物有明确的去向，能够有效妥善处理。</w:t>
      </w:r>
    </w:p>
    <w:p>
      <w:pPr>
        <w:pStyle w:val="16"/>
        <w:adjustRightInd w:val="0"/>
        <w:snapToGrid w:val="0"/>
        <w:spacing w:line="360" w:lineRule="auto"/>
        <w:ind w:right="0"/>
        <w:jc w:val="both"/>
        <w:outlineLvl w:val="3"/>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6.2.4.2危险废物暂存措施</w:t>
      </w:r>
    </w:p>
    <w:p>
      <w:pPr>
        <w:numPr>
          <w:ilvl w:val="0"/>
          <w:numId w:val="43"/>
        </w:num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新建危废暂存间，地面及裙角重点防渗，防渗要求：采用 P8 等级混凝土+2mmHDPE 膜防渗结构防渗处理。</w:t>
      </w:r>
    </w:p>
    <w:p>
      <w:pPr>
        <w:numPr>
          <w:ilvl w:val="0"/>
          <w:numId w:val="43"/>
        </w:num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危险废物贮装入防渗防漏容器内存放；</w:t>
      </w:r>
    </w:p>
    <w:p>
      <w:pPr>
        <w:numPr>
          <w:ilvl w:val="0"/>
          <w:numId w:val="43"/>
        </w:num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禁止将不相容（相互反应）的危险废物在同一容器内混装。</w:t>
      </w:r>
    </w:p>
    <w:p>
      <w:pPr>
        <w:numPr>
          <w:ilvl w:val="0"/>
          <w:numId w:val="43"/>
        </w:num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装载危险废物的容器内须留足够空间，容器顶部与液体表面之间保留 100 毫米以上的空间。</w:t>
      </w:r>
    </w:p>
    <w:p>
      <w:pPr>
        <w:numPr>
          <w:ilvl w:val="0"/>
          <w:numId w:val="43"/>
        </w:num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危废暂存间、盛装危险废物的容器上必须粘贴符合本标准附录 A 所示的标签。</w:t>
      </w:r>
    </w:p>
    <w:p>
      <w:pPr>
        <w:numPr>
          <w:ilvl w:val="0"/>
          <w:numId w:val="43"/>
        </w:num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应当使用符合标准的容器盛装危险废物；</w:t>
      </w:r>
    </w:p>
    <w:p>
      <w:pPr>
        <w:numPr>
          <w:ilvl w:val="0"/>
          <w:numId w:val="43"/>
        </w:num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装载危险废物的容器及材质要满足相应的强度要求；</w:t>
      </w:r>
    </w:p>
    <w:p>
      <w:pPr>
        <w:numPr>
          <w:ilvl w:val="0"/>
          <w:numId w:val="43"/>
        </w:num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装载危险废物的容器必须完好无损；</w:t>
      </w:r>
    </w:p>
    <w:p>
      <w:pPr>
        <w:numPr>
          <w:ilvl w:val="0"/>
          <w:numId w:val="43"/>
        </w:num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盛装危险废物的容器材质和衬里要与危险废物相容（不相互反应）。</w:t>
      </w:r>
    </w:p>
    <w:p>
      <w:pPr>
        <w:numPr>
          <w:ilvl w:val="0"/>
          <w:numId w:val="43"/>
        </w:num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液体危险废物可注入开孔直径不超过 70 毫米并有放气孔的桶中。</w:t>
      </w:r>
    </w:p>
    <w:p>
      <w:pPr>
        <w:pStyle w:val="16"/>
        <w:adjustRightInd w:val="0"/>
        <w:snapToGrid w:val="0"/>
        <w:spacing w:line="360" w:lineRule="auto"/>
        <w:ind w:right="0"/>
        <w:jc w:val="both"/>
        <w:outlineLvl w:val="3"/>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6.2.4.3危险废物管理措施</w:t>
      </w:r>
    </w:p>
    <w:p>
      <w:pPr>
        <w:numPr>
          <w:ilvl w:val="0"/>
          <w:numId w:val="44"/>
        </w:num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危险废物的收集、贮存、转移、利用、处置活动必须遵守国家和地方的有关规定；</w:t>
      </w:r>
    </w:p>
    <w:p>
      <w:pPr>
        <w:numPr>
          <w:ilvl w:val="0"/>
          <w:numId w:val="44"/>
        </w:num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危险废物的转运必须严格按照《危险废物转移联单管理办法》实施；</w:t>
      </w:r>
    </w:p>
    <w:p>
      <w:pPr>
        <w:numPr>
          <w:ilvl w:val="0"/>
          <w:numId w:val="44"/>
        </w:num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禁止向环境倾倒、堆置危险废物；</w:t>
      </w:r>
    </w:p>
    <w:p>
      <w:pPr>
        <w:numPr>
          <w:ilvl w:val="0"/>
          <w:numId w:val="44"/>
        </w:num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禁止将危险废物混入非危险废物中收集、贮存、转移、处置；</w:t>
      </w:r>
    </w:p>
    <w:p>
      <w:pPr>
        <w:numPr>
          <w:ilvl w:val="0"/>
          <w:numId w:val="44"/>
        </w:num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危险废物的收集、贮存、转移应当使用符合标准的容器和包装物；</w:t>
      </w:r>
    </w:p>
    <w:p>
      <w:pPr>
        <w:numPr>
          <w:ilvl w:val="0"/>
          <w:numId w:val="44"/>
        </w:num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危险废物的容器和包装物以及收集、贮存、转移、处置危险废物的设施、场所，必须设置危险废物识别标志；</w:t>
      </w:r>
    </w:p>
    <w:p>
      <w:pPr>
        <w:numPr>
          <w:ilvl w:val="0"/>
          <w:numId w:val="44"/>
        </w:num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危险废物的贮存时间不得超过一年；法律、法规另有规定的除外；</w:t>
      </w:r>
    </w:p>
    <w:p>
      <w:pPr>
        <w:numPr>
          <w:ilvl w:val="0"/>
          <w:numId w:val="44"/>
        </w:num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在搬迁、转产、终止之前，必须对已经产生尚没有处置的危险废物和危险废物贮存、处置设施场所按照有关规定进行安全处置；对产生的危险废物对周围环境的影响进行综合评估并消除可能产生的污染，将评估报告报质量安全部备案；</w:t>
      </w:r>
    </w:p>
    <w:p>
      <w:pPr>
        <w:numPr>
          <w:ilvl w:val="0"/>
          <w:numId w:val="44"/>
        </w:numPr>
        <w:adjustRightInd w:val="0"/>
        <w:snapToGrid w:val="0"/>
        <w:spacing w:line="360" w:lineRule="auto"/>
        <w:ind w:firstLine="480" w:firstLineChars="200"/>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应当制定危险废物污染事故防范措施和应急预案。如果发生危险废物污染事故或者其他突发性事件，应当按照应急预案消除或者减轻对环境的污染危害，及时通知可能受到危害的单位和个人，并及时向事故发生地环境保护行政主管部门报告，接受调查处理。</w:t>
      </w:r>
    </w:p>
    <w:p>
      <w:pPr>
        <w:pStyle w:val="87"/>
        <w:adjustRightInd w:val="0"/>
        <w:snapToGrid w:val="0"/>
        <w:spacing w:beforeLines="0" w:afterLines="0"/>
        <w:rPr>
          <w:rFonts w:ascii="Times New Roman" w:hAnsi="Times New Roman" w:eastAsia="宋体"/>
          <w:b/>
          <w:color w:val="auto"/>
          <w:kern w:val="0"/>
        </w:rPr>
      </w:pPr>
      <w:r>
        <w:rPr>
          <w:rFonts w:hint="eastAsia" w:ascii="Times New Roman" w:hAnsi="Times New Roman" w:eastAsia="宋体"/>
          <w:b/>
          <w:color w:val="auto"/>
          <w:kern w:val="0"/>
        </w:rPr>
        <w:t>6.2.5地下水污染防治措施及技术经济论证</w:t>
      </w:r>
    </w:p>
    <w:bookmarkEnd w:id="284"/>
    <w:p>
      <w:pPr>
        <w:adjustRightInd w:val="0"/>
        <w:snapToGrid w:val="0"/>
        <w:spacing w:line="360" w:lineRule="auto"/>
        <w:ind w:firstLine="480" w:firstLineChars="200"/>
        <w:rPr>
          <w:rFonts w:hint="eastAsia" w:ascii="Times New Roman" w:hAnsi="Times New Roman" w:eastAsia="宋体"/>
          <w:color w:val="auto"/>
          <w:sz w:val="24"/>
          <w:szCs w:val="24"/>
          <w:lang w:val="en-US" w:eastAsia="zh-CN"/>
        </w:rPr>
      </w:pPr>
      <w:bookmarkStart w:id="285" w:name="_Toc16994"/>
      <w:bookmarkStart w:id="286" w:name="_Toc4942"/>
      <w:r>
        <w:rPr>
          <w:rFonts w:hint="eastAsia" w:ascii="Times New Roman" w:hAnsi="Times New Roman" w:eastAsia="宋体"/>
          <w:color w:val="auto"/>
          <w:sz w:val="24"/>
          <w:szCs w:val="24"/>
          <w:lang w:val="en-US" w:eastAsia="zh-CN"/>
        </w:rPr>
        <w:t xml:space="preserve">本项目营运期间废水主要为养殖废水（主要为猪尿液、猪舍冲洗废水）、职工生活废水等。可能产生污染地下水的环节是：猪舍底部、废水收集管线及污水处理池等地面防渗措施不到位，防渗地面、内壁、收集管线出现破损裂缝，造成废水在自流过程通过裂缝下渗污染周围浅层地下水。 </w:t>
      </w:r>
    </w:p>
    <w:p>
      <w:pPr>
        <w:adjustRightInd w:val="0"/>
        <w:snapToGrid w:val="0"/>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本项目地下水污染防治措施按照“源头控制、分区防控”的原则制定污染防治措施。</w:t>
      </w:r>
    </w:p>
    <w:p>
      <w:pPr>
        <w:pStyle w:val="16"/>
        <w:adjustRightInd w:val="0"/>
        <w:snapToGrid w:val="0"/>
        <w:spacing w:line="360" w:lineRule="auto"/>
        <w:ind w:right="0"/>
        <w:jc w:val="both"/>
        <w:outlineLvl w:val="3"/>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6.2.5.1源头控制</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本项目场区内污水均采用密闭式污水管输送，产生的废水通过管道收集，由</w:t>
      </w:r>
      <w:r>
        <w:rPr>
          <w:rFonts w:hint="eastAsia" w:ascii="Times New Roman" w:hAnsi="Times New Roman" w:eastAsia="宋体"/>
          <w:color w:val="auto"/>
          <w:sz w:val="24"/>
          <w:szCs w:val="24"/>
          <w:lang w:eastAsia="zh-CN"/>
        </w:rPr>
        <w:t>污水处理区</w:t>
      </w:r>
      <w:r>
        <w:rPr>
          <w:rFonts w:hint="eastAsia" w:ascii="Times New Roman" w:hAnsi="Times New Roman" w:eastAsia="宋体"/>
          <w:color w:val="auto"/>
          <w:sz w:val="24"/>
          <w:szCs w:val="24"/>
        </w:rPr>
        <w:t>处理达到标准后</w:t>
      </w:r>
      <w:r>
        <w:rPr>
          <w:rFonts w:hint="eastAsia" w:ascii="Times New Roman" w:hAnsi="Times New Roman" w:eastAsia="宋体"/>
          <w:color w:val="auto"/>
          <w:sz w:val="24"/>
          <w:szCs w:val="24"/>
          <w:lang w:eastAsia="zh-CN"/>
        </w:rPr>
        <w:t>用作</w:t>
      </w:r>
      <w:r>
        <w:rPr>
          <w:rFonts w:hint="eastAsia" w:ascii="Times New Roman" w:hAnsi="Times New Roman" w:eastAsia="宋体"/>
          <w:color w:val="auto"/>
          <w:sz w:val="24"/>
          <w:szCs w:val="24"/>
          <w:lang w:val="en-US" w:eastAsia="zh-CN"/>
        </w:rPr>
        <w:t>周边农田灌溉</w:t>
      </w:r>
      <w:r>
        <w:rPr>
          <w:rFonts w:hint="eastAsia" w:ascii="Times New Roman" w:hAnsi="Times New Roman" w:eastAsia="宋体"/>
          <w:color w:val="auto"/>
          <w:sz w:val="24"/>
          <w:szCs w:val="24"/>
        </w:rPr>
        <w:t>，不外排。为防止污水等的泄漏污染地下水，环评要求采取以下源头控制措施：</w:t>
      </w:r>
      <w:r>
        <w:rPr>
          <w:rFonts w:hint="eastAsia" w:ascii="Times New Roman" w:hAnsi="Times New Roman" w:eastAsia="宋体" w:cs="Times New Roman"/>
          <w:color w:val="auto"/>
          <w:sz w:val="24"/>
          <w:szCs w:val="24"/>
          <w:lang w:eastAsia="zh-CN"/>
        </w:rPr>
        <w:t>猪舍、污水处理区、危废暂存间、发电机房、粪污收集管道、化尸池</w:t>
      </w:r>
      <w:r>
        <w:rPr>
          <w:rFonts w:hint="eastAsia" w:ascii="Times New Roman" w:hAnsi="Times New Roman" w:eastAsia="宋体" w:cs="Times New Roman"/>
          <w:color w:val="auto"/>
          <w:sz w:val="24"/>
          <w:szCs w:val="24"/>
        </w:rPr>
        <w:t>等采取防渗</w:t>
      </w:r>
      <w:r>
        <w:rPr>
          <w:rFonts w:hint="eastAsia" w:ascii="Times New Roman" w:hAnsi="Times New Roman" w:eastAsia="宋体" w:cs="Times New Roman"/>
          <w:color w:val="auto"/>
          <w:sz w:val="24"/>
          <w:szCs w:val="24"/>
          <w:lang w:eastAsia="zh-CN"/>
        </w:rPr>
        <w:t>防</w:t>
      </w:r>
      <w:r>
        <w:rPr>
          <w:rFonts w:hint="eastAsia" w:ascii="Times New Roman" w:hAnsi="Times New Roman" w:eastAsia="宋体" w:cs="Times New Roman"/>
          <w:color w:val="auto"/>
          <w:sz w:val="24"/>
          <w:szCs w:val="24"/>
        </w:rPr>
        <w:t>漏处理</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rPr>
        <w:t>畜禽医疗垃圾等转运时须安全转移，防止撒漏，防止二次污染；强化各相关工程的转弯、承插、对接等处的防渗，作好隐蔽工程记录，强化防渗工程的环境管理</w:t>
      </w:r>
      <w:r>
        <w:rPr>
          <w:rFonts w:hint="eastAsia" w:ascii="Times New Roman" w:hAnsi="Times New Roman" w:eastAsia="宋体"/>
          <w:color w:val="auto"/>
          <w:sz w:val="24"/>
          <w:szCs w:val="24"/>
        </w:rPr>
        <w:t>。</w:t>
      </w:r>
    </w:p>
    <w:p>
      <w:pPr>
        <w:pStyle w:val="16"/>
        <w:adjustRightInd w:val="0"/>
        <w:snapToGrid w:val="0"/>
        <w:spacing w:line="360" w:lineRule="auto"/>
        <w:ind w:right="0"/>
        <w:jc w:val="both"/>
        <w:outlineLvl w:val="3"/>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6.2.5.2分区防渗</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本项目拟建位置位于丘陵地带，地下水埋深较深，属于天然包气带防污性能强的区域；本项目污染物主要为猪只粪、尿等污染物类型为非持久性有机物，污染控制程度为易。因此，针对本项目不同区域采取分区防控措施：</w:t>
      </w:r>
    </w:p>
    <w:p>
      <w:pPr>
        <w:pStyle w:val="16"/>
        <w:rPr>
          <w:rFonts w:hint="eastAsia" w:ascii="Times New Roman" w:hAnsi="Times New Roman" w:eastAsia="宋体"/>
          <w:bCs/>
          <w:color w:val="auto"/>
          <w:sz w:val="21"/>
          <w:szCs w:val="21"/>
        </w:rPr>
      </w:pPr>
    </w:p>
    <w:p>
      <w:pPr>
        <w:pStyle w:val="16"/>
        <w:rPr>
          <w:rFonts w:hint="eastAsia" w:ascii="Times New Roman" w:hAnsi="Times New Roman" w:eastAsia="宋体"/>
          <w:bCs/>
          <w:color w:val="auto"/>
          <w:sz w:val="21"/>
          <w:szCs w:val="21"/>
        </w:rPr>
      </w:pPr>
    </w:p>
    <w:p>
      <w:pPr>
        <w:pStyle w:val="16"/>
        <w:rPr>
          <w:rFonts w:hint="eastAsia" w:ascii="Times New Roman" w:hAnsi="Times New Roman" w:eastAsia="宋体"/>
          <w:bCs/>
          <w:color w:val="auto"/>
          <w:sz w:val="21"/>
          <w:szCs w:val="21"/>
        </w:rPr>
      </w:pPr>
    </w:p>
    <w:p>
      <w:pPr>
        <w:pStyle w:val="16"/>
        <w:rPr>
          <w:rFonts w:ascii="Times New Roman" w:hAnsi="Times New Roman" w:eastAsia="宋体"/>
          <w:bCs/>
          <w:color w:val="auto"/>
          <w:sz w:val="21"/>
          <w:szCs w:val="21"/>
        </w:rPr>
      </w:pPr>
      <w:r>
        <w:rPr>
          <w:rFonts w:hint="eastAsia" w:ascii="Times New Roman" w:hAnsi="Times New Roman" w:eastAsia="宋体"/>
          <w:bCs/>
          <w:color w:val="auto"/>
          <w:sz w:val="21"/>
          <w:szCs w:val="21"/>
        </w:rPr>
        <w:t>表6.2-</w:t>
      </w:r>
      <w:r>
        <w:rPr>
          <w:rFonts w:hint="eastAsia" w:ascii="Times New Roman" w:hAnsi="Times New Roman" w:eastAsia="宋体"/>
          <w:bCs/>
          <w:color w:val="auto"/>
          <w:sz w:val="21"/>
          <w:szCs w:val="21"/>
          <w:lang w:val="en-US" w:eastAsia="zh-CN"/>
        </w:rPr>
        <w:t xml:space="preserve">6  </w:t>
      </w:r>
      <w:r>
        <w:rPr>
          <w:rFonts w:hint="eastAsia" w:ascii="Times New Roman" w:hAnsi="Times New Roman" w:eastAsia="宋体"/>
          <w:bCs/>
          <w:color w:val="auto"/>
          <w:sz w:val="21"/>
          <w:szCs w:val="21"/>
        </w:rPr>
        <w:t>项目分区防渗表</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9"/>
        <w:gridCol w:w="1335"/>
        <w:gridCol w:w="3033"/>
        <w:gridCol w:w="4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9" w:type="dxa"/>
            <w:vAlign w:val="center"/>
          </w:tcPr>
          <w:p>
            <w:pPr>
              <w:pStyle w:val="103"/>
              <w:jc w:val="center"/>
              <w:rPr>
                <w:rFonts w:hint="eastAsia" w:ascii="Times New Roman" w:hAnsi="Times New Roman" w:eastAsia="宋体"/>
                <w:b/>
                <w:bCs/>
                <w:color w:val="auto"/>
                <w:lang w:val="en-US" w:eastAsia="zh-CN"/>
              </w:rPr>
            </w:pPr>
            <w:r>
              <w:rPr>
                <w:rFonts w:hint="eastAsia" w:ascii="Times New Roman" w:hAnsi="Times New Roman" w:eastAsia="宋体"/>
                <w:b/>
                <w:bCs/>
                <w:color w:val="auto"/>
                <w:lang w:val="en-US" w:eastAsia="zh-CN"/>
              </w:rPr>
              <w:t>序号</w:t>
            </w:r>
          </w:p>
        </w:tc>
        <w:tc>
          <w:tcPr>
            <w:tcW w:w="1335" w:type="dxa"/>
            <w:vAlign w:val="center"/>
          </w:tcPr>
          <w:p>
            <w:pPr>
              <w:pStyle w:val="103"/>
              <w:jc w:val="center"/>
              <w:rPr>
                <w:rFonts w:hint="eastAsia" w:ascii="Times New Roman" w:hAnsi="Times New Roman" w:eastAsia="宋体"/>
                <w:b/>
                <w:bCs/>
                <w:color w:val="auto"/>
                <w:lang w:val="en-US" w:eastAsia="zh-CN"/>
              </w:rPr>
            </w:pPr>
            <w:r>
              <w:rPr>
                <w:rFonts w:hint="eastAsia" w:ascii="Times New Roman" w:hAnsi="Times New Roman" w:eastAsia="宋体"/>
                <w:b/>
                <w:bCs/>
                <w:color w:val="auto"/>
                <w:lang w:val="en-US" w:eastAsia="zh-CN"/>
              </w:rPr>
              <w:t>防渗分区</w:t>
            </w:r>
          </w:p>
        </w:tc>
        <w:tc>
          <w:tcPr>
            <w:tcW w:w="3033" w:type="dxa"/>
            <w:vAlign w:val="center"/>
          </w:tcPr>
          <w:p>
            <w:pPr>
              <w:pStyle w:val="103"/>
              <w:jc w:val="center"/>
              <w:rPr>
                <w:rFonts w:hint="eastAsia" w:ascii="Times New Roman" w:hAnsi="Times New Roman" w:eastAsia="宋体"/>
                <w:b/>
                <w:bCs/>
                <w:color w:val="auto"/>
                <w:lang w:val="en-US" w:eastAsia="zh-CN"/>
              </w:rPr>
            </w:pPr>
            <w:r>
              <w:rPr>
                <w:rFonts w:hint="eastAsia" w:ascii="Times New Roman" w:hAnsi="Times New Roman" w:eastAsia="宋体"/>
                <w:b/>
                <w:bCs/>
                <w:color w:val="auto"/>
                <w:lang w:val="en-US" w:eastAsia="zh-CN"/>
              </w:rPr>
              <w:t>具体范围</w:t>
            </w:r>
          </w:p>
        </w:tc>
        <w:tc>
          <w:tcPr>
            <w:tcW w:w="4103" w:type="dxa"/>
            <w:vAlign w:val="center"/>
          </w:tcPr>
          <w:p>
            <w:pPr>
              <w:pStyle w:val="103"/>
              <w:jc w:val="center"/>
              <w:rPr>
                <w:rFonts w:hint="eastAsia" w:ascii="Times New Roman" w:hAnsi="Times New Roman" w:eastAsia="宋体"/>
                <w:b/>
                <w:bCs/>
                <w:color w:val="auto"/>
                <w:lang w:val="en-US" w:eastAsia="zh-CN"/>
              </w:rPr>
            </w:pPr>
            <w:r>
              <w:rPr>
                <w:rFonts w:hint="eastAsia" w:ascii="Times New Roman" w:hAnsi="Times New Roman" w:eastAsia="宋体"/>
                <w:b/>
                <w:bCs/>
                <w:color w:val="auto"/>
                <w:lang w:val="en-US" w:eastAsia="zh-CN"/>
              </w:rPr>
              <w:t>防渗措施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9" w:type="dxa"/>
            <w:vAlign w:val="center"/>
          </w:tcPr>
          <w:p>
            <w:pPr>
              <w:pStyle w:val="103"/>
              <w:jc w:val="center"/>
              <w:rPr>
                <w:rFonts w:hint="default" w:ascii="Times New Roman" w:hAnsi="Times New Roman" w:eastAsia="宋体"/>
                <w:color w:val="auto"/>
                <w:lang w:val="en-US" w:eastAsia="zh-CN"/>
              </w:rPr>
            </w:pPr>
            <w:r>
              <w:rPr>
                <w:rFonts w:hint="eastAsia" w:ascii="Times New Roman" w:hAnsi="Times New Roman" w:eastAsia="宋体"/>
                <w:color w:val="auto"/>
                <w:lang w:val="en-US" w:eastAsia="zh-CN"/>
              </w:rPr>
              <w:t>I</w:t>
            </w:r>
          </w:p>
        </w:tc>
        <w:tc>
          <w:tcPr>
            <w:tcW w:w="1335"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重点防渗区</w:t>
            </w:r>
          </w:p>
        </w:tc>
        <w:tc>
          <w:tcPr>
            <w:tcW w:w="3033"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猪舍、污水处理区、危废暂存间、发电机房、粪污收集管道、化尸池</w:t>
            </w:r>
          </w:p>
        </w:tc>
        <w:tc>
          <w:tcPr>
            <w:tcW w:w="4103" w:type="dxa"/>
            <w:vAlign w:val="center"/>
          </w:tcPr>
          <w:p>
            <w:pPr>
              <w:pStyle w:val="103"/>
              <w:jc w:val="left"/>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采用刚性+柔性防渗措施，即采用 P8 等级 混凝土+2mmHDPE 膜防渗结构，地面防渗 结构由下至上为：混凝土底板（厚度 300mm，抗渗等级为 P8）、600g/m</w:t>
            </w:r>
            <w:r>
              <w:rPr>
                <w:rFonts w:hint="eastAsia" w:ascii="Times New Roman" w:hAnsi="Times New Roman" w:eastAsia="宋体"/>
                <w:color w:val="auto"/>
                <w:vertAlign w:val="superscript"/>
                <w:lang w:val="en-US" w:eastAsia="zh-CN"/>
              </w:rPr>
              <w:t>2</w:t>
            </w:r>
            <w:r>
              <w:rPr>
                <w:rFonts w:hint="eastAsia" w:ascii="Times New Roman" w:hAnsi="Times New Roman" w:eastAsia="宋体"/>
                <w:color w:val="auto"/>
                <w:lang w:val="en-US" w:eastAsia="zh-CN"/>
              </w:rPr>
              <w:t>土工布、2mm 厚 HDPE 防渗膜、600g/m</w:t>
            </w:r>
            <w:r>
              <w:rPr>
                <w:rFonts w:hint="eastAsia" w:ascii="Times New Roman" w:hAnsi="Times New Roman" w:eastAsia="宋体"/>
                <w:color w:val="auto"/>
                <w:vertAlign w:val="superscript"/>
                <w:lang w:val="en-US" w:eastAsia="zh-CN"/>
              </w:rPr>
              <w:t>2</w:t>
            </w:r>
            <w:r>
              <w:rPr>
                <w:rFonts w:hint="eastAsia" w:ascii="Times New Roman" w:hAnsi="Times New Roman" w:eastAsia="宋体"/>
                <w:color w:val="auto"/>
                <w:lang w:val="en-US" w:eastAsia="zh-CN"/>
              </w:rPr>
              <w:t>土工 布、混凝土保护层（厚度 100mm）。地面 采取粘土铺底，再在上层铺 10~15cm 的水 泥进行硬化，并涂覆环氧树脂防腐防渗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9" w:type="dxa"/>
            <w:vAlign w:val="center"/>
          </w:tcPr>
          <w:p>
            <w:pPr>
              <w:pStyle w:val="103"/>
              <w:jc w:val="center"/>
              <w:rPr>
                <w:rFonts w:hint="default" w:ascii="Times New Roman" w:hAnsi="Times New Roman" w:eastAsia="宋体"/>
                <w:color w:val="auto"/>
                <w:lang w:val="en-US" w:eastAsia="zh-CN"/>
              </w:rPr>
            </w:pPr>
            <w:r>
              <w:rPr>
                <w:rFonts w:hint="eastAsia" w:ascii="Times New Roman" w:hAnsi="Times New Roman" w:eastAsia="宋体"/>
                <w:color w:val="auto"/>
                <w:lang w:val="en-US" w:eastAsia="zh-CN"/>
              </w:rPr>
              <w:t>II</w:t>
            </w:r>
          </w:p>
        </w:tc>
        <w:tc>
          <w:tcPr>
            <w:tcW w:w="1335"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一般防渗区</w:t>
            </w:r>
          </w:p>
        </w:tc>
        <w:tc>
          <w:tcPr>
            <w:tcW w:w="3033"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猪走道（污道）、固废暂存间</w:t>
            </w:r>
          </w:p>
        </w:tc>
        <w:tc>
          <w:tcPr>
            <w:tcW w:w="4103" w:type="dxa"/>
            <w:vAlign w:val="center"/>
          </w:tcPr>
          <w:p>
            <w:pPr>
              <w:pStyle w:val="103"/>
              <w:jc w:val="left"/>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压实系数≥0.92 的夯实基土，选取 C25， P6 防渗等级混凝土，随打随抹光（骨料用石灰石、白云石）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9" w:type="dxa"/>
            <w:vAlign w:val="center"/>
          </w:tcPr>
          <w:p>
            <w:pPr>
              <w:pStyle w:val="103"/>
              <w:jc w:val="center"/>
              <w:rPr>
                <w:rFonts w:hint="default" w:ascii="Times New Roman" w:hAnsi="Times New Roman" w:eastAsia="宋体"/>
                <w:color w:val="auto"/>
                <w:lang w:val="en-US" w:eastAsia="zh-CN"/>
              </w:rPr>
            </w:pPr>
            <w:r>
              <w:rPr>
                <w:rFonts w:hint="eastAsia" w:ascii="Times New Roman" w:hAnsi="Times New Roman" w:eastAsia="宋体"/>
                <w:color w:val="auto"/>
                <w:lang w:val="en-US" w:eastAsia="zh-CN"/>
              </w:rPr>
              <w:t>III</w:t>
            </w:r>
          </w:p>
        </w:tc>
        <w:tc>
          <w:tcPr>
            <w:tcW w:w="1335"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简单防渗区</w:t>
            </w:r>
          </w:p>
        </w:tc>
        <w:tc>
          <w:tcPr>
            <w:tcW w:w="3033" w:type="dxa"/>
            <w:vAlign w:val="center"/>
          </w:tcPr>
          <w:p>
            <w:pPr>
              <w:pStyle w:val="103"/>
              <w:jc w:val="center"/>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养殖区其余部分</w:t>
            </w:r>
          </w:p>
        </w:tc>
        <w:tc>
          <w:tcPr>
            <w:tcW w:w="4103" w:type="dxa"/>
            <w:vAlign w:val="center"/>
          </w:tcPr>
          <w:p>
            <w:pPr>
              <w:pStyle w:val="103"/>
              <w:jc w:val="left"/>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一般地面硬化</w:t>
            </w:r>
          </w:p>
        </w:tc>
      </w:tr>
    </w:tbl>
    <w:p>
      <w:pPr>
        <w:adjustRightInd w:val="0"/>
        <w:snapToGrid w:val="0"/>
        <w:spacing w:line="360" w:lineRule="auto"/>
        <w:rPr>
          <w:rFonts w:hint="eastAsia" w:ascii="Times New Roman" w:hAnsi="Times New Roman" w:eastAsia="宋体"/>
          <w:color w:val="auto"/>
          <w:sz w:val="24"/>
          <w:szCs w:val="24"/>
        </w:rPr>
      </w:pPr>
    </w:p>
    <w:p>
      <w:pPr>
        <w:pStyle w:val="16"/>
        <w:adjustRightInd w:val="0"/>
        <w:snapToGrid w:val="0"/>
        <w:spacing w:line="360" w:lineRule="auto"/>
        <w:ind w:right="0"/>
        <w:jc w:val="both"/>
        <w:outlineLvl w:val="3"/>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6.2.5.3防治措施</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项目周边的水井周边 50m 范围内不得进行灌溉与施肥，保证水井的水质。</w:t>
      </w:r>
    </w:p>
    <w:p>
      <w:pPr>
        <w:pStyle w:val="16"/>
        <w:adjustRightInd w:val="0"/>
        <w:snapToGrid w:val="0"/>
        <w:spacing w:line="360" w:lineRule="auto"/>
        <w:ind w:right="0"/>
        <w:jc w:val="both"/>
        <w:outlineLvl w:val="3"/>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6.2.5.4污染监控</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本项目应建立地下水环境管理体系，制定地下水环境影响跟踪监测计划，建立地下水环境影响跟踪监测制度，在项目所在地下游居民点及企业自打井</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个监测点位（项目厂界北侧水井上游、厂区内侧水井、厂区</w:t>
      </w:r>
      <w:r>
        <w:rPr>
          <w:rFonts w:hint="eastAsia" w:ascii="Times New Roman" w:hAnsi="Times New Roman" w:eastAsia="宋体"/>
          <w:color w:val="auto"/>
          <w:sz w:val="24"/>
          <w:szCs w:val="24"/>
          <w:lang w:val="en-US" w:eastAsia="zh-CN"/>
        </w:rPr>
        <w:t>南</w:t>
      </w:r>
      <w:r>
        <w:rPr>
          <w:rFonts w:hint="eastAsia" w:ascii="Times New Roman" w:hAnsi="Times New Roman" w:eastAsia="宋体"/>
          <w:color w:val="auto"/>
          <w:sz w:val="24"/>
          <w:szCs w:val="24"/>
        </w:rPr>
        <w:t>侧水井），主要监测因子为：pH、高锰酸盐指数、氨氮、</w:t>
      </w:r>
      <w:r>
        <w:rPr>
          <w:rFonts w:hint="eastAsia" w:ascii="Times New Roman" w:hAnsi="Times New Roman" w:eastAsia="宋体"/>
          <w:color w:val="auto"/>
          <w:sz w:val="24"/>
          <w:szCs w:val="24"/>
          <w:lang w:eastAsia="zh-CN"/>
        </w:rPr>
        <w:t>总磷</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eastAsia="zh-CN"/>
        </w:rPr>
        <w:t>总氮</w:t>
      </w:r>
      <w:r>
        <w:rPr>
          <w:rFonts w:hint="eastAsia" w:ascii="Times New Roman" w:hAnsi="Times New Roman" w:eastAsia="宋体"/>
          <w:color w:val="auto"/>
          <w:sz w:val="24"/>
          <w:szCs w:val="24"/>
        </w:rPr>
        <w:t>、硫酸盐、总大肠菌群、总硬度、水位，每半年监测一次。以便及时发现问题，采取措施，降低对项目周围地下水环境的影响。</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制定相应的管理制度，成立事故处理组织，定期对设备进行维护、保养，以防止废水污染地下水。</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综上分析，建设项目场区污染单元，在落实好防渗、防污措施后，本项目污染物能得到有效处理，对地下水水质影响较小，项目的建设不会产生其他环境地质问题，因此对地下水环境质量影响较小。</w:t>
      </w:r>
    </w:p>
    <w:p>
      <w:pPr>
        <w:pStyle w:val="16"/>
        <w:adjustRightInd w:val="0"/>
        <w:snapToGrid w:val="0"/>
        <w:spacing w:line="360" w:lineRule="auto"/>
        <w:ind w:right="0"/>
        <w:jc w:val="both"/>
        <w:outlineLvl w:val="3"/>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6.2.5.5应急响应</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环评要求一旦发生废液渗漏事故，立刻启动应急预案。在地下水流向的下游设置地下水监测设施和抽排水设施。检测井应安置报警系统，当检测出地下水质出现异常时，报警系统及时报警，同时相关人员应及时采取应急措施。一旦掌握地下水环境污染征兆或发生地下水环境污染时，知情单位和个人要立即向当地政府或其地下水环境污染主管部门、责任单位报告有关情况。应急指挥部要根据预案要求，组织和指挥参与现场应急工作各部门的行动，组织专家组根据事件原因、性质、危害程度等调查原因，分析发展趋势，并提出下一步预防和防治措施，迅速控制或切断事件灾害链，对污水进行封闭、截流，将损失降到最低限度。应急工作结束时，应协调相关职能部门和单位，做好善后工作，防止出现事件“放大效应”和次生、衍生灾害，尽快恢复当地正常秩序。</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在发生污染事件时，建设单位应尽快将污水排入</w:t>
      </w:r>
      <w:r>
        <w:rPr>
          <w:rFonts w:hint="eastAsia" w:ascii="Times New Roman" w:hAnsi="Times New Roman" w:eastAsia="宋体"/>
          <w:color w:val="auto"/>
          <w:sz w:val="24"/>
          <w:szCs w:val="24"/>
          <w:lang w:eastAsia="zh-CN"/>
        </w:rPr>
        <w:t>事故池</w:t>
      </w:r>
      <w:r>
        <w:rPr>
          <w:rFonts w:hint="eastAsia" w:ascii="Times New Roman" w:hAnsi="Times New Roman" w:eastAsia="宋体"/>
          <w:color w:val="auto"/>
          <w:sz w:val="24"/>
          <w:szCs w:val="24"/>
        </w:rPr>
        <w:t>，并修缮发生污染的设施和防渗结构。同时，对已经渗入地下的污染物，建设单位将通过设置截获井的方式将污染物抽出并进行处理。一旦厂区发生事故泄漏，通过设置水污染截获井，做到地下水污染早发现，早治理、污染范围不出厂，将项目对地下水的污染降到最低。同时应采取如下污染治理措施，查明并切断污染源、探明地下水污染深度、范围和污染程度。依据探明的地下水污染情况，合理布置截渗井，并进行试抽工作。依据抽水设计方案进行施工，抽取被污染的地下水，并依据各井孔出水情况进行调整将抽取的地下水进行集中收集处理，并送实验室进行化验分析。当地下水中的特征污染物浓度满足地下水功能区划的标准后，逐步停止抽水，并进行土壤修复治理工作。</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根据以上分析可知，项目对可能产生地下水影响的各项途径均进行有效预防，在确保各项防渗措施得以落实，并加强维护和厂区环境管理的前提下，可有效控制厂区内的废水污染物下渗现象，避免污染地下水，因此项目不会对区域地下水环境产生明显影响。</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分区防渗总投资约为</w:t>
      </w:r>
      <w:r>
        <w:rPr>
          <w:rFonts w:hint="eastAsia" w:ascii="Times New Roman" w:hAnsi="Times New Roman" w:eastAsia="宋体"/>
          <w:color w:val="auto"/>
          <w:sz w:val="24"/>
          <w:szCs w:val="24"/>
          <w:lang w:val="en-US" w:eastAsia="zh-CN"/>
        </w:rPr>
        <w:t>50</w:t>
      </w:r>
      <w:r>
        <w:rPr>
          <w:rFonts w:hint="eastAsia" w:ascii="Times New Roman" w:hAnsi="Times New Roman" w:eastAsia="宋体"/>
          <w:color w:val="auto"/>
          <w:sz w:val="24"/>
          <w:szCs w:val="24"/>
        </w:rPr>
        <w:t>万元，占总投资比例较小，措施有效，经济技术可行。</w:t>
      </w:r>
    </w:p>
    <w:bookmarkEnd w:id="252"/>
    <w:bookmarkEnd w:id="285"/>
    <w:bookmarkEnd w:id="286"/>
    <w:p>
      <w:pPr>
        <w:pStyle w:val="87"/>
        <w:adjustRightInd w:val="0"/>
        <w:snapToGrid w:val="0"/>
        <w:spacing w:beforeLines="0" w:afterLines="0"/>
        <w:rPr>
          <w:rFonts w:ascii="Times New Roman" w:hAnsi="Times New Roman" w:eastAsia="宋体"/>
          <w:b/>
          <w:color w:val="auto"/>
          <w:kern w:val="0"/>
        </w:rPr>
      </w:pPr>
      <w:bookmarkStart w:id="287" w:name="_Toc31449"/>
      <w:bookmarkStart w:id="288" w:name="_Toc459118498"/>
      <w:r>
        <w:rPr>
          <w:rFonts w:hint="eastAsia" w:ascii="Times New Roman" w:hAnsi="Times New Roman" w:eastAsia="宋体"/>
          <w:b/>
          <w:color w:val="auto"/>
          <w:kern w:val="0"/>
        </w:rPr>
        <w:t>6.2.</w:t>
      </w:r>
      <w:r>
        <w:rPr>
          <w:rFonts w:hint="eastAsia" w:ascii="Times New Roman" w:hAnsi="Times New Roman" w:eastAsia="宋体"/>
          <w:b/>
          <w:color w:val="auto"/>
          <w:kern w:val="0"/>
          <w:lang w:val="en-US" w:eastAsia="zh-CN"/>
        </w:rPr>
        <w:t>6</w:t>
      </w:r>
      <w:r>
        <w:rPr>
          <w:rFonts w:hint="eastAsia" w:ascii="Times New Roman" w:hAnsi="Times New Roman" w:eastAsia="宋体"/>
          <w:b/>
          <w:color w:val="auto"/>
          <w:kern w:val="0"/>
        </w:rPr>
        <w:t>交通运输污染防治措施分析</w:t>
      </w:r>
    </w:p>
    <w:p>
      <w:pPr>
        <w:numPr>
          <w:ilvl w:val="0"/>
          <w:numId w:val="45"/>
        </w:numPr>
        <w:adjustRightInd w:val="0"/>
        <w:snapToGrid w:val="0"/>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交通运输噪声污染防治措施</w:t>
      </w:r>
    </w:p>
    <w:p>
      <w:pPr>
        <w:adjustRightInd w:val="0"/>
        <w:snapToGrid w:val="0"/>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为了减轻因运输猪只车辆的增加而引起的交通噪声，建议优化运输路线，使运输路线尽量选择距离居民敏感点较远、地域比较开阔的地段。</w:t>
      </w:r>
    </w:p>
    <w:p>
      <w:pPr>
        <w:numPr>
          <w:ilvl w:val="0"/>
          <w:numId w:val="45"/>
        </w:numPr>
        <w:adjustRightInd w:val="0"/>
        <w:snapToGrid w:val="0"/>
        <w:spacing w:line="360" w:lineRule="auto"/>
        <w:ind w:left="0" w:leftChars="0"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运输沿线恶臭污染防治措施</w:t>
      </w:r>
    </w:p>
    <w:p>
      <w:pPr>
        <w:adjustRightInd w:val="0"/>
        <w:snapToGrid w:val="0"/>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（1）猪只出栏装车前应进行彻底清洗，冲净粪便和身上的污物。</w:t>
      </w:r>
    </w:p>
    <w:p>
      <w:pPr>
        <w:adjustRightInd w:val="0"/>
        <w:snapToGrid w:val="0"/>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（2）猪运输车辆注意消毒，保持清洁。</w:t>
      </w:r>
    </w:p>
    <w:p>
      <w:pPr>
        <w:adjustRightInd w:val="0"/>
        <w:snapToGrid w:val="0"/>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（3）应尽量选择半封闭式的运输车辆，最大可能地防止恶臭对城区运输路线两边居民的影响。</w:t>
      </w:r>
    </w:p>
    <w:p>
      <w:pPr>
        <w:adjustRightInd w:val="0"/>
        <w:snapToGrid w:val="0"/>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（4）运输车辆必须按定额载重量运输，严禁超载行驶。</w:t>
      </w:r>
    </w:p>
    <w:p>
      <w:pPr>
        <w:adjustRightInd w:val="0"/>
        <w:snapToGrid w:val="0"/>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（5）运输车辆安装粪尿收集装置，避免粪尿撒漏外排。</w:t>
      </w:r>
    </w:p>
    <w:p>
      <w:pPr>
        <w:adjustRightInd w:val="0"/>
        <w:snapToGrid w:val="0"/>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（6）在出售前，应当向当地动物防疫监督机构提前报检，进行产地检疫。在取得有效的检疫证明后方可出售，禁止出售未经检疫或检疫不合格的畜禽。</w:t>
      </w:r>
    </w:p>
    <w:p>
      <w:pPr>
        <w:adjustRightInd w:val="0"/>
        <w:snapToGrid w:val="0"/>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7）尽量避开中午高温时间运输，利用晚上、早晨或傍晚气温较低的时间运输，减少高温应激，运输途中应采取适当的防暑降温措施，随时注意畜群状况，发现异常及进处理。调运到场后，必须及时卸车疏散，但不能立即供给大量饮水，环境要求通风凉爽。</w:t>
      </w:r>
    </w:p>
    <w:p>
      <w:pPr>
        <w:adjustRightInd w:val="0"/>
        <w:snapToGrid w:val="0"/>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（8）保证运输车辆车况良好，防止在运输途中抛锚滞留，造成畜群挤压时间过长，发生中暑等疾病而死亡，同时做好车辆的装前、卸后消毒。运输时间较长的，还应备好途中饲料和水源。</w:t>
      </w:r>
    </w:p>
    <w:p>
      <w:pPr>
        <w:numPr>
          <w:ilvl w:val="0"/>
          <w:numId w:val="45"/>
        </w:numPr>
        <w:adjustRightInd w:val="0"/>
        <w:snapToGrid w:val="0"/>
        <w:spacing w:line="360" w:lineRule="auto"/>
        <w:ind w:left="0" w:leftChars="0"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运输沿线防洒漏措施</w:t>
      </w:r>
    </w:p>
    <w:p>
      <w:pPr>
        <w:adjustRightInd w:val="0"/>
        <w:snapToGrid w:val="0"/>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（1）运输途中定时清理尿液与粪便，避免粪尿撒漏外排。</w:t>
      </w:r>
    </w:p>
    <w:p>
      <w:pPr>
        <w:adjustRightInd w:val="0"/>
        <w:snapToGrid w:val="0"/>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（2）加强对运输车辆的管理，运输过程中，对运输车辆的加上围栏，避免车内的污染物撒漏。</w:t>
      </w:r>
    </w:p>
    <w:p>
      <w:pPr>
        <w:pStyle w:val="87"/>
        <w:adjustRightInd w:val="0"/>
        <w:snapToGrid w:val="0"/>
        <w:spacing w:beforeLines="0" w:afterLines="0"/>
        <w:rPr>
          <w:rFonts w:ascii="Times New Roman" w:hAnsi="Times New Roman" w:eastAsia="宋体"/>
          <w:b/>
          <w:color w:val="auto"/>
          <w:kern w:val="0"/>
        </w:rPr>
      </w:pPr>
      <w:r>
        <w:rPr>
          <w:rFonts w:hint="eastAsia" w:ascii="Times New Roman" w:hAnsi="Times New Roman" w:eastAsia="宋体"/>
          <w:b/>
          <w:color w:val="auto"/>
          <w:kern w:val="0"/>
        </w:rPr>
        <w:t>6.2.</w:t>
      </w:r>
      <w:r>
        <w:rPr>
          <w:rFonts w:hint="eastAsia" w:ascii="Times New Roman" w:hAnsi="Times New Roman" w:eastAsia="宋体"/>
          <w:b/>
          <w:color w:val="auto"/>
          <w:kern w:val="0"/>
          <w:lang w:val="en-US" w:eastAsia="zh-CN"/>
        </w:rPr>
        <w:t>7生态环境</w:t>
      </w:r>
    </w:p>
    <w:p>
      <w:pPr>
        <w:adjustRightInd w:val="0"/>
        <w:snapToGrid w:val="0"/>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为进一步降低工程排污对环境的影响，充分发挥绿化带的作用和功能，结合本工程平面布置特点，评价提出以下要求和措施：</w:t>
      </w:r>
    </w:p>
    <w:p>
      <w:pPr>
        <w:adjustRightInd w:val="0"/>
        <w:snapToGrid w:val="0"/>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（1）针对工程主要运输路线，要求企业对道路实施绿化，以高大树冠及乔木结合形成隔离带以遮荫、抑尘。</w:t>
      </w:r>
    </w:p>
    <w:p>
      <w:pPr>
        <w:adjustRightInd w:val="0"/>
        <w:snapToGrid w:val="0"/>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（2）生活办公区应以绿化美化为主。绿化方式为灌、乔、草立体植物种植为主，并结合四季花卉植物形成良好景观。猪舍四周空闲地带以灌木绿篱、草皮种植结合代替裸地。</w:t>
      </w:r>
    </w:p>
    <w:p>
      <w:pPr>
        <w:adjustRightInd w:val="0"/>
        <w:snapToGrid w:val="0"/>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（3）植物物种以适宜当地生长的土生物种。</w:t>
      </w:r>
    </w:p>
    <w:p>
      <w:pPr>
        <w:adjustRightInd w:val="0"/>
        <w:snapToGrid w:val="0"/>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（4）采取严格的运营期污染控制方案，减小工程污染排放对生态的影响。</w:t>
      </w:r>
    </w:p>
    <w:p>
      <w:pPr>
        <w:adjustRightInd w:val="0"/>
        <w:snapToGrid w:val="0"/>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5）从区域生态状况和有关的政策要求出发，评价要求企业应树立“建设本地区生态模范企业”为目标，将环境保护与生态建设放在与经营利益同等重要的位置，进行绿化、美化及协调性的景观设计，为区域生态建设作出典范。</w:t>
      </w:r>
    </w:p>
    <w:p>
      <w:pPr>
        <w:adjustRightInd w:val="0"/>
        <w:snapToGrid w:val="0"/>
        <w:spacing w:line="360" w:lineRule="auto"/>
        <w:ind w:firstLine="480" w:firstLineChars="200"/>
        <w:rPr>
          <w:rFonts w:hint="eastAsia" w:ascii="Times New Roman" w:hAnsi="Times New Roman" w:eastAsia="宋体"/>
          <w:color w:val="auto"/>
          <w:sz w:val="24"/>
          <w:szCs w:val="24"/>
          <w:lang w:val="en-US" w:eastAsia="zh-CN"/>
        </w:rPr>
      </w:pPr>
    </w:p>
    <w:p>
      <w:pPr>
        <w:adjustRightInd w:val="0"/>
        <w:snapToGrid w:val="0"/>
        <w:spacing w:line="360" w:lineRule="auto"/>
        <w:ind w:firstLine="480" w:firstLineChars="200"/>
        <w:rPr>
          <w:rFonts w:hint="eastAsia" w:ascii="Times New Roman" w:hAnsi="Times New Roman" w:eastAsia="宋体"/>
          <w:color w:val="auto"/>
          <w:sz w:val="24"/>
          <w:szCs w:val="24"/>
          <w:lang w:val="en-US" w:eastAsia="zh-CN"/>
        </w:rPr>
      </w:pPr>
    </w:p>
    <w:p>
      <w:pPr>
        <w:adjustRightInd w:val="0"/>
        <w:snapToGrid w:val="0"/>
        <w:spacing w:line="360" w:lineRule="auto"/>
        <w:ind w:firstLine="480" w:firstLineChars="200"/>
        <w:rPr>
          <w:rFonts w:hint="eastAsia" w:ascii="Times New Roman" w:hAnsi="Times New Roman" w:eastAsia="宋体"/>
          <w:color w:val="auto"/>
          <w:sz w:val="24"/>
          <w:szCs w:val="24"/>
          <w:lang w:val="en-US" w:eastAsia="zh-CN"/>
        </w:rPr>
      </w:pPr>
    </w:p>
    <w:p>
      <w:pPr>
        <w:adjustRightInd w:val="0"/>
        <w:snapToGrid w:val="0"/>
        <w:spacing w:line="360" w:lineRule="auto"/>
        <w:ind w:firstLine="480" w:firstLineChars="200"/>
        <w:rPr>
          <w:rFonts w:hint="eastAsia" w:ascii="Times New Roman" w:hAnsi="Times New Roman" w:eastAsia="宋体"/>
          <w:color w:val="auto"/>
          <w:sz w:val="24"/>
          <w:szCs w:val="24"/>
          <w:lang w:val="en-US" w:eastAsia="zh-CN"/>
        </w:rPr>
        <w:sectPr>
          <w:pgSz w:w="11906" w:h="16838"/>
          <w:pgMar w:top="1440" w:right="1451" w:bottom="1440" w:left="1451" w:header="851" w:footer="992" w:gutter="0"/>
          <w:pgBorders>
            <w:top w:val="none" w:sz="0" w:space="0"/>
            <w:left w:val="none" w:sz="0" w:space="0"/>
            <w:bottom w:val="none" w:sz="0" w:space="0"/>
            <w:right w:val="none" w:sz="0" w:space="0"/>
          </w:pgBorders>
          <w:pgNumType w:fmt="decimal"/>
          <w:cols w:space="0" w:num="1"/>
          <w:rtlGutter w:val="0"/>
          <w:docGrid w:type="lines" w:linePitch="321" w:charSpace="0"/>
        </w:sectPr>
      </w:pPr>
    </w:p>
    <w:p>
      <w:pPr>
        <w:pStyle w:val="4"/>
        <w:adjustRightInd w:val="0"/>
        <w:snapToGrid w:val="0"/>
        <w:spacing w:line="360" w:lineRule="auto"/>
        <w:jc w:val="center"/>
        <w:rPr>
          <w:rFonts w:ascii="Times New Roman" w:hAnsi="Times New Roman" w:eastAsia="宋体" w:cs="Times New Roman"/>
          <w:color w:val="auto"/>
          <w:sz w:val="32"/>
          <w:szCs w:val="32"/>
        </w:rPr>
      </w:pPr>
      <w:bookmarkStart w:id="289" w:name="_Toc10088"/>
      <w:r>
        <w:rPr>
          <w:rFonts w:hint="eastAsia" w:ascii="Times New Roman" w:hAnsi="Times New Roman" w:eastAsia="宋体" w:cs="Times New Roman"/>
          <w:color w:val="auto"/>
          <w:sz w:val="32"/>
          <w:szCs w:val="32"/>
        </w:rPr>
        <w:t>7经济损益分析</w:t>
      </w:r>
      <w:bookmarkEnd w:id="287"/>
      <w:bookmarkEnd w:id="288"/>
      <w:bookmarkEnd w:id="289"/>
    </w:p>
    <w:p>
      <w:pPr>
        <w:pStyle w:val="86"/>
        <w:adjustRightInd w:val="0"/>
        <w:snapToGrid w:val="0"/>
        <w:spacing w:beforeLines="0" w:afterLines="0"/>
        <w:rPr>
          <w:rFonts w:hint="eastAsia" w:ascii="Times New Roman" w:hAnsi="Times New Roman" w:eastAsia="宋体"/>
          <w:color w:val="auto"/>
        </w:rPr>
      </w:pPr>
      <w:bookmarkStart w:id="290" w:name="_Toc19276"/>
      <w:bookmarkStart w:id="291" w:name="_Toc459118501"/>
      <w:bookmarkStart w:id="292" w:name="_Toc20758"/>
      <w:r>
        <w:rPr>
          <w:rFonts w:hint="eastAsia" w:ascii="Times New Roman" w:hAnsi="Times New Roman" w:eastAsia="宋体"/>
          <w:color w:val="auto"/>
        </w:rPr>
        <w:t>7.1环保投资</w:t>
      </w:r>
      <w:bookmarkEnd w:id="290"/>
    </w:p>
    <w:p>
      <w:pPr>
        <w:adjustRightInd w:val="0"/>
        <w:snapToGrid w:val="0"/>
        <w:spacing w:line="360" w:lineRule="auto"/>
        <w:ind w:firstLine="480" w:firstLineChars="200"/>
        <w:rPr>
          <w:rFonts w:ascii="Times New Roman" w:hAnsi="Times New Roman" w:eastAsia="宋体"/>
          <w:color w:val="auto"/>
          <w:sz w:val="24"/>
          <w:szCs w:val="24"/>
          <w:highlight w:val="none"/>
        </w:rPr>
      </w:pPr>
      <w:r>
        <w:rPr>
          <w:rFonts w:ascii="Times New Roman" w:hAnsi="Times New Roman" w:eastAsia="宋体"/>
          <w:color w:val="auto"/>
          <w:sz w:val="24"/>
          <w:szCs w:val="24"/>
          <w:highlight w:val="none"/>
        </w:rPr>
        <w:t>项目总投资</w:t>
      </w:r>
      <w:r>
        <w:rPr>
          <w:rFonts w:hint="eastAsia" w:ascii="Times New Roman" w:hAnsi="Times New Roman" w:eastAsia="宋体"/>
          <w:color w:val="auto"/>
          <w:sz w:val="24"/>
          <w:szCs w:val="24"/>
          <w:highlight w:val="none"/>
          <w:lang w:val="en-US" w:eastAsia="zh-CN"/>
        </w:rPr>
        <w:t>12000万元</w:t>
      </w:r>
      <w:r>
        <w:rPr>
          <w:rFonts w:ascii="Times New Roman" w:hAnsi="Times New Roman" w:eastAsia="宋体"/>
          <w:color w:val="auto"/>
          <w:sz w:val="24"/>
          <w:szCs w:val="24"/>
          <w:highlight w:val="none"/>
        </w:rPr>
        <w:t>，其中环保投资</w:t>
      </w:r>
      <w:r>
        <w:rPr>
          <w:rFonts w:hint="eastAsia" w:ascii="Times New Roman" w:hAnsi="Times New Roman" w:eastAsia="宋体"/>
          <w:color w:val="auto"/>
          <w:sz w:val="24"/>
          <w:szCs w:val="24"/>
          <w:highlight w:val="none"/>
          <w:lang w:val="en-US" w:eastAsia="zh-CN"/>
        </w:rPr>
        <w:t>609.50万</w:t>
      </w:r>
      <w:r>
        <w:rPr>
          <w:rFonts w:ascii="Times New Roman" w:hAnsi="Times New Roman" w:eastAsia="宋体"/>
          <w:color w:val="auto"/>
          <w:sz w:val="24"/>
          <w:szCs w:val="24"/>
          <w:highlight w:val="none"/>
        </w:rPr>
        <w:t>元，占投资总额的</w:t>
      </w:r>
      <w:r>
        <w:rPr>
          <w:rFonts w:hint="eastAsia" w:ascii="Times New Roman" w:hAnsi="Times New Roman" w:eastAsia="宋体"/>
          <w:color w:val="auto"/>
          <w:sz w:val="24"/>
          <w:szCs w:val="24"/>
          <w:highlight w:val="none"/>
          <w:lang w:val="en-US" w:eastAsia="zh-CN"/>
        </w:rPr>
        <w:t>5.08%</w:t>
      </w:r>
      <w:r>
        <w:rPr>
          <w:rFonts w:ascii="Times New Roman" w:hAnsi="Times New Roman" w:eastAsia="宋体"/>
          <w:color w:val="auto"/>
          <w:sz w:val="24"/>
          <w:szCs w:val="24"/>
          <w:highlight w:val="none"/>
        </w:rPr>
        <w:t>。</w:t>
      </w:r>
      <w:r>
        <w:rPr>
          <w:rFonts w:hint="eastAsia" w:ascii="Times New Roman" w:hAnsi="Times New Roman" w:eastAsia="宋体"/>
          <w:color w:val="auto"/>
          <w:sz w:val="24"/>
          <w:szCs w:val="24"/>
          <w:highlight w:val="none"/>
        </w:rPr>
        <w:t>本项目环保措施及投资一览如下。</w:t>
      </w:r>
    </w:p>
    <w:p>
      <w:pPr>
        <w:jc w:val="center"/>
        <w:rPr>
          <w:rFonts w:ascii="Times New Roman" w:hAnsi="Times New Roman" w:eastAsia="宋体"/>
          <w:b/>
          <w:bCs/>
          <w:color w:val="auto"/>
        </w:rPr>
      </w:pPr>
      <w:r>
        <w:rPr>
          <w:rFonts w:hint="eastAsia" w:ascii="Times New Roman" w:hAnsi="Times New Roman" w:eastAsia="宋体"/>
          <w:b/>
          <w:bCs/>
          <w:color w:val="auto"/>
        </w:rPr>
        <w:t>表7.1-1</w:t>
      </w:r>
      <w:r>
        <w:rPr>
          <w:rFonts w:hint="eastAsia" w:ascii="Times New Roman" w:hAnsi="Times New Roman" w:eastAsia="宋体"/>
          <w:b/>
          <w:bCs/>
          <w:color w:val="auto"/>
          <w:lang w:val="en-US" w:eastAsia="zh-CN"/>
        </w:rPr>
        <w:t xml:space="preserve"> </w:t>
      </w:r>
      <w:r>
        <w:rPr>
          <w:rFonts w:hint="eastAsia" w:ascii="Times New Roman" w:hAnsi="Times New Roman" w:eastAsia="宋体"/>
          <w:b/>
          <w:bCs/>
          <w:color w:val="auto"/>
        </w:rPr>
        <w:t xml:space="preserve"> 环境保护措施及投资一览表单位：万元</w:t>
      </w:r>
    </w:p>
    <w:tbl>
      <w:tblPr>
        <w:tblStyle w:val="35"/>
        <w:tblW w:w="9220" w:type="dxa"/>
        <w:jc w:val="center"/>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Layout w:type="fixed"/>
        <w:tblCellMar>
          <w:top w:w="0" w:type="dxa"/>
          <w:left w:w="108" w:type="dxa"/>
          <w:bottom w:w="0" w:type="dxa"/>
          <w:right w:w="108" w:type="dxa"/>
        </w:tblCellMar>
      </w:tblPr>
      <w:tblGrid>
        <w:gridCol w:w="746"/>
        <w:gridCol w:w="899"/>
        <w:gridCol w:w="1986"/>
        <w:gridCol w:w="4373"/>
        <w:gridCol w:w="1216"/>
      </w:tblGrid>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jc w:val="center"/>
        </w:trPr>
        <w:tc>
          <w:tcPr>
            <w:tcW w:w="746" w:type="dxa"/>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bCs w:val="0"/>
                <w:color w:val="auto"/>
                <w:sz w:val="21"/>
                <w:szCs w:val="21"/>
              </w:rPr>
            </w:pPr>
            <w:r>
              <w:rPr>
                <w:rFonts w:hint="eastAsia" w:ascii="Times New Roman" w:hAnsi="Times New Roman" w:eastAsia="宋体"/>
                <w:b/>
                <w:bCs w:val="0"/>
                <w:color w:val="auto"/>
                <w:sz w:val="21"/>
                <w:szCs w:val="21"/>
              </w:rPr>
              <w:t>时段</w:t>
            </w:r>
          </w:p>
        </w:tc>
        <w:tc>
          <w:tcPr>
            <w:tcW w:w="899" w:type="dxa"/>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bCs w:val="0"/>
                <w:color w:val="auto"/>
                <w:sz w:val="21"/>
                <w:szCs w:val="21"/>
              </w:rPr>
            </w:pPr>
            <w:r>
              <w:rPr>
                <w:rFonts w:hint="eastAsia" w:ascii="Times New Roman" w:hAnsi="Times New Roman" w:eastAsia="宋体"/>
                <w:b/>
                <w:bCs w:val="0"/>
                <w:color w:val="auto"/>
                <w:sz w:val="21"/>
                <w:szCs w:val="21"/>
              </w:rPr>
              <w:t>类别</w:t>
            </w:r>
          </w:p>
        </w:tc>
        <w:tc>
          <w:tcPr>
            <w:tcW w:w="1986" w:type="dxa"/>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bCs w:val="0"/>
                <w:color w:val="auto"/>
                <w:sz w:val="21"/>
                <w:szCs w:val="21"/>
              </w:rPr>
            </w:pPr>
            <w:r>
              <w:rPr>
                <w:rFonts w:hint="eastAsia" w:ascii="Times New Roman" w:hAnsi="Times New Roman" w:eastAsia="宋体"/>
                <w:b/>
                <w:bCs w:val="0"/>
                <w:color w:val="auto"/>
                <w:sz w:val="21"/>
                <w:szCs w:val="21"/>
              </w:rPr>
              <w:t>污染源</w:t>
            </w:r>
          </w:p>
        </w:tc>
        <w:tc>
          <w:tcPr>
            <w:tcW w:w="4373" w:type="dxa"/>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bCs w:val="0"/>
                <w:color w:val="auto"/>
                <w:sz w:val="21"/>
                <w:szCs w:val="21"/>
              </w:rPr>
            </w:pPr>
            <w:r>
              <w:rPr>
                <w:rFonts w:hint="eastAsia" w:ascii="Times New Roman" w:hAnsi="Times New Roman" w:eastAsia="宋体"/>
                <w:b/>
                <w:bCs w:val="0"/>
                <w:color w:val="auto"/>
                <w:sz w:val="21"/>
                <w:szCs w:val="21"/>
              </w:rPr>
              <w:t>治理措施</w:t>
            </w:r>
          </w:p>
        </w:tc>
        <w:tc>
          <w:tcPr>
            <w:tcW w:w="1216" w:type="dxa"/>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bCs w:val="0"/>
                <w:color w:val="auto"/>
                <w:sz w:val="21"/>
                <w:szCs w:val="21"/>
              </w:rPr>
            </w:pPr>
            <w:r>
              <w:rPr>
                <w:rFonts w:hint="eastAsia" w:ascii="Times New Roman" w:hAnsi="Times New Roman" w:eastAsia="宋体"/>
                <w:b/>
                <w:bCs w:val="0"/>
                <w:color w:val="auto"/>
                <w:sz w:val="21"/>
                <w:szCs w:val="21"/>
              </w:rPr>
              <w:t>投资估算</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jc w:val="center"/>
        </w:trPr>
        <w:tc>
          <w:tcPr>
            <w:tcW w:w="746" w:type="dxa"/>
            <w:vMerge w:val="restart"/>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r>
              <w:rPr>
                <w:rFonts w:hint="eastAsia" w:ascii="Times New Roman" w:hAnsi="Times New Roman" w:eastAsia="宋体"/>
                <w:b w:val="0"/>
                <w:bCs/>
                <w:color w:val="auto"/>
                <w:sz w:val="21"/>
                <w:szCs w:val="21"/>
              </w:rPr>
              <w:t>施工期</w:t>
            </w:r>
          </w:p>
        </w:tc>
        <w:tc>
          <w:tcPr>
            <w:tcW w:w="899" w:type="dxa"/>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r>
              <w:rPr>
                <w:rFonts w:hint="eastAsia" w:ascii="Times New Roman" w:hAnsi="Times New Roman" w:eastAsia="宋体"/>
                <w:b w:val="0"/>
                <w:bCs/>
                <w:color w:val="auto"/>
                <w:sz w:val="21"/>
                <w:szCs w:val="21"/>
              </w:rPr>
              <w:t>废气</w:t>
            </w:r>
          </w:p>
        </w:tc>
        <w:tc>
          <w:tcPr>
            <w:tcW w:w="1986" w:type="dxa"/>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r>
              <w:rPr>
                <w:rFonts w:hint="eastAsia" w:ascii="Times New Roman" w:hAnsi="Times New Roman" w:eastAsia="宋体"/>
                <w:b w:val="0"/>
                <w:bCs/>
                <w:color w:val="auto"/>
                <w:sz w:val="21"/>
                <w:szCs w:val="21"/>
                <w:lang w:eastAsia="zh-CN"/>
              </w:rPr>
              <w:t>施工扬尘、施工机械尾气</w:t>
            </w:r>
          </w:p>
        </w:tc>
        <w:tc>
          <w:tcPr>
            <w:tcW w:w="437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jc w:val="left"/>
              <w:textAlignment w:val="auto"/>
              <w:rPr>
                <w:rFonts w:ascii="Times New Roman" w:hAnsi="Times New Roman" w:eastAsia="宋体"/>
                <w:b w:val="0"/>
                <w:bCs/>
                <w:color w:val="auto"/>
                <w:sz w:val="21"/>
                <w:szCs w:val="21"/>
              </w:rPr>
            </w:pPr>
            <w:r>
              <w:rPr>
                <w:rFonts w:hint="default" w:ascii="Times New Roman" w:hAnsi="Times New Roman" w:eastAsia="宋体" w:cstheme="minorBidi"/>
                <w:b w:val="0"/>
                <w:bCs/>
                <w:color w:val="auto"/>
                <w:kern w:val="2"/>
                <w:sz w:val="21"/>
                <w:szCs w:val="21"/>
                <w:lang w:val="en-US" w:eastAsia="zh-CN" w:bidi="ar-SA"/>
              </w:rPr>
              <w:t>保持路面清洁、控制车速、洒水降尘、堆体覆盖等</w:t>
            </w:r>
          </w:p>
        </w:tc>
        <w:tc>
          <w:tcPr>
            <w:tcW w:w="1216" w:type="dxa"/>
            <w:tcBorders>
              <w:tl2br w:val="nil"/>
              <w:tr2bl w:val="nil"/>
            </w:tcBorders>
            <w:vAlign w:val="center"/>
          </w:tcPr>
          <w:p>
            <w:pPr>
              <w:pStyle w:val="16"/>
              <w:adjustRightInd w:val="0"/>
              <w:snapToGrid w:val="0"/>
              <w:spacing w:line="240" w:lineRule="auto"/>
              <w:ind w:left="0" w:right="0"/>
              <w:jc w:val="center"/>
              <w:rPr>
                <w:rFonts w:hint="eastAsia" w:ascii="Times New Roman" w:hAnsi="Times New Roman" w:eastAsia="宋体"/>
                <w:b w:val="0"/>
                <w:bCs/>
                <w:color w:val="auto"/>
                <w:sz w:val="21"/>
                <w:szCs w:val="21"/>
                <w:lang w:eastAsia="zh-CN"/>
              </w:rPr>
            </w:pPr>
            <w:r>
              <w:rPr>
                <w:rFonts w:hint="eastAsia" w:ascii="Times New Roman" w:hAnsi="Times New Roman" w:eastAsia="宋体"/>
                <w:b w:val="0"/>
                <w:bCs/>
                <w:color w:val="auto"/>
                <w:sz w:val="21"/>
                <w:szCs w:val="21"/>
                <w:lang w:val="en-US" w:eastAsia="zh-CN"/>
              </w:rPr>
              <w:t>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jc w:val="center"/>
        </w:trPr>
        <w:tc>
          <w:tcPr>
            <w:tcW w:w="746" w:type="dxa"/>
            <w:vMerge w:val="continue"/>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p>
        </w:tc>
        <w:tc>
          <w:tcPr>
            <w:tcW w:w="899" w:type="dxa"/>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r>
              <w:rPr>
                <w:rFonts w:hint="eastAsia" w:ascii="Times New Roman" w:hAnsi="Times New Roman" w:eastAsia="宋体"/>
                <w:b w:val="0"/>
                <w:bCs/>
                <w:color w:val="auto"/>
                <w:sz w:val="21"/>
                <w:szCs w:val="21"/>
              </w:rPr>
              <w:t>废水</w:t>
            </w:r>
          </w:p>
        </w:tc>
        <w:tc>
          <w:tcPr>
            <w:tcW w:w="1986" w:type="dxa"/>
            <w:tcBorders>
              <w:tl2br w:val="nil"/>
              <w:tr2bl w:val="nil"/>
            </w:tcBorders>
            <w:vAlign w:val="center"/>
          </w:tcPr>
          <w:p>
            <w:pPr>
              <w:pStyle w:val="16"/>
              <w:adjustRightInd w:val="0"/>
              <w:snapToGrid w:val="0"/>
              <w:spacing w:line="240" w:lineRule="auto"/>
              <w:ind w:left="0" w:right="0"/>
              <w:jc w:val="center"/>
              <w:rPr>
                <w:rFonts w:hint="eastAsia" w:ascii="Times New Roman" w:hAnsi="Times New Roman" w:eastAsia="宋体"/>
                <w:b w:val="0"/>
                <w:bCs/>
                <w:color w:val="auto"/>
                <w:sz w:val="21"/>
                <w:szCs w:val="21"/>
                <w:lang w:eastAsia="zh-CN"/>
              </w:rPr>
            </w:pPr>
            <w:r>
              <w:rPr>
                <w:rFonts w:hint="eastAsia" w:ascii="Times New Roman" w:hAnsi="Times New Roman" w:eastAsia="宋体"/>
                <w:b w:val="0"/>
                <w:bCs/>
                <w:color w:val="auto"/>
                <w:sz w:val="21"/>
                <w:szCs w:val="21"/>
              </w:rPr>
              <w:t>生活污水</w:t>
            </w:r>
            <w:r>
              <w:rPr>
                <w:rFonts w:hint="eastAsia" w:ascii="Times New Roman" w:hAnsi="Times New Roman" w:eastAsia="宋体"/>
                <w:b w:val="0"/>
                <w:bCs/>
                <w:color w:val="auto"/>
                <w:sz w:val="21"/>
                <w:szCs w:val="21"/>
                <w:lang w:eastAsia="zh-CN"/>
              </w:rPr>
              <w:t>、生产废水</w:t>
            </w:r>
          </w:p>
        </w:tc>
        <w:tc>
          <w:tcPr>
            <w:tcW w:w="4373" w:type="dxa"/>
            <w:tcBorders>
              <w:tl2br w:val="nil"/>
              <w:tr2bl w:val="nil"/>
            </w:tcBorders>
            <w:vAlign w:val="center"/>
          </w:tcPr>
          <w:p>
            <w:pPr>
              <w:pStyle w:val="16"/>
              <w:adjustRightInd w:val="0"/>
              <w:snapToGrid w:val="0"/>
              <w:spacing w:line="240" w:lineRule="auto"/>
              <w:ind w:left="0" w:right="0"/>
              <w:jc w:val="left"/>
              <w:rPr>
                <w:rFonts w:hint="eastAsia" w:ascii="Times New Roman" w:hAnsi="Times New Roman" w:eastAsia="宋体"/>
                <w:b w:val="0"/>
                <w:bCs/>
                <w:color w:val="auto"/>
                <w:sz w:val="21"/>
                <w:szCs w:val="21"/>
                <w:lang w:eastAsia="zh-CN"/>
              </w:rPr>
            </w:pPr>
            <w:r>
              <w:rPr>
                <w:rFonts w:hint="eastAsia" w:ascii="Times New Roman" w:hAnsi="Times New Roman" w:eastAsia="宋体"/>
                <w:b w:val="0"/>
                <w:bCs/>
                <w:color w:val="auto"/>
                <w:sz w:val="21"/>
                <w:szCs w:val="21"/>
              </w:rPr>
              <w:t>生产污水经</w:t>
            </w:r>
            <w:r>
              <w:rPr>
                <w:rFonts w:hint="eastAsia" w:ascii="Times New Roman" w:hAnsi="Times New Roman" w:eastAsia="宋体"/>
                <w:b w:val="0"/>
                <w:bCs/>
                <w:color w:val="auto"/>
                <w:sz w:val="21"/>
                <w:szCs w:val="21"/>
                <w:lang w:val="en-US" w:eastAsia="zh-CN"/>
              </w:rPr>
              <w:t>1</w:t>
            </w:r>
            <w:r>
              <w:rPr>
                <w:rFonts w:hint="eastAsia" w:ascii="Times New Roman" w:hAnsi="Times New Roman" w:eastAsia="宋体"/>
                <w:b w:val="0"/>
                <w:bCs/>
                <w:color w:val="auto"/>
                <w:sz w:val="21"/>
                <w:szCs w:val="21"/>
              </w:rPr>
              <w:t>个临时化粪池处理之后用于</w:t>
            </w:r>
            <w:r>
              <w:rPr>
                <w:rFonts w:hint="eastAsia" w:ascii="Times New Roman" w:hAnsi="Times New Roman" w:eastAsia="宋体"/>
                <w:b w:val="0"/>
                <w:bCs/>
                <w:color w:val="auto"/>
                <w:sz w:val="21"/>
                <w:szCs w:val="21"/>
                <w:lang w:eastAsia="zh-CN"/>
              </w:rPr>
              <w:t>果园</w:t>
            </w:r>
            <w:r>
              <w:rPr>
                <w:rFonts w:hint="eastAsia" w:ascii="Times New Roman" w:hAnsi="Times New Roman" w:eastAsia="宋体"/>
                <w:b w:val="0"/>
                <w:bCs/>
                <w:color w:val="auto"/>
                <w:sz w:val="21"/>
                <w:szCs w:val="21"/>
              </w:rPr>
              <w:t>施肥；生产废水经 1 个临时沉淀池沉淀后用于降尘</w:t>
            </w:r>
          </w:p>
        </w:tc>
        <w:tc>
          <w:tcPr>
            <w:tcW w:w="1216" w:type="dxa"/>
            <w:tcBorders>
              <w:tl2br w:val="nil"/>
              <w:tr2bl w:val="nil"/>
            </w:tcBorders>
            <w:vAlign w:val="center"/>
          </w:tcPr>
          <w:p>
            <w:pPr>
              <w:pStyle w:val="16"/>
              <w:adjustRightInd w:val="0"/>
              <w:snapToGrid w:val="0"/>
              <w:spacing w:line="240" w:lineRule="auto"/>
              <w:ind w:left="0" w:right="0"/>
              <w:jc w:val="center"/>
              <w:rPr>
                <w:rFonts w:hint="eastAsia" w:ascii="Times New Roman" w:hAnsi="Times New Roman" w:eastAsia="宋体"/>
                <w:b w:val="0"/>
                <w:bCs/>
                <w:color w:val="auto"/>
                <w:sz w:val="21"/>
                <w:szCs w:val="21"/>
                <w:lang w:eastAsia="zh-CN"/>
              </w:rPr>
            </w:pPr>
            <w:r>
              <w:rPr>
                <w:rFonts w:hint="eastAsia" w:ascii="Times New Roman" w:hAnsi="Times New Roman" w:eastAsia="宋体"/>
                <w:b w:val="0"/>
                <w:bCs/>
                <w:color w:val="auto"/>
                <w:sz w:val="21"/>
                <w:szCs w:val="21"/>
                <w:lang w:val="en-US" w:eastAsia="zh-CN"/>
              </w:rPr>
              <w:t>1</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jc w:val="center"/>
        </w:trPr>
        <w:tc>
          <w:tcPr>
            <w:tcW w:w="746" w:type="dxa"/>
            <w:vMerge w:val="continue"/>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p>
        </w:tc>
        <w:tc>
          <w:tcPr>
            <w:tcW w:w="899" w:type="dxa"/>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r>
              <w:rPr>
                <w:rFonts w:hint="eastAsia" w:ascii="Times New Roman" w:hAnsi="Times New Roman" w:eastAsia="宋体"/>
                <w:b w:val="0"/>
                <w:bCs/>
                <w:color w:val="auto"/>
                <w:sz w:val="21"/>
                <w:szCs w:val="21"/>
              </w:rPr>
              <w:t>噪声</w:t>
            </w:r>
          </w:p>
        </w:tc>
        <w:tc>
          <w:tcPr>
            <w:tcW w:w="1986" w:type="dxa"/>
            <w:tcBorders>
              <w:tl2br w:val="nil"/>
              <w:tr2bl w:val="nil"/>
            </w:tcBorders>
            <w:vAlign w:val="center"/>
          </w:tcPr>
          <w:p>
            <w:pPr>
              <w:pStyle w:val="16"/>
              <w:adjustRightInd w:val="0"/>
              <w:snapToGrid w:val="0"/>
              <w:spacing w:line="240" w:lineRule="auto"/>
              <w:ind w:left="0" w:right="0"/>
              <w:jc w:val="center"/>
              <w:rPr>
                <w:rFonts w:hint="eastAsia" w:ascii="Times New Roman" w:hAnsi="Times New Roman" w:eastAsia="宋体"/>
                <w:b w:val="0"/>
                <w:bCs/>
                <w:color w:val="auto"/>
                <w:sz w:val="21"/>
                <w:szCs w:val="21"/>
                <w:lang w:eastAsia="zh-CN"/>
              </w:rPr>
            </w:pPr>
            <w:r>
              <w:rPr>
                <w:rFonts w:hint="eastAsia" w:ascii="Times New Roman" w:hAnsi="Times New Roman" w:eastAsia="宋体"/>
                <w:b w:val="0"/>
                <w:bCs/>
                <w:color w:val="auto"/>
                <w:sz w:val="21"/>
                <w:szCs w:val="21"/>
                <w:lang w:eastAsia="zh-CN"/>
              </w:rPr>
              <w:t>施工机械噪声</w:t>
            </w:r>
          </w:p>
        </w:tc>
        <w:tc>
          <w:tcPr>
            <w:tcW w:w="4373" w:type="dxa"/>
            <w:tcBorders>
              <w:tl2br w:val="nil"/>
              <w:tr2bl w:val="nil"/>
            </w:tcBorders>
            <w:vAlign w:val="center"/>
          </w:tcPr>
          <w:p>
            <w:pPr>
              <w:pStyle w:val="16"/>
              <w:adjustRightInd w:val="0"/>
              <w:snapToGrid w:val="0"/>
              <w:spacing w:line="240" w:lineRule="auto"/>
              <w:ind w:left="0" w:right="0"/>
              <w:jc w:val="left"/>
              <w:rPr>
                <w:rFonts w:ascii="Times New Roman" w:hAnsi="Times New Roman" w:eastAsia="宋体"/>
                <w:b w:val="0"/>
                <w:bCs/>
                <w:color w:val="auto"/>
                <w:sz w:val="21"/>
                <w:szCs w:val="21"/>
              </w:rPr>
            </w:pPr>
            <w:r>
              <w:rPr>
                <w:rFonts w:hint="eastAsia" w:ascii="Times New Roman" w:hAnsi="Times New Roman" w:eastAsia="宋体"/>
                <w:b w:val="0"/>
                <w:bCs/>
                <w:color w:val="auto"/>
                <w:sz w:val="21"/>
                <w:szCs w:val="21"/>
              </w:rPr>
              <w:t>合理安排施工时间、合理布局、夜间禁止施工、选用低噪设备等</w:t>
            </w:r>
          </w:p>
        </w:tc>
        <w:tc>
          <w:tcPr>
            <w:tcW w:w="1216" w:type="dxa"/>
            <w:tcBorders>
              <w:tl2br w:val="nil"/>
              <w:tr2bl w:val="nil"/>
            </w:tcBorders>
            <w:vAlign w:val="center"/>
          </w:tcPr>
          <w:p>
            <w:pPr>
              <w:pStyle w:val="16"/>
              <w:adjustRightInd w:val="0"/>
              <w:snapToGrid w:val="0"/>
              <w:spacing w:line="240" w:lineRule="auto"/>
              <w:ind w:left="0" w:right="0"/>
              <w:jc w:val="center"/>
              <w:rPr>
                <w:rFonts w:hint="default" w:ascii="Times New Roman" w:hAnsi="Times New Roman" w:eastAsia="宋体"/>
                <w:b w:val="0"/>
                <w:bCs/>
                <w:color w:val="auto"/>
                <w:sz w:val="21"/>
                <w:szCs w:val="21"/>
                <w:lang w:val="en-US" w:eastAsia="zh-CN"/>
              </w:rPr>
            </w:pPr>
            <w:r>
              <w:rPr>
                <w:rFonts w:hint="eastAsia" w:ascii="Times New Roman" w:hAnsi="Times New Roman" w:eastAsia="宋体"/>
                <w:b w:val="0"/>
                <w:bCs/>
                <w:color w:val="auto"/>
                <w:sz w:val="21"/>
                <w:szCs w:val="21"/>
                <w:lang w:val="en-US" w:eastAsia="zh-CN"/>
              </w:rPr>
              <w:t>1.5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jc w:val="center"/>
        </w:trPr>
        <w:tc>
          <w:tcPr>
            <w:tcW w:w="746" w:type="dxa"/>
            <w:vMerge w:val="continue"/>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p>
        </w:tc>
        <w:tc>
          <w:tcPr>
            <w:tcW w:w="899" w:type="dxa"/>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r>
              <w:rPr>
                <w:rFonts w:hint="eastAsia" w:ascii="Times New Roman" w:hAnsi="Times New Roman" w:eastAsia="宋体"/>
                <w:b w:val="0"/>
                <w:bCs/>
                <w:color w:val="auto"/>
                <w:sz w:val="21"/>
                <w:szCs w:val="21"/>
              </w:rPr>
              <w:t>固废</w:t>
            </w:r>
          </w:p>
        </w:tc>
        <w:tc>
          <w:tcPr>
            <w:tcW w:w="1986" w:type="dxa"/>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r>
              <w:rPr>
                <w:rFonts w:hint="eastAsia" w:ascii="Times New Roman" w:hAnsi="Times New Roman" w:eastAsia="宋体"/>
                <w:b w:val="0"/>
                <w:bCs/>
                <w:color w:val="auto"/>
                <w:sz w:val="21"/>
                <w:szCs w:val="21"/>
              </w:rPr>
              <w:t>生活垃圾、弃土弃渣和建筑垃圾</w:t>
            </w:r>
          </w:p>
        </w:tc>
        <w:tc>
          <w:tcPr>
            <w:tcW w:w="4373" w:type="dxa"/>
            <w:tcBorders>
              <w:tl2br w:val="nil"/>
              <w:tr2bl w:val="nil"/>
            </w:tcBorders>
            <w:vAlign w:val="center"/>
          </w:tcPr>
          <w:p>
            <w:pPr>
              <w:pStyle w:val="16"/>
              <w:adjustRightInd w:val="0"/>
              <w:snapToGrid w:val="0"/>
              <w:spacing w:line="240" w:lineRule="auto"/>
              <w:ind w:left="0" w:right="0"/>
              <w:jc w:val="left"/>
              <w:rPr>
                <w:rFonts w:ascii="Times New Roman" w:hAnsi="Times New Roman" w:eastAsia="宋体"/>
                <w:b w:val="0"/>
                <w:bCs/>
                <w:color w:val="auto"/>
                <w:sz w:val="21"/>
                <w:szCs w:val="21"/>
              </w:rPr>
            </w:pPr>
            <w:r>
              <w:rPr>
                <w:rFonts w:hint="eastAsia" w:ascii="Times New Roman" w:hAnsi="Times New Roman" w:eastAsia="宋体"/>
                <w:b w:val="0"/>
                <w:bCs/>
                <w:color w:val="auto"/>
                <w:sz w:val="21"/>
                <w:szCs w:val="21"/>
              </w:rPr>
              <w:t>生活垃圾暂存后定期外运，交由环卫部门处置；弃土和弃渣回用于厂区回填和绿化；建筑垃圾统一外运至当地指定倾倒点</w:t>
            </w:r>
          </w:p>
        </w:tc>
        <w:tc>
          <w:tcPr>
            <w:tcW w:w="1216" w:type="dxa"/>
            <w:tcBorders>
              <w:tl2br w:val="nil"/>
              <w:tr2bl w:val="nil"/>
            </w:tcBorders>
            <w:vAlign w:val="center"/>
          </w:tcPr>
          <w:p>
            <w:pPr>
              <w:pStyle w:val="16"/>
              <w:adjustRightInd w:val="0"/>
              <w:snapToGrid w:val="0"/>
              <w:spacing w:line="240" w:lineRule="auto"/>
              <w:ind w:left="0" w:right="0"/>
              <w:jc w:val="center"/>
              <w:rPr>
                <w:rFonts w:hint="eastAsia" w:ascii="Times New Roman" w:hAnsi="Times New Roman" w:eastAsia="宋体"/>
                <w:b w:val="0"/>
                <w:bCs/>
                <w:color w:val="auto"/>
                <w:sz w:val="21"/>
                <w:szCs w:val="21"/>
                <w:lang w:eastAsia="zh-CN"/>
              </w:rPr>
            </w:pPr>
            <w:r>
              <w:rPr>
                <w:rFonts w:hint="eastAsia" w:ascii="Times New Roman" w:hAnsi="Times New Roman" w:eastAsia="宋体"/>
                <w:b w:val="0"/>
                <w:bCs/>
                <w:color w:val="auto"/>
                <w:sz w:val="21"/>
                <w:szCs w:val="21"/>
                <w:lang w:val="en-US" w:eastAsia="zh-CN"/>
              </w:rPr>
              <w:t>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jc w:val="center"/>
        </w:trPr>
        <w:tc>
          <w:tcPr>
            <w:tcW w:w="746" w:type="dxa"/>
            <w:vMerge w:val="continue"/>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p>
        </w:tc>
        <w:tc>
          <w:tcPr>
            <w:tcW w:w="899" w:type="dxa"/>
            <w:tcBorders>
              <w:tl2br w:val="nil"/>
              <w:tr2bl w:val="nil"/>
            </w:tcBorders>
            <w:vAlign w:val="center"/>
          </w:tcPr>
          <w:p>
            <w:pPr>
              <w:pStyle w:val="16"/>
              <w:adjustRightInd w:val="0"/>
              <w:snapToGrid w:val="0"/>
              <w:spacing w:line="240" w:lineRule="auto"/>
              <w:ind w:left="0" w:right="0"/>
              <w:jc w:val="center"/>
              <w:rPr>
                <w:rFonts w:hint="eastAsia" w:ascii="Times New Roman" w:hAnsi="Times New Roman" w:eastAsia="宋体"/>
                <w:b w:val="0"/>
                <w:bCs/>
                <w:color w:val="auto"/>
                <w:sz w:val="21"/>
                <w:szCs w:val="21"/>
                <w:lang w:eastAsia="zh-CN"/>
              </w:rPr>
            </w:pPr>
            <w:r>
              <w:rPr>
                <w:rFonts w:hint="eastAsia" w:ascii="Times New Roman" w:hAnsi="Times New Roman" w:eastAsia="宋体"/>
                <w:b w:val="0"/>
                <w:bCs/>
                <w:color w:val="auto"/>
                <w:sz w:val="21"/>
                <w:szCs w:val="21"/>
                <w:lang w:eastAsia="zh-CN"/>
              </w:rPr>
              <w:t>生态</w:t>
            </w:r>
          </w:p>
        </w:tc>
        <w:tc>
          <w:tcPr>
            <w:tcW w:w="1986" w:type="dxa"/>
            <w:tcBorders>
              <w:tl2br w:val="nil"/>
              <w:tr2bl w:val="nil"/>
            </w:tcBorders>
            <w:vAlign w:val="center"/>
          </w:tcPr>
          <w:p>
            <w:pPr>
              <w:pStyle w:val="16"/>
              <w:adjustRightInd w:val="0"/>
              <w:snapToGrid w:val="0"/>
              <w:spacing w:line="240" w:lineRule="auto"/>
              <w:ind w:left="0" w:right="0"/>
              <w:jc w:val="center"/>
              <w:rPr>
                <w:rFonts w:hint="eastAsia" w:ascii="Times New Roman" w:hAnsi="Times New Roman" w:eastAsia="宋体"/>
                <w:b w:val="0"/>
                <w:bCs/>
                <w:color w:val="auto"/>
                <w:sz w:val="21"/>
                <w:szCs w:val="21"/>
              </w:rPr>
            </w:pPr>
            <w:r>
              <w:rPr>
                <w:rFonts w:hint="eastAsia" w:ascii="Times New Roman" w:hAnsi="Times New Roman" w:eastAsia="宋体"/>
                <w:b w:val="0"/>
                <w:bCs/>
                <w:color w:val="auto"/>
                <w:sz w:val="21"/>
                <w:szCs w:val="21"/>
                <w:lang w:eastAsia="zh-CN"/>
              </w:rPr>
              <w:t>水土流失</w:t>
            </w:r>
          </w:p>
        </w:tc>
        <w:tc>
          <w:tcPr>
            <w:tcW w:w="4373" w:type="dxa"/>
            <w:tcBorders>
              <w:tl2br w:val="nil"/>
              <w:tr2bl w:val="nil"/>
            </w:tcBorders>
            <w:vAlign w:val="center"/>
          </w:tcPr>
          <w:p>
            <w:pPr>
              <w:pStyle w:val="16"/>
              <w:adjustRightInd w:val="0"/>
              <w:snapToGrid w:val="0"/>
              <w:spacing w:line="240" w:lineRule="auto"/>
              <w:ind w:left="0" w:right="0"/>
              <w:jc w:val="left"/>
              <w:rPr>
                <w:rFonts w:hint="eastAsia" w:ascii="Times New Roman" w:hAnsi="Times New Roman" w:eastAsia="宋体"/>
                <w:b w:val="0"/>
                <w:bCs/>
                <w:color w:val="auto"/>
                <w:sz w:val="21"/>
                <w:szCs w:val="21"/>
              </w:rPr>
            </w:pPr>
            <w:r>
              <w:rPr>
                <w:rFonts w:hint="eastAsia" w:ascii="Times New Roman" w:hAnsi="Times New Roman" w:eastAsia="宋体"/>
                <w:b w:val="0"/>
                <w:bCs/>
                <w:color w:val="auto"/>
                <w:sz w:val="21"/>
                <w:szCs w:val="21"/>
              </w:rPr>
              <w:t>水土保持临时措施</w:t>
            </w:r>
          </w:p>
        </w:tc>
        <w:tc>
          <w:tcPr>
            <w:tcW w:w="1216" w:type="dxa"/>
            <w:tcBorders>
              <w:tl2br w:val="nil"/>
              <w:tr2bl w:val="nil"/>
            </w:tcBorders>
            <w:vAlign w:val="center"/>
          </w:tcPr>
          <w:p>
            <w:pPr>
              <w:pStyle w:val="16"/>
              <w:adjustRightInd w:val="0"/>
              <w:snapToGrid w:val="0"/>
              <w:spacing w:line="240" w:lineRule="auto"/>
              <w:ind w:left="0" w:right="0"/>
              <w:jc w:val="center"/>
              <w:rPr>
                <w:rFonts w:hint="default" w:ascii="Times New Roman" w:hAnsi="Times New Roman" w:eastAsia="宋体"/>
                <w:b w:val="0"/>
                <w:bCs/>
                <w:color w:val="auto"/>
                <w:sz w:val="21"/>
                <w:szCs w:val="21"/>
                <w:lang w:val="en-US" w:eastAsia="zh-CN"/>
              </w:rPr>
            </w:pPr>
            <w:r>
              <w:rPr>
                <w:rFonts w:hint="eastAsia" w:ascii="Times New Roman" w:hAnsi="Times New Roman" w:eastAsia="宋体"/>
                <w:b w:val="0"/>
                <w:bCs/>
                <w:color w:val="auto"/>
                <w:sz w:val="21"/>
                <w:szCs w:val="21"/>
                <w:lang w:val="en-US" w:eastAsia="zh-CN"/>
              </w:rPr>
              <w:t>3</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85" w:hRule="atLeast"/>
          <w:jc w:val="center"/>
        </w:trPr>
        <w:tc>
          <w:tcPr>
            <w:tcW w:w="746" w:type="dxa"/>
            <w:vMerge w:val="restart"/>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r>
              <w:rPr>
                <w:rFonts w:hint="eastAsia" w:ascii="Times New Roman" w:hAnsi="Times New Roman" w:eastAsia="宋体"/>
                <w:b w:val="0"/>
                <w:bCs/>
                <w:color w:val="auto"/>
                <w:sz w:val="21"/>
                <w:szCs w:val="21"/>
              </w:rPr>
              <w:t>运营期</w:t>
            </w:r>
          </w:p>
        </w:tc>
        <w:tc>
          <w:tcPr>
            <w:tcW w:w="899" w:type="dxa"/>
            <w:vMerge w:val="restart"/>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r>
              <w:rPr>
                <w:rFonts w:hint="eastAsia" w:ascii="Times New Roman" w:hAnsi="Times New Roman" w:eastAsia="宋体"/>
                <w:b w:val="0"/>
                <w:bCs/>
                <w:color w:val="auto"/>
                <w:sz w:val="21"/>
                <w:szCs w:val="21"/>
              </w:rPr>
              <w:t>废气</w:t>
            </w:r>
          </w:p>
        </w:tc>
        <w:tc>
          <w:tcPr>
            <w:tcW w:w="1986" w:type="dxa"/>
            <w:tcBorders>
              <w:tl2br w:val="nil"/>
              <w:tr2bl w:val="nil"/>
            </w:tcBorders>
            <w:vAlign w:val="center"/>
          </w:tcPr>
          <w:p>
            <w:pPr>
              <w:pStyle w:val="16"/>
              <w:adjustRightInd w:val="0"/>
              <w:snapToGrid w:val="0"/>
              <w:spacing w:line="240" w:lineRule="auto"/>
              <w:ind w:left="0" w:right="0"/>
              <w:jc w:val="center"/>
              <w:rPr>
                <w:rFonts w:hint="eastAsia" w:ascii="Times New Roman" w:hAnsi="Times New Roman" w:eastAsia="宋体"/>
                <w:b w:val="0"/>
                <w:bCs/>
                <w:color w:val="auto"/>
                <w:sz w:val="21"/>
                <w:szCs w:val="21"/>
                <w:lang w:eastAsia="zh-CN"/>
              </w:rPr>
            </w:pPr>
            <w:r>
              <w:rPr>
                <w:rFonts w:hint="eastAsia" w:ascii="Times New Roman" w:hAnsi="Times New Roman" w:eastAsia="宋体"/>
                <w:b w:val="0"/>
                <w:bCs/>
                <w:color w:val="auto"/>
                <w:sz w:val="21"/>
                <w:szCs w:val="21"/>
                <w:lang w:eastAsia="zh-CN"/>
              </w:rPr>
              <w:t>食堂油烟</w:t>
            </w:r>
          </w:p>
        </w:tc>
        <w:tc>
          <w:tcPr>
            <w:tcW w:w="4373" w:type="dxa"/>
            <w:tcBorders>
              <w:tl2br w:val="nil"/>
              <w:tr2bl w:val="nil"/>
            </w:tcBorders>
            <w:vAlign w:val="center"/>
          </w:tcPr>
          <w:p>
            <w:pPr>
              <w:pStyle w:val="16"/>
              <w:adjustRightInd w:val="0"/>
              <w:snapToGrid w:val="0"/>
              <w:spacing w:line="240" w:lineRule="auto"/>
              <w:ind w:left="0" w:right="0"/>
              <w:jc w:val="left"/>
              <w:rPr>
                <w:rFonts w:ascii="Times New Roman" w:hAnsi="Times New Roman" w:eastAsia="宋体"/>
                <w:b w:val="0"/>
                <w:bCs/>
                <w:color w:val="auto"/>
                <w:sz w:val="21"/>
                <w:szCs w:val="21"/>
              </w:rPr>
            </w:pPr>
            <w:r>
              <w:rPr>
                <w:rFonts w:hint="eastAsia" w:ascii="Times New Roman" w:hAnsi="Times New Roman" w:eastAsia="宋体"/>
                <w:b w:val="0"/>
                <w:bCs/>
                <w:color w:val="auto"/>
                <w:sz w:val="21"/>
                <w:szCs w:val="21"/>
              </w:rPr>
              <w:t xml:space="preserve">食堂油烟经一套处理效率大于 75% 油烟净化器（风量 </w:t>
            </w:r>
            <w:r>
              <w:rPr>
                <w:rFonts w:hint="eastAsia" w:ascii="Times New Roman" w:hAnsi="Times New Roman" w:eastAsia="宋体"/>
                <w:b w:val="0"/>
                <w:bCs/>
                <w:color w:val="auto"/>
                <w:sz w:val="21"/>
                <w:szCs w:val="21"/>
                <w:lang w:val="en-US" w:eastAsia="zh-CN"/>
              </w:rPr>
              <w:t>2</w:t>
            </w:r>
            <w:r>
              <w:rPr>
                <w:rFonts w:hint="eastAsia" w:ascii="Times New Roman" w:hAnsi="Times New Roman" w:eastAsia="宋体"/>
                <w:b w:val="0"/>
                <w:bCs/>
                <w:color w:val="auto"/>
                <w:sz w:val="21"/>
                <w:szCs w:val="21"/>
              </w:rPr>
              <w:t>000m</w:t>
            </w:r>
            <w:r>
              <w:rPr>
                <w:rFonts w:hint="eastAsia" w:ascii="Times New Roman" w:hAnsi="Times New Roman" w:eastAsia="宋体"/>
                <w:b w:val="0"/>
                <w:bCs/>
                <w:color w:val="auto"/>
                <w:sz w:val="21"/>
                <w:szCs w:val="21"/>
                <w:vertAlign w:val="superscript"/>
              </w:rPr>
              <w:t>3</w:t>
            </w:r>
            <w:r>
              <w:rPr>
                <w:rFonts w:hint="eastAsia" w:ascii="Times New Roman" w:hAnsi="Times New Roman" w:eastAsia="宋体"/>
                <w:b w:val="0"/>
                <w:bCs/>
                <w:color w:val="auto"/>
                <w:sz w:val="21"/>
                <w:szCs w:val="21"/>
              </w:rPr>
              <w:t>/h）处理后</w:t>
            </w:r>
          </w:p>
        </w:tc>
        <w:tc>
          <w:tcPr>
            <w:tcW w:w="1216" w:type="dxa"/>
            <w:tcBorders>
              <w:tl2br w:val="nil"/>
              <w:tr2bl w:val="nil"/>
            </w:tcBorders>
            <w:vAlign w:val="center"/>
          </w:tcPr>
          <w:p>
            <w:pPr>
              <w:pStyle w:val="16"/>
              <w:adjustRightInd w:val="0"/>
              <w:snapToGrid w:val="0"/>
              <w:spacing w:line="240" w:lineRule="auto"/>
              <w:ind w:left="0" w:right="0"/>
              <w:jc w:val="center"/>
              <w:rPr>
                <w:rFonts w:hint="eastAsia" w:ascii="Times New Roman" w:hAnsi="Times New Roman" w:eastAsia="宋体"/>
                <w:b w:val="0"/>
                <w:bCs/>
                <w:color w:val="auto"/>
                <w:sz w:val="21"/>
                <w:szCs w:val="21"/>
                <w:lang w:eastAsia="zh-CN"/>
              </w:rPr>
            </w:pPr>
            <w:r>
              <w:rPr>
                <w:rFonts w:hint="eastAsia" w:ascii="Times New Roman" w:hAnsi="Times New Roman" w:eastAsia="宋体"/>
                <w:b w:val="0"/>
                <w:bCs/>
                <w:color w:val="auto"/>
                <w:sz w:val="21"/>
                <w:szCs w:val="21"/>
                <w:lang w:val="en-US" w:eastAsia="zh-CN"/>
              </w:rPr>
              <w:t>1</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17" w:hRule="atLeast"/>
          <w:jc w:val="center"/>
        </w:trPr>
        <w:tc>
          <w:tcPr>
            <w:tcW w:w="746" w:type="dxa"/>
            <w:vMerge w:val="continue"/>
            <w:tcBorders>
              <w:tl2br w:val="nil"/>
              <w:tr2bl w:val="nil"/>
            </w:tcBorders>
            <w:vAlign w:val="center"/>
          </w:tcPr>
          <w:p>
            <w:pPr>
              <w:pStyle w:val="16"/>
              <w:adjustRightInd w:val="0"/>
              <w:snapToGrid w:val="0"/>
              <w:spacing w:line="240" w:lineRule="auto"/>
              <w:ind w:left="0" w:right="0"/>
              <w:jc w:val="center"/>
              <w:rPr>
                <w:rFonts w:hint="eastAsia" w:ascii="Times New Roman" w:hAnsi="Times New Roman" w:eastAsia="宋体"/>
                <w:b w:val="0"/>
                <w:bCs/>
                <w:color w:val="auto"/>
                <w:sz w:val="21"/>
                <w:szCs w:val="21"/>
              </w:rPr>
            </w:pPr>
          </w:p>
        </w:tc>
        <w:tc>
          <w:tcPr>
            <w:tcW w:w="899" w:type="dxa"/>
            <w:vMerge w:val="continue"/>
            <w:tcBorders>
              <w:tl2br w:val="nil"/>
              <w:tr2bl w:val="nil"/>
            </w:tcBorders>
            <w:vAlign w:val="center"/>
          </w:tcPr>
          <w:p>
            <w:pPr>
              <w:pStyle w:val="16"/>
              <w:adjustRightInd w:val="0"/>
              <w:snapToGrid w:val="0"/>
              <w:spacing w:line="240" w:lineRule="auto"/>
              <w:ind w:left="0" w:right="0"/>
              <w:jc w:val="center"/>
              <w:rPr>
                <w:rFonts w:hint="eastAsia" w:ascii="Times New Roman" w:hAnsi="Times New Roman" w:eastAsia="宋体"/>
                <w:b w:val="0"/>
                <w:bCs/>
                <w:color w:val="auto"/>
                <w:sz w:val="21"/>
                <w:szCs w:val="21"/>
              </w:rPr>
            </w:pPr>
          </w:p>
        </w:tc>
        <w:tc>
          <w:tcPr>
            <w:tcW w:w="1986" w:type="dxa"/>
            <w:tcBorders>
              <w:tl2br w:val="nil"/>
              <w:tr2bl w:val="nil"/>
            </w:tcBorders>
            <w:vAlign w:val="center"/>
          </w:tcPr>
          <w:p>
            <w:pPr>
              <w:pStyle w:val="16"/>
              <w:adjustRightInd w:val="0"/>
              <w:snapToGrid w:val="0"/>
              <w:spacing w:line="240" w:lineRule="auto"/>
              <w:ind w:left="0" w:right="0"/>
              <w:jc w:val="center"/>
              <w:rPr>
                <w:rFonts w:hint="eastAsia" w:ascii="Times New Roman" w:hAnsi="Times New Roman" w:eastAsia="宋体"/>
                <w:b w:val="0"/>
                <w:bCs/>
                <w:color w:val="auto"/>
                <w:sz w:val="21"/>
                <w:szCs w:val="21"/>
                <w:lang w:val="en-US" w:eastAsia="zh-CN"/>
              </w:rPr>
            </w:pPr>
            <w:r>
              <w:rPr>
                <w:rFonts w:hint="eastAsia" w:ascii="Times New Roman" w:hAnsi="Times New Roman" w:eastAsia="宋体"/>
                <w:b w:val="0"/>
                <w:bCs/>
                <w:color w:val="auto"/>
                <w:sz w:val="21"/>
                <w:szCs w:val="21"/>
                <w:lang w:val="en-US" w:eastAsia="zh-CN"/>
              </w:rPr>
              <w:t>猪舍恶臭</w:t>
            </w:r>
          </w:p>
        </w:tc>
        <w:tc>
          <w:tcPr>
            <w:tcW w:w="4373" w:type="dxa"/>
            <w:tcBorders>
              <w:tl2br w:val="nil"/>
              <w:tr2bl w:val="nil"/>
            </w:tcBorders>
            <w:vAlign w:val="center"/>
          </w:tcPr>
          <w:p>
            <w:pPr>
              <w:pStyle w:val="16"/>
              <w:adjustRightInd w:val="0"/>
              <w:snapToGrid w:val="0"/>
              <w:spacing w:line="240" w:lineRule="auto"/>
              <w:ind w:left="0" w:right="0"/>
              <w:jc w:val="left"/>
              <w:rPr>
                <w:rFonts w:hint="eastAsia" w:ascii="Times New Roman" w:hAnsi="Times New Roman" w:eastAsia="宋体"/>
                <w:b w:val="0"/>
                <w:bCs/>
                <w:color w:val="auto"/>
                <w:sz w:val="21"/>
                <w:szCs w:val="21"/>
                <w:lang w:val="en-US" w:eastAsia="zh-CN"/>
              </w:rPr>
            </w:pPr>
            <w:r>
              <w:rPr>
                <w:rFonts w:hint="eastAsia" w:ascii="Times New Roman" w:hAnsi="Times New Roman" w:eastAsia="宋体"/>
                <w:b w:val="0"/>
                <w:bCs/>
                <w:color w:val="auto"/>
                <w:sz w:val="21"/>
                <w:szCs w:val="21"/>
                <w:lang w:val="en-US" w:eastAsia="zh-CN"/>
              </w:rPr>
              <w:t>封闭式猪舍，自动化喷淋除臭装置，加强绿化、除臭剂、绿化、无组织排放引至屋顶排放</w:t>
            </w:r>
          </w:p>
        </w:tc>
        <w:tc>
          <w:tcPr>
            <w:tcW w:w="1216" w:type="dxa"/>
            <w:tcBorders>
              <w:tl2br w:val="nil"/>
              <w:tr2bl w:val="nil"/>
            </w:tcBorders>
            <w:vAlign w:val="center"/>
          </w:tcPr>
          <w:p>
            <w:pPr>
              <w:pStyle w:val="16"/>
              <w:adjustRightInd w:val="0"/>
              <w:snapToGrid w:val="0"/>
              <w:spacing w:line="240" w:lineRule="auto"/>
              <w:ind w:left="0" w:right="0"/>
              <w:jc w:val="center"/>
              <w:rPr>
                <w:rFonts w:hint="default" w:ascii="Times New Roman" w:hAnsi="Times New Roman" w:eastAsia="宋体"/>
                <w:b w:val="0"/>
                <w:bCs/>
                <w:color w:val="auto"/>
                <w:sz w:val="21"/>
                <w:szCs w:val="21"/>
                <w:lang w:val="en-US" w:eastAsia="zh-CN"/>
              </w:rPr>
            </w:pPr>
            <w:r>
              <w:rPr>
                <w:rFonts w:hint="eastAsia" w:ascii="Times New Roman" w:hAnsi="Times New Roman" w:eastAsia="宋体"/>
                <w:b w:val="0"/>
                <w:bCs/>
                <w:color w:val="auto"/>
                <w:sz w:val="21"/>
                <w:szCs w:val="21"/>
                <w:lang w:val="en-US" w:eastAsia="zh-CN"/>
              </w:rPr>
              <w:t>30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25" w:hRule="atLeast"/>
          <w:jc w:val="center"/>
        </w:trPr>
        <w:tc>
          <w:tcPr>
            <w:tcW w:w="746" w:type="dxa"/>
            <w:vMerge w:val="continue"/>
            <w:tcBorders>
              <w:tl2br w:val="nil"/>
              <w:tr2bl w:val="nil"/>
            </w:tcBorders>
            <w:vAlign w:val="center"/>
          </w:tcPr>
          <w:p>
            <w:pPr>
              <w:pStyle w:val="16"/>
              <w:adjustRightInd w:val="0"/>
              <w:snapToGrid w:val="0"/>
              <w:spacing w:line="240" w:lineRule="auto"/>
              <w:ind w:left="0" w:right="0"/>
              <w:jc w:val="center"/>
              <w:rPr>
                <w:rFonts w:hint="eastAsia" w:ascii="Times New Roman" w:hAnsi="Times New Roman" w:eastAsia="宋体"/>
                <w:b w:val="0"/>
                <w:bCs/>
                <w:color w:val="auto"/>
                <w:sz w:val="21"/>
                <w:szCs w:val="21"/>
              </w:rPr>
            </w:pPr>
          </w:p>
        </w:tc>
        <w:tc>
          <w:tcPr>
            <w:tcW w:w="899" w:type="dxa"/>
            <w:vMerge w:val="continue"/>
            <w:tcBorders>
              <w:tl2br w:val="nil"/>
              <w:tr2bl w:val="nil"/>
            </w:tcBorders>
            <w:vAlign w:val="center"/>
          </w:tcPr>
          <w:p>
            <w:pPr>
              <w:pStyle w:val="16"/>
              <w:adjustRightInd w:val="0"/>
              <w:snapToGrid w:val="0"/>
              <w:spacing w:line="240" w:lineRule="auto"/>
              <w:ind w:left="0" w:right="0"/>
              <w:jc w:val="center"/>
              <w:rPr>
                <w:rFonts w:hint="eastAsia" w:ascii="Times New Roman" w:hAnsi="Times New Roman" w:eastAsia="宋体"/>
                <w:b w:val="0"/>
                <w:bCs/>
                <w:color w:val="auto"/>
                <w:sz w:val="21"/>
                <w:szCs w:val="21"/>
              </w:rPr>
            </w:pPr>
          </w:p>
        </w:tc>
        <w:tc>
          <w:tcPr>
            <w:tcW w:w="1986" w:type="dxa"/>
            <w:tcBorders>
              <w:tl2br w:val="nil"/>
              <w:tr2bl w:val="nil"/>
            </w:tcBorders>
            <w:vAlign w:val="center"/>
          </w:tcPr>
          <w:p>
            <w:pPr>
              <w:pStyle w:val="16"/>
              <w:adjustRightInd w:val="0"/>
              <w:snapToGrid w:val="0"/>
              <w:spacing w:line="240" w:lineRule="auto"/>
              <w:ind w:left="0" w:right="0"/>
              <w:jc w:val="center"/>
              <w:rPr>
                <w:rFonts w:hint="eastAsia" w:ascii="Times New Roman" w:hAnsi="Times New Roman" w:eastAsia="宋体"/>
                <w:b w:val="0"/>
                <w:bCs/>
                <w:color w:val="auto"/>
                <w:sz w:val="21"/>
                <w:szCs w:val="21"/>
                <w:lang w:val="en-US" w:eastAsia="zh-CN"/>
              </w:rPr>
            </w:pPr>
            <w:r>
              <w:rPr>
                <w:rFonts w:hint="eastAsia" w:ascii="Times New Roman" w:hAnsi="Times New Roman" w:eastAsia="宋体"/>
                <w:b w:val="0"/>
                <w:bCs/>
                <w:color w:val="auto"/>
                <w:sz w:val="21"/>
                <w:szCs w:val="21"/>
                <w:lang w:val="en-US" w:eastAsia="zh-CN"/>
              </w:rPr>
              <w:t>污水处理区恶臭</w:t>
            </w:r>
          </w:p>
        </w:tc>
        <w:tc>
          <w:tcPr>
            <w:tcW w:w="4373" w:type="dxa"/>
            <w:tcBorders>
              <w:tl2br w:val="nil"/>
              <w:tr2bl w:val="nil"/>
            </w:tcBorders>
            <w:vAlign w:val="center"/>
          </w:tcPr>
          <w:p>
            <w:pPr>
              <w:pStyle w:val="16"/>
              <w:adjustRightInd w:val="0"/>
              <w:snapToGrid w:val="0"/>
              <w:spacing w:line="240" w:lineRule="auto"/>
              <w:ind w:left="0" w:right="0"/>
              <w:jc w:val="left"/>
              <w:rPr>
                <w:rFonts w:hint="eastAsia" w:ascii="Times New Roman" w:hAnsi="Times New Roman" w:eastAsia="宋体"/>
                <w:b w:val="0"/>
                <w:bCs/>
                <w:color w:val="auto"/>
                <w:sz w:val="21"/>
                <w:szCs w:val="21"/>
                <w:lang w:val="en-US" w:eastAsia="zh-CN"/>
              </w:rPr>
            </w:pPr>
            <w:r>
              <w:rPr>
                <w:rFonts w:hint="eastAsia" w:ascii="Times New Roman" w:hAnsi="Times New Roman" w:eastAsia="宋体"/>
                <w:b w:val="0"/>
                <w:bCs/>
                <w:color w:val="auto"/>
                <w:sz w:val="21"/>
                <w:szCs w:val="21"/>
                <w:lang w:val="en-US" w:eastAsia="zh-CN"/>
              </w:rPr>
              <w:t>加强绿化、除臭剂</w:t>
            </w:r>
          </w:p>
        </w:tc>
        <w:tc>
          <w:tcPr>
            <w:tcW w:w="1216" w:type="dxa"/>
            <w:tcBorders>
              <w:tl2br w:val="nil"/>
              <w:tr2bl w:val="nil"/>
            </w:tcBorders>
            <w:vAlign w:val="center"/>
          </w:tcPr>
          <w:p>
            <w:pPr>
              <w:pStyle w:val="16"/>
              <w:adjustRightInd w:val="0"/>
              <w:snapToGrid w:val="0"/>
              <w:spacing w:line="240" w:lineRule="auto"/>
              <w:ind w:left="0" w:right="0"/>
              <w:jc w:val="center"/>
              <w:rPr>
                <w:rFonts w:hint="default" w:ascii="Times New Roman" w:hAnsi="Times New Roman" w:eastAsia="宋体"/>
                <w:b w:val="0"/>
                <w:bCs/>
                <w:color w:val="auto"/>
                <w:sz w:val="21"/>
                <w:szCs w:val="21"/>
                <w:lang w:val="en-US" w:eastAsia="zh-CN"/>
              </w:rPr>
            </w:pPr>
            <w:r>
              <w:rPr>
                <w:rFonts w:hint="eastAsia" w:ascii="Times New Roman" w:hAnsi="Times New Roman" w:eastAsia="宋体"/>
                <w:b w:val="0"/>
                <w:bCs/>
                <w:color w:val="auto"/>
                <w:sz w:val="21"/>
                <w:szCs w:val="21"/>
                <w:lang w:val="en-US" w:eastAsia="zh-CN"/>
              </w:rPr>
              <w:t>2</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17" w:hRule="atLeast"/>
          <w:jc w:val="center"/>
        </w:trPr>
        <w:tc>
          <w:tcPr>
            <w:tcW w:w="746" w:type="dxa"/>
            <w:vMerge w:val="continue"/>
            <w:tcBorders>
              <w:tl2br w:val="nil"/>
              <w:tr2bl w:val="nil"/>
            </w:tcBorders>
            <w:vAlign w:val="center"/>
          </w:tcPr>
          <w:p>
            <w:pPr>
              <w:pStyle w:val="16"/>
              <w:adjustRightInd w:val="0"/>
              <w:snapToGrid w:val="0"/>
              <w:spacing w:line="240" w:lineRule="auto"/>
              <w:ind w:left="0" w:right="0"/>
              <w:jc w:val="center"/>
              <w:rPr>
                <w:rFonts w:hint="eastAsia" w:ascii="Times New Roman" w:hAnsi="Times New Roman" w:eastAsia="宋体"/>
                <w:b w:val="0"/>
                <w:bCs/>
                <w:color w:val="auto"/>
                <w:sz w:val="21"/>
                <w:szCs w:val="21"/>
              </w:rPr>
            </w:pPr>
          </w:p>
        </w:tc>
        <w:tc>
          <w:tcPr>
            <w:tcW w:w="899" w:type="dxa"/>
            <w:vMerge w:val="continue"/>
            <w:tcBorders>
              <w:tl2br w:val="nil"/>
              <w:tr2bl w:val="nil"/>
            </w:tcBorders>
            <w:vAlign w:val="center"/>
          </w:tcPr>
          <w:p>
            <w:pPr>
              <w:pStyle w:val="16"/>
              <w:adjustRightInd w:val="0"/>
              <w:snapToGrid w:val="0"/>
              <w:spacing w:line="240" w:lineRule="auto"/>
              <w:ind w:left="0" w:right="0"/>
              <w:jc w:val="center"/>
              <w:rPr>
                <w:rFonts w:hint="eastAsia" w:ascii="Times New Roman" w:hAnsi="Times New Roman" w:eastAsia="宋体"/>
                <w:b w:val="0"/>
                <w:bCs/>
                <w:color w:val="auto"/>
                <w:sz w:val="21"/>
                <w:szCs w:val="21"/>
              </w:rPr>
            </w:pPr>
          </w:p>
        </w:tc>
        <w:tc>
          <w:tcPr>
            <w:tcW w:w="1986" w:type="dxa"/>
            <w:tcBorders>
              <w:tl2br w:val="nil"/>
              <w:tr2bl w:val="nil"/>
            </w:tcBorders>
            <w:vAlign w:val="center"/>
          </w:tcPr>
          <w:p>
            <w:pPr>
              <w:pStyle w:val="16"/>
              <w:adjustRightInd w:val="0"/>
              <w:snapToGrid w:val="0"/>
              <w:spacing w:line="240" w:lineRule="auto"/>
              <w:ind w:left="0" w:right="0"/>
              <w:jc w:val="center"/>
              <w:rPr>
                <w:rFonts w:hint="eastAsia" w:ascii="Times New Roman" w:hAnsi="Times New Roman" w:eastAsia="宋体"/>
                <w:b w:val="0"/>
                <w:bCs/>
                <w:color w:val="auto"/>
                <w:sz w:val="21"/>
                <w:szCs w:val="21"/>
                <w:lang w:val="en-US" w:eastAsia="zh-CN"/>
              </w:rPr>
            </w:pPr>
            <w:r>
              <w:rPr>
                <w:rFonts w:hint="eastAsia" w:ascii="Times New Roman" w:hAnsi="Times New Roman" w:eastAsia="宋体"/>
                <w:b w:val="0"/>
                <w:bCs/>
                <w:color w:val="auto"/>
                <w:sz w:val="21"/>
                <w:szCs w:val="21"/>
                <w:lang w:val="en-US" w:eastAsia="zh-CN"/>
              </w:rPr>
              <w:t>堆粪间恶臭</w:t>
            </w:r>
          </w:p>
        </w:tc>
        <w:tc>
          <w:tcPr>
            <w:tcW w:w="4373" w:type="dxa"/>
            <w:tcBorders>
              <w:tl2br w:val="nil"/>
              <w:tr2bl w:val="nil"/>
            </w:tcBorders>
            <w:vAlign w:val="center"/>
          </w:tcPr>
          <w:p>
            <w:pPr>
              <w:pStyle w:val="16"/>
              <w:adjustRightInd w:val="0"/>
              <w:snapToGrid w:val="0"/>
              <w:spacing w:line="240" w:lineRule="auto"/>
              <w:ind w:left="0" w:right="0"/>
              <w:jc w:val="left"/>
              <w:rPr>
                <w:rFonts w:hint="eastAsia" w:ascii="Times New Roman" w:hAnsi="Times New Roman" w:eastAsia="宋体"/>
                <w:b w:val="0"/>
                <w:bCs/>
                <w:color w:val="auto"/>
                <w:sz w:val="21"/>
                <w:szCs w:val="21"/>
                <w:lang w:val="en-US" w:eastAsia="zh-CN"/>
              </w:rPr>
            </w:pPr>
            <w:r>
              <w:rPr>
                <w:rFonts w:hint="eastAsia" w:ascii="Times New Roman" w:hAnsi="Times New Roman" w:eastAsia="宋体"/>
                <w:b w:val="0"/>
                <w:bCs/>
                <w:color w:val="auto"/>
                <w:sz w:val="21"/>
                <w:szCs w:val="21"/>
                <w:lang w:val="en-US" w:eastAsia="zh-CN"/>
              </w:rPr>
              <w:t>喷洒生物化学除臭剂，废气经设备自带净化系统（喷淋洗涤吸收塔）处理后经15m高排气筒排放</w:t>
            </w:r>
          </w:p>
        </w:tc>
        <w:tc>
          <w:tcPr>
            <w:tcW w:w="1216" w:type="dxa"/>
            <w:tcBorders>
              <w:tl2br w:val="nil"/>
              <w:tr2bl w:val="nil"/>
            </w:tcBorders>
            <w:vAlign w:val="center"/>
          </w:tcPr>
          <w:p>
            <w:pPr>
              <w:pStyle w:val="16"/>
              <w:adjustRightInd w:val="0"/>
              <w:snapToGrid w:val="0"/>
              <w:spacing w:line="240" w:lineRule="auto"/>
              <w:ind w:left="0" w:right="0"/>
              <w:jc w:val="center"/>
              <w:rPr>
                <w:rFonts w:hint="default" w:ascii="Times New Roman" w:hAnsi="Times New Roman" w:eastAsia="宋体"/>
                <w:b w:val="0"/>
                <w:bCs/>
                <w:color w:val="auto"/>
                <w:sz w:val="21"/>
                <w:szCs w:val="21"/>
                <w:lang w:val="en-US" w:eastAsia="zh-CN"/>
              </w:rPr>
            </w:pPr>
            <w:r>
              <w:rPr>
                <w:rFonts w:hint="eastAsia" w:ascii="Times New Roman" w:hAnsi="Times New Roman" w:eastAsia="宋体"/>
                <w:b w:val="0"/>
                <w:bCs/>
                <w:color w:val="auto"/>
                <w:sz w:val="21"/>
                <w:szCs w:val="21"/>
                <w:lang w:val="en-US" w:eastAsia="zh-CN"/>
              </w:rPr>
              <w:t>15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17" w:hRule="atLeast"/>
          <w:jc w:val="center"/>
        </w:trPr>
        <w:tc>
          <w:tcPr>
            <w:tcW w:w="746" w:type="dxa"/>
            <w:vMerge w:val="continue"/>
            <w:tcBorders>
              <w:tl2br w:val="nil"/>
              <w:tr2bl w:val="nil"/>
            </w:tcBorders>
            <w:vAlign w:val="center"/>
          </w:tcPr>
          <w:p>
            <w:pPr>
              <w:pStyle w:val="16"/>
              <w:adjustRightInd w:val="0"/>
              <w:snapToGrid w:val="0"/>
              <w:spacing w:line="240" w:lineRule="auto"/>
              <w:ind w:left="0" w:right="0"/>
              <w:jc w:val="center"/>
              <w:rPr>
                <w:rFonts w:hint="eastAsia" w:ascii="Times New Roman" w:hAnsi="Times New Roman" w:eastAsia="宋体"/>
                <w:b w:val="0"/>
                <w:bCs/>
                <w:color w:val="auto"/>
                <w:sz w:val="21"/>
                <w:szCs w:val="21"/>
              </w:rPr>
            </w:pPr>
          </w:p>
        </w:tc>
        <w:tc>
          <w:tcPr>
            <w:tcW w:w="899" w:type="dxa"/>
            <w:vMerge w:val="continue"/>
            <w:tcBorders>
              <w:tl2br w:val="nil"/>
              <w:tr2bl w:val="nil"/>
            </w:tcBorders>
            <w:vAlign w:val="center"/>
          </w:tcPr>
          <w:p>
            <w:pPr>
              <w:pStyle w:val="16"/>
              <w:adjustRightInd w:val="0"/>
              <w:snapToGrid w:val="0"/>
              <w:spacing w:line="240" w:lineRule="auto"/>
              <w:ind w:left="0" w:right="0"/>
              <w:jc w:val="center"/>
              <w:rPr>
                <w:rFonts w:hint="eastAsia" w:ascii="Times New Roman" w:hAnsi="Times New Roman" w:eastAsia="宋体"/>
                <w:b w:val="0"/>
                <w:bCs/>
                <w:color w:val="auto"/>
                <w:sz w:val="21"/>
                <w:szCs w:val="21"/>
              </w:rPr>
            </w:pPr>
          </w:p>
        </w:tc>
        <w:tc>
          <w:tcPr>
            <w:tcW w:w="1986" w:type="dxa"/>
            <w:tcBorders>
              <w:tl2br w:val="nil"/>
              <w:tr2bl w:val="nil"/>
            </w:tcBorders>
            <w:vAlign w:val="center"/>
          </w:tcPr>
          <w:p>
            <w:pPr>
              <w:pStyle w:val="16"/>
              <w:adjustRightInd w:val="0"/>
              <w:snapToGrid w:val="0"/>
              <w:spacing w:line="240" w:lineRule="auto"/>
              <w:ind w:left="0" w:right="0"/>
              <w:jc w:val="center"/>
              <w:rPr>
                <w:rFonts w:hint="eastAsia" w:ascii="Times New Roman" w:hAnsi="Times New Roman" w:eastAsia="宋体"/>
                <w:b w:val="0"/>
                <w:bCs/>
                <w:color w:val="auto"/>
                <w:sz w:val="21"/>
                <w:szCs w:val="21"/>
                <w:lang w:val="en-US" w:eastAsia="zh-CN"/>
              </w:rPr>
            </w:pPr>
            <w:r>
              <w:rPr>
                <w:rFonts w:hint="eastAsia" w:ascii="Times New Roman" w:hAnsi="Times New Roman" w:eastAsia="宋体"/>
                <w:b w:val="0"/>
                <w:bCs/>
                <w:color w:val="auto"/>
                <w:sz w:val="21"/>
                <w:szCs w:val="21"/>
                <w:lang w:val="en-US" w:eastAsia="zh-CN"/>
              </w:rPr>
              <w:t>运输车辆恶臭、尾气</w:t>
            </w:r>
          </w:p>
        </w:tc>
        <w:tc>
          <w:tcPr>
            <w:tcW w:w="4373" w:type="dxa"/>
            <w:tcBorders>
              <w:tl2br w:val="nil"/>
              <w:tr2bl w:val="nil"/>
            </w:tcBorders>
            <w:vAlign w:val="center"/>
          </w:tcPr>
          <w:p>
            <w:pPr>
              <w:pStyle w:val="16"/>
              <w:adjustRightInd w:val="0"/>
              <w:snapToGrid w:val="0"/>
              <w:spacing w:line="240" w:lineRule="auto"/>
              <w:ind w:left="0" w:right="0"/>
              <w:jc w:val="left"/>
              <w:rPr>
                <w:rFonts w:hint="eastAsia" w:ascii="Times New Roman" w:hAnsi="Times New Roman" w:eastAsia="宋体"/>
                <w:b w:val="0"/>
                <w:bCs/>
                <w:color w:val="auto"/>
                <w:sz w:val="21"/>
                <w:szCs w:val="21"/>
                <w:lang w:val="en-US" w:eastAsia="zh-CN"/>
              </w:rPr>
            </w:pPr>
            <w:r>
              <w:rPr>
                <w:rFonts w:hint="eastAsia" w:ascii="Times New Roman" w:hAnsi="Times New Roman" w:eastAsia="宋体"/>
                <w:b w:val="0"/>
                <w:bCs/>
                <w:color w:val="auto"/>
                <w:sz w:val="21"/>
                <w:szCs w:val="21"/>
                <w:lang w:val="en-US" w:eastAsia="zh-CN"/>
              </w:rPr>
              <w:t>加强管理</w:t>
            </w:r>
          </w:p>
        </w:tc>
        <w:tc>
          <w:tcPr>
            <w:tcW w:w="1216" w:type="dxa"/>
            <w:tcBorders>
              <w:tl2br w:val="nil"/>
              <w:tr2bl w:val="nil"/>
            </w:tcBorders>
            <w:vAlign w:val="center"/>
          </w:tcPr>
          <w:p>
            <w:pPr>
              <w:pStyle w:val="16"/>
              <w:adjustRightInd w:val="0"/>
              <w:snapToGrid w:val="0"/>
              <w:spacing w:line="240" w:lineRule="auto"/>
              <w:ind w:left="0" w:right="0"/>
              <w:jc w:val="center"/>
              <w:rPr>
                <w:rFonts w:hint="default" w:ascii="Times New Roman" w:hAnsi="Times New Roman" w:eastAsia="宋体"/>
                <w:b w:val="0"/>
                <w:bCs/>
                <w:color w:val="auto"/>
                <w:sz w:val="21"/>
                <w:szCs w:val="21"/>
                <w:lang w:val="en-US" w:eastAsia="zh-CN"/>
              </w:rPr>
            </w:pPr>
            <w:r>
              <w:rPr>
                <w:rFonts w:hint="eastAsia" w:ascii="Times New Roman" w:hAnsi="Times New Roman" w:eastAsia="宋体"/>
                <w:b w:val="0"/>
                <w:bCs/>
                <w:color w:val="auto"/>
                <w:sz w:val="21"/>
                <w:szCs w:val="21"/>
                <w:lang w:val="en-US" w:eastAsia="zh-CN"/>
              </w:rPr>
              <w:t>2</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357" w:hRule="atLeast"/>
          <w:jc w:val="center"/>
        </w:trPr>
        <w:tc>
          <w:tcPr>
            <w:tcW w:w="746" w:type="dxa"/>
            <w:vMerge w:val="continue"/>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p>
        </w:tc>
        <w:tc>
          <w:tcPr>
            <w:tcW w:w="899" w:type="dxa"/>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r>
              <w:rPr>
                <w:rFonts w:hint="eastAsia" w:ascii="Times New Roman" w:hAnsi="Times New Roman" w:eastAsia="宋体"/>
                <w:b w:val="0"/>
                <w:bCs/>
                <w:color w:val="auto"/>
                <w:sz w:val="21"/>
                <w:szCs w:val="21"/>
              </w:rPr>
              <w:t>噪声</w:t>
            </w:r>
          </w:p>
        </w:tc>
        <w:tc>
          <w:tcPr>
            <w:tcW w:w="1986" w:type="dxa"/>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r>
              <w:rPr>
                <w:rFonts w:hint="eastAsia" w:ascii="Times New Roman" w:hAnsi="Times New Roman" w:eastAsia="宋体"/>
                <w:b w:val="0"/>
                <w:bCs/>
                <w:color w:val="auto"/>
                <w:sz w:val="21"/>
                <w:szCs w:val="21"/>
              </w:rPr>
              <w:t>机械设备、风机、猪叫</w:t>
            </w:r>
          </w:p>
        </w:tc>
        <w:tc>
          <w:tcPr>
            <w:tcW w:w="4373" w:type="dxa"/>
            <w:tcBorders>
              <w:tl2br w:val="nil"/>
              <w:tr2bl w:val="nil"/>
            </w:tcBorders>
            <w:vAlign w:val="center"/>
          </w:tcPr>
          <w:p>
            <w:pPr>
              <w:pStyle w:val="16"/>
              <w:adjustRightInd w:val="0"/>
              <w:snapToGrid w:val="0"/>
              <w:spacing w:line="240" w:lineRule="auto"/>
              <w:ind w:left="0" w:right="0"/>
              <w:jc w:val="left"/>
              <w:rPr>
                <w:rFonts w:ascii="Times New Roman" w:hAnsi="Times New Roman" w:eastAsia="宋体"/>
                <w:b w:val="0"/>
                <w:bCs/>
                <w:color w:val="auto"/>
                <w:sz w:val="21"/>
                <w:szCs w:val="21"/>
              </w:rPr>
            </w:pPr>
            <w:r>
              <w:rPr>
                <w:rFonts w:hint="eastAsia" w:ascii="Times New Roman" w:hAnsi="Times New Roman" w:eastAsia="宋体"/>
                <w:b w:val="0"/>
                <w:bCs/>
                <w:color w:val="auto"/>
                <w:sz w:val="21"/>
                <w:szCs w:val="21"/>
              </w:rPr>
              <w:t>消声器、减震垫、建筑隔声、加强绿化</w:t>
            </w:r>
          </w:p>
        </w:tc>
        <w:tc>
          <w:tcPr>
            <w:tcW w:w="1216" w:type="dxa"/>
            <w:tcBorders>
              <w:tl2br w:val="nil"/>
              <w:tr2bl w:val="nil"/>
            </w:tcBorders>
            <w:vAlign w:val="center"/>
          </w:tcPr>
          <w:p>
            <w:pPr>
              <w:pStyle w:val="16"/>
              <w:adjustRightInd w:val="0"/>
              <w:snapToGrid w:val="0"/>
              <w:spacing w:line="240" w:lineRule="auto"/>
              <w:ind w:left="0" w:right="0"/>
              <w:jc w:val="center"/>
              <w:rPr>
                <w:rFonts w:hint="default" w:ascii="Times New Roman" w:hAnsi="Times New Roman" w:eastAsia="宋体"/>
                <w:b w:val="0"/>
                <w:bCs/>
                <w:color w:val="auto"/>
                <w:sz w:val="21"/>
                <w:szCs w:val="21"/>
                <w:lang w:val="en-US" w:eastAsia="zh-CN"/>
              </w:rPr>
            </w:pPr>
            <w:r>
              <w:rPr>
                <w:rFonts w:hint="eastAsia" w:ascii="Times New Roman" w:hAnsi="Times New Roman" w:eastAsia="宋体"/>
                <w:b w:val="0"/>
                <w:bCs/>
                <w:color w:val="auto"/>
                <w:sz w:val="21"/>
                <w:szCs w:val="21"/>
                <w:lang w:val="en-US" w:eastAsia="zh-CN"/>
              </w:rPr>
              <w:t>10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10" w:hRule="atLeast"/>
          <w:jc w:val="center"/>
        </w:trPr>
        <w:tc>
          <w:tcPr>
            <w:tcW w:w="746" w:type="dxa"/>
            <w:vMerge w:val="continue"/>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p>
        </w:tc>
        <w:tc>
          <w:tcPr>
            <w:tcW w:w="899" w:type="dxa"/>
            <w:vMerge w:val="restart"/>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r>
              <w:rPr>
                <w:rFonts w:hint="eastAsia" w:ascii="Times New Roman" w:hAnsi="Times New Roman" w:eastAsia="宋体"/>
                <w:b w:val="0"/>
                <w:bCs/>
                <w:color w:val="auto"/>
                <w:sz w:val="21"/>
                <w:szCs w:val="21"/>
              </w:rPr>
              <w:t>废水</w:t>
            </w:r>
          </w:p>
        </w:tc>
        <w:tc>
          <w:tcPr>
            <w:tcW w:w="1986" w:type="dxa"/>
            <w:tcBorders>
              <w:bottom w:val="single" w:color="000000" w:sz="2" w:space="0"/>
              <w:tl2br w:val="nil"/>
              <w:tr2bl w:val="nil"/>
            </w:tcBorders>
            <w:vAlign w:val="center"/>
          </w:tcPr>
          <w:p>
            <w:pPr>
              <w:pStyle w:val="16"/>
              <w:adjustRightInd w:val="0"/>
              <w:snapToGrid w:val="0"/>
              <w:spacing w:line="240" w:lineRule="auto"/>
              <w:ind w:left="0" w:right="0"/>
              <w:jc w:val="center"/>
              <w:rPr>
                <w:rFonts w:hint="eastAsia" w:ascii="Times New Roman" w:hAnsi="Times New Roman" w:eastAsia="宋体"/>
                <w:b w:val="0"/>
                <w:bCs/>
                <w:color w:val="auto"/>
                <w:sz w:val="21"/>
                <w:szCs w:val="21"/>
                <w:lang w:eastAsia="zh-CN"/>
              </w:rPr>
            </w:pPr>
            <w:r>
              <w:rPr>
                <w:rFonts w:hint="eastAsia" w:ascii="Times New Roman" w:hAnsi="Times New Roman" w:eastAsia="宋体"/>
                <w:b w:val="0"/>
                <w:bCs/>
                <w:color w:val="auto"/>
                <w:sz w:val="21"/>
                <w:szCs w:val="21"/>
              </w:rPr>
              <w:t>生活污水</w:t>
            </w:r>
            <w:r>
              <w:rPr>
                <w:rFonts w:hint="eastAsia" w:ascii="Times New Roman" w:hAnsi="Times New Roman" w:eastAsia="宋体"/>
                <w:b w:val="0"/>
                <w:bCs/>
                <w:color w:val="auto"/>
                <w:sz w:val="21"/>
                <w:szCs w:val="21"/>
                <w:lang w:eastAsia="zh-CN"/>
              </w:rPr>
              <w:t>、食堂废水</w:t>
            </w:r>
          </w:p>
        </w:tc>
        <w:tc>
          <w:tcPr>
            <w:tcW w:w="4373" w:type="dxa"/>
            <w:vMerge w:val="restart"/>
            <w:tcBorders>
              <w:tl2br w:val="nil"/>
              <w:tr2bl w:val="nil"/>
            </w:tcBorders>
            <w:vAlign w:val="center"/>
          </w:tcPr>
          <w:p>
            <w:pPr>
              <w:pStyle w:val="16"/>
              <w:adjustRightInd w:val="0"/>
              <w:snapToGrid w:val="0"/>
              <w:spacing w:line="240" w:lineRule="auto"/>
              <w:ind w:left="0" w:right="0"/>
              <w:jc w:val="left"/>
              <w:rPr>
                <w:rFonts w:hint="eastAsia" w:ascii="Times New Roman" w:hAnsi="Times New Roman" w:eastAsia="宋体"/>
                <w:b w:val="0"/>
                <w:bCs/>
                <w:color w:val="auto"/>
                <w:sz w:val="21"/>
                <w:szCs w:val="21"/>
                <w:lang w:val="en-US" w:eastAsia="zh-CN"/>
              </w:rPr>
            </w:pPr>
            <w:r>
              <w:rPr>
                <w:rFonts w:hint="eastAsia" w:ascii="Times New Roman" w:hAnsi="Times New Roman" w:eastAsia="宋体"/>
                <w:b w:val="0"/>
                <w:bCs/>
                <w:color w:val="auto"/>
                <w:sz w:val="21"/>
                <w:szCs w:val="21"/>
                <w:lang w:val="en-US" w:eastAsia="zh-CN"/>
              </w:rPr>
              <w:t>食堂废水经隔油池预处理后和生活污水、养殖废水一起进入污水处理区处理</w:t>
            </w:r>
          </w:p>
        </w:tc>
        <w:tc>
          <w:tcPr>
            <w:tcW w:w="1216" w:type="dxa"/>
            <w:vMerge w:val="restart"/>
            <w:tcBorders>
              <w:tl2br w:val="nil"/>
              <w:tr2bl w:val="nil"/>
            </w:tcBorders>
            <w:vAlign w:val="center"/>
          </w:tcPr>
          <w:p>
            <w:pPr>
              <w:pStyle w:val="16"/>
              <w:adjustRightInd w:val="0"/>
              <w:snapToGrid w:val="0"/>
              <w:spacing w:line="240" w:lineRule="auto"/>
              <w:ind w:left="0" w:right="0"/>
              <w:jc w:val="center"/>
              <w:rPr>
                <w:rFonts w:hint="default" w:ascii="Times New Roman" w:hAnsi="Times New Roman" w:eastAsia="宋体"/>
                <w:b w:val="0"/>
                <w:bCs/>
                <w:color w:val="auto"/>
                <w:sz w:val="21"/>
                <w:szCs w:val="21"/>
                <w:lang w:val="en-US" w:eastAsia="zh-CN"/>
              </w:rPr>
            </w:pPr>
            <w:r>
              <w:rPr>
                <w:rFonts w:hint="eastAsia" w:ascii="Times New Roman" w:hAnsi="Times New Roman" w:eastAsia="宋体"/>
                <w:b w:val="0"/>
                <w:bCs/>
                <w:color w:val="auto"/>
                <w:sz w:val="21"/>
                <w:szCs w:val="21"/>
                <w:lang w:val="en-US" w:eastAsia="zh-CN"/>
              </w:rPr>
              <w:t>300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169" w:hRule="atLeast"/>
          <w:jc w:val="center"/>
        </w:trPr>
        <w:tc>
          <w:tcPr>
            <w:tcW w:w="746" w:type="dxa"/>
            <w:vMerge w:val="continue"/>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p>
        </w:tc>
        <w:tc>
          <w:tcPr>
            <w:tcW w:w="899" w:type="dxa"/>
            <w:vMerge w:val="continue"/>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p>
        </w:tc>
        <w:tc>
          <w:tcPr>
            <w:tcW w:w="1986" w:type="dxa"/>
            <w:tcBorders>
              <w:bottom w:val="single" w:color="000000" w:sz="2" w:space="0"/>
              <w:tl2br w:val="nil"/>
              <w:tr2bl w:val="nil"/>
            </w:tcBorders>
            <w:vAlign w:val="center"/>
          </w:tcPr>
          <w:p>
            <w:pPr>
              <w:pStyle w:val="16"/>
              <w:adjustRightInd w:val="0"/>
              <w:snapToGrid w:val="0"/>
              <w:spacing w:line="240" w:lineRule="auto"/>
              <w:ind w:left="0" w:right="0"/>
              <w:jc w:val="center"/>
              <w:rPr>
                <w:rFonts w:hint="eastAsia" w:ascii="Times New Roman" w:hAnsi="Times New Roman" w:eastAsia="宋体"/>
                <w:b w:val="0"/>
                <w:bCs/>
                <w:color w:val="auto"/>
                <w:sz w:val="21"/>
                <w:szCs w:val="21"/>
                <w:lang w:eastAsia="zh-CN"/>
              </w:rPr>
            </w:pPr>
            <w:r>
              <w:rPr>
                <w:rFonts w:hint="eastAsia" w:ascii="Times New Roman" w:hAnsi="Times New Roman" w:eastAsia="宋体"/>
                <w:b w:val="0"/>
                <w:bCs/>
                <w:color w:val="auto"/>
                <w:sz w:val="21"/>
                <w:szCs w:val="21"/>
                <w:lang w:eastAsia="zh-CN"/>
              </w:rPr>
              <w:t>生产废水</w:t>
            </w:r>
          </w:p>
        </w:tc>
        <w:tc>
          <w:tcPr>
            <w:tcW w:w="4373" w:type="dxa"/>
            <w:vMerge w:val="continue"/>
            <w:tcBorders>
              <w:bottom w:val="single" w:color="000000" w:sz="2" w:space="0"/>
              <w:tl2br w:val="nil"/>
              <w:tr2bl w:val="nil"/>
            </w:tcBorders>
            <w:vAlign w:val="center"/>
          </w:tcPr>
          <w:p>
            <w:pPr>
              <w:pStyle w:val="16"/>
              <w:adjustRightInd w:val="0"/>
              <w:snapToGrid w:val="0"/>
              <w:spacing w:line="240" w:lineRule="auto"/>
              <w:ind w:left="0" w:right="0"/>
              <w:jc w:val="left"/>
              <w:rPr>
                <w:rFonts w:hint="eastAsia" w:ascii="Times New Roman" w:hAnsi="Times New Roman" w:eastAsia="宋体"/>
                <w:b w:val="0"/>
                <w:bCs/>
                <w:color w:val="auto"/>
                <w:sz w:val="21"/>
                <w:szCs w:val="21"/>
                <w:lang w:val="en-US" w:eastAsia="zh-CN"/>
              </w:rPr>
            </w:pPr>
          </w:p>
        </w:tc>
        <w:tc>
          <w:tcPr>
            <w:tcW w:w="1216" w:type="dxa"/>
            <w:vMerge w:val="continue"/>
            <w:tcBorders>
              <w:bottom w:val="single" w:color="000000" w:sz="2" w:space="0"/>
              <w:tl2br w:val="nil"/>
              <w:tr2bl w:val="nil"/>
            </w:tcBorders>
            <w:vAlign w:val="center"/>
          </w:tcPr>
          <w:p>
            <w:pPr>
              <w:pStyle w:val="16"/>
              <w:adjustRightInd w:val="0"/>
              <w:snapToGrid w:val="0"/>
              <w:spacing w:line="240" w:lineRule="auto"/>
              <w:ind w:left="0" w:right="0"/>
              <w:jc w:val="center"/>
              <w:rPr>
                <w:rFonts w:hint="eastAsia" w:ascii="Times New Roman" w:hAnsi="Times New Roman" w:eastAsia="宋体"/>
                <w:b w:val="0"/>
                <w:bCs/>
                <w:color w:val="auto"/>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jc w:val="center"/>
        </w:trPr>
        <w:tc>
          <w:tcPr>
            <w:tcW w:w="746" w:type="dxa"/>
            <w:vMerge w:val="continue"/>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p>
        </w:tc>
        <w:tc>
          <w:tcPr>
            <w:tcW w:w="899" w:type="dxa"/>
            <w:vMerge w:val="restart"/>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r>
              <w:rPr>
                <w:rFonts w:hint="eastAsia" w:ascii="Times New Roman" w:hAnsi="Times New Roman" w:eastAsia="宋体"/>
                <w:b w:val="0"/>
                <w:bCs/>
                <w:color w:val="auto"/>
                <w:sz w:val="21"/>
                <w:szCs w:val="21"/>
              </w:rPr>
              <w:t>固废</w:t>
            </w:r>
          </w:p>
        </w:tc>
        <w:tc>
          <w:tcPr>
            <w:tcW w:w="1986" w:type="dxa"/>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r>
              <w:rPr>
                <w:rFonts w:hint="eastAsia" w:ascii="Times New Roman" w:hAnsi="Times New Roman" w:eastAsia="宋体"/>
                <w:b w:val="0"/>
                <w:bCs/>
                <w:color w:val="auto"/>
                <w:sz w:val="21"/>
                <w:szCs w:val="21"/>
              </w:rPr>
              <w:t>生活垃圾</w:t>
            </w:r>
          </w:p>
        </w:tc>
        <w:tc>
          <w:tcPr>
            <w:tcW w:w="4373" w:type="dxa"/>
            <w:tcBorders>
              <w:tl2br w:val="nil"/>
              <w:tr2bl w:val="nil"/>
            </w:tcBorders>
            <w:vAlign w:val="center"/>
          </w:tcPr>
          <w:p>
            <w:pPr>
              <w:pStyle w:val="16"/>
              <w:adjustRightInd w:val="0"/>
              <w:snapToGrid w:val="0"/>
              <w:spacing w:line="240" w:lineRule="auto"/>
              <w:ind w:left="0" w:right="0"/>
              <w:jc w:val="left"/>
              <w:rPr>
                <w:rFonts w:ascii="Times New Roman" w:hAnsi="Times New Roman" w:eastAsia="宋体"/>
                <w:b w:val="0"/>
                <w:bCs/>
                <w:color w:val="auto"/>
                <w:sz w:val="21"/>
                <w:szCs w:val="21"/>
              </w:rPr>
            </w:pPr>
            <w:r>
              <w:rPr>
                <w:rFonts w:hint="eastAsia" w:ascii="Times New Roman" w:hAnsi="Times New Roman" w:eastAsia="宋体"/>
                <w:b w:val="0"/>
                <w:bCs/>
                <w:color w:val="auto"/>
                <w:sz w:val="21"/>
                <w:szCs w:val="21"/>
              </w:rPr>
              <w:t>垃圾桶收集后，委托环卫部门处理</w:t>
            </w:r>
          </w:p>
        </w:tc>
        <w:tc>
          <w:tcPr>
            <w:tcW w:w="1216" w:type="dxa"/>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r>
              <w:rPr>
                <w:rFonts w:hint="eastAsia" w:ascii="Times New Roman" w:hAnsi="Times New Roman" w:eastAsia="宋体"/>
                <w:b w:val="0"/>
                <w:bCs/>
                <w:color w:val="auto"/>
                <w:sz w:val="21"/>
                <w:szCs w:val="21"/>
              </w:rPr>
              <w:t>1</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6" w:hRule="atLeast"/>
          <w:jc w:val="center"/>
        </w:trPr>
        <w:tc>
          <w:tcPr>
            <w:tcW w:w="746" w:type="dxa"/>
            <w:vMerge w:val="continue"/>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p>
        </w:tc>
        <w:tc>
          <w:tcPr>
            <w:tcW w:w="899" w:type="dxa"/>
            <w:vMerge w:val="continue"/>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p>
        </w:tc>
        <w:tc>
          <w:tcPr>
            <w:tcW w:w="1986" w:type="dxa"/>
            <w:tcBorders>
              <w:bottom w:val="single" w:color="000000" w:sz="2" w:space="0"/>
              <w:tl2br w:val="nil"/>
              <w:tr2bl w:val="nil"/>
            </w:tcBorders>
            <w:vAlign w:val="center"/>
          </w:tcPr>
          <w:p>
            <w:pPr>
              <w:pStyle w:val="16"/>
              <w:adjustRightInd w:val="0"/>
              <w:snapToGrid w:val="0"/>
              <w:spacing w:line="240" w:lineRule="auto"/>
              <w:ind w:left="0" w:right="0"/>
              <w:jc w:val="center"/>
              <w:rPr>
                <w:rFonts w:hint="eastAsia" w:ascii="Times New Roman" w:hAnsi="Times New Roman" w:eastAsia="宋体"/>
                <w:b w:val="0"/>
                <w:bCs/>
                <w:color w:val="auto"/>
                <w:sz w:val="21"/>
                <w:szCs w:val="21"/>
                <w:lang w:val="en-US" w:eastAsia="zh-CN"/>
              </w:rPr>
            </w:pPr>
            <w:r>
              <w:rPr>
                <w:rFonts w:hint="eastAsia" w:ascii="Times New Roman" w:hAnsi="Times New Roman" w:eastAsia="宋体"/>
                <w:b w:val="0"/>
                <w:bCs/>
                <w:color w:val="auto"/>
                <w:sz w:val="21"/>
                <w:szCs w:val="21"/>
                <w:lang w:val="en-US" w:eastAsia="zh-CN"/>
              </w:rPr>
              <w:t>猪粪</w:t>
            </w:r>
          </w:p>
        </w:tc>
        <w:tc>
          <w:tcPr>
            <w:tcW w:w="4373" w:type="dxa"/>
            <w:tcBorders>
              <w:bottom w:val="single" w:color="000000" w:sz="2" w:space="0"/>
              <w:tl2br w:val="nil"/>
              <w:tr2bl w:val="nil"/>
            </w:tcBorders>
            <w:vAlign w:val="center"/>
          </w:tcPr>
          <w:p>
            <w:pPr>
              <w:pStyle w:val="16"/>
              <w:adjustRightInd w:val="0"/>
              <w:snapToGrid w:val="0"/>
              <w:spacing w:line="240" w:lineRule="auto"/>
              <w:ind w:left="0" w:right="0"/>
              <w:jc w:val="left"/>
              <w:rPr>
                <w:rFonts w:hint="eastAsia" w:ascii="Times New Roman" w:hAnsi="Times New Roman" w:eastAsia="宋体"/>
                <w:b w:val="0"/>
                <w:bCs/>
                <w:color w:val="auto"/>
                <w:sz w:val="21"/>
                <w:szCs w:val="21"/>
                <w:lang w:eastAsia="zh-CN"/>
              </w:rPr>
            </w:pPr>
            <w:r>
              <w:rPr>
                <w:rFonts w:hint="eastAsia" w:ascii="Times New Roman" w:hAnsi="Times New Roman" w:eastAsia="宋体"/>
                <w:b w:val="0"/>
                <w:bCs/>
                <w:color w:val="auto"/>
                <w:sz w:val="21"/>
                <w:szCs w:val="21"/>
                <w:lang w:eastAsia="zh-CN"/>
              </w:rPr>
              <w:t>好氧堆肥还田利用</w:t>
            </w:r>
          </w:p>
        </w:tc>
        <w:tc>
          <w:tcPr>
            <w:tcW w:w="1216" w:type="dxa"/>
            <w:tcBorders>
              <w:bottom w:val="single" w:color="000000" w:sz="2" w:space="0"/>
              <w:tl2br w:val="nil"/>
              <w:tr2bl w:val="nil"/>
            </w:tcBorders>
            <w:vAlign w:val="center"/>
          </w:tcPr>
          <w:p>
            <w:pPr>
              <w:pStyle w:val="16"/>
              <w:adjustRightInd w:val="0"/>
              <w:snapToGrid w:val="0"/>
              <w:spacing w:line="240" w:lineRule="auto"/>
              <w:ind w:left="0" w:right="0"/>
              <w:jc w:val="center"/>
              <w:rPr>
                <w:rFonts w:hint="eastAsia" w:ascii="Times New Roman" w:hAnsi="Times New Roman" w:eastAsia="宋体"/>
                <w:b w:val="0"/>
                <w:bCs/>
                <w:color w:val="auto"/>
                <w:sz w:val="21"/>
                <w:szCs w:val="21"/>
                <w:lang w:eastAsia="zh-CN"/>
              </w:rPr>
            </w:pPr>
            <w:r>
              <w:rPr>
                <w:rFonts w:hint="eastAsia" w:ascii="Times New Roman" w:hAnsi="Times New Roman" w:eastAsia="宋体"/>
                <w:b w:val="0"/>
                <w:bCs/>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173" w:hRule="atLeast"/>
          <w:jc w:val="center"/>
        </w:trPr>
        <w:tc>
          <w:tcPr>
            <w:tcW w:w="746" w:type="dxa"/>
            <w:vMerge w:val="continue"/>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p>
        </w:tc>
        <w:tc>
          <w:tcPr>
            <w:tcW w:w="899" w:type="dxa"/>
            <w:vMerge w:val="continue"/>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p>
        </w:tc>
        <w:tc>
          <w:tcPr>
            <w:tcW w:w="1986" w:type="dxa"/>
            <w:tcBorders>
              <w:top w:val="single" w:color="000000" w:sz="2" w:space="0"/>
              <w:tl2br w:val="nil"/>
              <w:tr2bl w:val="nil"/>
            </w:tcBorders>
            <w:vAlign w:val="center"/>
          </w:tcPr>
          <w:p>
            <w:pPr>
              <w:pStyle w:val="16"/>
              <w:adjustRightInd w:val="0"/>
              <w:snapToGrid w:val="0"/>
              <w:spacing w:line="240" w:lineRule="auto"/>
              <w:ind w:left="0" w:right="0"/>
              <w:jc w:val="center"/>
              <w:rPr>
                <w:rFonts w:hint="eastAsia" w:ascii="Times New Roman" w:hAnsi="Times New Roman" w:eastAsia="宋体"/>
                <w:b w:val="0"/>
                <w:bCs/>
                <w:color w:val="auto"/>
                <w:sz w:val="21"/>
                <w:szCs w:val="21"/>
                <w:lang w:val="en-US" w:eastAsia="zh-CN"/>
              </w:rPr>
            </w:pPr>
            <w:r>
              <w:rPr>
                <w:rFonts w:hint="eastAsia" w:ascii="Times New Roman" w:hAnsi="Times New Roman" w:eastAsia="宋体"/>
                <w:b w:val="0"/>
                <w:bCs/>
                <w:color w:val="auto"/>
                <w:sz w:val="21"/>
                <w:szCs w:val="21"/>
                <w:lang w:val="en-US" w:eastAsia="zh-CN"/>
              </w:rPr>
              <w:t>病死猪</w:t>
            </w:r>
          </w:p>
        </w:tc>
        <w:tc>
          <w:tcPr>
            <w:tcW w:w="4373" w:type="dxa"/>
            <w:tcBorders>
              <w:top w:val="single" w:color="000000" w:sz="2" w:space="0"/>
              <w:tl2br w:val="nil"/>
              <w:tr2bl w:val="nil"/>
            </w:tcBorders>
            <w:vAlign w:val="center"/>
          </w:tcPr>
          <w:p>
            <w:pPr>
              <w:pStyle w:val="16"/>
              <w:adjustRightInd w:val="0"/>
              <w:snapToGrid w:val="0"/>
              <w:spacing w:line="240" w:lineRule="auto"/>
              <w:ind w:left="0" w:right="0"/>
              <w:jc w:val="left"/>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场内化尸池无害化填埋</w:t>
            </w:r>
          </w:p>
        </w:tc>
        <w:tc>
          <w:tcPr>
            <w:tcW w:w="1216" w:type="dxa"/>
            <w:tcBorders>
              <w:top w:val="single" w:color="000000" w:sz="2" w:space="0"/>
              <w:tl2br w:val="nil"/>
              <w:tr2bl w:val="nil"/>
            </w:tcBorders>
            <w:vAlign w:val="center"/>
          </w:tcPr>
          <w:p>
            <w:pPr>
              <w:pStyle w:val="16"/>
              <w:adjustRightInd w:val="0"/>
              <w:snapToGrid w:val="0"/>
              <w:spacing w:line="240" w:lineRule="auto"/>
              <w:ind w:left="0" w:right="0"/>
              <w:jc w:val="center"/>
              <w:rPr>
                <w:rFonts w:hint="default" w:ascii="Times New Roman" w:hAnsi="Times New Roman" w:eastAsia="宋体"/>
                <w:b w:val="0"/>
                <w:bCs/>
                <w:color w:val="auto"/>
                <w:sz w:val="21"/>
                <w:szCs w:val="21"/>
                <w:lang w:val="en-US" w:eastAsia="zh-CN"/>
              </w:rPr>
            </w:pPr>
            <w:r>
              <w:rPr>
                <w:rFonts w:hint="eastAsia" w:ascii="Times New Roman" w:hAnsi="Times New Roman" w:eastAsia="宋体"/>
                <w:b w:val="0"/>
                <w:bCs/>
                <w:color w:val="auto"/>
                <w:sz w:val="21"/>
                <w:szCs w:val="21"/>
                <w:lang w:val="en-US" w:eastAsia="zh-CN"/>
              </w:rPr>
              <w:t>10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173" w:hRule="atLeast"/>
          <w:jc w:val="center"/>
        </w:trPr>
        <w:tc>
          <w:tcPr>
            <w:tcW w:w="746" w:type="dxa"/>
            <w:vMerge w:val="continue"/>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p>
        </w:tc>
        <w:tc>
          <w:tcPr>
            <w:tcW w:w="899" w:type="dxa"/>
            <w:vMerge w:val="continue"/>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p>
        </w:tc>
        <w:tc>
          <w:tcPr>
            <w:tcW w:w="1986" w:type="dxa"/>
            <w:tcBorders>
              <w:top w:val="single" w:color="000000" w:sz="2" w:space="0"/>
              <w:tl2br w:val="nil"/>
              <w:tr2bl w:val="nil"/>
            </w:tcBorders>
            <w:vAlign w:val="center"/>
          </w:tcPr>
          <w:p>
            <w:pPr>
              <w:pStyle w:val="16"/>
              <w:adjustRightInd w:val="0"/>
              <w:snapToGrid w:val="0"/>
              <w:spacing w:line="240" w:lineRule="auto"/>
              <w:ind w:left="0" w:right="0"/>
              <w:jc w:val="center"/>
              <w:rPr>
                <w:rFonts w:hint="eastAsia" w:ascii="Times New Roman" w:hAnsi="Times New Roman" w:eastAsia="宋体"/>
                <w:b w:val="0"/>
                <w:bCs/>
                <w:color w:val="auto"/>
                <w:sz w:val="21"/>
                <w:szCs w:val="21"/>
                <w:lang w:val="en-US" w:eastAsia="zh-CN"/>
              </w:rPr>
            </w:pPr>
            <w:r>
              <w:rPr>
                <w:rFonts w:hint="eastAsia" w:ascii="Times New Roman" w:hAnsi="Times New Roman" w:eastAsia="宋体"/>
                <w:b w:val="0"/>
                <w:bCs/>
                <w:color w:val="auto"/>
                <w:sz w:val="21"/>
                <w:szCs w:val="21"/>
                <w:lang w:val="en-US" w:eastAsia="zh-CN"/>
              </w:rPr>
              <w:t>污泥</w:t>
            </w:r>
          </w:p>
        </w:tc>
        <w:tc>
          <w:tcPr>
            <w:tcW w:w="4373" w:type="dxa"/>
            <w:tcBorders>
              <w:top w:val="single" w:color="000000" w:sz="2" w:space="0"/>
              <w:tl2br w:val="nil"/>
              <w:tr2bl w:val="nil"/>
            </w:tcBorders>
            <w:vAlign w:val="center"/>
          </w:tcPr>
          <w:p>
            <w:pPr>
              <w:pStyle w:val="16"/>
              <w:adjustRightInd w:val="0"/>
              <w:snapToGrid w:val="0"/>
              <w:spacing w:line="240" w:lineRule="auto"/>
              <w:ind w:left="0" w:right="0"/>
              <w:jc w:val="left"/>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b w:val="0"/>
                <w:bCs/>
                <w:color w:val="auto"/>
                <w:sz w:val="21"/>
                <w:szCs w:val="21"/>
                <w:lang w:eastAsia="zh-CN"/>
              </w:rPr>
              <w:t>好氧堆肥还田利用</w:t>
            </w:r>
          </w:p>
        </w:tc>
        <w:tc>
          <w:tcPr>
            <w:tcW w:w="1216" w:type="dxa"/>
            <w:tcBorders>
              <w:top w:val="single" w:color="000000" w:sz="2" w:space="0"/>
              <w:tl2br w:val="nil"/>
              <w:tr2bl w:val="nil"/>
            </w:tcBorders>
            <w:vAlign w:val="center"/>
          </w:tcPr>
          <w:p>
            <w:pPr>
              <w:pStyle w:val="16"/>
              <w:adjustRightInd w:val="0"/>
              <w:snapToGrid w:val="0"/>
              <w:spacing w:line="240" w:lineRule="auto"/>
              <w:ind w:left="0" w:right="0"/>
              <w:jc w:val="center"/>
              <w:rPr>
                <w:rFonts w:hint="default" w:ascii="Times New Roman" w:hAnsi="Times New Roman" w:eastAsia="宋体"/>
                <w:b w:val="0"/>
                <w:bCs/>
                <w:color w:val="auto"/>
                <w:sz w:val="21"/>
                <w:szCs w:val="21"/>
                <w:lang w:val="en-US" w:eastAsia="zh-CN"/>
              </w:rPr>
            </w:pPr>
            <w:r>
              <w:rPr>
                <w:rFonts w:hint="eastAsia" w:ascii="Times New Roman" w:hAnsi="Times New Roman" w:eastAsia="宋体"/>
                <w:b w:val="0"/>
                <w:bCs/>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173" w:hRule="atLeast"/>
          <w:jc w:val="center"/>
        </w:trPr>
        <w:tc>
          <w:tcPr>
            <w:tcW w:w="746" w:type="dxa"/>
            <w:vMerge w:val="continue"/>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p>
        </w:tc>
        <w:tc>
          <w:tcPr>
            <w:tcW w:w="899" w:type="dxa"/>
            <w:vMerge w:val="continue"/>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p>
        </w:tc>
        <w:tc>
          <w:tcPr>
            <w:tcW w:w="1986" w:type="dxa"/>
            <w:tcBorders>
              <w:top w:val="single" w:color="000000" w:sz="2" w:space="0"/>
              <w:tl2br w:val="nil"/>
              <w:tr2bl w:val="nil"/>
            </w:tcBorders>
            <w:vAlign w:val="center"/>
          </w:tcPr>
          <w:p>
            <w:pPr>
              <w:pStyle w:val="16"/>
              <w:adjustRightInd w:val="0"/>
              <w:snapToGrid w:val="0"/>
              <w:spacing w:line="240" w:lineRule="auto"/>
              <w:ind w:left="0" w:right="0"/>
              <w:jc w:val="center"/>
              <w:rPr>
                <w:rFonts w:hint="default" w:ascii="Times New Roman" w:hAnsi="Times New Roman" w:eastAsia="宋体"/>
                <w:b w:val="0"/>
                <w:bCs/>
                <w:color w:val="auto"/>
                <w:sz w:val="21"/>
                <w:szCs w:val="21"/>
                <w:lang w:val="en-US" w:eastAsia="zh-CN"/>
              </w:rPr>
            </w:pPr>
            <w:r>
              <w:rPr>
                <w:rFonts w:hint="eastAsia" w:ascii="Times New Roman" w:hAnsi="Times New Roman" w:eastAsia="宋体"/>
                <w:b w:val="0"/>
                <w:bCs/>
                <w:color w:val="auto"/>
                <w:sz w:val="21"/>
                <w:szCs w:val="21"/>
                <w:lang w:val="en-US" w:eastAsia="zh-CN"/>
              </w:rPr>
              <w:t>废包装材料</w:t>
            </w:r>
          </w:p>
        </w:tc>
        <w:tc>
          <w:tcPr>
            <w:tcW w:w="4373" w:type="dxa"/>
            <w:tcBorders>
              <w:top w:val="single" w:color="000000" w:sz="2" w:space="0"/>
              <w:tl2br w:val="nil"/>
              <w:tr2bl w:val="nil"/>
            </w:tcBorders>
            <w:vAlign w:val="center"/>
          </w:tcPr>
          <w:p>
            <w:pPr>
              <w:pStyle w:val="16"/>
              <w:adjustRightInd w:val="0"/>
              <w:snapToGrid w:val="0"/>
              <w:spacing w:line="240" w:lineRule="auto"/>
              <w:ind w:left="0" w:right="0"/>
              <w:jc w:val="left"/>
              <w:rPr>
                <w:rFonts w:hint="eastAsia" w:ascii="Times New Roman" w:hAnsi="Times New Roman" w:eastAsia="宋体"/>
                <w:b w:val="0"/>
                <w:bCs/>
                <w:color w:val="auto"/>
                <w:sz w:val="21"/>
                <w:szCs w:val="21"/>
                <w:lang w:eastAsia="zh-CN"/>
              </w:rPr>
            </w:pPr>
            <w:r>
              <w:rPr>
                <w:rFonts w:hint="eastAsia" w:ascii="Times New Roman" w:hAnsi="Times New Roman" w:eastAsia="宋体"/>
                <w:b w:val="0"/>
                <w:bCs/>
                <w:color w:val="auto"/>
                <w:sz w:val="21"/>
                <w:szCs w:val="21"/>
                <w:lang w:val="en-US" w:eastAsia="zh-CN"/>
              </w:rPr>
              <w:t>收集后外售废品回收站回收利用</w:t>
            </w:r>
          </w:p>
        </w:tc>
        <w:tc>
          <w:tcPr>
            <w:tcW w:w="1216" w:type="dxa"/>
            <w:tcBorders>
              <w:top w:val="single" w:color="000000" w:sz="2" w:space="0"/>
              <w:tl2br w:val="nil"/>
              <w:tr2bl w:val="nil"/>
            </w:tcBorders>
            <w:vAlign w:val="center"/>
          </w:tcPr>
          <w:p>
            <w:pPr>
              <w:pStyle w:val="16"/>
              <w:adjustRightInd w:val="0"/>
              <w:snapToGrid w:val="0"/>
              <w:spacing w:line="240" w:lineRule="auto"/>
              <w:ind w:left="0" w:right="0"/>
              <w:jc w:val="center"/>
              <w:rPr>
                <w:rFonts w:hint="default" w:ascii="Times New Roman" w:hAnsi="Times New Roman" w:eastAsia="宋体"/>
                <w:b w:val="0"/>
                <w:bCs/>
                <w:color w:val="auto"/>
                <w:sz w:val="21"/>
                <w:szCs w:val="21"/>
                <w:lang w:val="en-US" w:eastAsia="zh-CN"/>
              </w:rPr>
            </w:pPr>
            <w:r>
              <w:rPr>
                <w:rFonts w:hint="eastAsia" w:ascii="Times New Roman" w:hAnsi="Times New Roman" w:eastAsia="宋体"/>
                <w:b w:val="0"/>
                <w:bCs/>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173" w:hRule="atLeast"/>
          <w:jc w:val="center"/>
        </w:trPr>
        <w:tc>
          <w:tcPr>
            <w:tcW w:w="746" w:type="dxa"/>
            <w:vMerge w:val="continue"/>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p>
        </w:tc>
        <w:tc>
          <w:tcPr>
            <w:tcW w:w="899" w:type="dxa"/>
            <w:vMerge w:val="continue"/>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p>
        </w:tc>
        <w:tc>
          <w:tcPr>
            <w:tcW w:w="1986" w:type="dxa"/>
            <w:tcBorders>
              <w:top w:val="single" w:color="000000" w:sz="2" w:space="0"/>
              <w:tl2br w:val="nil"/>
              <w:tr2bl w:val="nil"/>
            </w:tcBorders>
            <w:vAlign w:val="center"/>
          </w:tcPr>
          <w:p>
            <w:pPr>
              <w:pStyle w:val="16"/>
              <w:adjustRightInd w:val="0"/>
              <w:snapToGrid w:val="0"/>
              <w:spacing w:line="240" w:lineRule="auto"/>
              <w:ind w:left="0" w:right="0"/>
              <w:jc w:val="center"/>
              <w:rPr>
                <w:rFonts w:hint="eastAsia" w:ascii="Times New Roman" w:hAnsi="Times New Roman" w:eastAsia="宋体"/>
                <w:b w:val="0"/>
                <w:bCs/>
                <w:color w:val="auto"/>
                <w:sz w:val="21"/>
                <w:szCs w:val="21"/>
                <w:lang w:val="en-US" w:eastAsia="zh-CN"/>
              </w:rPr>
            </w:pPr>
            <w:r>
              <w:rPr>
                <w:rFonts w:hint="eastAsia" w:ascii="Times New Roman" w:hAnsi="Times New Roman" w:eastAsia="宋体"/>
                <w:b w:val="0"/>
                <w:bCs/>
                <w:color w:val="auto"/>
                <w:sz w:val="21"/>
                <w:szCs w:val="21"/>
                <w:lang w:val="en-US" w:eastAsia="zh-CN"/>
              </w:rPr>
              <w:t>医疗废物</w:t>
            </w:r>
          </w:p>
        </w:tc>
        <w:tc>
          <w:tcPr>
            <w:tcW w:w="4373" w:type="dxa"/>
            <w:tcBorders>
              <w:top w:val="single" w:color="000000" w:sz="2" w:space="0"/>
              <w:tl2br w:val="nil"/>
              <w:tr2bl w:val="nil"/>
            </w:tcBorders>
            <w:vAlign w:val="center"/>
          </w:tcPr>
          <w:p>
            <w:pPr>
              <w:pStyle w:val="16"/>
              <w:adjustRightInd w:val="0"/>
              <w:snapToGrid w:val="0"/>
              <w:spacing w:line="240" w:lineRule="auto"/>
              <w:ind w:left="0" w:right="0"/>
              <w:jc w:val="left"/>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暂存于1个建筑面积40m</w:t>
            </w:r>
            <w:r>
              <w:rPr>
                <w:rFonts w:hint="eastAsia" w:ascii="Times New Roman" w:hAnsi="Times New Roman" w:eastAsia="宋体" w:cs="Times New Roman"/>
                <w:b w:val="0"/>
                <w:bCs/>
                <w:color w:val="auto"/>
                <w:sz w:val="21"/>
                <w:szCs w:val="21"/>
                <w:vertAlign w:val="superscript"/>
                <w:lang w:val="en-US" w:eastAsia="zh-CN"/>
              </w:rPr>
              <w:t>2</w:t>
            </w:r>
            <w:r>
              <w:rPr>
                <w:rFonts w:hint="eastAsia" w:ascii="Times New Roman" w:hAnsi="Times New Roman" w:eastAsia="宋体" w:cs="Times New Roman"/>
                <w:b w:val="0"/>
                <w:bCs/>
                <w:color w:val="auto"/>
                <w:sz w:val="21"/>
                <w:szCs w:val="21"/>
                <w:lang w:val="en-US" w:eastAsia="zh-CN"/>
              </w:rPr>
              <w:t>危废暂存间，交给有危废处理资质的单位处理</w:t>
            </w:r>
          </w:p>
        </w:tc>
        <w:tc>
          <w:tcPr>
            <w:tcW w:w="1216" w:type="dxa"/>
            <w:tcBorders>
              <w:top w:val="single" w:color="000000" w:sz="2" w:space="0"/>
              <w:tl2br w:val="nil"/>
              <w:tr2bl w:val="nil"/>
            </w:tcBorders>
            <w:vAlign w:val="center"/>
          </w:tcPr>
          <w:p>
            <w:pPr>
              <w:pStyle w:val="16"/>
              <w:adjustRightInd w:val="0"/>
              <w:snapToGrid w:val="0"/>
              <w:spacing w:line="240" w:lineRule="auto"/>
              <w:ind w:left="0" w:right="0"/>
              <w:jc w:val="center"/>
              <w:rPr>
                <w:rFonts w:hint="default" w:ascii="Times New Roman" w:hAnsi="Times New Roman" w:eastAsia="宋体"/>
                <w:b w:val="0"/>
                <w:bCs/>
                <w:color w:val="auto"/>
                <w:sz w:val="21"/>
                <w:szCs w:val="21"/>
                <w:lang w:val="en-US" w:eastAsia="zh-CN"/>
              </w:rPr>
            </w:pPr>
            <w:r>
              <w:rPr>
                <w:rFonts w:hint="eastAsia" w:ascii="Times New Roman" w:hAnsi="Times New Roman" w:eastAsia="宋体"/>
                <w:b w:val="0"/>
                <w:bCs/>
                <w:color w:val="auto"/>
                <w:sz w:val="21"/>
                <w:szCs w:val="21"/>
                <w:lang w:val="en-US" w:eastAsia="zh-CN"/>
              </w:rPr>
              <w:t>8</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jc w:val="center"/>
        </w:trPr>
        <w:tc>
          <w:tcPr>
            <w:tcW w:w="746" w:type="dxa"/>
            <w:vMerge w:val="continue"/>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p>
        </w:tc>
        <w:tc>
          <w:tcPr>
            <w:tcW w:w="899" w:type="dxa"/>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r>
              <w:rPr>
                <w:rFonts w:hint="eastAsia" w:ascii="Times New Roman" w:hAnsi="Times New Roman" w:eastAsia="宋体"/>
                <w:b w:val="0"/>
                <w:bCs/>
                <w:color w:val="auto"/>
                <w:sz w:val="21"/>
                <w:szCs w:val="21"/>
              </w:rPr>
              <w:t>地下水</w:t>
            </w:r>
          </w:p>
        </w:tc>
        <w:tc>
          <w:tcPr>
            <w:tcW w:w="1986" w:type="dxa"/>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r>
              <w:rPr>
                <w:rFonts w:hint="eastAsia" w:ascii="Times New Roman" w:hAnsi="Times New Roman" w:eastAsia="宋体"/>
                <w:b w:val="0"/>
                <w:bCs/>
                <w:color w:val="auto"/>
                <w:sz w:val="21"/>
                <w:szCs w:val="21"/>
              </w:rPr>
              <w:t>/</w:t>
            </w:r>
          </w:p>
        </w:tc>
        <w:tc>
          <w:tcPr>
            <w:tcW w:w="4373" w:type="dxa"/>
            <w:tcBorders>
              <w:tl2br w:val="nil"/>
              <w:tr2bl w:val="nil"/>
            </w:tcBorders>
            <w:vAlign w:val="center"/>
          </w:tcPr>
          <w:p>
            <w:pPr>
              <w:pStyle w:val="16"/>
              <w:adjustRightInd w:val="0"/>
              <w:snapToGrid w:val="0"/>
              <w:spacing w:line="240" w:lineRule="auto"/>
              <w:ind w:left="0" w:right="0"/>
              <w:jc w:val="left"/>
              <w:rPr>
                <w:rFonts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lang w:val="en-US" w:eastAsia="zh-CN"/>
              </w:rPr>
              <w:t>猪舍、污水处理区、危废暂存间、发电机房、粪污收集管道、化尸池</w:t>
            </w:r>
            <w:r>
              <w:rPr>
                <w:rFonts w:hint="eastAsia" w:ascii="Times New Roman" w:hAnsi="Times New Roman" w:eastAsia="宋体" w:cs="Times New Roman"/>
                <w:b w:val="0"/>
                <w:bCs/>
                <w:color w:val="auto"/>
                <w:sz w:val="21"/>
                <w:szCs w:val="21"/>
                <w:lang w:eastAsia="zh-CN"/>
              </w:rPr>
              <w:t>重点防渗；猪走道（污道）、固废暂存间一般防渗；养殖区其余部分等一般路面硬化</w:t>
            </w:r>
          </w:p>
        </w:tc>
        <w:tc>
          <w:tcPr>
            <w:tcW w:w="1216" w:type="dxa"/>
            <w:tcBorders>
              <w:tl2br w:val="nil"/>
              <w:tr2bl w:val="nil"/>
            </w:tcBorders>
            <w:vAlign w:val="center"/>
          </w:tcPr>
          <w:p>
            <w:pPr>
              <w:pStyle w:val="16"/>
              <w:adjustRightInd w:val="0"/>
              <w:snapToGrid w:val="0"/>
              <w:spacing w:line="240" w:lineRule="auto"/>
              <w:ind w:left="0" w:right="0"/>
              <w:jc w:val="center"/>
              <w:rPr>
                <w:rFonts w:hint="default" w:ascii="Times New Roman" w:hAnsi="Times New Roman" w:eastAsia="宋体"/>
                <w:b w:val="0"/>
                <w:bCs/>
                <w:color w:val="auto"/>
                <w:sz w:val="21"/>
                <w:szCs w:val="21"/>
                <w:lang w:val="en-US" w:eastAsia="zh-CN"/>
              </w:rPr>
            </w:pPr>
            <w:r>
              <w:rPr>
                <w:rFonts w:hint="eastAsia" w:ascii="Times New Roman" w:hAnsi="Times New Roman" w:eastAsia="宋体"/>
                <w:b w:val="0"/>
                <w:bCs/>
                <w:color w:val="auto"/>
                <w:sz w:val="21"/>
                <w:szCs w:val="21"/>
                <w:lang w:val="en-US" w:eastAsia="zh-CN"/>
              </w:rPr>
              <w:t>30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jc w:val="center"/>
        </w:trPr>
        <w:tc>
          <w:tcPr>
            <w:tcW w:w="746" w:type="dxa"/>
            <w:vMerge w:val="continue"/>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p>
        </w:tc>
        <w:tc>
          <w:tcPr>
            <w:tcW w:w="899" w:type="dxa"/>
            <w:tcBorders>
              <w:tl2br w:val="nil"/>
              <w:tr2bl w:val="nil"/>
            </w:tcBorders>
            <w:vAlign w:val="center"/>
          </w:tcPr>
          <w:p>
            <w:pPr>
              <w:pStyle w:val="16"/>
              <w:adjustRightInd w:val="0"/>
              <w:snapToGrid w:val="0"/>
              <w:spacing w:line="240" w:lineRule="auto"/>
              <w:ind w:left="0" w:right="0"/>
              <w:jc w:val="center"/>
              <w:rPr>
                <w:rFonts w:hint="eastAsia" w:ascii="Times New Roman" w:hAnsi="Times New Roman" w:eastAsia="宋体"/>
                <w:b w:val="0"/>
                <w:bCs/>
                <w:color w:val="auto"/>
                <w:sz w:val="21"/>
                <w:szCs w:val="21"/>
                <w:lang w:eastAsia="zh-CN"/>
              </w:rPr>
            </w:pPr>
            <w:r>
              <w:rPr>
                <w:rFonts w:hint="eastAsia" w:ascii="Times New Roman" w:hAnsi="Times New Roman" w:eastAsia="宋体"/>
                <w:b w:val="0"/>
                <w:bCs/>
                <w:color w:val="auto"/>
                <w:sz w:val="21"/>
                <w:szCs w:val="21"/>
                <w:lang w:eastAsia="zh-CN"/>
              </w:rPr>
              <w:t>生态</w:t>
            </w:r>
          </w:p>
        </w:tc>
        <w:tc>
          <w:tcPr>
            <w:tcW w:w="1986" w:type="dxa"/>
            <w:tcBorders>
              <w:tl2br w:val="nil"/>
              <w:tr2bl w:val="nil"/>
            </w:tcBorders>
            <w:vAlign w:val="center"/>
          </w:tcPr>
          <w:p>
            <w:pPr>
              <w:pStyle w:val="16"/>
              <w:adjustRightInd w:val="0"/>
              <w:snapToGrid w:val="0"/>
              <w:spacing w:line="240" w:lineRule="auto"/>
              <w:ind w:left="0" w:right="0"/>
              <w:jc w:val="center"/>
              <w:rPr>
                <w:rFonts w:hint="eastAsia" w:ascii="Times New Roman" w:hAnsi="Times New Roman" w:eastAsia="宋体"/>
                <w:b w:val="0"/>
                <w:bCs/>
                <w:color w:val="auto"/>
                <w:sz w:val="21"/>
                <w:szCs w:val="21"/>
                <w:lang w:eastAsia="zh-CN"/>
              </w:rPr>
            </w:pPr>
            <w:r>
              <w:rPr>
                <w:rFonts w:hint="eastAsia" w:ascii="Times New Roman" w:hAnsi="Times New Roman" w:eastAsia="宋体"/>
                <w:b w:val="0"/>
                <w:bCs/>
                <w:color w:val="auto"/>
                <w:sz w:val="21"/>
                <w:szCs w:val="21"/>
                <w:lang w:val="en-US" w:eastAsia="zh-CN"/>
              </w:rPr>
              <w:t>/</w:t>
            </w:r>
          </w:p>
        </w:tc>
        <w:tc>
          <w:tcPr>
            <w:tcW w:w="4373" w:type="dxa"/>
            <w:tcBorders>
              <w:tl2br w:val="nil"/>
              <w:tr2bl w:val="nil"/>
            </w:tcBorders>
            <w:vAlign w:val="center"/>
          </w:tcPr>
          <w:p>
            <w:pPr>
              <w:pStyle w:val="16"/>
              <w:adjustRightInd w:val="0"/>
              <w:snapToGrid w:val="0"/>
              <w:spacing w:line="240" w:lineRule="auto"/>
              <w:ind w:left="0" w:right="0"/>
              <w:jc w:val="left"/>
              <w:rPr>
                <w:rFonts w:hint="eastAsia" w:ascii="Times New Roman" w:hAnsi="Times New Roman" w:eastAsia="宋体" w:cs="Times New Roman"/>
                <w:b w:val="0"/>
                <w:bCs/>
                <w:color w:val="auto"/>
                <w:sz w:val="21"/>
                <w:szCs w:val="21"/>
                <w:lang w:eastAsia="zh-CN"/>
              </w:rPr>
            </w:pPr>
            <w:r>
              <w:rPr>
                <w:rFonts w:hint="eastAsia" w:ascii="Times New Roman" w:hAnsi="Times New Roman" w:eastAsia="宋体" w:cs="Times New Roman"/>
                <w:b w:val="0"/>
                <w:bCs/>
                <w:color w:val="auto"/>
                <w:sz w:val="21"/>
                <w:szCs w:val="21"/>
                <w:lang w:eastAsia="zh-CN"/>
              </w:rPr>
              <w:t>绿化</w:t>
            </w:r>
          </w:p>
        </w:tc>
        <w:tc>
          <w:tcPr>
            <w:tcW w:w="1216" w:type="dxa"/>
            <w:tcBorders>
              <w:tl2br w:val="nil"/>
              <w:tr2bl w:val="nil"/>
            </w:tcBorders>
            <w:vAlign w:val="center"/>
          </w:tcPr>
          <w:p>
            <w:pPr>
              <w:pStyle w:val="16"/>
              <w:adjustRightInd w:val="0"/>
              <w:snapToGrid w:val="0"/>
              <w:spacing w:line="240" w:lineRule="auto"/>
              <w:ind w:left="0" w:right="0"/>
              <w:jc w:val="center"/>
              <w:rPr>
                <w:rFonts w:hint="default" w:ascii="Times New Roman" w:hAnsi="Times New Roman" w:eastAsia="宋体"/>
                <w:b w:val="0"/>
                <w:bCs/>
                <w:color w:val="auto"/>
                <w:sz w:val="21"/>
                <w:szCs w:val="21"/>
                <w:lang w:val="en-US" w:eastAsia="zh-CN"/>
              </w:rPr>
            </w:pPr>
            <w:r>
              <w:rPr>
                <w:rFonts w:hint="eastAsia" w:ascii="Times New Roman" w:hAnsi="Times New Roman" w:eastAsia="宋体"/>
                <w:b w:val="0"/>
                <w:bCs/>
                <w:color w:val="auto"/>
                <w:sz w:val="21"/>
                <w:szCs w:val="21"/>
                <w:lang w:val="en-US" w:eastAsia="zh-CN"/>
              </w:rPr>
              <w:t>20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jc w:val="center"/>
        </w:trPr>
        <w:tc>
          <w:tcPr>
            <w:tcW w:w="746" w:type="dxa"/>
            <w:vMerge w:val="continue"/>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p>
        </w:tc>
        <w:tc>
          <w:tcPr>
            <w:tcW w:w="899" w:type="dxa"/>
            <w:tcBorders>
              <w:tl2br w:val="nil"/>
              <w:tr2bl w:val="nil"/>
            </w:tcBorders>
            <w:vAlign w:val="center"/>
          </w:tcPr>
          <w:p>
            <w:pPr>
              <w:pStyle w:val="16"/>
              <w:adjustRightInd w:val="0"/>
              <w:snapToGrid w:val="0"/>
              <w:spacing w:line="240" w:lineRule="auto"/>
              <w:ind w:left="0" w:right="0"/>
              <w:jc w:val="center"/>
              <w:rPr>
                <w:rFonts w:hint="eastAsia" w:ascii="Times New Roman" w:hAnsi="Times New Roman" w:eastAsia="宋体"/>
                <w:b w:val="0"/>
                <w:bCs/>
                <w:color w:val="auto"/>
                <w:sz w:val="21"/>
                <w:szCs w:val="21"/>
                <w:lang w:eastAsia="zh-CN"/>
              </w:rPr>
            </w:pPr>
            <w:r>
              <w:rPr>
                <w:rFonts w:hint="eastAsia" w:ascii="Times New Roman" w:hAnsi="Times New Roman" w:eastAsia="宋体"/>
                <w:b w:val="0"/>
                <w:bCs/>
                <w:color w:val="auto"/>
                <w:sz w:val="21"/>
                <w:szCs w:val="21"/>
                <w:lang w:eastAsia="zh-CN"/>
              </w:rPr>
              <w:t>雨水</w:t>
            </w:r>
          </w:p>
        </w:tc>
        <w:tc>
          <w:tcPr>
            <w:tcW w:w="1986" w:type="dxa"/>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r>
              <w:rPr>
                <w:rFonts w:hint="eastAsia" w:ascii="Times New Roman" w:hAnsi="Times New Roman" w:eastAsia="宋体"/>
                <w:b w:val="0"/>
                <w:bCs/>
                <w:color w:val="auto"/>
                <w:sz w:val="21"/>
                <w:szCs w:val="21"/>
              </w:rPr>
              <w:t>/</w:t>
            </w:r>
          </w:p>
        </w:tc>
        <w:tc>
          <w:tcPr>
            <w:tcW w:w="4373" w:type="dxa"/>
            <w:tcBorders>
              <w:tl2br w:val="nil"/>
              <w:tr2bl w:val="nil"/>
            </w:tcBorders>
            <w:vAlign w:val="center"/>
          </w:tcPr>
          <w:p>
            <w:pPr>
              <w:pStyle w:val="16"/>
              <w:adjustRightInd w:val="0"/>
              <w:snapToGrid w:val="0"/>
              <w:spacing w:line="240" w:lineRule="auto"/>
              <w:ind w:left="0" w:right="0"/>
              <w:jc w:val="left"/>
              <w:rPr>
                <w:rFonts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rPr>
              <w:t>各池体外雨水导排</w:t>
            </w:r>
          </w:p>
        </w:tc>
        <w:tc>
          <w:tcPr>
            <w:tcW w:w="1216" w:type="dxa"/>
            <w:tcBorders>
              <w:tl2br w:val="nil"/>
              <w:tr2bl w:val="nil"/>
            </w:tcBorders>
            <w:vAlign w:val="center"/>
          </w:tcPr>
          <w:p>
            <w:pPr>
              <w:pStyle w:val="16"/>
              <w:adjustRightInd w:val="0"/>
              <w:snapToGrid w:val="0"/>
              <w:spacing w:line="240" w:lineRule="auto"/>
              <w:ind w:left="0" w:right="0"/>
              <w:jc w:val="center"/>
              <w:rPr>
                <w:rFonts w:hint="eastAsia" w:ascii="Times New Roman" w:hAnsi="Times New Roman" w:eastAsia="宋体"/>
                <w:b w:val="0"/>
                <w:bCs/>
                <w:color w:val="auto"/>
                <w:sz w:val="21"/>
                <w:szCs w:val="21"/>
                <w:lang w:eastAsia="zh-CN"/>
              </w:rPr>
            </w:pPr>
            <w:r>
              <w:rPr>
                <w:rFonts w:hint="eastAsia" w:ascii="Times New Roman" w:hAnsi="Times New Roman" w:eastAsia="宋体"/>
                <w:b w:val="0"/>
                <w:bCs/>
                <w:color w:val="auto"/>
                <w:sz w:val="21"/>
                <w:szCs w:val="21"/>
                <w:lang w:val="en-US" w:eastAsia="zh-CN"/>
              </w:rPr>
              <w:t>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jc w:val="center"/>
        </w:trPr>
        <w:tc>
          <w:tcPr>
            <w:tcW w:w="746" w:type="dxa"/>
            <w:vMerge w:val="continue"/>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p>
        </w:tc>
        <w:tc>
          <w:tcPr>
            <w:tcW w:w="899" w:type="dxa"/>
            <w:tcBorders>
              <w:tl2br w:val="nil"/>
              <w:tr2bl w:val="nil"/>
            </w:tcBorders>
            <w:vAlign w:val="center"/>
          </w:tcPr>
          <w:p>
            <w:pPr>
              <w:pStyle w:val="16"/>
              <w:adjustRightInd w:val="0"/>
              <w:snapToGrid w:val="0"/>
              <w:spacing w:line="240" w:lineRule="auto"/>
              <w:ind w:left="0" w:right="0"/>
              <w:jc w:val="center"/>
              <w:rPr>
                <w:rFonts w:hint="eastAsia" w:ascii="Times New Roman" w:hAnsi="Times New Roman" w:eastAsia="宋体"/>
                <w:b w:val="0"/>
                <w:bCs/>
                <w:color w:val="auto"/>
                <w:sz w:val="21"/>
                <w:szCs w:val="21"/>
                <w:lang w:eastAsia="zh-CN"/>
              </w:rPr>
            </w:pPr>
            <w:r>
              <w:rPr>
                <w:rFonts w:hint="eastAsia" w:ascii="Times New Roman" w:hAnsi="Times New Roman" w:eastAsia="宋体"/>
                <w:b w:val="0"/>
                <w:bCs/>
                <w:color w:val="auto"/>
                <w:sz w:val="21"/>
                <w:szCs w:val="21"/>
                <w:lang w:eastAsia="zh-CN"/>
              </w:rPr>
              <w:t>环境风险</w:t>
            </w:r>
          </w:p>
        </w:tc>
        <w:tc>
          <w:tcPr>
            <w:tcW w:w="1986" w:type="dxa"/>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r>
              <w:rPr>
                <w:rFonts w:hint="eastAsia" w:ascii="Times New Roman" w:hAnsi="Times New Roman" w:eastAsia="宋体"/>
                <w:b w:val="0"/>
                <w:bCs/>
                <w:color w:val="auto"/>
                <w:sz w:val="21"/>
                <w:szCs w:val="21"/>
              </w:rPr>
              <w:t>/</w:t>
            </w:r>
          </w:p>
        </w:tc>
        <w:tc>
          <w:tcPr>
            <w:tcW w:w="4373" w:type="dxa"/>
            <w:tcBorders>
              <w:tl2br w:val="nil"/>
              <w:tr2bl w:val="nil"/>
            </w:tcBorders>
            <w:vAlign w:val="center"/>
          </w:tcPr>
          <w:p>
            <w:pPr>
              <w:pStyle w:val="16"/>
              <w:adjustRightInd w:val="0"/>
              <w:snapToGrid w:val="0"/>
              <w:spacing w:line="240" w:lineRule="auto"/>
              <w:ind w:left="0" w:right="0"/>
              <w:jc w:val="left"/>
              <w:rPr>
                <w:rFonts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rPr>
              <w:t>1 个</w:t>
            </w:r>
            <w:r>
              <w:rPr>
                <w:rFonts w:hint="eastAsia" w:ascii="Times New Roman" w:hAnsi="Times New Roman" w:eastAsia="宋体" w:cs="Times New Roman"/>
                <w:b w:val="0"/>
                <w:bCs/>
                <w:color w:val="auto"/>
                <w:sz w:val="21"/>
                <w:szCs w:val="21"/>
                <w:lang w:eastAsia="zh-CN"/>
              </w:rPr>
              <w:t>事故</w:t>
            </w:r>
            <w:r>
              <w:rPr>
                <w:rFonts w:hint="eastAsia" w:ascii="Times New Roman" w:hAnsi="Times New Roman" w:eastAsia="宋体" w:cs="Times New Roman"/>
                <w:b w:val="0"/>
                <w:bCs/>
                <w:color w:val="auto"/>
                <w:sz w:val="21"/>
                <w:szCs w:val="21"/>
                <w:lang w:val="en-US" w:eastAsia="zh-CN"/>
              </w:rPr>
              <w:t>应急</w:t>
            </w:r>
            <w:r>
              <w:rPr>
                <w:rFonts w:hint="eastAsia" w:ascii="Times New Roman" w:hAnsi="Times New Roman" w:eastAsia="宋体" w:cs="Times New Roman"/>
                <w:b w:val="0"/>
                <w:bCs/>
                <w:color w:val="auto"/>
                <w:sz w:val="21"/>
                <w:szCs w:val="21"/>
                <w:lang w:eastAsia="zh-CN"/>
              </w:rPr>
              <w:t>池</w:t>
            </w:r>
            <w:r>
              <w:rPr>
                <w:rFonts w:hint="eastAsia" w:ascii="Times New Roman" w:hAnsi="Times New Roman" w:eastAsia="宋体" w:cs="Times New Roman"/>
                <w:b w:val="0"/>
                <w:bCs/>
                <w:color w:val="auto"/>
                <w:sz w:val="21"/>
                <w:szCs w:val="21"/>
              </w:rPr>
              <w:t>（</w:t>
            </w:r>
            <w:r>
              <w:rPr>
                <w:rFonts w:hint="eastAsia" w:ascii="Times New Roman" w:hAnsi="Times New Roman" w:eastAsia="宋体" w:cs="Times New Roman"/>
                <w:b w:val="0"/>
                <w:bCs/>
                <w:color w:val="auto"/>
                <w:sz w:val="21"/>
                <w:szCs w:val="21"/>
                <w:lang w:val="en-US" w:eastAsia="zh-CN"/>
              </w:rPr>
              <w:t>2250</w:t>
            </w:r>
            <w:r>
              <w:rPr>
                <w:rFonts w:hint="eastAsia" w:ascii="Times New Roman" w:hAnsi="Times New Roman" w:eastAsia="宋体" w:cs="Times New Roman"/>
                <w:b w:val="0"/>
                <w:bCs/>
                <w:color w:val="auto"/>
                <w:sz w:val="21"/>
                <w:szCs w:val="21"/>
              </w:rPr>
              <w:t>m</w:t>
            </w:r>
            <w:r>
              <w:rPr>
                <w:rFonts w:hint="eastAsia" w:ascii="Times New Roman" w:hAnsi="Times New Roman" w:eastAsia="宋体" w:cs="Times New Roman"/>
                <w:b w:val="0"/>
                <w:bCs/>
                <w:color w:val="auto"/>
                <w:sz w:val="21"/>
                <w:szCs w:val="21"/>
                <w:vertAlign w:val="superscript"/>
              </w:rPr>
              <w:t>3</w:t>
            </w:r>
            <w:r>
              <w:rPr>
                <w:rFonts w:hint="eastAsia" w:ascii="Times New Roman" w:hAnsi="Times New Roman" w:eastAsia="宋体" w:cs="Times New Roman"/>
                <w:b w:val="0"/>
                <w:bCs/>
                <w:color w:val="auto"/>
                <w:sz w:val="21"/>
                <w:szCs w:val="21"/>
              </w:rPr>
              <w:t>）、编制环境应急预案</w:t>
            </w:r>
          </w:p>
        </w:tc>
        <w:tc>
          <w:tcPr>
            <w:tcW w:w="1216" w:type="dxa"/>
            <w:tcBorders>
              <w:tl2br w:val="nil"/>
              <w:tr2bl w:val="nil"/>
            </w:tcBorders>
            <w:vAlign w:val="center"/>
          </w:tcPr>
          <w:p>
            <w:pPr>
              <w:pStyle w:val="16"/>
              <w:adjustRightInd w:val="0"/>
              <w:snapToGrid w:val="0"/>
              <w:spacing w:line="240" w:lineRule="auto"/>
              <w:ind w:left="0" w:right="0"/>
              <w:jc w:val="center"/>
              <w:rPr>
                <w:rFonts w:hint="default" w:ascii="Times New Roman" w:hAnsi="Times New Roman" w:eastAsia="宋体"/>
                <w:b w:val="0"/>
                <w:bCs/>
                <w:color w:val="auto"/>
                <w:sz w:val="21"/>
                <w:szCs w:val="21"/>
                <w:lang w:val="en-US" w:eastAsia="zh-CN"/>
              </w:rPr>
            </w:pPr>
            <w:r>
              <w:rPr>
                <w:rFonts w:hint="eastAsia" w:ascii="Times New Roman" w:hAnsi="Times New Roman" w:eastAsia="宋体"/>
                <w:b w:val="0"/>
                <w:bCs/>
                <w:color w:val="auto"/>
                <w:sz w:val="21"/>
                <w:szCs w:val="21"/>
                <w:lang w:val="en-US" w:eastAsia="zh-CN"/>
              </w:rPr>
              <w:t>10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jc w:val="center"/>
        </w:trPr>
        <w:tc>
          <w:tcPr>
            <w:tcW w:w="746" w:type="dxa"/>
            <w:vMerge w:val="continue"/>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b w:val="0"/>
                <w:bCs/>
                <w:color w:val="auto"/>
                <w:sz w:val="21"/>
                <w:szCs w:val="21"/>
              </w:rPr>
            </w:pPr>
          </w:p>
        </w:tc>
        <w:tc>
          <w:tcPr>
            <w:tcW w:w="899" w:type="dxa"/>
            <w:tcBorders>
              <w:tl2br w:val="nil"/>
              <w:tr2bl w:val="nil"/>
            </w:tcBorders>
            <w:vAlign w:val="center"/>
          </w:tcPr>
          <w:p>
            <w:pPr>
              <w:pStyle w:val="16"/>
              <w:adjustRightInd w:val="0"/>
              <w:snapToGrid w:val="0"/>
              <w:spacing w:line="240" w:lineRule="auto"/>
              <w:ind w:left="0" w:right="0"/>
              <w:jc w:val="center"/>
              <w:rPr>
                <w:rFonts w:hint="default" w:ascii="Times New Roman" w:hAnsi="Times New Roman" w:eastAsia="宋体"/>
                <w:b w:val="0"/>
                <w:bCs/>
                <w:color w:val="auto"/>
                <w:sz w:val="21"/>
                <w:szCs w:val="21"/>
                <w:lang w:val="en-US" w:eastAsia="zh-CN"/>
              </w:rPr>
            </w:pPr>
            <w:r>
              <w:rPr>
                <w:rFonts w:hint="eastAsia" w:ascii="Times New Roman" w:hAnsi="Times New Roman" w:eastAsia="宋体"/>
                <w:b w:val="0"/>
                <w:bCs/>
                <w:color w:val="auto"/>
                <w:sz w:val="21"/>
                <w:szCs w:val="21"/>
                <w:lang w:val="en-US" w:eastAsia="zh-CN"/>
              </w:rPr>
              <w:t>粪污消纳</w:t>
            </w:r>
          </w:p>
        </w:tc>
        <w:tc>
          <w:tcPr>
            <w:tcW w:w="1986" w:type="dxa"/>
            <w:tcBorders>
              <w:tl2br w:val="nil"/>
              <w:tr2bl w:val="nil"/>
            </w:tcBorders>
            <w:vAlign w:val="center"/>
          </w:tcPr>
          <w:p>
            <w:pPr>
              <w:pStyle w:val="16"/>
              <w:adjustRightInd w:val="0"/>
              <w:snapToGrid w:val="0"/>
              <w:spacing w:line="240" w:lineRule="auto"/>
              <w:ind w:left="0" w:right="0"/>
              <w:jc w:val="center"/>
              <w:rPr>
                <w:rFonts w:hint="eastAsia" w:ascii="Times New Roman" w:hAnsi="Times New Roman" w:eastAsia="宋体"/>
                <w:b w:val="0"/>
                <w:bCs/>
                <w:color w:val="auto"/>
                <w:sz w:val="21"/>
                <w:szCs w:val="21"/>
                <w:lang w:val="en-US" w:eastAsia="zh-CN"/>
              </w:rPr>
            </w:pPr>
            <w:r>
              <w:rPr>
                <w:rFonts w:hint="eastAsia" w:ascii="Times New Roman" w:hAnsi="Times New Roman" w:eastAsia="宋体"/>
                <w:b w:val="0"/>
                <w:bCs/>
                <w:color w:val="auto"/>
                <w:sz w:val="21"/>
                <w:szCs w:val="21"/>
                <w:lang w:val="en-US" w:eastAsia="zh-CN"/>
              </w:rPr>
              <w:t>/</w:t>
            </w:r>
          </w:p>
        </w:tc>
        <w:tc>
          <w:tcPr>
            <w:tcW w:w="4373" w:type="dxa"/>
            <w:tcBorders>
              <w:tl2br w:val="nil"/>
              <w:tr2bl w:val="nil"/>
            </w:tcBorders>
            <w:vAlign w:val="center"/>
          </w:tcPr>
          <w:p>
            <w:pPr>
              <w:pStyle w:val="16"/>
              <w:adjustRightInd w:val="0"/>
              <w:snapToGrid w:val="0"/>
              <w:spacing w:line="240" w:lineRule="auto"/>
              <w:ind w:left="0" w:right="0"/>
              <w:jc w:val="left"/>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粪污运输车辆</w:t>
            </w:r>
          </w:p>
        </w:tc>
        <w:tc>
          <w:tcPr>
            <w:tcW w:w="1216" w:type="dxa"/>
            <w:tcBorders>
              <w:tl2br w:val="nil"/>
              <w:tr2bl w:val="nil"/>
            </w:tcBorders>
            <w:vAlign w:val="center"/>
          </w:tcPr>
          <w:p>
            <w:pPr>
              <w:pStyle w:val="16"/>
              <w:adjustRightInd w:val="0"/>
              <w:snapToGrid w:val="0"/>
              <w:spacing w:line="240" w:lineRule="auto"/>
              <w:ind w:left="0" w:right="0"/>
              <w:jc w:val="center"/>
              <w:rPr>
                <w:rFonts w:hint="default" w:ascii="Times New Roman" w:hAnsi="Times New Roman" w:eastAsia="宋体"/>
                <w:b w:val="0"/>
                <w:bCs/>
                <w:color w:val="auto"/>
                <w:sz w:val="21"/>
                <w:szCs w:val="21"/>
                <w:lang w:val="en-US" w:eastAsia="zh-CN"/>
              </w:rPr>
            </w:pPr>
            <w:r>
              <w:rPr>
                <w:rFonts w:hint="eastAsia" w:ascii="Times New Roman" w:hAnsi="Times New Roman" w:eastAsia="宋体"/>
                <w:b w:val="0"/>
                <w:bCs/>
                <w:color w:val="auto"/>
                <w:sz w:val="21"/>
                <w:szCs w:val="21"/>
                <w:lang w:val="en-US" w:eastAsia="zh-CN"/>
              </w:rPr>
              <w:t>150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jc w:val="center"/>
        </w:trPr>
        <w:tc>
          <w:tcPr>
            <w:tcW w:w="8004" w:type="dxa"/>
            <w:gridSpan w:val="4"/>
            <w:tcBorders>
              <w:tl2br w:val="nil"/>
              <w:tr2bl w:val="nil"/>
            </w:tcBorders>
            <w:vAlign w:val="center"/>
          </w:tcPr>
          <w:p>
            <w:pPr>
              <w:pStyle w:val="16"/>
              <w:adjustRightInd w:val="0"/>
              <w:snapToGrid w:val="0"/>
              <w:spacing w:line="240" w:lineRule="auto"/>
              <w:ind w:left="0" w:right="0"/>
              <w:jc w:val="center"/>
              <w:rPr>
                <w:rFonts w:ascii="Times New Roman" w:hAnsi="Times New Roman" w:eastAsia="宋体" w:cs="Times New Roman"/>
                <w:b w:val="0"/>
                <w:bCs/>
                <w:color w:val="auto"/>
                <w:sz w:val="21"/>
                <w:szCs w:val="21"/>
              </w:rPr>
            </w:pPr>
            <w:r>
              <w:rPr>
                <w:rFonts w:hint="eastAsia" w:ascii="Times New Roman" w:hAnsi="Times New Roman" w:eastAsia="宋体"/>
                <w:b w:val="0"/>
                <w:bCs/>
                <w:color w:val="auto"/>
                <w:sz w:val="21"/>
                <w:szCs w:val="21"/>
              </w:rPr>
              <w:t>合计</w:t>
            </w:r>
          </w:p>
        </w:tc>
        <w:tc>
          <w:tcPr>
            <w:tcW w:w="1216" w:type="dxa"/>
            <w:tcBorders>
              <w:tl2br w:val="nil"/>
              <w:tr2bl w:val="nil"/>
            </w:tcBorders>
            <w:vAlign w:val="center"/>
          </w:tcPr>
          <w:p>
            <w:pPr>
              <w:pStyle w:val="16"/>
              <w:adjustRightInd w:val="0"/>
              <w:snapToGrid w:val="0"/>
              <w:spacing w:line="240" w:lineRule="auto"/>
              <w:ind w:left="0" w:right="0"/>
              <w:jc w:val="center"/>
              <w:rPr>
                <w:rFonts w:hint="default" w:ascii="Times New Roman" w:hAnsi="Times New Roman" w:eastAsia="宋体"/>
                <w:b w:val="0"/>
                <w:bCs/>
                <w:color w:val="auto"/>
                <w:sz w:val="21"/>
                <w:szCs w:val="21"/>
                <w:lang w:val="en-US" w:eastAsia="zh-CN"/>
              </w:rPr>
            </w:pPr>
            <w:r>
              <w:rPr>
                <w:rFonts w:hint="eastAsia" w:ascii="Times New Roman" w:hAnsi="Times New Roman" w:eastAsia="宋体"/>
                <w:b w:val="0"/>
                <w:bCs/>
                <w:color w:val="auto"/>
                <w:sz w:val="21"/>
                <w:szCs w:val="21"/>
                <w:lang w:val="en-US" w:eastAsia="zh-CN"/>
              </w:rPr>
              <w:t>609.50</w:t>
            </w:r>
          </w:p>
        </w:tc>
      </w:tr>
    </w:tbl>
    <w:p>
      <w:pPr>
        <w:pStyle w:val="5"/>
        <w:adjustRightInd w:val="0"/>
        <w:snapToGrid w:val="0"/>
        <w:spacing w:before="0" w:after="0" w:line="360" w:lineRule="auto"/>
        <w:rPr>
          <w:rFonts w:ascii="Times New Roman" w:hAnsi="Times New Roman" w:eastAsia="宋体" w:cs="Times New Roman"/>
          <w:color w:val="auto"/>
          <w:sz w:val="30"/>
          <w:szCs w:val="30"/>
        </w:rPr>
      </w:pPr>
      <w:bookmarkStart w:id="293" w:name="_Toc29500"/>
      <w:r>
        <w:rPr>
          <w:rFonts w:hint="eastAsia" w:ascii="Times New Roman" w:hAnsi="Times New Roman" w:eastAsia="宋体" w:cs="Times New Roman"/>
          <w:color w:val="auto"/>
          <w:sz w:val="30"/>
          <w:szCs w:val="30"/>
        </w:rPr>
        <w:t>7.2经济</w:t>
      </w:r>
      <w:bookmarkEnd w:id="291"/>
      <w:r>
        <w:rPr>
          <w:rFonts w:hint="eastAsia" w:ascii="Times New Roman" w:hAnsi="Times New Roman" w:eastAsia="宋体" w:cs="Times New Roman"/>
          <w:color w:val="auto"/>
          <w:sz w:val="30"/>
          <w:szCs w:val="30"/>
        </w:rPr>
        <w:t>效益概述</w:t>
      </w:r>
      <w:bookmarkEnd w:id="292"/>
      <w:bookmarkEnd w:id="293"/>
    </w:p>
    <w:p>
      <w:pPr>
        <w:adjustRightInd w:val="0"/>
        <w:snapToGrid w:val="0"/>
        <w:spacing w:line="360" w:lineRule="auto"/>
        <w:ind w:firstLine="480" w:firstLineChars="200"/>
        <w:rPr>
          <w:rFonts w:ascii="Times New Roman" w:hAnsi="Times New Roman" w:eastAsia="宋体" w:cs="宋体"/>
          <w:bCs/>
          <w:color w:val="auto"/>
          <w:sz w:val="24"/>
          <w:szCs w:val="24"/>
        </w:rPr>
      </w:pPr>
      <w:bookmarkStart w:id="294" w:name="_Toc459118502"/>
      <w:bookmarkStart w:id="295" w:name="_Toc7511"/>
      <w:r>
        <w:rPr>
          <w:rFonts w:hint="eastAsia" w:ascii="Times New Roman" w:hAnsi="Times New Roman" w:eastAsia="宋体" w:cs="宋体"/>
          <w:bCs/>
          <w:color w:val="auto"/>
          <w:sz w:val="24"/>
          <w:szCs w:val="24"/>
        </w:rPr>
        <w:t>本项目总投资</w:t>
      </w:r>
      <w:r>
        <w:rPr>
          <w:rFonts w:hint="eastAsia" w:ascii="Times New Roman" w:hAnsi="Times New Roman" w:eastAsia="宋体" w:cs="宋体"/>
          <w:bCs/>
          <w:color w:val="auto"/>
          <w:sz w:val="24"/>
          <w:szCs w:val="24"/>
          <w:lang w:val="en-US" w:eastAsia="zh-CN"/>
        </w:rPr>
        <w:t>12000万</w:t>
      </w:r>
      <w:r>
        <w:rPr>
          <w:rFonts w:hint="eastAsia" w:ascii="Times New Roman" w:hAnsi="Times New Roman" w:eastAsia="宋体" w:cs="宋体"/>
          <w:bCs/>
          <w:color w:val="auto"/>
          <w:sz w:val="24"/>
          <w:szCs w:val="24"/>
        </w:rPr>
        <w:t>元，建设年出栏</w:t>
      </w:r>
      <w:r>
        <w:rPr>
          <w:rFonts w:hint="eastAsia" w:ascii="Times New Roman" w:hAnsi="Times New Roman" w:eastAsia="宋体" w:cs="宋体"/>
          <w:bCs/>
          <w:color w:val="auto"/>
          <w:sz w:val="24"/>
          <w:szCs w:val="24"/>
          <w:lang w:val="en-US" w:eastAsia="zh-CN"/>
        </w:rPr>
        <w:t>3</w:t>
      </w:r>
      <w:r>
        <w:rPr>
          <w:rFonts w:hint="eastAsia" w:ascii="Times New Roman" w:hAnsi="Times New Roman" w:eastAsia="宋体" w:cs="宋体"/>
          <w:bCs/>
          <w:color w:val="auto"/>
          <w:sz w:val="24"/>
          <w:szCs w:val="24"/>
        </w:rPr>
        <w:t>万头的商品猪。项目建成达到稳定生产后，年出栏商品猪</w:t>
      </w:r>
      <w:r>
        <w:rPr>
          <w:rFonts w:hint="eastAsia" w:ascii="Times New Roman" w:hAnsi="Times New Roman" w:eastAsia="宋体" w:cs="宋体"/>
          <w:bCs/>
          <w:color w:val="auto"/>
          <w:sz w:val="24"/>
          <w:szCs w:val="24"/>
          <w:lang w:val="en-US" w:eastAsia="zh-CN"/>
        </w:rPr>
        <w:t>3</w:t>
      </w:r>
      <w:r>
        <w:rPr>
          <w:rFonts w:hint="eastAsia" w:ascii="Times New Roman" w:hAnsi="Times New Roman" w:eastAsia="宋体" w:cs="宋体"/>
          <w:bCs/>
          <w:color w:val="auto"/>
          <w:sz w:val="24"/>
          <w:szCs w:val="24"/>
        </w:rPr>
        <w:t>万头，按每头产值</w:t>
      </w:r>
      <w:r>
        <w:rPr>
          <w:rFonts w:hint="eastAsia" w:ascii="Times New Roman" w:hAnsi="Times New Roman" w:eastAsia="宋体" w:cs="宋体"/>
          <w:bCs/>
          <w:color w:val="auto"/>
          <w:sz w:val="24"/>
          <w:szCs w:val="24"/>
          <w:lang w:eastAsia="zh-CN"/>
        </w:rPr>
        <w:t>14000</w:t>
      </w:r>
      <w:r>
        <w:rPr>
          <w:rFonts w:hint="eastAsia" w:ascii="Times New Roman" w:hAnsi="Times New Roman" w:eastAsia="宋体" w:cs="宋体"/>
          <w:bCs/>
          <w:color w:val="auto"/>
          <w:sz w:val="24"/>
          <w:szCs w:val="24"/>
        </w:rPr>
        <w:t xml:space="preserve"> 元以上计算，全年收入可达</w:t>
      </w:r>
      <w:r>
        <w:rPr>
          <w:rFonts w:hint="eastAsia" w:ascii="Times New Roman" w:hAnsi="Times New Roman" w:eastAsia="宋体" w:cs="宋体"/>
          <w:bCs/>
          <w:color w:val="auto"/>
          <w:sz w:val="24"/>
          <w:szCs w:val="24"/>
          <w:lang w:val="en-US" w:eastAsia="zh-CN"/>
        </w:rPr>
        <w:t>42000</w:t>
      </w:r>
      <w:r>
        <w:rPr>
          <w:rFonts w:hint="eastAsia" w:ascii="Times New Roman" w:hAnsi="Times New Roman" w:eastAsia="宋体" w:cs="宋体"/>
          <w:bCs/>
          <w:color w:val="auto"/>
          <w:sz w:val="24"/>
          <w:szCs w:val="24"/>
        </w:rPr>
        <w:t xml:space="preserve"> 万元以上，按每头纯收益</w:t>
      </w:r>
      <w:r>
        <w:rPr>
          <w:rFonts w:hint="eastAsia" w:ascii="Times New Roman" w:hAnsi="Times New Roman" w:eastAsia="宋体" w:cs="宋体"/>
          <w:bCs/>
          <w:color w:val="auto"/>
          <w:sz w:val="24"/>
          <w:szCs w:val="24"/>
          <w:lang w:val="en-US" w:eastAsia="zh-CN"/>
        </w:rPr>
        <w:t>800</w:t>
      </w:r>
      <w:r>
        <w:rPr>
          <w:rFonts w:hint="eastAsia" w:ascii="Times New Roman" w:hAnsi="Times New Roman" w:eastAsia="宋体" w:cs="宋体"/>
          <w:bCs/>
          <w:color w:val="auto"/>
          <w:sz w:val="24"/>
          <w:szCs w:val="24"/>
        </w:rPr>
        <w:t>元计算（自繁自养收益远超该数值），可获利</w:t>
      </w:r>
      <w:r>
        <w:rPr>
          <w:rFonts w:hint="eastAsia" w:ascii="Times New Roman" w:hAnsi="Times New Roman" w:eastAsia="宋体" w:cs="宋体"/>
          <w:bCs/>
          <w:color w:val="auto"/>
          <w:sz w:val="24"/>
          <w:szCs w:val="24"/>
          <w:lang w:val="en-US" w:eastAsia="zh-CN"/>
        </w:rPr>
        <w:t>2400</w:t>
      </w:r>
      <w:r>
        <w:rPr>
          <w:rFonts w:hint="eastAsia" w:ascii="Times New Roman" w:hAnsi="Times New Roman" w:eastAsia="宋体" w:cs="宋体"/>
          <w:bCs/>
          <w:color w:val="auto"/>
          <w:sz w:val="24"/>
          <w:szCs w:val="24"/>
        </w:rPr>
        <w:t>万元以上。项目实施后具有较好的经济效益。本项目的建设具有产业链效益，能够带动一方经济的快速发展，并能促进饲料加工、种植业、养殖业等相关行业的发展。</w:t>
      </w:r>
    </w:p>
    <w:p>
      <w:pPr>
        <w:pStyle w:val="5"/>
        <w:adjustRightInd w:val="0"/>
        <w:snapToGrid w:val="0"/>
        <w:spacing w:before="0" w:after="0" w:line="360" w:lineRule="auto"/>
        <w:rPr>
          <w:rFonts w:ascii="Times New Roman" w:hAnsi="Times New Roman" w:eastAsia="宋体" w:cs="Times New Roman"/>
          <w:color w:val="auto"/>
          <w:sz w:val="30"/>
          <w:szCs w:val="30"/>
          <w:highlight w:val="none"/>
        </w:rPr>
      </w:pPr>
      <w:bookmarkStart w:id="296" w:name="_Toc16455"/>
      <w:r>
        <w:rPr>
          <w:rFonts w:hint="eastAsia" w:ascii="Times New Roman" w:hAnsi="Times New Roman" w:eastAsia="宋体" w:cs="Times New Roman"/>
          <w:color w:val="auto"/>
          <w:sz w:val="30"/>
          <w:szCs w:val="30"/>
          <w:highlight w:val="none"/>
        </w:rPr>
        <w:t>7.</w:t>
      </w:r>
      <w:bookmarkEnd w:id="294"/>
      <w:r>
        <w:rPr>
          <w:rFonts w:hint="eastAsia" w:ascii="Times New Roman" w:hAnsi="Times New Roman" w:eastAsia="宋体" w:cs="Times New Roman"/>
          <w:color w:val="auto"/>
          <w:sz w:val="30"/>
          <w:szCs w:val="30"/>
          <w:highlight w:val="none"/>
        </w:rPr>
        <w:t>3环境效益分析</w:t>
      </w:r>
      <w:bookmarkEnd w:id="295"/>
      <w:bookmarkEnd w:id="296"/>
    </w:p>
    <w:p>
      <w:pPr>
        <w:jc w:val="left"/>
        <w:outlineLvl w:val="2"/>
        <w:rPr>
          <w:rFonts w:hint="eastAsia" w:ascii="Times New Roman" w:hAnsi="Times New Roman" w:eastAsia="宋体"/>
          <w:b/>
          <w:color w:val="auto"/>
          <w:sz w:val="28"/>
          <w:szCs w:val="28"/>
          <w:highlight w:val="none"/>
          <w:lang w:eastAsia="zh-CN"/>
        </w:rPr>
      </w:pPr>
      <w:r>
        <w:rPr>
          <w:rFonts w:ascii="Times New Roman" w:hAnsi="Times New Roman" w:eastAsia="宋体"/>
          <w:b/>
          <w:color w:val="auto"/>
          <w:sz w:val="28"/>
          <w:szCs w:val="28"/>
          <w:highlight w:val="none"/>
        </w:rPr>
        <w:t>7.</w:t>
      </w:r>
      <w:r>
        <w:rPr>
          <w:rFonts w:hint="eastAsia" w:ascii="Times New Roman" w:hAnsi="Times New Roman" w:eastAsia="宋体"/>
          <w:b/>
          <w:color w:val="auto"/>
          <w:sz w:val="28"/>
          <w:szCs w:val="28"/>
          <w:highlight w:val="none"/>
        </w:rPr>
        <w:t>3</w:t>
      </w:r>
      <w:r>
        <w:rPr>
          <w:rFonts w:ascii="Times New Roman" w:hAnsi="Times New Roman" w:eastAsia="宋体"/>
          <w:b/>
          <w:color w:val="auto"/>
          <w:sz w:val="28"/>
          <w:szCs w:val="28"/>
          <w:highlight w:val="none"/>
        </w:rPr>
        <w:t>.1</w:t>
      </w:r>
      <w:r>
        <w:rPr>
          <w:rFonts w:hint="eastAsia" w:ascii="Times New Roman" w:hAnsi="Times New Roman" w:eastAsia="宋体"/>
          <w:b/>
          <w:color w:val="auto"/>
          <w:sz w:val="28"/>
          <w:szCs w:val="28"/>
          <w:highlight w:val="none"/>
          <w:lang w:eastAsia="zh-CN"/>
        </w:rPr>
        <w:t>环保费用</w:t>
      </w:r>
    </w:p>
    <w:p>
      <w:pPr>
        <w:adjustRightInd w:val="0"/>
        <w:snapToGrid w:val="0"/>
        <w:spacing w:line="360" w:lineRule="auto"/>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rPr>
        <w:t>环保费用包括环保设施投资和运行费用投资。</w:t>
      </w:r>
    </w:p>
    <w:p>
      <w:pPr>
        <w:pStyle w:val="16"/>
        <w:adjustRightInd w:val="0"/>
        <w:snapToGrid w:val="0"/>
        <w:spacing w:line="360" w:lineRule="auto"/>
        <w:ind w:right="0"/>
        <w:jc w:val="both"/>
        <w:outlineLvl w:val="3"/>
        <w:rPr>
          <w:rFonts w:hint="default"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7.3.1.1环保设施投资</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highlight w:val="none"/>
        </w:rPr>
        <w:t>为控制和减轻对周围环境的污染，本项目运营期环保投资约</w:t>
      </w:r>
      <w:r>
        <w:rPr>
          <w:rFonts w:hint="eastAsia" w:ascii="Times New Roman" w:hAnsi="Times New Roman" w:eastAsia="宋体"/>
          <w:color w:val="auto"/>
          <w:sz w:val="24"/>
          <w:szCs w:val="24"/>
          <w:highlight w:val="none"/>
          <w:lang w:val="en-US" w:eastAsia="zh-CN"/>
        </w:rPr>
        <w:t>609.50</w:t>
      </w:r>
      <w:r>
        <w:rPr>
          <w:rFonts w:hint="eastAsia" w:ascii="Times New Roman" w:hAnsi="Times New Roman" w:eastAsia="宋体"/>
          <w:color w:val="auto"/>
          <w:sz w:val="24"/>
          <w:szCs w:val="24"/>
          <w:highlight w:val="none"/>
        </w:rPr>
        <w:t>万元，约占投资总额的</w:t>
      </w:r>
      <w:r>
        <w:rPr>
          <w:rFonts w:hint="eastAsia" w:ascii="Times New Roman" w:hAnsi="Times New Roman" w:eastAsia="宋体"/>
          <w:color w:val="auto"/>
          <w:sz w:val="24"/>
          <w:szCs w:val="24"/>
          <w:highlight w:val="none"/>
          <w:lang w:val="en-US" w:eastAsia="zh-CN"/>
        </w:rPr>
        <w:t>5.08%</w:t>
      </w:r>
      <w:r>
        <w:rPr>
          <w:rFonts w:hint="eastAsia" w:ascii="Times New Roman" w:hAnsi="Times New Roman" w:eastAsia="宋体"/>
          <w:color w:val="auto"/>
          <w:sz w:val="24"/>
          <w:szCs w:val="24"/>
          <w:highlight w:val="none"/>
        </w:rPr>
        <w:t xml:space="preserve">，环保设施投资汇总表见表 </w:t>
      </w:r>
      <w:r>
        <w:rPr>
          <w:rFonts w:hint="eastAsia" w:ascii="Times New Roman" w:hAnsi="Times New Roman" w:eastAsia="宋体"/>
          <w:color w:val="auto"/>
          <w:sz w:val="24"/>
          <w:szCs w:val="24"/>
          <w:highlight w:val="none"/>
          <w:lang w:val="en-US" w:eastAsia="zh-CN"/>
        </w:rPr>
        <w:t>7.1-1</w:t>
      </w:r>
      <w:r>
        <w:rPr>
          <w:rFonts w:hint="eastAsia" w:ascii="Times New Roman" w:hAnsi="Times New Roman" w:eastAsia="宋体"/>
          <w:color w:val="auto"/>
          <w:sz w:val="24"/>
          <w:szCs w:val="24"/>
          <w:highlight w:val="none"/>
        </w:rPr>
        <w:t xml:space="preserve">。从表 </w:t>
      </w:r>
      <w:r>
        <w:rPr>
          <w:rFonts w:hint="eastAsia" w:ascii="Times New Roman" w:hAnsi="Times New Roman" w:eastAsia="宋体"/>
          <w:color w:val="auto"/>
          <w:sz w:val="24"/>
          <w:szCs w:val="24"/>
          <w:highlight w:val="none"/>
          <w:lang w:val="en-US" w:eastAsia="zh-CN"/>
        </w:rPr>
        <w:t>7.1-1</w:t>
      </w:r>
      <w:r>
        <w:rPr>
          <w:rFonts w:hint="eastAsia" w:ascii="Times New Roman" w:hAnsi="Times New Roman" w:eastAsia="宋体"/>
          <w:color w:val="auto"/>
          <w:sz w:val="24"/>
          <w:szCs w:val="24"/>
          <w:highlight w:val="none"/>
        </w:rPr>
        <w:t xml:space="preserve"> 可以看出，本项目废气治理设施投资</w:t>
      </w:r>
      <w:r>
        <w:rPr>
          <w:rFonts w:hint="eastAsia" w:ascii="Times New Roman" w:hAnsi="Times New Roman" w:eastAsia="宋体"/>
          <w:color w:val="auto"/>
          <w:sz w:val="24"/>
          <w:szCs w:val="24"/>
          <w:highlight w:val="none"/>
          <w:lang w:val="en-US" w:eastAsia="zh-CN"/>
        </w:rPr>
        <w:t>50</w:t>
      </w:r>
      <w:r>
        <w:rPr>
          <w:rFonts w:hint="eastAsia" w:ascii="Times New Roman" w:hAnsi="Times New Roman" w:eastAsia="宋体"/>
          <w:color w:val="auto"/>
          <w:sz w:val="24"/>
          <w:szCs w:val="24"/>
          <w:highlight w:val="none"/>
        </w:rPr>
        <w:t>万元，占环保投资的</w:t>
      </w:r>
      <w:r>
        <w:rPr>
          <w:rFonts w:hint="eastAsia" w:ascii="Times New Roman" w:hAnsi="Times New Roman" w:eastAsia="宋体"/>
          <w:color w:val="auto"/>
          <w:sz w:val="24"/>
          <w:szCs w:val="24"/>
          <w:highlight w:val="none"/>
          <w:lang w:val="en-US" w:eastAsia="zh-CN"/>
        </w:rPr>
        <w:t>8.20</w:t>
      </w:r>
      <w:r>
        <w:rPr>
          <w:rFonts w:hint="eastAsia" w:ascii="Times New Roman" w:hAnsi="Times New Roman" w:eastAsia="宋体"/>
          <w:color w:val="auto"/>
          <w:sz w:val="24"/>
          <w:szCs w:val="24"/>
          <w:highlight w:val="none"/>
        </w:rPr>
        <w:t>%；废水治理设施</w:t>
      </w:r>
      <w:r>
        <w:rPr>
          <w:rFonts w:hint="eastAsia" w:ascii="Times New Roman" w:hAnsi="Times New Roman" w:eastAsia="宋体"/>
          <w:color w:val="auto"/>
          <w:sz w:val="24"/>
          <w:szCs w:val="24"/>
          <w:highlight w:val="none"/>
          <w:lang w:val="en-US" w:eastAsia="zh-CN"/>
        </w:rPr>
        <w:t>300</w:t>
      </w:r>
      <w:r>
        <w:rPr>
          <w:rFonts w:hint="eastAsia" w:ascii="Times New Roman" w:hAnsi="Times New Roman" w:eastAsia="宋体"/>
          <w:color w:val="auto"/>
          <w:sz w:val="24"/>
          <w:szCs w:val="24"/>
          <w:highlight w:val="none"/>
          <w:lang w:eastAsia="zh-CN"/>
        </w:rPr>
        <w:t>万</w:t>
      </w:r>
      <w:r>
        <w:rPr>
          <w:rFonts w:hint="eastAsia" w:ascii="Times New Roman" w:hAnsi="Times New Roman" w:eastAsia="宋体"/>
          <w:color w:val="auto"/>
          <w:sz w:val="24"/>
          <w:szCs w:val="24"/>
          <w:highlight w:val="none"/>
        </w:rPr>
        <w:t>元，占环保投资的</w:t>
      </w:r>
      <w:r>
        <w:rPr>
          <w:rFonts w:hint="eastAsia" w:ascii="Times New Roman" w:hAnsi="Times New Roman" w:eastAsia="宋体"/>
          <w:color w:val="auto"/>
          <w:sz w:val="24"/>
          <w:szCs w:val="24"/>
          <w:highlight w:val="none"/>
          <w:lang w:val="en-US" w:eastAsia="zh-CN"/>
        </w:rPr>
        <w:t>49.22</w:t>
      </w:r>
      <w:r>
        <w:rPr>
          <w:rFonts w:hint="eastAsia" w:ascii="Times New Roman" w:hAnsi="Times New Roman" w:eastAsia="宋体"/>
          <w:color w:val="auto"/>
          <w:sz w:val="24"/>
          <w:szCs w:val="24"/>
        </w:rPr>
        <w:t>%；噪声防治措施投资</w:t>
      </w:r>
      <w:r>
        <w:rPr>
          <w:rFonts w:hint="eastAsia" w:ascii="Times New Roman" w:hAnsi="Times New Roman" w:eastAsia="宋体"/>
          <w:color w:val="auto"/>
          <w:sz w:val="24"/>
          <w:szCs w:val="24"/>
          <w:lang w:val="en-US" w:eastAsia="zh-CN"/>
        </w:rPr>
        <w:t>10</w:t>
      </w:r>
      <w:r>
        <w:rPr>
          <w:rFonts w:hint="eastAsia" w:ascii="Times New Roman" w:hAnsi="Times New Roman" w:eastAsia="宋体"/>
          <w:color w:val="auto"/>
          <w:sz w:val="24"/>
          <w:szCs w:val="24"/>
        </w:rPr>
        <w:t>万元，占环保投资</w:t>
      </w:r>
      <w:r>
        <w:rPr>
          <w:rFonts w:hint="eastAsia" w:ascii="Times New Roman" w:hAnsi="Times New Roman" w:eastAsia="宋体"/>
          <w:color w:val="auto"/>
          <w:sz w:val="24"/>
          <w:szCs w:val="24"/>
          <w:lang w:val="en-US" w:eastAsia="zh-CN"/>
        </w:rPr>
        <w:t>1.64</w:t>
      </w:r>
      <w:r>
        <w:rPr>
          <w:rFonts w:hint="eastAsia" w:ascii="Times New Roman" w:hAnsi="Times New Roman" w:eastAsia="宋体"/>
          <w:color w:val="auto"/>
          <w:sz w:val="24"/>
          <w:szCs w:val="24"/>
        </w:rPr>
        <w:t>%；固废处置设施</w:t>
      </w:r>
      <w:r>
        <w:rPr>
          <w:rFonts w:hint="eastAsia" w:ascii="Times New Roman" w:hAnsi="Times New Roman" w:eastAsia="宋体"/>
          <w:color w:val="auto"/>
          <w:sz w:val="24"/>
          <w:szCs w:val="24"/>
          <w:lang w:val="en-US" w:eastAsia="zh-CN"/>
        </w:rPr>
        <w:t>19</w:t>
      </w:r>
      <w:r>
        <w:rPr>
          <w:rFonts w:hint="eastAsia" w:ascii="Times New Roman" w:hAnsi="Times New Roman" w:eastAsia="宋体"/>
          <w:color w:val="auto"/>
          <w:sz w:val="24"/>
          <w:szCs w:val="24"/>
        </w:rPr>
        <w:t>万元，占环保投资的</w:t>
      </w:r>
      <w:r>
        <w:rPr>
          <w:rFonts w:hint="eastAsia" w:ascii="Times New Roman" w:hAnsi="Times New Roman" w:eastAsia="宋体"/>
          <w:color w:val="auto"/>
          <w:sz w:val="24"/>
          <w:szCs w:val="24"/>
          <w:lang w:val="en-US" w:eastAsia="zh-CN"/>
        </w:rPr>
        <w:t>3.12</w:t>
      </w:r>
      <w:r>
        <w:rPr>
          <w:rFonts w:hint="eastAsia" w:ascii="Times New Roman" w:hAnsi="Times New Roman" w:eastAsia="宋体"/>
          <w:color w:val="auto"/>
          <w:sz w:val="24"/>
          <w:szCs w:val="24"/>
        </w:rPr>
        <w:t>%；地下水防治设施</w:t>
      </w:r>
      <w:r>
        <w:rPr>
          <w:rFonts w:hint="eastAsia" w:ascii="Times New Roman" w:hAnsi="Times New Roman" w:eastAsia="宋体"/>
          <w:color w:val="auto"/>
          <w:sz w:val="24"/>
          <w:szCs w:val="24"/>
          <w:lang w:val="en-US" w:eastAsia="zh-CN"/>
        </w:rPr>
        <w:t>30</w:t>
      </w:r>
      <w:r>
        <w:rPr>
          <w:rFonts w:hint="eastAsia" w:ascii="Times New Roman" w:hAnsi="Times New Roman" w:eastAsia="宋体"/>
          <w:color w:val="auto"/>
          <w:sz w:val="24"/>
          <w:szCs w:val="24"/>
          <w:lang w:eastAsia="zh-CN"/>
        </w:rPr>
        <w:t>万</w:t>
      </w:r>
      <w:r>
        <w:rPr>
          <w:rFonts w:hint="eastAsia" w:ascii="Times New Roman" w:hAnsi="Times New Roman" w:eastAsia="宋体"/>
          <w:color w:val="auto"/>
          <w:sz w:val="24"/>
          <w:szCs w:val="24"/>
        </w:rPr>
        <w:t>元，占环保投资的</w:t>
      </w:r>
      <w:r>
        <w:rPr>
          <w:rFonts w:hint="eastAsia" w:ascii="Times New Roman" w:hAnsi="Times New Roman" w:eastAsia="宋体"/>
          <w:color w:val="auto"/>
          <w:sz w:val="24"/>
          <w:szCs w:val="24"/>
          <w:lang w:val="en-US" w:eastAsia="zh-CN"/>
        </w:rPr>
        <w:t>4.92</w:t>
      </w:r>
      <w:r>
        <w:rPr>
          <w:rFonts w:hint="eastAsia" w:ascii="Times New Roman" w:hAnsi="Times New Roman" w:eastAsia="宋体"/>
          <w:color w:val="auto"/>
          <w:sz w:val="24"/>
          <w:szCs w:val="24"/>
        </w:rPr>
        <w:t>%；生态防治措施投资</w:t>
      </w:r>
      <w:r>
        <w:rPr>
          <w:rFonts w:hint="eastAsia" w:ascii="Times New Roman" w:hAnsi="Times New Roman" w:eastAsia="宋体"/>
          <w:color w:val="auto"/>
          <w:sz w:val="24"/>
          <w:szCs w:val="24"/>
          <w:lang w:val="en-US" w:eastAsia="zh-CN"/>
        </w:rPr>
        <w:t>20</w:t>
      </w:r>
      <w:r>
        <w:rPr>
          <w:rFonts w:hint="eastAsia" w:ascii="Times New Roman" w:hAnsi="Times New Roman" w:eastAsia="宋体"/>
          <w:color w:val="auto"/>
          <w:sz w:val="24"/>
          <w:szCs w:val="24"/>
        </w:rPr>
        <w:t>万元，占环保投资</w:t>
      </w:r>
      <w:r>
        <w:rPr>
          <w:rFonts w:hint="eastAsia" w:ascii="Times New Roman" w:hAnsi="Times New Roman" w:eastAsia="宋体"/>
          <w:color w:val="auto"/>
          <w:sz w:val="24"/>
          <w:szCs w:val="24"/>
          <w:lang w:val="en-US" w:eastAsia="zh-CN"/>
        </w:rPr>
        <w:t>3.28</w:t>
      </w:r>
      <w:r>
        <w:rPr>
          <w:rFonts w:hint="eastAsia" w:ascii="Times New Roman" w:hAnsi="Times New Roman" w:eastAsia="宋体"/>
          <w:color w:val="auto"/>
          <w:sz w:val="24"/>
          <w:szCs w:val="24"/>
        </w:rPr>
        <w:t>%。根据工程的污染源与污染物排放情况，认为工程环保投资的分配使用突出了废水、地下水、生态治理力度，符合工程实际，有利于实现社会、经济与环境三个效益的统一。</w:t>
      </w:r>
    </w:p>
    <w:p>
      <w:pPr>
        <w:pStyle w:val="16"/>
        <w:adjustRightInd w:val="0"/>
        <w:snapToGrid w:val="0"/>
        <w:spacing w:line="360" w:lineRule="auto"/>
        <w:ind w:right="0"/>
        <w:jc w:val="both"/>
        <w:outlineLvl w:val="3"/>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7.3.1.2环保设施投资</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设备折旧</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环保设备折旧率按环保设备费5%计算，费用为</w:t>
      </w:r>
      <w:r>
        <w:rPr>
          <w:rFonts w:hint="eastAsia" w:ascii="Times New Roman" w:hAnsi="Times New Roman" w:eastAsia="宋体"/>
          <w:color w:val="auto"/>
          <w:sz w:val="24"/>
          <w:szCs w:val="24"/>
          <w:lang w:val="en-US" w:eastAsia="zh-CN"/>
        </w:rPr>
        <w:t>30.475</w:t>
      </w:r>
      <w:r>
        <w:rPr>
          <w:rFonts w:hint="eastAsia" w:ascii="Times New Roman" w:hAnsi="Times New Roman" w:eastAsia="宋体"/>
          <w:color w:val="auto"/>
          <w:sz w:val="24"/>
          <w:szCs w:val="24"/>
        </w:rPr>
        <w:t>万元/年。</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设备大修基金</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设备大修基金按环保设备费的 3%计算，费用为</w:t>
      </w:r>
      <w:r>
        <w:rPr>
          <w:rFonts w:hint="eastAsia" w:ascii="Times New Roman" w:hAnsi="Times New Roman" w:eastAsia="宋体"/>
          <w:color w:val="auto"/>
          <w:sz w:val="24"/>
          <w:szCs w:val="24"/>
          <w:lang w:val="en-US" w:eastAsia="zh-CN"/>
        </w:rPr>
        <w:t>18.285</w:t>
      </w:r>
      <w:r>
        <w:rPr>
          <w:rFonts w:hint="eastAsia" w:ascii="Times New Roman" w:hAnsi="Times New Roman" w:eastAsia="宋体"/>
          <w:color w:val="auto"/>
          <w:sz w:val="24"/>
          <w:szCs w:val="24"/>
        </w:rPr>
        <w:t>万元/年。</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能源、材料消耗</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项目环保工程能源消耗主要为电力，其它材料的消耗较少。按照市场价格综合考虑，全部费用约为</w:t>
      </w:r>
      <w:r>
        <w:rPr>
          <w:rFonts w:hint="eastAsia" w:ascii="Times New Roman" w:hAnsi="Times New Roman" w:eastAsia="宋体"/>
          <w:color w:val="auto"/>
          <w:sz w:val="24"/>
          <w:szCs w:val="24"/>
          <w:lang w:val="en-US" w:eastAsia="zh-CN"/>
        </w:rPr>
        <w:t>20</w:t>
      </w:r>
      <w:r>
        <w:rPr>
          <w:rFonts w:hint="eastAsia" w:ascii="Times New Roman" w:hAnsi="Times New Roman" w:eastAsia="宋体"/>
          <w:color w:val="auto"/>
          <w:sz w:val="24"/>
          <w:szCs w:val="24"/>
        </w:rPr>
        <w:t>万元/年。</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环保工作人员成本</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按目前的福利水平，企业职工平均工资、福利为</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万元/人·年，本工程环保工作人员</w:t>
      </w:r>
      <w:r>
        <w:rPr>
          <w:rFonts w:hint="eastAsia" w:ascii="Times New Roman" w:hAnsi="Times New Roman" w:eastAsia="宋体"/>
          <w:color w:val="auto"/>
          <w:sz w:val="24"/>
          <w:szCs w:val="24"/>
          <w:lang w:val="en-US" w:eastAsia="zh-CN"/>
        </w:rPr>
        <w:t>共计3人，</w:t>
      </w:r>
      <w:r>
        <w:rPr>
          <w:rFonts w:hint="eastAsia" w:ascii="Times New Roman" w:hAnsi="Times New Roman" w:eastAsia="宋体"/>
          <w:color w:val="auto"/>
          <w:sz w:val="24"/>
          <w:szCs w:val="24"/>
        </w:rPr>
        <w:t>总费用平均约为</w:t>
      </w:r>
      <w:r>
        <w:rPr>
          <w:rFonts w:hint="eastAsia" w:ascii="Times New Roman" w:hAnsi="Times New Roman" w:eastAsia="宋体"/>
          <w:color w:val="auto"/>
          <w:sz w:val="24"/>
          <w:szCs w:val="24"/>
          <w:lang w:val="en-US" w:eastAsia="zh-CN"/>
        </w:rPr>
        <w:t>9</w:t>
      </w:r>
      <w:r>
        <w:rPr>
          <w:rFonts w:hint="eastAsia" w:ascii="Times New Roman" w:hAnsi="Times New Roman" w:eastAsia="宋体"/>
          <w:color w:val="auto"/>
          <w:sz w:val="24"/>
          <w:szCs w:val="24"/>
        </w:rPr>
        <w:t>万元/年。</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5</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管理费用</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主要包括环保系统日常行政开支费用，日常开支按（1）~（4）总费用的 3%估算，约</w:t>
      </w:r>
      <w:r>
        <w:rPr>
          <w:rFonts w:hint="eastAsia" w:ascii="Times New Roman" w:hAnsi="Times New Roman" w:eastAsia="宋体"/>
          <w:color w:val="auto"/>
          <w:sz w:val="24"/>
          <w:szCs w:val="24"/>
          <w:lang w:val="en-US" w:eastAsia="zh-CN"/>
        </w:rPr>
        <w:t>2.33</w:t>
      </w:r>
      <w:r>
        <w:rPr>
          <w:rFonts w:hint="eastAsia" w:ascii="Times New Roman" w:hAnsi="Times New Roman" w:eastAsia="宋体"/>
          <w:color w:val="auto"/>
          <w:sz w:val="24"/>
          <w:szCs w:val="24"/>
        </w:rPr>
        <w:t>万元/年。本工程环境工程运行管理费用约为</w:t>
      </w:r>
      <w:r>
        <w:rPr>
          <w:rFonts w:hint="eastAsia" w:ascii="Times New Roman" w:hAnsi="Times New Roman" w:eastAsia="宋体"/>
          <w:color w:val="auto"/>
          <w:sz w:val="24"/>
          <w:szCs w:val="24"/>
          <w:lang w:val="en-US" w:eastAsia="zh-CN"/>
        </w:rPr>
        <w:t>80</w:t>
      </w:r>
      <w:r>
        <w:rPr>
          <w:rFonts w:hint="eastAsia" w:ascii="Times New Roman" w:hAnsi="Times New Roman" w:eastAsia="宋体"/>
          <w:color w:val="auto"/>
          <w:sz w:val="24"/>
          <w:szCs w:val="24"/>
        </w:rPr>
        <w:t>万元/年。</w:t>
      </w:r>
    </w:p>
    <w:p>
      <w:pPr>
        <w:jc w:val="left"/>
        <w:outlineLvl w:val="2"/>
        <w:rPr>
          <w:rFonts w:hint="eastAsia" w:ascii="Times New Roman" w:hAnsi="Times New Roman" w:eastAsia="宋体"/>
          <w:b/>
          <w:color w:val="auto"/>
          <w:sz w:val="28"/>
          <w:szCs w:val="28"/>
          <w:lang w:eastAsia="zh-CN"/>
        </w:rPr>
      </w:pPr>
      <w:r>
        <w:rPr>
          <w:rFonts w:ascii="Times New Roman" w:hAnsi="Times New Roman" w:eastAsia="宋体"/>
          <w:b/>
          <w:color w:val="auto"/>
          <w:sz w:val="28"/>
          <w:szCs w:val="28"/>
        </w:rPr>
        <w:t>7.</w:t>
      </w:r>
      <w:r>
        <w:rPr>
          <w:rFonts w:hint="eastAsia" w:ascii="Times New Roman" w:hAnsi="Times New Roman" w:eastAsia="宋体"/>
          <w:b/>
          <w:color w:val="auto"/>
          <w:sz w:val="28"/>
          <w:szCs w:val="28"/>
        </w:rPr>
        <w:t>3</w:t>
      </w:r>
      <w:r>
        <w:rPr>
          <w:rFonts w:ascii="Times New Roman" w:hAnsi="Times New Roman" w:eastAsia="宋体"/>
          <w:b/>
          <w:color w:val="auto"/>
          <w:sz w:val="28"/>
          <w:szCs w:val="28"/>
        </w:rPr>
        <w:t>.</w:t>
      </w:r>
      <w:r>
        <w:rPr>
          <w:rFonts w:hint="eastAsia" w:ascii="Times New Roman" w:hAnsi="Times New Roman" w:eastAsia="宋体"/>
          <w:b/>
          <w:color w:val="auto"/>
          <w:sz w:val="28"/>
          <w:szCs w:val="28"/>
          <w:lang w:val="en-US" w:eastAsia="zh-CN"/>
        </w:rPr>
        <w:t>2</w:t>
      </w:r>
      <w:r>
        <w:rPr>
          <w:rFonts w:hint="eastAsia" w:ascii="Times New Roman" w:hAnsi="Times New Roman" w:eastAsia="宋体"/>
          <w:b/>
          <w:color w:val="auto"/>
          <w:sz w:val="28"/>
          <w:szCs w:val="28"/>
          <w:lang w:eastAsia="zh-CN"/>
        </w:rPr>
        <w:t>环境效益分析</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环境效益包括直接效益和间接效益。</w:t>
      </w:r>
    </w:p>
    <w:p>
      <w:pPr>
        <w:pStyle w:val="16"/>
        <w:adjustRightInd w:val="0"/>
        <w:snapToGrid w:val="0"/>
        <w:spacing w:line="360" w:lineRule="auto"/>
        <w:ind w:right="0"/>
        <w:jc w:val="both"/>
        <w:outlineLvl w:val="3"/>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7.3.2.1直接效益</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对</w:t>
      </w:r>
      <w:r>
        <w:rPr>
          <w:rFonts w:hint="eastAsia" w:ascii="Times New Roman" w:hAnsi="Times New Roman" w:eastAsia="宋体"/>
          <w:color w:val="auto"/>
          <w:sz w:val="24"/>
          <w:szCs w:val="24"/>
          <w:lang w:eastAsia="zh-CN"/>
        </w:rPr>
        <w:t>本项目</w:t>
      </w:r>
      <w:r>
        <w:rPr>
          <w:rFonts w:hint="eastAsia" w:ascii="Times New Roman" w:hAnsi="Times New Roman" w:eastAsia="宋体"/>
          <w:color w:val="auto"/>
          <w:sz w:val="24"/>
          <w:szCs w:val="24"/>
        </w:rPr>
        <w:t>而言，环保治理没有直接经济效益可言。</w:t>
      </w:r>
    </w:p>
    <w:p>
      <w:pPr>
        <w:pStyle w:val="16"/>
        <w:adjustRightInd w:val="0"/>
        <w:snapToGrid w:val="0"/>
        <w:spacing w:line="360" w:lineRule="auto"/>
        <w:ind w:right="0"/>
        <w:jc w:val="both"/>
        <w:outlineLvl w:val="3"/>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7.3.2.2间接效益</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项目恶臭采取治理措施后，场界 H</w:t>
      </w:r>
      <w:r>
        <w:rPr>
          <w:rFonts w:hint="eastAsia" w:ascii="Times New Roman" w:hAnsi="Times New Roman" w:eastAsia="宋体"/>
          <w:color w:val="auto"/>
          <w:sz w:val="24"/>
          <w:szCs w:val="24"/>
          <w:vertAlign w:val="subscript"/>
        </w:rPr>
        <w:t>2</w:t>
      </w:r>
      <w:r>
        <w:rPr>
          <w:rFonts w:hint="eastAsia" w:ascii="Times New Roman" w:hAnsi="Times New Roman" w:eastAsia="宋体"/>
          <w:color w:val="auto"/>
          <w:sz w:val="24"/>
          <w:szCs w:val="24"/>
        </w:rPr>
        <w:t>S、NH</w:t>
      </w:r>
      <w:r>
        <w:rPr>
          <w:rFonts w:hint="eastAsia" w:ascii="Times New Roman" w:hAnsi="Times New Roman" w:eastAsia="宋体"/>
          <w:color w:val="auto"/>
          <w:sz w:val="24"/>
          <w:szCs w:val="24"/>
          <w:vertAlign w:val="subscript"/>
        </w:rPr>
        <w:t>3</w:t>
      </w:r>
      <w:r>
        <w:rPr>
          <w:rFonts w:hint="eastAsia" w:ascii="Times New Roman" w:hAnsi="Times New Roman" w:eastAsia="宋体"/>
          <w:color w:val="auto"/>
          <w:sz w:val="24"/>
          <w:szCs w:val="24"/>
        </w:rPr>
        <w:t>的预测排放浓度均能满足《恶臭污染物排放标准》（GB14554-93）表 1 中二级标准要求。经</w:t>
      </w:r>
      <w:r>
        <w:rPr>
          <w:rFonts w:hint="eastAsia" w:ascii="Times New Roman" w:hAnsi="Times New Roman" w:eastAsia="宋体"/>
          <w:color w:val="auto"/>
          <w:sz w:val="24"/>
          <w:szCs w:val="24"/>
          <w:lang w:eastAsia="zh-CN"/>
        </w:rPr>
        <w:t>污水处理区</w:t>
      </w:r>
      <w:r>
        <w:rPr>
          <w:rFonts w:hint="eastAsia" w:ascii="Times New Roman" w:hAnsi="Times New Roman" w:eastAsia="宋体"/>
          <w:color w:val="auto"/>
          <w:sz w:val="24"/>
          <w:szCs w:val="24"/>
        </w:rPr>
        <w:t>处理粪污水，无废水外排，且</w:t>
      </w:r>
      <w:r>
        <w:rPr>
          <w:rFonts w:hint="eastAsia" w:ascii="Times New Roman" w:hAnsi="Times New Roman" w:eastAsia="宋体"/>
          <w:color w:val="auto"/>
          <w:sz w:val="24"/>
          <w:szCs w:val="24"/>
          <w:lang w:eastAsia="zh-CN"/>
        </w:rPr>
        <w:t>好氧堆肥得到堆肥产物全部还田利用</w:t>
      </w:r>
      <w:r>
        <w:rPr>
          <w:rFonts w:hint="eastAsia" w:ascii="Times New Roman" w:hAnsi="Times New Roman" w:eastAsia="宋体"/>
          <w:color w:val="auto"/>
          <w:sz w:val="24"/>
          <w:szCs w:val="24"/>
        </w:rPr>
        <w:t>，使废物变废为宝。</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本项目</w:t>
      </w:r>
      <w:r>
        <w:rPr>
          <w:rFonts w:hint="eastAsia" w:ascii="Times New Roman" w:hAnsi="Times New Roman" w:eastAsia="宋体"/>
          <w:color w:val="auto"/>
          <w:sz w:val="24"/>
          <w:szCs w:val="24"/>
        </w:rPr>
        <w:t>若不对废气、废水、固废等进行治理，这样将造成大气环境、地表水、地下水等受到污染，造成水资源损失以及项目环境保护行政主管部门的处罚。项目投资</w:t>
      </w:r>
      <w:r>
        <w:rPr>
          <w:rFonts w:hint="eastAsia" w:ascii="Times New Roman" w:hAnsi="Times New Roman" w:eastAsia="宋体"/>
          <w:color w:val="auto"/>
          <w:sz w:val="24"/>
          <w:szCs w:val="24"/>
          <w:lang w:val="en-US" w:eastAsia="zh-CN"/>
        </w:rPr>
        <w:t>609.50</w:t>
      </w:r>
      <w:r>
        <w:rPr>
          <w:rFonts w:hint="eastAsia" w:ascii="Times New Roman" w:hAnsi="Times New Roman" w:eastAsia="宋体"/>
          <w:color w:val="auto"/>
          <w:sz w:val="24"/>
          <w:szCs w:val="24"/>
        </w:rPr>
        <w:t>万元对废水、废气和固体废物等进行治理，可减少每年的排污交费、每年损失赔偿费以及整顿期间的损失约</w:t>
      </w:r>
      <w:r>
        <w:rPr>
          <w:rFonts w:hint="eastAsia" w:ascii="Times New Roman" w:hAnsi="Times New Roman" w:eastAsia="宋体"/>
          <w:color w:val="auto"/>
          <w:sz w:val="24"/>
          <w:szCs w:val="24"/>
          <w:lang w:val="en-US" w:eastAsia="zh-CN"/>
        </w:rPr>
        <w:t>20</w:t>
      </w:r>
      <w:r>
        <w:rPr>
          <w:rFonts w:hint="eastAsia" w:ascii="Times New Roman" w:hAnsi="Times New Roman" w:eastAsia="宋体"/>
          <w:color w:val="auto"/>
          <w:sz w:val="24"/>
          <w:szCs w:val="24"/>
        </w:rPr>
        <w:t>万元。</w:t>
      </w:r>
    </w:p>
    <w:p>
      <w:pPr>
        <w:pStyle w:val="86"/>
        <w:adjustRightInd w:val="0"/>
        <w:snapToGrid w:val="0"/>
        <w:spacing w:beforeLines="0" w:afterLines="0"/>
        <w:rPr>
          <w:rFonts w:hint="eastAsia" w:ascii="Times New Roman" w:hAnsi="Times New Roman" w:eastAsia="宋体"/>
          <w:color w:val="auto"/>
          <w:lang w:eastAsia="zh-CN"/>
        </w:rPr>
      </w:pPr>
      <w:bookmarkStart w:id="297" w:name="_Toc19331"/>
      <w:r>
        <w:rPr>
          <w:rFonts w:hint="eastAsia" w:ascii="Times New Roman" w:hAnsi="Times New Roman" w:eastAsia="宋体"/>
          <w:color w:val="auto"/>
        </w:rPr>
        <w:t>7.4</w:t>
      </w:r>
      <w:r>
        <w:rPr>
          <w:rFonts w:hint="eastAsia" w:ascii="Times New Roman" w:hAnsi="Times New Roman" w:eastAsia="宋体"/>
          <w:color w:val="auto"/>
          <w:lang w:eastAsia="zh-CN"/>
        </w:rPr>
        <w:t>建设项目环境经济效益分析</w:t>
      </w:r>
      <w:bookmarkEnd w:id="297"/>
    </w:p>
    <w:p>
      <w:pPr>
        <w:jc w:val="left"/>
        <w:outlineLvl w:val="2"/>
        <w:rPr>
          <w:rFonts w:ascii="Times New Roman" w:hAnsi="Times New Roman" w:eastAsia="宋体"/>
          <w:b/>
          <w:color w:val="auto"/>
          <w:sz w:val="28"/>
          <w:szCs w:val="28"/>
        </w:rPr>
      </w:pPr>
      <w:r>
        <w:rPr>
          <w:rFonts w:ascii="Times New Roman" w:hAnsi="Times New Roman" w:eastAsia="宋体"/>
          <w:b/>
          <w:color w:val="auto"/>
          <w:sz w:val="28"/>
          <w:szCs w:val="28"/>
        </w:rPr>
        <w:t>7.</w:t>
      </w:r>
      <w:r>
        <w:rPr>
          <w:rFonts w:hint="eastAsia" w:ascii="Times New Roman" w:hAnsi="Times New Roman" w:eastAsia="宋体"/>
          <w:b/>
          <w:color w:val="auto"/>
          <w:sz w:val="28"/>
          <w:szCs w:val="28"/>
          <w:lang w:val="en-US" w:eastAsia="zh-CN"/>
        </w:rPr>
        <w:t>4</w:t>
      </w:r>
      <w:r>
        <w:rPr>
          <w:rFonts w:ascii="Times New Roman" w:hAnsi="Times New Roman" w:eastAsia="宋体"/>
          <w:b/>
          <w:color w:val="auto"/>
          <w:sz w:val="28"/>
          <w:szCs w:val="28"/>
        </w:rPr>
        <w:t>.1</w:t>
      </w:r>
      <w:r>
        <w:rPr>
          <w:rFonts w:hint="eastAsia" w:ascii="Times New Roman" w:hAnsi="Times New Roman" w:eastAsia="宋体"/>
          <w:b/>
          <w:color w:val="auto"/>
          <w:sz w:val="28"/>
          <w:szCs w:val="28"/>
        </w:rPr>
        <w:t>环保建设费用占总建设投资比例</w:t>
      </w:r>
    </w:p>
    <w:p>
      <w:pPr>
        <w:adjustRightInd w:val="0"/>
        <w:snapToGrid w:val="0"/>
        <w:spacing w:line="360" w:lineRule="auto"/>
        <w:ind w:firstLine="480" w:firstLineChars="200"/>
        <w:jc w:val="center"/>
        <w:rPr>
          <w:rFonts w:hint="eastAsia" w:ascii="Times New Roman" w:hAnsi="Times New Roman" w:eastAsia="宋体"/>
          <w:color w:val="auto"/>
          <w:sz w:val="24"/>
          <w:szCs w:val="24"/>
          <w:lang w:eastAsia="zh-CN"/>
        </w:rPr>
      </w:pPr>
      <w:r>
        <w:rPr>
          <w:rFonts w:hint="eastAsia" w:ascii="Times New Roman" w:hAnsi="Times New Roman" w:eastAsia="宋体"/>
          <w:color w:val="auto"/>
          <w:position w:val="-26"/>
          <w:sz w:val="24"/>
          <w:szCs w:val="24"/>
          <w:lang w:eastAsia="zh-CN"/>
        </w:rPr>
        <w:object>
          <v:shape id="_x0000_i1039" o:spt="75" type="#_x0000_t75" style="height:33pt;width:169.3pt;" o:ole="t" filled="f" o:preferrelative="t" stroked="f" coordsize="21600,21600">
            <v:path/>
            <v:fill on="f" focussize="0,0"/>
            <v:stroke on="f"/>
            <v:imagedata r:id="rId74" o:title=""/>
            <o:lock v:ext="edit" aspectratio="t"/>
            <w10:wrap type="none"/>
            <w10:anchorlock/>
          </v:shape>
          <o:OLEObject Type="Embed" ProgID="Equation.KSEE3" ShapeID="_x0000_i1039" DrawAspect="Content" ObjectID="_1468075739" r:id="rId73">
            <o:LockedField>false</o:LockedField>
          </o:OLEObject>
        </w:object>
      </w:r>
    </w:p>
    <w:p>
      <w:pPr>
        <w:jc w:val="left"/>
        <w:outlineLvl w:val="2"/>
        <w:rPr>
          <w:rFonts w:hint="eastAsia" w:ascii="Times New Roman" w:hAnsi="Times New Roman" w:eastAsia="宋体"/>
          <w:b/>
          <w:color w:val="auto"/>
          <w:sz w:val="28"/>
          <w:szCs w:val="28"/>
          <w:lang w:eastAsia="zh-CN"/>
        </w:rPr>
      </w:pPr>
      <w:r>
        <w:rPr>
          <w:rFonts w:ascii="Times New Roman" w:hAnsi="Times New Roman" w:eastAsia="宋体"/>
          <w:b/>
          <w:color w:val="auto"/>
          <w:sz w:val="28"/>
          <w:szCs w:val="28"/>
        </w:rPr>
        <w:t>7.</w:t>
      </w:r>
      <w:r>
        <w:rPr>
          <w:rFonts w:hint="eastAsia" w:ascii="Times New Roman" w:hAnsi="Times New Roman" w:eastAsia="宋体"/>
          <w:b/>
          <w:color w:val="auto"/>
          <w:sz w:val="28"/>
          <w:szCs w:val="28"/>
          <w:lang w:val="en-US" w:eastAsia="zh-CN"/>
        </w:rPr>
        <w:t>4</w:t>
      </w:r>
      <w:r>
        <w:rPr>
          <w:rFonts w:ascii="Times New Roman" w:hAnsi="Times New Roman" w:eastAsia="宋体"/>
          <w:b/>
          <w:color w:val="auto"/>
          <w:sz w:val="28"/>
          <w:szCs w:val="28"/>
        </w:rPr>
        <w:t>.</w:t>
      </w:r>
      <w:r>
        <w:rPr>
          <w:rFonts w:hint="eastAsia" w:ascii="Times New Roman" w:hAnsi="Times New Roman" w:eastAsia="宋体"/>
          <w:b/>
          <w:color w:val="auto"/>
          <w:sz w:val="28"/>
          <w:szCs w:val="28"/>
          <w:lang w:val="en-US" w:eastAsia="zh-CN"/>
        </w:rPr>
        <w:t>2环境成本比例</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环境成本比率是指工程单位经济效益所需的环保运行管理费用（工程总经济效益按税后利润计）。</w:t>
      </w:r>
    </w:p>
    <w:p>
      <w:pPr>
        <w:adjustRightInd w:val="0"/>
        <w:snapToGrid w:val="0"/>
        <w:spacing w:line="360" w:lineRule="auto"/>
        <w:ind w:firstLine="480" w:firstLineChars="200"/>
        <w:jc w:val="center"/>
        <w:rPr>
          <w:rFonts w:hint="eastAsia" w:ascii="Times New Roman" w:hAnsi="Times New Roman" w:eastAsia="宋体"/>
          <w:color w:val="auto"/>
          <w:sz w:val="24"/>
          <w:szCs w:val="24"/>
        </w:rPr>
      </w:pPr>
      <w:r>
        <w:rPr>
          <w:rFonts w:hint="eastAsia" w:ascii="Times New Roman" w:hAnsi="Times New Roman" w:eastAsia="宋体"/>
          <w:color w:val="auto"/>
          <w:position w:val="-26"/>
          <w:sz w:val="24"/>
          <w:szCs w:val="24"/>
          <w:lang w:eastAsia="zh-CN"/>
        </w:rPr>
        <w:object>
          <v:shape id="_x0000_i1040" o:spt="75" type="#_x0000_t75" style="height:33pt;width:330pt;" o:ole="t" filled="f" o:preferrelative="t" stroked="f" coordsize="21600,21600">
            <v:path/>
            <v:fill on="f" focussize="0,0"/>
            <v:stroke on="f"/>
            <v:imagedata r:id="rId76" o:title=""/>
            <o:lock v:ext="edit" aspectratio="t"/>
            <w10:wrap type="none"/>
            <w10:anchorlock/>
          </v:shape>
          <o:OLEObject Type="Embed" ProgID="Equation.KSEE3" ShapeID="_x0000_i1040" DrawAspect="Content" ObjectID="_1468075740" r:id="rId75">
            <o:LockedField>false</o:LockedField>
          </o:OLEObject>
        </w:object>
      </w:r>
    </w:p>
    <w:p>
      <w:pPr>
        <w:jc w:val="left"/>
        <w:outlineLvl w:val="2"/>
        <w:rPr>
          <w:rFonts w:hint="eastAsia" w:ascii="Times New Roman" w:hAnsi="Times New Roman" w:eastAsia="宋体"/>
          <w:b/>
          <w:color w:val="auto"/>
          <w:sz w:val="28"/>
          <w:szCs w:val="28"/>
          <w:lang w:eastAsia="zh-CN"/>
        </w:rPr>
      </w:pPr>
      <w:r>
        <w:rPr>
          <w:rFonts w:ascii="Times New Roman" w:hAnsi="Times New Roman" w:eastAsia="宋体"/>
          <w:b/>
          <w:color w:val="auto"/>
          <w:sz w:val="28"/>
          <w:szCs w:val="28"/>
        </w:rPr>
        <w:t>7.</w:t>
      </w:r>
      <w:r>
        <w:rPr>
          <w:rFonts w:hint="eastAsia" w:ascii="Times New Roman" w:hAnsi="Times New Roman" w:eastAsia="宋体"/>
          <w:b/>
          <w:color w:val="auto"/>
          <w:sz w:val="28"/>
          <w:szCs w:val="28"/>
          <w:lang w:val="en-US" w:eastAsia="zh-CN"/>
        </w:rPr>
        <w:t>4</w:t>
      </w:r>
      <w:r>
        <w:rPr>
          <w:rFonts w:ascii="Times New Roman" w:hAnsi="Times New Roman" w:eastAsia="宋体"/>
          <w:b/>
          <w:color w:val="auto"/>
          <w:sz w:val="28"/>
          <w:szCs w:val="28"/>
        </w:rPr>
        <w:t>.</w:t>
      </w:r>
      <w:r>
        <w:rPr>
          <w:rFonts w:hint="eastAsia" w:ascii="Times New Roman" w:hAnsi="Times New Roman" w:eastAsia="宋体"/>
          <w:b/>
          <w:color w:val="auto"/>
          <w:sz w:val="28"/>
          <w:szCs w:val="28"/>
          <w:lang w:val="en-US" w:eastAsia="zh-CN"/>
        </w:rPr>
        <w:t>3环境系数</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环境系数指工程单位产值所需的环保运行管理费用。</w:t>
      </w:r>
    </w:p>
    <w:p>
      <w:pPr>
        <w:adjustRightInd w:val="0"/>
        <w:snapToGrid w:val="0"/>
        <w:spacing w:line="360" w:lineRule="auto"/>
        <w:ind w:firstLine="480" w:firstLineChars="200"/>
        <w:jc w:val="center"/>
        <w:rPr>
          <w:rFonts w:hint="eastAsia" w:ascii="Times New Roman" w:hAnsi="Times New Roman" w:eastAsia="宋体"/>
          <w:color w:val="auto"/>
          <w:sz w:val="24"/>
          <w:szCs w:val="24"/>
        </w:rPr>
      </w:pPr>
      <w:r>
        <w:rPr>
          <w:rFonts w:hint="eastAsia" w:ascii="Times New Roman" w:hAnsi="Times New Roman" w:eastAsia="宋体"/>
          <w:color w:val="auto"/>
          <w:position w:val="-26"/>
          <w:sz w:val="24"/>
          <w:szCs w:val="24"/>
          <w:lang w:eastAsia="zh-CN"/>
        </w:rPr>
        <w:object>
          <v:shape id="_x0000_i1041" o:spt="75" type="#_x0000_t75" style="height:33pt;width:319pt;" o:ole="t" filled="f" o:preferrelative="t" stroked="f" coordsize="21600,21600">
            <v:path/>
            <v:fill on="f" focussize="0,0"/>
            <v:stroke on="f"/>
            <v:imagedata r:id="rId78" o:title=""/>
            <o:lock v:ext="edit" aspectratio="t"/>
            <w10:wrap type="none"/>
            <w10:anchorlock/>
          </v:shape>
          <o:OLEObject Type="Embed" ProgID="Equation.KSEE3" ShapeID="_x0000_i1041" DrawAspect="Content" ObjectID="_1468075741" r:id="rId77">
            <o:LockedField>false</o:LockedField>
          </o:OLEObject>
        </w:object>
      </w:r>
    </w:p>
    <w:p>
      <w:pPr>
        <w:pStyle w:val="86"/>
        <w:adjustRightInd w:val="0"/>
        <w:snapToGrid w:val="0"/>
        <w:spacing w:beforeLines="0" w:afterLines="0"/>
        <w:rPr>
          <w:rFonts w:hint="eastAsia" w:ascii="Times New Roman" w:hAnsi="Times New Roman" w:eastAsia="宋体"/>
          <w:color w:val="auto"/>
        </w:rPr>
      </w:pPr>
      <w:bookmarkStart w:id="298" w:name="_Toc20453"/>
      <w:r>
        <w:rPr>
          <w:rFonts w:hint="eastAsia" w:ascii="Times New Roman" w:hAnsi="Times New Roman" w:eastAsia="宋体"/>
          <w:color w:val="auto"/>
        </w:rPr>
        <w:t>7.</w:t>
      </w:r>
      <w:r>
        <w:rPr>
          <w:rFonts w:hint="eastAsia" w:ascii="Times New Roman" w:hAnsi="Times New Roman" w:eastAsia="宋体"/>
          <w:color w:val="auto"/>
          <w:lang w:val="en-US" w:eastAsia="zh-CN"/>
        </w:rPr>
        <w:t>5</w:t>
      </w:r>
      <w:bookmarkStart w:id="299" w:name="_Toc459118504"/>
      <w:bookmarkStart w:id="300" w:name="_Toc540"/>
      <w:r>
        <w:rPr>
          <w:rFonts w:hint="eastAsia" w:ascii="Times New Roman" w:hAnsi="Times New Roman" w:eastAsia="宋体"/>
          <w:color w:val="auto"/>
        </w:rPr>
        <w:t>社会效益分析</w:t>
      </w:r>
      <w:bookmarkEnd w:id="298"/>
      <w:bookmarkEnd w:id="299"/>
      <w:bookmarkEnd w:id="300"/>
    </w:p>
    <w:p>
      <w:pPr>
        <w:pStyle w:val="82"/>
        <w:adjustRightInd w:val="0"/>
        <w:snapToGrid w:val="0"/>
        <w:ind w:firstLine="480" w:firstLineChars="200"/>
        <w:rPr>
          <w:rFonts w:hint="eastAsia" w:ascii="Times New Roman" w:hAnsi="Times New Roman" w:eastAsia="宋体"/>
          <w:color w:val="auto"/>
        </w:rPr>
      </w:pPr>
      <w:r>
        <w:rPr>
          <w:rFonts w:hint="eastAsia" w:ascii="Times New Roman" w:hAnsi="Times New Roman" w:eastAsia="宋体"/>
          <w:color w:val="auto"/>
        </w:rPr>
        <w:t>本项目的社会效益主要表现在以下几个方面：</w:t>
      </w:r>
    </w:p>
    <w:p>
      <w:pPr>
        <w:pStyle w:val="82"/>
        <w:adjustRightInd w:val="0"/>
        <w:snapToGrid w:val="0"/>
        <w:ind w:firstLine="480" w:firstLineChars="200"/>
        <w:rPr>
          <w:rFonts w:hint="eastAsia" w:ascii="Times New Roman" w:hAnsi="Times New Roman" w:eastAsia="宋体"/>
          <w:color w:val="auto"/>
        </w:rPr>
      </w:pPr>
      <w:r>
        <w:rPr>
          <w:rFonts w:hint="eastAsia" w:ascii="Times New Roman" w:hAnsi="Times New Roman" w:eastAsia="宋体"/>
          <w:color w:val="auto"/>
          <w:lang w:eastAsia="zh-CN"/>
        </w:rPr>
        <w:t>（</w:t>
      </w:r>
      <w:r>
        <w:rPr>
          <w:rFonts w:hint="eastAsia" w:ascii="Times New Roman" w:hAnsi="Times New Roman" w:eastAsia="宋体"/>
          <w:color w:val="auto"/>
          <w:lang w:val="en-US" w:eastAsia="zh-CN"/>
        </w:rPr>
        <w:t>1</w:t>
      </w:r>
      <w:r>
        <w:rPr>
          <w:rFonts w:hint="eastAsia" w:ascii="Times New Roman" w:hAnsi="Times New Roman" w:eastAsia="宋体"/>
          <w:color w:val="auto"/>
          <w:lang w:eastAsia="zh-CN"/>
        </w:rPr>
        <w:t>）</w:t>
      </w:r>
      <w:r>
        <w:rPr>
          <w:rFonts w:hint="eastAsia" w:ascii="Times New Roman" w:hAnsi="Times New Roman" w:eastAsia="宋体"/>
          <w:color w:val="auto"/>
        </w:rPr>
        <w:t>该项目的实施促进了养殖场的良性发展，增加了建设单位的市场竞争力。</w:t>
      </w:r>
    </w:p>
    <w:p>
      <w:pPr>
        <w:pStyle w:val="82"/>
        <w:adjustRightInd w:val="0"/>
        <w:snapToGrid w:val="0"/>
        <w:ind w:firstLine="480" w:firstLineChars="200"/>
        <w:rPr>
          <w:rFonts w:hint="eastAsia" w:ascii="Times New Roman" w:hAnsi="Times New Roman" w:eastAsia="宋体"/>
          <w:color w:val="auto"/>
        </w:rPr>
      </w:pPr>
      <w:r>
        <w:rPr>
          <w:rFonts w:hint="eastAsia" w:ascii="Times New Roman" w:hAnsi="Times New Roman" w:eastAsia="宋体"/>
          <w:color w:val="auto"/>
        </w:rPr>
        <w:t>（2）养殖场的废物得到资源化的利用，促进了项目单位循环经济和生态经济的良性发展。项目对污染物进行了治理，实现了清洁养殖，为生猪的良性繁育创造了较好卫生环境，增强了市场竞争力。</w:t>
      </w:r>
    </w:p>
    <w:p>
      <w:pPr>
        <w:pStyle w:val="82"/>
        <w:adjustRightInd w:val="0"/>
        <w:snapToGrid w:val="0"/>
        <w:ind w:firstLine="480" w:firstLineChars="200"/>
        <w:rPr>
          <w:rFonts w:hint="eastAsia" w:ascii="Times New Roman" w:hAnsi="Times New Roman" w:eastAsia="宋体"/>
          <w:color w:val="auto"/>
        </w:rPr>
      </w:pPr>
      <w:r>
        <w:rPr>
          <w:rFonts w:hint="eastAsia" w:ascii="Times New Roman" w:hAnsi="Times New Roman" w:eastAsia="宋体"/>
          <w:color w:val="auto"/>
        </w:rPr>
        <w:t>（3）项目的清洁生产措施，很大程度上节约了资源和能源，起到了“节能、降耗、减污、增效”的作用，符合国家产业政策和环保治理要求。</w:t>
      </w:r>
    </w:p>
    <w:p>
      <w:pPr>
        <w:pStyle w:val="82"/>
        <w:adjustRightInd w:val="0"/>
        <w:snapToGrid w:val="0"/>
        <w:ind w:firstLine="480" w:firstLineChars="200"/>
        <w:rPr>
          <w:rFonts w:hint="eastAsia" w:ascii="Times New Roman" w:hAnsi="Times New Roman" w:eastAsia="宋体"/>
          <w:color w:val="auto"/>
        </w:rPr>
      </w:pPr>
      <w:r>
        <w:rPr>
          <w:rFonts w:hint="eastAsia" w:ascii="Times New Roman" w:hAnsi="Times New Roman" w:eastAsia="宋体"/>
          <w:color w:val="auto"/>
        </w:rPr>
        <w:t>（4）该项目未来的标准化、规模化建设将形成农村能源产业，由此所需的技术、管理队伍可就地吸纳农村剩余劳动力，有利于维护农村社会稳定，对提高人民生活水平起到积极作用。</w:t>
      </w:r>
    </w:p>
    <w:p>
      <w:pPr>
        <w:pStyle w:val="82"/>
        <w:adjustRightInd w:val="0"/>
        <w:snapToGrid w:val="0"/>
        <w:ind w:firstLine="480" w:firstLineChars="200"/>
        <w:rPr>
          <w:rFonts w:hint="eastAsia" w:ascii="Times New Roman" w:hAnsi="Times New Roman" w:eastAsia="宋体"/>
          <w:color w:val="auto"/>
        </w:rPr>
      </w:pPr>
      <w:r>
        <w:rPr>
          <w:rFonts w:hint="eastAsia" w:ascii="Times New Roman" w:hAnsi="Times New Roman" w:eastAsia="宋体"/>
          <w:color w:val="auto"/>
        </w:rPr>
        <w:t>（5）项目的建设可拉动周边畜禽养殖业、肉制品加工业、有机肥加工等行业的快速发展，同时为周围种植基地提供了生物肥料，降低了化肥、农药在农产品生产中的使用量，为无害农产品生产提供了有利条件，有利于促进周围农村产业结构调整。</w:t>
      </w:r>
    </w:p>
    <w:p>
      <w:pPr>
        <w:pStyle w:val="82"/>
        <w:adjustRightInd w:val="0"/>
        <w:snapToGrid w:val="0"/>
        <w:ind w:firstLine="480" w:firstLineChars="200"/>
        <w:rPr>
          <w:rFonts w:hint="eastAsia" w:ascii="Times New Roman" w:hAnsi="Times New Roman" w:eastAsia="宋体"/>
          <w:color w:val="auto"/>
        </w:rPr>
      </w:pPr>
      <w:r>
        <w:rPr>
          <w:rFonts w:hint="eastAsia" w:ascii="Times New Roman" w:hAnsi="Times New Roman" w:eastAsia="宋体"/>
          <w:color w:val="auto"/>
        </w:rPr>
        <w:t>（6）项目投产后，可增加当地财政收入，提高当地社会经济发展水平，对区域社会稳定发挥了较强作用。</w:t>
      </w:r>
    </w:p>
    <w:p>
      <w:pPr>
        <w:pStyle w:val="86"/>
        <w:adjustRightInd w:val="0"/>
        <w:snapToGrid w:val="0"/>
        <w:spacing w:beforeLines="0" w:afterLines="0"/>
        <w:rPr>
          <w:rFonts w:hint="eastAsia" w:ascii="Times New Roman" w:hAnsi="Times New Roman" w:eastAsia="宋体"/>
          <w:color w:val="auto"/>
        </w:rPr>
      </w:pPr>
      <w:bookmarkStart w:id="301" w:name="_Toc459118505"/>
      <w:bookmarkStart w:id="302" w:name="_Toc6378"/>
      <w:bookmarkStart w:id="303" w:name="_Toc7655"/>
      <w:r>
        <w:rPr>
          <w:rFonts w:hint="eastAsia" w:ascii="Times New Roman" w:hAnsi="Times New Roman" w:eastAsia="宋体"/>
          <w:color w:val="auto"/>
        </w:rPr>
        <w:t>7.</w:t>
      </w:r>
      <w:r>
        <w:rPr>
          <w:rFonts w:hint="eastAsia" w:ascii="Times New Roman" w:hAnsi="Times New Roman" w:eastAsia="宋体"/>
          <w:color w:val="auto"/>
          <w:lang w:val="en-US" w:eastAsia="zh-CN"/>
        </w:rPr>
        <w:t>6</w:t>
      </w:r>
      <w:r>
        <w:rPr>
          <w:rFonts w:hint="eastAsia" w:ascii="Times New Roman" w:hAnsi="Times New Roman" w:eastAsia="宋体"/>
          <w:color w:val="auto"/>
        </w:rPr>
        <w:t>结论</w:t>
      </w:r>
      <w:bookmarkEnd w:id="301"/>
      <w:bookmarkEnd w:id="302"/>
      <w:bookmarkEnd w:id="303"/>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项目采取污染治理措施后，各污染源均可实现达标排放，当地环境质量可维持现状水平，项目的环保投资环境效益是显著的。只要企业切实落实设计和环评提出的各项污染防治措施，使各类污染物均做到达标排放，则该项目的建设和营运对周围环境的影响是可以承受的，能够做到社会效益、环境效益和经济效益三者的统一。</w:t>
      </w:r>
    </w:p>
    <w:p>
      <w:pPr>
        <w:spacing w:line="360" w:lineRule="auto"/>
        <w:ind w:firstLine="480" w:firstLineChars="200"/>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br w:type="page"/>
      </w:r>
    </w:p>
    <w:p>
      <w:pPr>
        <w:pStyle w:val="4"/>
        <w:tabs>
          <w:tab w:val="left" w:pos="425"/>
        </w:tabs>
        <w:adjustRightInd w:val="0"/>
        <w:snapToGrid w:val="0"/>
        <w:spacing w:line="360" w:lineRule="auto"/>
        <w:jc w:val="center"/>
        <w:rPr>
          <w:rFonts w:ascii="Times New Roman" w:hAnsi="Times New Roman" w:eastAsia="宋体"/>
          <w:color w:val="auto"/>
          <w:sz w:val="32"/>
          <w:szCs w:val="32"/>
        </w:rPr>
      </w:pPr>
      <w:bookmarkStart w:id="304" w:name="_Toc354925011"/>
      <w:bookmarkStart w:id="305" w:name="_Toc385952734"/>
      <w:bookmarkStart w:id="306" w:name="_Toc470854087"/>
      <w:bookmarkStart w:id="307" w:name="_Toc385952928"/>
      <w:bookmarkStart w:id="308" w:name="_Toc502454026"/>
      <w:bookmarkStart w:id="309" w:name="_Toc8718"/>
      <w:bookmarkStart w:id="310" w:name="_Toc29869"/>
      <w:bookmarkStart w:id="311" w:name="_Toc385953057"/>
      <w:bookmarkStart w:id="312" w:name="_Toc366870441"/>
      <w:bookmarkStart w:id="313" w:name="_Toc459118490"/>
      <w:r>
        <w:rPr>
          <w:rFonts w:hint="eastAsia" w:ascii="Times New Roman" w:hAnsi="Times New Roman" w:eastAsia="宋体"/>
          <w:color w:val="auto"/>
          <w:sz w:val="32"/>
          <w:szCs w:val="32"/>
        </w:rPr>
        <w:t>8</w:t>
      </w:r>
      <w:r>
        <w:rPr>
          <w:rFonts w:ascii="Times New Roman" w:hAnsi="Times New Roman" w:eastAsia="宋体"/>
          <w:color w:val="auto"/>
          <w:sz w:val="32"/>
          <w:szCs w:val="32"/>
        </w:rPr>
        <w:t>环境管理与监测计划</w:t>
      </w:r>
      <w:bookmarkEnd w:id="304"/>
      <w:bookmarkEnd w:id="305"/>
      <w:bookmarkEnd w:id="306"/>
      <w:bookmarkEnd w:id="307"/>
      <w:bookmarkEnd w:id="308"/>
      <w:bookmarkEnd w:id="309"/>
      <w:bookmarkEnd w:id="310"/>
      <w:bookmarkEnd w:id="311"/>
      <w:bookmarkEnd w:id="312"/>
    </w:p>
    <w:p>
      <w:pPr>
        <w:snapToGrid w:val="0"/>
        <w:spacing w:line="360" w:lineRule="auto"/>
        <w:ind w:firstLine="480" w:firstLineChars="200"/>
        <w:rPr>
          <w:rFonts w:ascii="Times New Roman" w:hAnsi="Times New Roman" w:eastAsia="宋体"/>
          <w:color w:val="auto"/>
          <w:sz w:val="24"/>
        </w:rPr>
      </w:pPr>
      <w:r>
        <w:rPr>
          <w:rFonts w:hint="eastAsia" w:ascii="Times New Roman" w:hAnsi="Times New Roman" w:eastAsia="宋体"/>
          <w:color w:val="auto"/>
          <w:sz w:val="24"/>
        </w:rPr>
        <w:t>为了贯彻国家环境保护有关规定，处理好发展生产与环境保护的关系，实现建设项目的经济效益、社会效益和环境效益的统一，更好地监控工程环保设施的运行，及时掌握和了解污染治理和控制措施的效果和周围地区的环境质量的变化情况，必须设置相应的环保机构，制定环境管理与监测实施计划。</w:t>
      </w:r>
    </w:p>
    <w:p>
      <w:pPr>
        <w:pStyle w:val="86"/>
        <w:adjustRightInd w:val="0"/>
        <w:snapToGrid w:val="0"/>
        <w:spacing w:beforeLines="0" w:afterLines="0"/>
        <w:rPr>
          <w:rFonts w:hint="eastAsia" w:ascii="Times New Roman" w:hAnsi="Times New Roman" w:eastAsia="宋体"/>
          <w:color w:val="auto"/>
        </w:rPr>
      </w:pPr>
      <w:bookmarkStart w:id="314" w:name="_Toc10124"/>
      <w:bookmarkStart w:id="315" w:name="_Toc311815694"/>
      <w:bookmarkStart w:id="316" w:name="_Toc9991"/>
      <w:bookmarkStart w:id="317" w:name="_Toc26106"/>
      <w:bookmarkStart w:id="318" w:name="_Toc366870442"/>
      <w:bookmarkStart w:id="319" w:name="_Toc385952735"/>
      <w:bookmarkStart w:id="320" w:name="_Toc11225"/>
      <w:bookmarkStart w:id="321" w:name="_Toc335668597"/>
      <w:bookmarkStart w:id="322" w:name="_Toc470854088"/>
      <w:bookmarkStart w:id="323" w:name="_Toc337391784"/>
      <w:bookmarkStart w:id="324" w:name="_Toc385952929"/>
      <w:bookmarkStart w:id="325" w:name="_Toc502454027"/>
      <w:bookmarkStart w:id="326" w:name="_Toc354925012"/>
      <w:bookmarkStart w:id="327" w:name="_Toc385953058"/>
      <w:r>
        <w:rPr>
          <w:rFonts w:hint="eastAsia" w:ascii="Times New Roman" w:hAnsi="Times New Roman" w:eastAsia="宋体"/>
          <w:color w:val="auto"/>
        </w:rPr>
        <w:t>8.1环境管理</w:t>
      </w:r>
      <w:bookmarkEnd w:id="314"/>
      <w:bookmarkEnd w:id="315"/>
      <w:bookmarkEnd w:id="316"/>
      <w:bookmarkEnd w:id="317"/>
    </w:p>
    <w:p>
      <w:pPr>
        <w:adjustRightInd w:val="0"/>
        <w:snapToGrid w:val="0"/>
        <w:spacing w:line="360" w:lineRule="auto"/>
        <w:outlineLvl w:val="2"/>
        <w:rPr>
          <w:rFonts w:hint="eastAsia" w:ascii="Times New Roman" w:hAnsi="Times New Roman" w:eastAsia="宋体"/>
          <w:b/>
          <w:color w:val="auto"/>
          <w:sz w:val="28"/>
          <w:szCs w:val="28"/>
        </w:rPr>
      </w:pPr>
      <w:bookmarkStart w:id="328" w:name="_Toc82311435"/>
      <w:bookmarkStart w:id="329" w:name="_Toc82263065"/>
      <w:r>
        <w:rPr>
          <w:rFonts w:hint="eastAsia" w:ascii="Times New Roman" w:hAnsi="Times New Roman" w:eastAsia="宋体"/>
          <w:b/>
          <w:color w:val="auto"/>
          <w:sz w:val="28"/>
          <w:szCs w:val="28"/>
        </w:rPr>
        <w:t>8.1.1环境管理的重要性</w:t>
      </w:r>
    </w:p>
    <w:p>
      <w:pPr>
        <w:spacing w:line="360" w:lineRule="auto"/>
        <w:ind w:firstLine="480"/>
        <w:rPr>
          <w:rFonts w:hint="eastAsia" w:ascii="Times New Roman" w:hAnsi="Times New Roman" w:eastAsia="宋体"/>
          <w:color w:val="auto"/>
          <w:kern w:val="0"/>
          <w:sz w:val="24"/>
        </w:rPr>
      </w:pPr>
      <w:r>
        <w:rPr>
          <w:rFonts w:hint="eastAsia" w:ascii="Times New Roman" w:hAnsi="Times New Roman" w:eastAsia="宋体"/>
          <w:color w:val="auto"/>
          <w:kern w:val="0"/>
          <w:sz w:val="24"/>
        </w:rPr>
        <w:t>项目环境管理是指工程在施工期和运行期间，应严格按照国家、地方环境保护政策、法律和法规等进行环境管理工作，并接受地方环保管理部门监督，促使项目实现“三同时”目标。</w:t>
      </w:r>
    </w:p>
    <w:p>
      <w:pPr>
        <w:spacing w:line="360" w:lineRule="auto"/>
        <w:ind w:firstLine="480"/>
        <w:rPr>
          <w:rFonts w:ascii="Times New Roman" w:hAnsi="Times New Roman" w:eastAsia="宋体"/>
          <w:color w:val="auto"/>
          <w:kern w:val="0"/>
          <w:sz w:val="24"/>
        </w:rPr>
      </w:pPr>
      <w:r>
        <w:rPr>
          <w:rFonts w:hint="eastAsia" w:ascii="Times New Roman" w:hAnsi="Times New Roman" w:eastAsia="宋体"/>
          <w:color w:val="auto"/>
          <w:kern w:val="0"/>
          <w:sz w:val="24"/>
        </w:rPr>
        <w:t>环境管理是企业管理工作重要组成部分。其主要目的是通过环境管理工作的开展，提高全体员工环保意识，促进企业积极主动地预防和治理污染，避免因管理不善而可能产生环境污染。因此，企业要贯彻落实国家和地方有关法律和法规，正确处理企业发展与环境保护的关系，实现清洁生产，从而真正达到持续发展的战略目标。</w:t>
      </w:r>
    </w:p>
    <w:bookmarkEnd w:id="328"/>
    <w:bookmarkEnd w:id="329"/>
    <w:p>
      <w:pPr>
        <w:adjustRightInd w:val="0"/>
        <w:snapToGrid w:val="0"/>
        <w:spacing w:line="360" w:lineRule="auto"/>
        <w:outlineLvl w:val="2"/>
        <w:rPr>
          <w:rFonts w:hint="eastAsia" w:ascii="Times New Roman" w:hAnsi="Times New Roman" w:eastAsia="宋体"/>
          <w:b/>
          <w:color w:val="auto"/>
          <w:sz w:val="28"/>
          <w:szCs w:val="28"/>
        </w:rPr>
      </w:pPr>
      <w:r>
        <w:rPr>
          <w:rFonts w:hint="eastAsia" w:ascii="Times New Roman" w:hAnsi="Times New Roman" w:eastAsia="宋体"/>
          <w:b/>
          <w:color w:val="auto"/>
          <w:sz w:val="28"/>
          <w:szCs w:val="28"/>
        </w:rPr>
        <w:t>8.1.2环境管理</w:t>
      </w:r>
      <w:r>
        <w:rPr>
          <w:rFonts w:hint="eastAsia" w:ascii="Times New Roman" w:hAnsi="Times New Roman" w:eastAsia="宋体"/>
          <w:b/>
          <w:color w:val="auto"/>
          <w:sz w:val="28"/>
          <w:szCs w:val="28"/>
          <w:lang w:eastAsia="zh-CN"/>
        </w:rPr>
        <w:t>机构与</w:t>
      </w:r>
      <w:r>
        <w:rPr>
          <w:rFonts w:hint="eastAsia" w:ascii="Times New Roman" w:hAnsi="Times New Roman" w:eastAsia="宋体"/>
          <w:b/>
          <w:color w:val="auto"/>
          <w:sz w:val="28"/>
          <w:szCs w:val="28"/>
        </w:rPr>
        <w:t>职责</w:t>
      </w:r>
    </w:p>
    <w:p>
      <w:pPr>
        <w:adjustRightInd w:val="0"/>
        <w:snapToGrid w:val="0"/>
        <w:spacing w:line="360" w:lineRule="auto"/>
        <w:ind w:firstLine="482"/>
        <w:rPr>
          <w:rFonts w:hint="eastAsia" w:ascii="Times New Roman" w:hAnsi="Times New Roman" w:eastAsia="宋体"/>
          <w:color w:val="auto"/>
          <w:kern w:val="0"/>
          <w:sz w:val="24"/>
        </w:rPr>
      </w:pPr>
      <w:r>
        <w:rPr>
          <w:rFonts w:hint="eastAsia" w:ascii="Times New Roman" w:hAnsi="Times New Roman" w:eastAsia="宋体"/>
          <w:color w:val="auto"/>
          <w:kern w:val="0"/>
          <w:sz w:val="24"/>
        </w:rPr>
        <w:t>建立环境管理机构是使环境管理工作科学化、制度化、经常化的组织保障，是将环境保护纳入企业管理和生产计划并制定合理的污染控制指标，使企业排污符合国家和地方有关排放标准，并实现“一控双达标”，企业内部必须建立环境管理机构。</w:t>
      </w:r>
    </w:p>
    <w:p>
      <w:pPr>
        <w:pStyle w:val="16"/>
        <w:adjustRightInd w:val="0"/>
        <w:snapToGrid w:val="0"/>
        <w:spacing w:line="360" w:lineRule="auto"/>
        <w:ind w:right="0"/>
        <w:jc w:val="both"/>
        <w:outlineLvl w:val="3"/>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8.1.2.1环保机构设置</w:t>
      </w:r>
    </w:p>
    <w:p>
      <w:pPr>
        <w:adjustRightInd w:val="0"/>
        <w:snapToGrid w:val="0"/>
        <w:spacing w:line="360" w:lineRule="auto"/>
        <w:ind w:firstLine="482"/>
        <w:rPr>
          <w:rFonts w:hint="eastAsia" w:ascii="Times New Roman" w:hAnsi="Times New Roman" w:eastAsia="宋体"/>
          <w:color w:val="auto"/>
          <w:kern w:val="0"/>
          <w:sz w:val="24"/>
        </w:rPr>
      </w:pPr>
      <w:r>
        <w:rPr>
          <w:rFonts w:hint="eastAsia" w:ascii="Times New Roman" w:hAnsi="Times New Roman" w:eastAsia="宋体"/>
          <w:color w:val="auto"/>
          <w:kern w:val="0"/>
          <w:sz w:val="24"/>
        </w:rPr>
        <w:t>根据项目实际情况，建设单位应当建立环保机构，由公司总经理负责，副经理分管，成员由各生产岗位领导组成，专门研究、决策有关环境保护方面的事宜。同时配备 2 名专职环保员，担负起全场环境管理工作，使各项环保措施、制度得以贯彻落实。</w:t>
      </w:r>
    </w:p>
    <w:p>
      <w:pPr>
        <w:pStyle w:val="16"/>
        <w:adjustRightInd w:val="0"/>
        <w:snapToGrid w:val="0"/>
        <w:spacing w:line="360" w:lineRule="auto"/>
        <w:ind w:right="0"/>
        <w:jc w:val="both"/>
        <w:outlineLvl w:val="3"/>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8.1.2.2环境管理机构职责</w:t>
      </w:r>
    </w:p>
    <w:p>
      <w:pPr>
        <w:adjustRightInd w:val="0"/>
        <w:snapToGrid w:val="0"/>
        <w:spacing w:line="360" w:lineRule="auto"/>
        <w:ind w:firstLine="482"/>
        <w:rPr>
          <w:rFonts w:hint="eastAsia" w:ascii="Times New Roman" w:hAnsi="Times New Roman" w:eastAsia="宋体"/>
          <w:color w:val="auto"/>
          <w:kern w:val="0"/>
          <w:sz w:val="24"/>
        </w:rPr>
      </w:pPr>
      <w:r>
        <w:rPr>
          <w:rFonts w:hint="eastAsia" w:ascii="Times New Roman" w:hAnsi="Times New Roman" w:eastAsia="宋体"/>
          <w:color w:val="auto"/>
          <w:kern w:val="0"/>
          <w:sz w:val="24"/>
        </w:rPr>
        <w:t>项目环保机构应具有场内行使环保执法的权利，并接受当地环保管理部门的指导和监督。其主要职责如下：</w:t>
      </w:r>
    </w:p>
    <w:p>
      <w:pPr>
        <w:adjustRightInd w:val="0"/>
        <w:snapToGrid w:val="0"/>
        <w:spacing w:line="360" w:lineRule="auto"/>
        <w:ind w:firstLine="482"/>
        <w:rPr>
          <w:rFonts w:hint="eastAsia" w:ascii="Times New Roman" w:hAnsi="Times New Roman" w:eastAsia="宋体"/>
          <w:color w:val="auto"/>
          <w:kern w:val="0"/>
          <w:sz w:val="24"/>
        </w:rPr>
      </w:pPr>
      <w:r>
        <w:rPr>
          <w:rFonts w:hint="eastAsia" w:ascii="Times New Roman" w:hAnsi="Times New Roman" w:eastAsia="宋体"/>
          <w:color w:val="auto"/>
          <w:kern w:val="0"/>
          <w:sz w:val="24"/>
          <w:lang w:eastAsia="zh-CN"/>
        </w:rPr>
        <w:t>（</w:t>
      </w:r>
      <w:r>
        <w:rPr>
          <w:rFonts w:hint="eastAsia" w:ascii="Times New Roman" w:hAnsi="Times New Roman" w:eastAsia="宋体"/>
          <w:color w:val="auto"/>
          <w:kern w:val="0"/>
          <w:sz w:val="24"/>
          <w:lang w:val="en-US" w:eastAsia="zh-CN"/>
        </w:rPr>
        <w:t>1</w:t>
      </w:r>
      <w:r>
        <w:rPr>
          <w:rFonts w:hint="eastAsia" w:ascii="Times New Roman" w:hAnsi="Times New Roman" w:eastAsia="宋体"/>
          <w:color w:val="auto"/>
          <w:kern w:val="0"/>
          <w:sz w:val="24"/>
          <w:lang w:eastAsia="zh-CN"/>
        </w:rPr>
        <w:t>）</w:t>
      </w:r>
      <w:r>
        <w:rPr>
          <w:rFonts w:hint="eastAsia" w:ascii="Times New Roman" w:hAnsi="Times New Roman" w:eastAsia="宋体"/>
          <w:color w:val="auto"/>
          <w:kern w:val="0"/>
          <w:sz w:val="24"/>
        </w:rPr>
        <w:t>全面贯彻落实“保护和改善生产环境管理与生态环境，防治污染和其它公害”等环境保护基本国策的要求，做好本项目环境污染防治和生态环境保护工作。</w:t>
      </w:r>
    </w:p>
    <w:p>
      <w:pPr>
        <w:adjustRightInd w:val="0"/>
        <w:snapToGrid w:val="0"/>
        <w:spacing w:line="360" w:lineRule="auto"/>
        <w:ind w:firstLine="482"/>
        <w:rPr>
          <w:rFonts w:hint="eastAsia" w:ascii="Times New Roman" w:hAnsi="Times New Roman" w:eastAsia="宋体"/>
          <w:color w:val="auto"/>
          <w:kern w:val="0"/>
          <w:sz w:val="24"/>
        </w:rPr>
      </w:pPr>
      <w:r>
        <w:rPr>
          <w:rFonts w:hint="eastAsia" w:ascii="Times New Roman" w:hAnsi="Times New Roman" w:eastAsia="宋体"/>
          <w:color w:val="auto"/>
          <w:kern w:val="0"/>
          <w:sz w:val="24"/>
        </w:rPr>
        <w:t>（2）认真贯彻执行环境保护法律、法规和标准，按照地方政府给本企业下达的环境保护目标责任书，结合企业实际情况，制定出本企业环境保护目标和实施措施，落实到企业年度计划，并作为评定企业指标完成情况的依据之一。</w:t>
      </w:r>
    </w:p>
    <w:p>
      <w:pPr>
        <w:adjustRightInd w:val="0"/>
        <w:snapToGrid w:val="0"/>
        <w:spacing w:line="360" w:lineRule="auto"/>
        <w:ind w:firstLine="482"/>
        <w:rPr>
          <w:rFonts w:hint="eastAsia" w:ascii="Times New Roman" w:hAnsi="Times New Roman" w:eastAsia="宋体"/>
          <w:color w:val="auto"/>
          <w:kern w:val="0"/>
          <w:sz w:val="24"/>
        </w:rPr>
      </w:pPr>
      <w:r>
        <w:rPr>
          <w:rFonts w:hint="eastAsia" w:ascii="Times New Roman" w:hAnsi="Times New Roman" w:eastAsia="宋体"/>
          <w:color w:val="auto"/>
          <w:kern w:val="0"/>
          <w:sz w:val="24"/>
        </w:rPr>
        <w:t>（3）做好环保设施运行管理和维修工作，保证各项环保设施正常运行，确保治理效果、建立并管理好环保设施档案资料。</w:t>
      </w:r>
    </w:p>
    <w:p>
      <w:pPr>
        <w:adjustRightInd w:val="0"/>
        <w:snapToGrid w:val="0"/>
        <w:spacing w:line="360" w:lineRule="auto"/>
        <w:ind w:firstLine="482"/>
        <w:rPr>
          <w:rFonts w:hint="eastAsia" w:ascii="Times New Roman" w:hAnsi="Times New Roman" w:eastAsia="宋体"/>
          <w:color w:val="auto"/>
          <w:kern w:val="0"/>
          <w:sz w:val="24"/>
        </w:rPr>
      </w:pPr>
      <w:r>
        <w:rPr>
          <w:rFonts w:hint="eastAsia" w:ascii="Times New Roman" w:hAnsi="Times New Roman" w:eastAsia="宋体"/>
          <w:color w:val="auto"/>
          <w:kern w:val="0"/>
          <w:sz w:val="24"/>
        </w:rPr>
        <w:t>（4）负责建立和健全企业内部环境保护目标责任制度和考核制度，严格考核各环保设施处理效果，要有相应的奖惩制度。</w:t>
      </w:r>
    </w:p>
    <w:p>
      <w:pPr>
        <w:adjustRightInd w:val="0"/>
        <w:snapToGrid w:val="0"/>
        <w:spacing w:line="360" w:lineRule="auto"/>
        <w:ind w:firstLine="482"/>
        <w:rPr>
          <w:rFonts w:hint="eastAsia" w:ascii="Times New Roman" w:hAnsi="Times New Roman" w:eastAsia="宋体"/>
          <w:color w:val="auto"/>
          <w:kern w:val="0"/>
          <w:sz w:val="24"/>
        </w:rPr>
      </w:pPr>
      <w:r>
        <w:rPr>
          <w:rFonts w:hint="eastAsia" w:ascii="Times New Roman" w:hAnsi="Times New Roman" w:eastAsia="宋体"/>
          <w:color w:val="auto"/>
          <w:kern w:val="0"/>
          <w:sz w:val="24"/>
        </w:rPr>
        <w:t>（5）督促帮助企业搞好污染治理和固体废物综合利用工作，真正做到污染物零排放。</w:t>
      </w:r>
    </w:p>
    <w:p>
      <w:pPr>
        <w:adjustRightInd w:val="0"/>
        <w:snapToGrid w:val="0"/>
        <w:spacing w:line="360" w:lineRule="auto"/>
        <w:ind w:firstLine="482"/>
        <w:rPr>
          <w:rFonts w:hint="eastAsia" w:ascii="Times New Roman" w:hAnsi="Times New Roman" w:eastAsia="宋体"/>
          <w:color w:val="auto"/>
          <w:kern w:val="0"/>
          <w:sz w:val="24"/>
        </w:rPr>
      </w:pPr>
      <w:r>
        <w:rPr>
          <w:rFonts w:hint="eastAsia" w:ascii="Times New Roman" w:hAnsi="Times New Roman" w:eastAsia="宋体"/>
          <w:color w:val="auto"/>
          <w:kern w:val="0"/>
          <w:sz w:val="24"/>
        </w:rPr>
        <w:t>（6）负责与当地环境保护监测站联系进行本项目污染源监测工作，了解掌握本项目污染动态，发现异常要及时查找原因，并反馈给生产系统，防止污染事故发生。</w:t>
      </w:r>
    </w:p>
    <w:p>
      <w:pPr>
        <w:adjustRightInd w:val="0"/>
        <w:snapToGrid w:val="0"/>
        <w:spacing w:line="360" w:lineRule="auto"/>
        <w:ind w:firstLine="482"/>
        <w:rPr>
          <w:rFonts w:hint="eastAsia" w:ascii="Times New Roman" w:hAnsi="Times New Roman" w:eastAsia="宋体"/>
          <w:color w:val="auto"/>
          <w:kern w:val="0"/>
          <w:sz w:val="24"/>
        </w:rPr>
      </w:pPr>
      <w:r>
        <w:rPr>
          <w:rFonts w:hint="eastAsia" w:ascii="Times New Roman" w:hAnsi="Times New Roman" w:eastAsia="宋体"/>
          <w:color w:val="auto"/>
          <w:kern w:val="0"/>
          <w:sz w:val="24"/>
        </w:rPr>
        <w:t>（7）加强企业所属区域绿化工作，认真贯彻“谁开发谁保护，谁破坏谁恢复， 谁利用谁补偿”和“开发利用与保护并重”的环境保护方针。</w:t>
      </w:r>
    </w:p>
    <w:p>
      <w:pPr>
        <w:adjustRightInd w:val="0"/>
        <w:snapToGrid w:val="0"/>
        <w:spacing w:line="360" w:lineRule="auto"/>
        <w:ind w:firstLine="482"/>
        <w:rPr>
          <w:rFonts w:hint="eastAsia" w:ascii="Times New Roman" w:hAnsi="Times New Roman" w:eastAsia="宋体"/>
          <w:color w:val="auto"/>
          <w:kern w:val="0"/>
          <w:sz w:val="24"/>
        </w:rPr>
      </w:pPr>
      <w:r>
        <w:rPr>
          <w:rFonts w:hint="eastAsia" w:ascii="Times New Roman" w:hAnsi="Times New Roman" w:eastAsia="宋体"/>
          <w:color w:val="auto"/>
          <w:kern w:val="0"/>
          <w:sz w:val="24"/>
        </w:rPr>
        <w:t>（8）企业领导应在环保经费上给予一定保证，每年有计划地拨出专项环保费用 用于环保管理、业务培训。</w:t>
      </w:r>
    </w:p>
    <w:p>
      <w:pPr>
        <w:adjustRightInd w:val="0"/>
        <w:snapToGrid w:val="0"/>
        <w:spacing w:line="360" w:lineRule="auto"/>
        <w:ind w:firstLine="482"/>
        <w:rPr>
          <w:rFonts w:hint="eastAsia" w:ascii="Times New Roman" w:hAnsi="Times New Roman" w:eastAsia="宋体"/>
          <w:color w:val="auto"/>
          <w:kern w:val="0"/>
          <w:sz w:val="24"/>
        </w:rPr>
      </w:pPr>
      <w:r>
        <w:rPr>
          <w:rFonts w:hint="eastAsia" w:ascii="Times New Roman" w:hAnsi="Times New Roman" w:eastAsia="宋体"/>
          <w:color w:val="auto"/>
          <w:kern w:val="0"/>
          <w:sz w:val="24"/>
        </w:rPr>
        <w:t>（9）有计划地做好普及环境科学知识和环境法律知识的宣传教育工作，组织企业内各类人员进行环保知识的培训和环保知识竞赛，提高企业职工，特别是场级干部的环保意识和环境法制观念；定期进行环保技术培训，不断提高工作人员业务水平。</w:t>
      </w:r>
    </w:p>
    <w:p>
      <w:pPr>
        <w:adjustRightInd w:val="0"/>
        <w:snapToGrid w:val="0"/>
        <w:spacing w:line="360" w:lineRule="auto"/>
        <w:ind w:firstLine="482"/>
        <w:rPr>
          <w:rFonts w:hint="eastAsia" w:ascii="Times New Roman" w:hAnsi="Times New Roman" w:eastAsia="宋体"/>
          <w:color w:val="auto"/>
          <w:kern w:val="0"/>
          <w:sz w:val="24"/>
        </w:rPr>
      </w:pPr>
      <w:r>
        <w:rPr>
          <w:rFonts w:hint="eastAsia" w:ascii="Times New Roman" w:hAnsi="Times New Roman" w:eastAsia="宋体"/>
          <w:color w:val="auto"/>
          <w:kern w:val="0"/>
          <w:sz w:val="24"/>
        </w:rPr>
        <w:t>（10）建立企业环境管理指标体系，做好考核与统计工作。</w:t>
      </w:r>
    </w:p>
    <w:p>
      <w:pPr>
        <w:adjustRightInd w:val="0"/>
        <w:snapToGrid w:val="0"/>
        <w:spacing w:line="360" w:lineRule="auto"/>
        <w:outlineLvl w:val="2"/>
        <w:rPr>
          <w:rFonts w:hint="eastAsia" w:ascii="Times New Roman" w:hAnsi="Times New Roman" w:eastAsia="宋体"/>
          <w:b/>
          <w:color w:val="auto"/>
          <w:sz w:val="28"/>
          <w:szCs w:val="28"/>
        </w:rPr>
      </w:pPr>
      <w:r>
        <w:rPr>
          <w:rFonts w:hint="eastAsia" w:ascii="Times New Roman" w:hAnsi="Times New Roman" w:eastAsia="宋体"/>
          <w:b/>
          <w:color w:val="auto"/>
          <w:sz w:val="28"/>
          <w:szCs w:val="28"/>
        </w:rPr>
        <w:t>8.1.3环境管理主要内容</w:t>
      </w:r>
    </w:p>
    <w:p>
      <w:pPr>
        <w:tabs>
          <w:tab w:val="left" w:pos="1123"/>
        </w:tabs>
        <w:adjustRightInd w:val="0"/>
        <w:snapToGrid w:val="0"/>
        <w:spacing w:line="360" w:lineRule="auto"/>
        <w:ind w:firstLine="480" w:firstLineChars="200"/>
        <w:rPr>
          <w:rFonts w:hint="eastAsia" w:ascii="Times New Roman" w:hAnsi="Times New Roman" w:eastAsia="宋体"/>
          <w:color w:val="auto"/>
          <w:sz w:val="24"/>
          <w:szCs w:val="24"/>
        </w:rPr>
      </w:pPr>
      <w:bookmarkStart w:id="330" w:name="_Toc26084"/>
      <w:bookmarkStart w:id="331" w:name="_Toc502454031"/>
      <w:r>
        <w:rPr>
          <w:rFonts w:hint="eastAsia" w:ascii="Times New Roman" w:hAnsi="Times New Roman" w:eastAsia="宋体"/>
          <w:color w:val="auto"/>
          <w:sz w:val="24"/>
          <w:szCs w:val="24"/>
        </w:rPr>
        <w:t>建设单位应建立健全必要的环境管理规章制度，并把它作为企业领导和全体职工必须严格遵守的一种规范和总则。“有规可循、执规必严”是环境管理得以顺利实施的重要保证。各项规章制度要体现环境管理的任务、内容和准则，使环境管理特点和要求渗透到企业的各项管理工作之中。</w:t>
      </w:r>
    </w:p>
    <w:p>
      <w:pPr>
        <w:tabs>
          <w:tab w:val="left" w:pos="1123"/>
        </w:tabs>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最基本的环境管理制度有以下几方面：</w:t>
      </w:r>
    </w:p>
    <w:p>
      <w:pPr>
        <w:tabs>
          <w:tab w:val="left" w:pos="1123"/>
        </w:tabs>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环境保护管理条例；</w:t>
      </w:r>
    </w:p>
    <w:p>
      <w:pPr>
        <w:tabs>
          <w:tab w:val="left" w:pos="1123"/>
        </w:tabs>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（2）环境质量管理规程；</w:t>
      </w:r>
    </w:p>
    <w:p>
      <w:pPr>
        <w:tabs>
          <w:tab w:val="left" w:pos="1123"/>
        </w:tabs>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（3）环境管理的经济责任制；</w:t>
      </w:r>
    </w:p>
    <w:p>
      <w:pPr>
        <w:tabs>
          <w:tab w:val="left" w:pos="1123"/>
        </w:tabs>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（4）环保业务的管理制度；</w:t>
      </w:r>
    </w:p>
    <w:p>
      <w:pPr>
        <w:tabs>
          <w:tab w:val="left" w:pos="1123"/>
        </w:tabs>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（5）环境管理岗位责任制；</w:t>
      </w:r>
    </w:p>
    <w:p>
      <w:pPr>
        <w:tabs>
          <w:tab w:val="left" w:pos="1123"/>
        </w:tabs>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（6）环境保护的考核制度；</w:t>
      </w:r>
    </w:p>
    <w:p>
      <w:pPr>
        <w:tabs>
          <w:tab w:val="left" w:pos="1123"/>
        </w:tabs>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（7）环保设施管理制度；</w:t>
      </w:r>
    </w:p>
    <w:p>
      <w:pPr>
        <w:tabs>
          <w:tab w:val="left" w:pos="1123"/>
        </w:tabs>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（8）场区防渗管理条例；</w:t>
      </w:r>
    </w:p>
    <w:p>
      <w:pPr>
        <w:tabs>
          <w:tab w:val="left" w:pos="1123"/>
        </w:tabs>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（9）生态保护管理规定；</w:t>
      </w:r>
    </w:p>
    <w:p>
      <w:pPr>
        <w:tabs>
          <w:tab w:val="left" w:pos="1123"/>
        </w:tabs>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10）污染物防治、控制措施及达标排放实施办法；</w:t>
      </w:r>
    </w:p>
    <w:p>
      <w:pPr>
        <w:tabs>
          <w:tab w:val="left" w:pos="1123"/>
        </w:tabs>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（11）清洁生产审计制度。</w:t>
      </w:r>
    </w:p>
    <w:p>
      <w:pPr>
        <w:tabs>
          <w:tab w:val="left" w:pos="1123"/>
        </w:tabs>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通过对各项环境管理制度建立和严格执行，形成目标管理、监督反馈紧密配合的环保工作管理体系，可有效防止非正常生产和突发性事故造成的危害。</w:t>
      </w:r>
    </w:p>
    <w:p>
      <w:pPr>
        <w:adjustRightInd w:val="0"/>
        <w:snapToGrid w:val="0"/>
        <w:spacing w:line="360" w:lineRule="auto"/>
        <w:outlineLvl w:val="2"/>
        <w:rPr>
          <w:rFonts w:hint="eastAsia" w:ascii="Times New Roman" w:hAnsi="Times New Roman" w:eastAsia="宋体"/>
          <w:b/>
          <w:color w:val="auto"/>
          <w:sz w:val="28"/>
          <w:szCs w:val="28"/>
        </w:rPr>
      </w:pPr>
      <w:r>
        <w:rPr>
          <w:rFonts w:hint="eastAsia" w:ascii="Times New Roman" w:hAnsi="Times New Roman" w:eastAsia="宋体"/>
          <w:b/>
          <w:color w:val="auto"/>
          <w:sz w:val="28"/>
          <w:szCs w:val="28"/>
        </w:rPr>
        <w:t>8.1.4环境管理手段和措施</w:t>
      </w:r>
    </w:p>
    <w:p>
      <w:pPr>
        <w:pStyle w:val="16"/>
        <w:adjustRightInd w:val="0"/>
        <w:snapToGrid w:val="0"/>
        <w:spacing w:line="360" w:lineRule="auto"/>
        <w:ind w:right="0"/>
        <w:jc w:val="both"/>
        <w:outlineLvl w:val="3"/>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8.1.4.1环境管理手段</w:t>
      </w:r>
    </w:p>
    <w:p>
      <w:pPr>
        <w:tabs>
          <w:tab w:val="left" w:pos="1123"/>
        </w:tabs>
        <w:adjustRightInd w:val="0"/>
        <w:snapToGrid w:val="0"/>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类比国内部分养殖企业环保管理经验，结合建设单位实际情况，可采用行政、经济、技术、教育等环境管理手段进行本项目的环境管理工作。</w:t>
      </w:r>
    </w:p>
    <w:p>
      <w:pPr>
        <w:tabs>
          <w:tab w:val="left" w:pos="1123"/>
        </w:tabs>
        <w:adjustRightInd w:val="0"/>
        <w:snapToGrid w:val="0"/>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（1）行政手段：制定环境保护目标责任制，将环境保护列入岗位责任制及生产调度当中，不定期检查环境保护状况，以行政手段督促、检查、奖惩，促使生产岗位按要求完成环保任务。</w:t>
      </w:r>
    </w:p>
    <w:p>
      <w:pPr>
        <w:tabs>
          <w:tab w:val="left" w:pos="1123"/>
        </w:tabs>
        <w:adjustRightInd w:val="0"/>
        <w:snapToGrid w:val="0"/>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（2）技术手段：从项目设计、施工到运营全过程采取先进的工艺、设备，同环境保护措施密切结合，积极推广应用新技术，解决环境问题，实现清洁生产。</w:t>
      </w:r>
    </w:p>
    <w:p>
      <w:pPr>
        <w:tabs>
          <w:tab w:val="left" w:pos="1123"/>
        </w:tabs>
        <w:adjustRightInd w:val="0"/>
        <w:snapToGrid w:val="0"/>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（3）经济手段：制定并严格按照《环境保护奖惩办法》开展工作，促进环保工作的定量考核，切实将防治污染和保护环境落实到生产管理建设的各个工作环节，做到奖优罚劣，将环境保护与经济效益结合起来。</w:t>
      </w:r>
    </w:p>
    <w:p>
      <w:pPr>
        <w:tabs>
          <w:tab w:val="left" w:pos="1123"/>
        </w:tabs>
        <w:adjustRightInd w:val="0"/>
        <w:snapToGrid w:val="0"/>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（4）教育手段：通过环保宣传和教育，提高全体职工的环保意识，做到自觉保护环境。</w:t>
      </w:r>
    </w:p>
    <w:p>
      <w:pPr>
        <w:pStyle w:val="16"/>
        <w:adjustRightInd w:val="0"/>
        <w:snapToGrid w:val="0"/>
        <w:spacing w:line="360" w:lineRule="auto"/>
        <w:ind w:right="0"/>
        <w:jc w:val="both"/>
        <w:outlineLvl w:val="3"/>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8.1.4.2环境管理措施</w:t>
      </w:r>
    </w:p>
    <w:p>
      <w:pPr>
        <w:tabs>
          <w:tab w:val="left" w:pos="1123"/>
        </w:tabs>
        <w:adjustRightInd w:val="0"/>
        <w:snapToGrid w:val="0"/>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（1）建立环境管理体系，建议同时进行 QHSE（质量、健康、安全、环保）审核；</w:t>
      </w:r>
    </w:p>
    <w:p>
      <w:pPr>
        <w:tabs>
          <w:tab w:val="left" w:pos="1123"/>
        </w:tabs>
        <w:adjustRightInd w:val="0"/>
        <w:snapToGrid w:val="0"/>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（2）制订环境保护岗位目标责任制，将环境管理纳入生产管理体系，环保评估与经济效益评估相结合，建立严格的奖惩机制；</w:t>
      </w:r>
    </w:p>
    <w:p>
      <w:pPr>
        <w:tabs>
          <w:tab w:val="left" w:pos="1123"/>
        </w:tabs>
        <w:adjustRightInd w:val="0"/>
        <w:snapToGrid w:val="0"/>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（3）加强环境保护宣传教育工作，将环保意识融入企业文化，进行培训，使全体 职工能够意识到环境保护的重要意义，包括与企业生产、生存和发展的关系，全公司 应有危机感和责任感，把环保工作落实到实处，落实到每一位员工；</w:t>
      </w:r>
    </w:p>
    <w:p>
      <w:pPr>
        <w:tabs>
          <w:tab w:val="left" w:pos="1123"/>
        </w:tabs>
        <w:adjustRightInd w:val="0"/>
        <w:snapToGrid w:val="0"/>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（4）加强环境监测数据的统计工作，建立全场完善的污染源及物料流失档案，严格控制污染物排放总量，确保污染物排放指标达到设计要求；</w:t>
      </w:r>
    </w:p>
    <w:p>
      <w:pPr>
        <w:tabs>
          <w:tab w:val="left" w:pos="1123"/>
        </w:tabs>
        <w:adjustRightInd w:val="0"/>
        <w:snapToGrid w:val="0"/>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（5）强化对环保设施运行监督、管理的职能，建立全场完善的环保设施运行、维护、维修等技术档案，以及加强对环保设施操作人员的技术培训，确保环保设施处于正常运行情况，污染物排放连续达标；</w:t>
      </w:r>
    </w:p>
    <w:p>
      <w:pPr>
        <w:tabs>
          <w:tab w:val="left" w:pos="1123"/>
        </w:tabs>
        <w:adjustRightInd w:val="0"/>
        <w:snapToGrid w:val="0"/>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（6）制订应急系统。</w:t>
      </w:r>
    </w:p>
    <w:p>
      <w:pPr>
        <w:adjustRightInd w:val="0"/>
        <w:snapToGrid w:val="0"/>
        <w:spacing w:line="360" w:lineRule="auto"/>
        <w:outlineLvl w:val="2"/>
        <w:rPr>
          <w:rFonts w:hint="eastAsia" w:ascii="Times New Roman" w:hAnsi="Times New Roman" w:eastAsia="宋体"/>
          <w:b/>
          <w:color w:val="auto"/>
          <w:sz w:val="28"/>
          <w:szCs w:val="28"/>
          <w:lang w:eastAsia="zh-CN"/>
        </w:rPr>
      </w:pPr>
      <w:r>
        <w:rPr>
          <w:rFonts w:hint="eastAsia" w:ascii="Times New Roman" w:hAnsi="Times New Roman" w:eastAsia="宋体"/>
          <w:b/>
          <w:color w:val="auto"/>
          <w:sz w:val="28"/>
          <w:szCs w:val="28"/>
        </w:rPr>
        <w:t>8.1.</w:t>
      </w:r>
      <w:r>
        <w:rPr>
          <w:rFonts w:hint="eastAsia" w:ascii="Times New Roman" w:hAnsi="Times New Roman" w:eastAsia="宋体"/>
          <w:b/>
          <w:color w:val="auto"/>
          <w:sz w:val="28"/>
          <w:szCs w:val="28"/>
          <w:lang w:val="en-US" w:eastAsia="zh-CN"/>
        </w:rPr>
        <w:t>5环境管理计划</w:t>
      </w:r>
    </w:p>
    <w:p>
      <w:pPr>
        <w:pStyle w:val="16"/>
        <w:adjustRightInd w:val="0"/>
        <w:snapToGrid w:val="0"/>
        <w:spacing w:line="360" w:lineRule="auto"/>
        <w:ind w:right="0"/>
        <w:jc w:val="both"/>
        <w:outlineLvl w:val="3"/>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8.1.5.1施工期环境管理</w:t>
      </w:r>
    </w:p>
    <w:bookmarkEnd w:id="330"/>
    <w:bookmarkEnd w:id="331"/>
    <w:p>
      <w:pPr>
        <w:tabs>
          <w:tab w:val="left" w:pos="1123"/>
        </w:tabs>
        <w:adjustRightInd w:val="0"/>
        <w:snapToGrid w:val="0"/>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建设单位与施工单位签定工程承包合同中，应包括有关工程施工期间环境保护条款，包括工程施工生态环境保护（水土保持）、施工期间环境污染控制，污染物排放管理，施工人员环保教育及相关奖惩条款。</w:t>
      </w:r>
    </w:p>
    <w:p>
      <w:pPr>
        <w:tabs>
          <w:tab w:val="left" w:pos="1123"/>
        </w:tabs>
        <w:adjustRightInd w:val="0"/>
        <w:snapToGrid w:val="0"/>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2）施工单位应提高环保意识，加强驻地和施工现场的环境管理，合理安排施工计划，切实做到组织计划严谨，文明施工。环保措施逐项落实到位，环保工程与主体工程同时实施、同时运行，环保工程费用专款专用，不偷工减料，延误工期。</w:t>
      </w:r>
    </w:p>
    <w:p>
      <w:pPr>
        <w:tabs>
          <w:tab w:val="left" w:pos="1123"/>
        </w:tabs>
        <w:adjustRightInd w:val="0"/>
        <w:snapToGrid w:val="0"/>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（3）施工单位应特别注意工程施工中的水土保持，尽可能保护好沿线土壤、植被，弃土、弃渣须运至设计中指定地点弃置，严禁随意堆置，防止对地表水环境产生影响。</w:t>
      </w:r>
    </w:p>
    <w:p>
      <w:pPr>
        <w:tabs>
          <w:tab w:val="left" w:pos="1123"/>
        </w:tabs>
        <w:adjustRightInd w:val="0"/>
        <w:snapToGrid w:val="0"/>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4）各施工现场、施工单位驻地及其他施工临时设施，应加强环境管理，施工污水避免无组织排放，尽可能集中排放到施工期设立的隔油沉淀池；扬尘较大的施工场地应采取降尘措施，工程施工完毕后施工单位及时清理和恢复施工现场，妥善处理生活垃圾与施工弃碴，减少扬尘；施工现场应执行《建筑施工场界噪声排放标准》（GB12523-2011）中的有关规定和要求。</w:t>
      </w:r>
    </w:p>
    <w:p>
      <w:pPr>
        <w:tabs>
          <w:tab w:val="left" w:pos="1123"/>
        </w:tabs>
        <w:adjustRightInd w:val="0"/>
        <w:snapToGrid w:val="0"/>
        <w:spacing w:line="360" w:lineRule="auto"/>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（5）认真落实各项补偿措施，做好工程各项环保设施的施工监理与验收，保证</w:t>
      </w:r>
    </w:p>
    <w:p>
      <w:pPr>
        <w:snapToGrid w:val="0"/>
        <w:jc w:val="center"/>
        <w:rPr>
          <w:rFonts w:ascii="Times New Roman" w:hAnsi="Times New Roman" w:eastAsia="宋体"/>
          <w:b/>
          <w:color w:val="auto"/>
          <w:sz w:val="21"/>
          <w:szCs w:val="21"/>
        </w:rPr>
      </w:pPr>
      <w:r>
        <w:rPr>
          <w:rFonts w:ascii="Times New Roman" w:hAnsi="Times New Roman" w:eastAsia="宋体"/>
          <w:b/>
          <w:color w:val="auto"/>
          <w:sz w:val="21"/>
          <w:szCs w:val="21"/>
        </w:rPr>
        <w:t>表</w:t>
      </w:r>
      <w:r>
        <w:rPr>
          <w:rFonts w:hint="eastAsia" w:ascii="Times New Roman" w:hAnsi="Times New Roman" w:eastAsia="宋体"/>
          <w:b/>
          <w:color w:val="auto"/>
          <w:sz w:val="21"/>
          <w:szCs w:val="21"/>
        </w:rPr>
        <w:t>8</w:t>
      </w:r>
      <w:r>
        <w:rPr>
          <w:rFonts w:hint="eastAsia" w:ascii="Times New Roman" w:hAnsi="Times New Roman" w:eastAsia="宋体"/>
          <w:b/>
          <w:color w:val="auto"/>
          <w:sz w:val="21"/>
          <w:szCs w:val="21"/>
          <w:lang w:val="en-US" w:eastAsia="zh-CN"/>
        </w:rPr>
        <w:t>.1</w:t>
      </w:r>
      <w:r>
        <w:rPr>
          <w:rFonts w:ascii="Times New Roman" w:hAnsi="Times New Roman" w:eastAsia="宋体"/>
          <w:b/>
          <w:color w:val="auto"/>
          <w:sz w:val="21"/>
          <w:szCs w:val="21"/>
        </w:rPr>
        <w:t xml:space="preserve">-1  </w:t>
      </w:r>
      <w:r>
        <w:rPr>
          <w:rFonts w:hint="eastAsia" w:ascii="Times New Roman" w:hAnsi="Times New Roman" w:eastAsia="宋体"/>
          <w:b/>
          <w:color w:val="auto"/>
          <w:sz w:val="21"/>
          <w:szCs w:val="21"/>
        </w:rPr>
        <w:t>施工期环境管理及监督主要内容</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0"/>
        <w:gridCol w:w="3660"/>
        <w:gridCol w:w="2190"/>
        <w:gridCol w:w="2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0" w:type="dxa"/>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b/>
                <w:bCs/>
                <w:color w:val="auto"/>
                <w:sz w:val="21"/>
                <w:szCs w:val="21"/>
                <w:lang w:val="en-US" w:eastAsia="zh-CN"/>
              </w:rPr>
            </w:pPr>
            <w:r>
              <w:rPr>
                <w:rFonts w:hint="eastAsia" w:ascii="Times New Roman" w:hAnsi="Times New Roman"/>
                <w:b/>
                <w:bCs/>
                <w:color w:val="auto"/>
                <w:sz w:val="21"/>
                <w:szCs w:val="21"/>
                <w:lang w:val="en-US" w:eastAsia="zh-CN"/>
              </w:rPr>
              <w:t>防治对象</w:t>
            </w:r>
          </w:p>
        </w:tc>
        <w:tc>
          <w:tcPr>
            <w:tcW w:w="3660" w:type="dxa"/>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b/>
                <w:bCs/>
                <w:color w:val="auto"/>
                <w:sz w:val="21"/>
                <w:szCs w:val="21"/>
                <w:lang w:val="en-US" w:eastAsia="zh-CN"/>
              </w:rPr>
            </w:pPr>
            <w:r>
              <w:rPr>
                <w:rFonts w:hint="eastAsia" w:ascii="Times New Roman" w:hAnsi="Times New Roman"/>
                <w:b/>
                <w:bCs/>
                <w:color w:val="auto"/>
                <w:sz w:val="21"/>
                <w:szCs w:val="21"/>
                <w:lang w:val="en-US" w:eastAsia="zh-CN"/>
              </w:rPr>
              <w:t>防治措施</w:t>
            </w:r>
          </w:p>
        </w:tc>
        <w:tc>
          <w:tcPr>
            <w:tcW w:w="2190" w:type="dxa"/>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b/>
                <w:bCs/>
                <w:color w:val="auto"/>
                <w:sz w:val="21"/>
                <w:szCs w:val="21"/>
                <w:lang w:val="en-US" w:eastAsia="zh-CN"/>
              </w:rPr>
            </w:pPr>
            <w:r>
              <w:rPr>
                <w:rFonts w:hint="eastAsia" w:ascii="Times New Roman" w:hAnsi="Times New Roman"/>
                <w:b/>
                <w:bCs/>
                <w:color w:val="auto"/>
                <w:sz w:val="21"/>
                <w:szCs w:val="21"/>
                <w:lang w:val="en-US" w:eastAsia="zh-CN"/>
              </w:rPr>
              <w:t>环境管理</w:t>
            </w:r>
          </w:p>
        </w:tc>
        <w:tc>
          <w:tcPr>
            <w:tcW w:w="2100" w:type="dxa"/>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b/>
                <w:bCs/>
                <w:color w:val="auto"/>
                <w:sz w:val="21"/>
                <w:szCs w:val="21"/>
                <w:lang w:val="en-US" w:eastAsia="zh-CN"/>
              </w:rPr>
            </w:pPr>
            <w:r>
              <w:rPr>
                <w:rFonts w:hint="eastAsia" w:ascii="Times New Roman" w:hAnsi="Times New Roman"/>
                <w:b/>
                <w:bCs/>
                <w:color w:val="auto"/>
                <w:sz w:val="21"/>
                <w:szCs w:val="21"/>
                <w:lang w:val="en-US" w:eastAsia="zh-CN"/>
              </w:rPr>
              <w:t>环境监理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0" w:type="dxa"/>
            <w:vMerge w:val="restart"/>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color w:val="auto"/>
                <w:sz w:val="21"/>
                <w:szCs w:val="21"/>
                <w:lang w:val="en-US" w:eastAsia="zh-CN"/>
              </w:rPr>
            </w:pPr>
            <w:r>
              <w:rPr>
                <w:rFonts w:hint="eastAsia" w:ascii="Times New Roman" w:hAnsi="Times New Roman"/>
                <w:color w:val="auto"/>
                <w:sz w:val="21"/>
                <w:szCs w:val="21"/>
                <w:lang w:val="en-US" w:eastAsia="zh-CN"/>
              </w:rPr>
              <w:t>施工扬尘</w:t>
            </w:r>
          </w:p>
        </w:tc>
        <w:tc>
          <w:tcPr>
            <w:tcW w:w="3660" w:type="dxa"/>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color w:val="auto"/>
                <w:sz w:val="21"/>
                <w:szCs w:val="21"/>
                <w:lang w:val="en-US" w:eastAsia="zh-CN"/>
              </w:rPr>
            </w:pPr>
            <w:r>
              <w:rPr>
                <w:rFonts w:hint="eastAsia" w:ascii="Times New Roman" w:hAnsi="Times New Roman"/>
                <w:color w:val="auto"/>
                <w:sz w:val="21"/>
                <w:szCs w:val="21"/>
                <w:lang w:val="en-US" w:eastAsia="zh-CN"/>
              </w:rPr>
              <w:t>施工场地要设置围挡，如用瓦楞板或聚丙烯布在施工区四周围屏以防扬尘扩散；</w:t>
            </w:r>
          </w:p>
        </w:tc>
        <w:tc>
          <w:tcPr>
            <w:tcW w:w="2190" w:type="dxa"/>
            <w:vMerge w:val="restart"/>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color w:val="auto"/>
                <w:sz w:val="21"/>
                <w:szCs w:val="21"/>
                <w:lang w:val="en-US" w:eastAsia="zh-CN"/>
              </w:rPr>
            </w:pPr>
            <w:r>
              <w:rPr>
                <w:rFonts w:hint="eastAsia" w:ascii="Times New Roman" w:hAnsi="Times New Roman"/>
                <w:color w:val="auto"/>
                <w:sz w:val="21"/>
                <w:szCs w:val="21"/>
                <w:lang w:val="en-US" w:eastAsia="zh-CN"/>
              </w:rPr>
              <w:t>施工单位环保措施上墙，落实到人，做好施工场地环境管理和保洁工作</w:t>
            </w:r>
          </w:p>
        </w:tc>
        <w:tc>
          <w:tcPr>
            <w:tcW w:w="2100" w:type="dxa"/>
            <w:vMerge w:val="restart"/>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color w:val="auto"/>
                <w:sz w:val="21"/>
                <w:szCs w:val="21"/>
                <w:lang w:val="en-US" w:eastAsia="zh-CN"/>
              </w:rPr>
            </w:pPr>
            <w:r>
              <w:rPr>
                <w:rFonts w:hint="eastAsia" w:ascii="Times New Roman" w:hAnsi="Times New Roman"/>
                <w:color w:val="auto"/>
                <w:sz w:val="21"/>
                <w:szCs w:val="21"/>
                <w:lang w:val="en-US" w:eastAsia="zh-CN"/>
              </w:rPr>
              <w:t>建设行政管理部门及环境管理部门进行定期检查，如违反相关条例，应进行处罚并整改。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0" w:type="dxa"/>
            <w:vMerge w:val="continue"/>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color w:val="auto"/>
                <w:sz w:val="21"/>
                <w:szCs w:val="21"/>
                <w:lang w:val="en-US" w:eastAsia="zh-CN"/>
              </w:rPr>
            </w:pPr>
          </w:p>
        </w:tc>
        <w:tc>
          <w:tcPr>
            <w:tcW w:w="3660" w:type="dxa"/>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color w:val="auto"/>
                <w:sz w:val="21"/>
                <w:szCs w:val="21"/>
                <w:lang w:val="en-US" w:eastAsia="zh-CN"/>
              </w:rPr>
            </w:pPr>
            <w:r>
              <w:rPr>
                <w:rFonts w:hint="eastAsia" w:ascii="Times New Roman" w:hAnsi="Times New Roman"/>
                <w:color w:val="auto"/>
                <w:sz w:val="21"/>
                <w:szCs w:val="21"/>
                <w:lang w:val="en-US" w:eastAsia="zh-CN"/>
              </w:rPr>
              <w:t>定期对路面和施工场区洒水，保持下垫面和空气湿润，减少起尘量；</w:t>
            </w:r>
          </w:p>
        </w:tc>
        <w:tc>
          <w:tcPr>
            <w:tcW w:w="2190" w:type="dxa"/>
            <w:vMerge w:val="continue"/>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color w:val="auto"/>
                <w:sz w:val="21"/>
                <w:szCs w:val="21"/>
                <w:lang w:val="en-US" w:eastAsia="zh-CN"/>
              </w:rPr>
            </w:pPr>
          </w:p>
        </w:tc>
        <w:tc>
          <w:tcPr>
            <w:tcW w:w="2100" w:type="dxa"/>
            <w:vMerge w:val="continue"/>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0" w:type="dxa"/>
            <w:vMerge w:val="continue"/>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color w:val="auto"/>
                <w:sz w:val="21"/>
                <w:szCs w:val="21"/>
                <w:lang w:val="en-US" w:eastAsia="zh-CN"/>
              </w:rPr>
            </w:pPr>
          </w:p>
        </w:tc>
        <w:tc>
          <w:tcPr>
            <w:tcW w:w="3660" w:type="dxa"/>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color w:val="auto"/>
                <w:sz w:val="21"/>
                <w:szCs w:val="21"/>
                <w:lang w:val="en-US" w:eastAsia="zh-CN"/>
              </w:rPr>
            </w:pPr>
            <w:r>
              <w:rPr>
                <w:rFonts w:hint="eastAsia" w:ascii="Times New Roman" w:hAnsi="Times New Roman"/>
                <w:color w:val="auto"/>
                <w:sz w:val="21"/>
                <w:szCs w:val="21"/>
                <w:lang w:val="en-US" w:eastAsia="zh-CN"/>
              </w:rPr>
              <w:t>施工过程使用的水泥及其它易飞扬的细颗粒散体材料，储存在库房内或密闭存放，运输时尽量防止散料漏洒和飞扬；</w:t>
            </w:r>
          </w:p>
        </w:tc>
        <w:tc>
          <w:tcPr>
            <w:tcW w:w="2190" w:type="dxa"/>
            <w:vMerge w:val="continue"/>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color w:val="auto"/>
                <w:sz w:val="21"/>
                <w:szCs w:val="21"/>
                <w:lang w:val="en-US" w:eastAsia="zh-CN"/>
              </w:rPr>
            </w:pPr>
          </w:p>
        </w:tc>
        <w:tc>
          <w:tcPr>
            <w:tcW w:w="2100" w:type="dxa"/>
            <w:vMerge w:val="continue"/>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0" w:type="dxa"/>
            <w:vMerge w:val="continue"/>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color w:val="auto"/>
                <w:sz w:val="21"/>
                <w:szCs w:val="21"/>
                <w:lang w:val="en-US" w:eastAsia="zh-CN"/>
              </w:rPr>
            </w:pPr>
          </w:p>
        </w:tc>
        <w:tc>
          <w:tcPr>
            <w:tcW w:w="3660" w:type="dxa"/>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color w:val="auto"/>
                <w:sz w:val="21"/>
                <w:szCs w:val="21"/>
                <w:lang w:val="en-US" w:eastAsia="zh-CN"/>
              </w:rPr>
            </w:pPr>
            <w:r>
              <w:rPr>
                <w:rFonts w:hint="eastAsia" w:ascii="Times New Roman" w:hAnsi="Times New Roman"/>
                <w:color w:val="auto"/>
                <w:sz w:val="21"/>
                <w:szCs w:val="21"/>
                <w:lang w:val="en-US" w:eastAsia="zh-CN"/>
              </w:rPr>
              <w:t>施工渣土必须覆盖，严禁将施工产生的渣土带入交通道路；</w:t>
            </w:r>
          </w:p>
        </w:tc>
        <w:tc>
          <w:tcPr>
            <w:tcW w:w="2190" w:type="dxa"/>
            <w:vMerge w:val="continue"/>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color w:val="auto"/>
                <w:sz w:val="21"/>
                <w:szCs w:val="21"/>
                <w:lang w:val="en-US" w:eastAsia="zh-CN"/>
              </w:rPr>
            </w:pPr>
          </w:p>
        </w:tc>
        <w:tc>
          <w:tcPr>
            <w:tcW w:w="2100" w:type="dxa"/>
            <w:vMerge w:val="continue"/>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0" w:type="dxa"/>
            <w:vMerge w:val="restart"/>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color w:val="auto"/>
                <w:sz w:val="21"/>
                <w:szCs w:val="21"/>
                <w:lang w:val="en-US" w:eastAsia="zh-CN"/>
              </w:rPr>
            </w:pPr>
            <w:r>
              <w:rPr>
                <w:rFonts w:hint="eastAsia" w:ascii="Times New Roman" w:hAnsi="Times New Roman"/>
                <w:color w:val="auto"/>
                <w:sz w:val="21"/>
                <w:szCs w:val="21"/>
                <w:lang w:val="en-US" w:eastAsia="zh-CN"/>
              </w:rPr>
              <w:t>施工噪声</w:t>
            </w:r>
          </w:p>
        </w:tc>
        <w:tc>
          <w:tcPr>
            <w:tcW w:w="3660" w:type="dxa"/>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color w:val="auto"/>
                <w:sz w:val="21"/>
                <w:szCs w:val="21"/>
                <w:lang w:val="en-US" w:eastAsia="zh-CN"/>
              </w:rPr>
            </w:pPr>
            <w:r>
              <w:rPr>
                <w:rFonts w:hint="eastAsia" w:ascii="Times New Roman" w:hAnsi="Times New Roman"/>
                <w:color w:val="auto"/>
                <w:sz w:val="21"/>
                <w:szCs w:val="21"/>
                <w:lang w:val="en-US" w:eastAsia="zh-CN"/>
              </w:rPr>
              <w:t>施工单位开工前申报《建设施工环保审批表》，经批准后方可施工；</w:t>
            </w:r>
          </w:p>
        </w:tc>
        <w:tc>
          <w:tcPr>
            <w:tcW w:w="2190" w:type="dxa"/>
            <w:vMerge w:val="continue"/>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color w:val="auto"/>
                <w:sz w:val="21"/>
                <w:szCs w:val="21"/>
                <w:lang w:val="en-US" w:eastAsia="zh-CN"/>
              </w:rPr>
            </w:pPr>
          </w:p>
        </w:tc>
        <w:tc>
          <w:tcPr>
            <w:tcW w:w="2100" w:type="dxa"/>
            <w:vMerge w:val="restart"/>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color w:val="auto"/>
                <w:sz w:val="21"/>
                <w:szCs w:val="21"/>
                <w:lang w:val="en-US" w:eastAsia="zh-CN"/>
              </w:rPr>
            </w:pPr>
            <w:r>
              <w:rPr>
                <w:rFonts w:hint="eastAsia" w:ascii="Times New Roman" w:hAnsi="Times New Roman"/>
                <w:color w:val="auto"/>
                <w:sz w:val="21"/>
                <w:szCs w:val="21"/>
                <w:lang w:val="en-US" w:eastAsia="zh-CN"/>
              </w:rPr>
              <w:t>环保监理部门对夜间施工噪声进行监督检查，违反相关条例，应进行处罚并整改。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0" w:type="dxa"/>
            <w:vMerge w:val="continue"/>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color w:val="auto"/>
                <w:sz w:val="21"/>
                <w:szCs w:val="21"/>
                <w:lang w:val="en-US" w:eastAsia="zh-CN"/>
              </w:rPr>
            </w:pPr>
          </w:p>
        </w:tc>
        <w:tc>
          <w:tcPr>
            <w:tcW w:w="3660" w:type="dxa"/>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color w:val="auto"/>
                <w:sz w:val="21"/>
                <w:szCs w:val="21"/>
                <w:lang w:val="en-US" w:eastAsia="zh-CN"/>
              </w:rPr>
            </w:pPr>
            <w:r>
              <w:rPr>
                <w:rFonts w:hint="eastAsia" w:ascii="Times New Roman" w:hAnsi="Times New Roman"/>
                <w:color w:val="auto"/>
                <w:sz w:val="21"/>
                <w:szCs w:val="21"/>
                <w:lang w:val="en-US" w:eastAsia="zh-CN"/>
              </w:rPr>
              <w:t>禁止在 12：00~14：00、22：00~6：00 进行产生噪声污染的施工作业；</w:t>
            </w:r>
          </w:p>
        </w:tc>
        <w:tc>
          <w:tcPr>
            <w:tcW w:w="2190" w:type="dxa"/>
            <w:vMerge w:val="continue"/>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color w:val="auto"/>
                <w:sz w:val="21"/>
                <w:szCs w:val="21"/>
                <w:lang w:val="en-US" w:eastAsia="zh-CN"/>
              </w:rPr>
            </w:pPr>
          </w:p>
        </w:tc>
        <w:tc>
          <w:tcPr>
            <w:tcW w:w="2100" w:type="dxa"/>
            <w:vMerge w:val="continue"/>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0" w:type="dxa"/>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color w:val="auto"/>
                <w:sz w:val="21"/>
                <w:szCs w:val="21"/>
                <w:lang w:val="en-US" w:eastAsia="zh-CN"/>
              </w:rPr>
            </w:pPr>
            <w:r>
              <w:rPr>
                <w:rFonts w:hint="eastAsia" w:ascii="Times New Roman" w:hAnsi="Times New Roman"/>
                <w:color w:val="auto"/>
                <w:sz w:val="21"/>
                <w:szCs w:val="21"/>
                <w:lang w:val="en-US" w:eastAsia="zh-CN"/>
              </w:rPr>
              <w:t>施工废水</w:t>
            </w:r>
          </w:p>
        </w:tc>
        <w:tc>
          <w:tcPr>
            <w:tcW w:w="3660" w:type="dxa"/>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color w:val="auto"/>
                <w:sz w:val="21"/>
                <w:szCs w:val="21"/>
                <w:lang w:val="en-US" w:eastAsia="zh-CN"/>
              </w:rPr>
            </w:pPr>
            <w:r>
              <w:rPr>
                <w:rFonts w:hint="eastAsia" w:ascii="Times New Roman" w:hAnsi="Times New Roman"/>
                <w:color w:val="auto"/>
                <w:sz w:val="21"/>
                <w:szCs w:val="21"/>
                <w:lang w:val="en-US" w:eastAsia="zh-CN"/>
              </w:rPr>
              <w:t>避免在雨季进行基础开挖施工，设置沉淀池；</w:t>
            </w:r>
          </w:p>
        </w:tc>
        <w:tc>
          <w:tcPr>
            <w:tcW w:w="2190" w:type="dxa"/>
            <w:vMerge w:val="continue"/>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color w:val="auto"/>
                <w:sz w:val="21"/>
                <w:szCs w:val="21"/>
                <w:lang w:val="en-US" w:eastAsia="zh-CN"/>
              </w:rPr>
            </w:pPr>
          </w:p>
        </w:tc>
        <w:tc>
          <w:tcPr>
            <w:tcW w:w="2100" w:type="dxa"/>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color w:val="auto"/>
                <w:sz w:val="21"/>
                <w:szCs w:val="21"/>
                <w:lang w:val="en-US" w:eastAsia="zh-CN"/>
              </w:rPr>
            </w:pPr>
            <w:r>
              <w:rPr>
                <w:rFonts w:hint="eastAsia" w:ascii="Times New Roman" w:hAnsi="Times New Roman"/>
                <w:color w:val="auto"/>
                <w:sz w:val="21"/>
                <w:szCs w:val="21"/>
                <w:lang w:val="en-US" w:eastAsia="zh-CN"/>
              </w:rPr>
              <w:t>环保监理部门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0" w:type="dxa"/>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color w:val="auto"/>
                <w:sz w:val="21"/>
                <w:szCs w:val="21"/>
                <w:lang w:val="en-US" w:eastAsia="zh-CN"/>
              </w:rPr>
            </w:pPr>
            <w:r>
              <w:rPr>
                <w:rFonts w:hint="eastAsia" w:ascii="Times New Roman" w:hAnsi="Times New Roman"/>
                <w:color w:val="auto"/>
                <w:sz w:val="21"/>
                <w:szCs w:val="21"/>
                <w:lang w:val="en-US" w:eastAsia="zh-CN"/>
              </w:rPr>
              <w:t>建筑及生活垃圾</w:t>
            </w:r>
          </w:p>
        </w:tc>
        <w:tc>
          <w:tcPr>
            <w:tcW w:w="3660" w:type="dxa"/>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color w:val="auto"/>
                <w:sz w:val="21"/>
                <w:szCs w:val="21"/>
                <w:lang w:val="en-US" w:eastAsia="zh-CN"/>
              </w:rPr>
            </w:pPr>
            <w:r>
              <w:rPr>
                <w:rFonts w:hint="eastAsia" w:ascii="Times New Roman" w:hAnsi="Times New Roman"/>
                <w:color w:val="auto"/>
                <w:sz w:val="21"/>
                <w:szCs w:val="21"/>
                <w:lang w:val="en-US" w:eastAsia="zh-CN"/>
              </w:rPr>
              <w:t>建筑垃圾及多余弃土及时清运，本项目土石方不外运，场内平衡；建筑垃圾使用车辆运输，用毡布遮盖，防止沿途散落；生活垃圾做到日产日清</w:t>
            </w:r>
          </w:p>
        </w:tc>
        <w:tc>
          <w:tcPr>
            <w:tcW w:w="2190" w:type="dxa"/>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color w:val="auto"/>
                <w:sz w:val="21"/>
                <w:szCs w:val="21"/>
                <w:lang w:val="en-US" w:eastAsia="zh-CN"/>
              </w:rPr>
            </w:pPr>
            <w:r>
              <w:rPr>
                <w:rFonts w:hint="eastAsia" w:ascii="Times New Roman" w:hAnsi="Times New Roman"/>
                <w:color w:val="auto"/>
                <w:sz w:val="21"/>
                <w:szCs w:val="21"/>
                <w:lang w:val="en-US" w:eastAsia="zh-CN"/>
              </w:rPr>
              <w:t>建筑垃圾运至指定地点</w:t>
            </w:r>
          </w:p>
        </w:tc>
        <w:tc>
          <w:tcPr>
            <w:tcW w:w="2100" w:type="dxa"/>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color w:val="auto"/>
                <w:sz w:val="21"/>
                <w:szCs w:val="21"/>
                <w:lang w:val="en-US" w:eastAsia="zh-CN"/>
              </w:rPr>
            </w:pPr>
            <w:r>
              <w:rPr>
                <w:rFonts w:hint="eastAsia" w:ascii="Times New Roman" w:hAnsi="Times New Roman"/>
                <w:color w:val="auto"/>
                <w:sz w:val="21"/>
                <w:szCs w:val="21"/>
                <w:lang w:val="en-US" w:eastAsia="zh-CN"/>
              </w:rPr>
              <w:t>环保监理部门</w:t>
            </w:r>
          </w:p>
        </w:tc>
      </w:tr>
    </w:tbl>
    <w:p>
      <w:pPr>
        <w:pStyle w:val="16"/>
        <w:adjustRightInd w:val="0"/>
        <w:snapToGrid w:val="0"/>
        <w:spacing w:line="360" w:lineRule="auto"/>
        <w:ind w:right="0"/>
        <w:jc w:val="both"/>
        <w:outlineLvl w:val="3"/>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8.1.5.2项目运营期环境管理</w:t>
      </w:r>
    </w:p>
    <w:p>
      <w:pPr>
        <w:tabs>
          <w:tab w:val="left" w:pos="1123"/>
        </w:tabs>
        <w:adjustRightInd w:val="0"/>
        <w:snapToGrid w:val="0"/>
        <w:spacing w:line="360" w:lineRule="auto"/>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由分管环境的场长负责环保指标的落实，将环保指标逐级分解到每个工人下，下属具体负责其附属环保设备的运转和维护，确保其正常运转和达标排放，充分发挥其作用；配合地方环保部门监测部门进行日常环境监测，记录并及时上报污染源及环保措施运转状态。在项目实施全过程中，本工程都应以《中华人民共和国环境保护法》及相关环保法律、法规为依据，通过对项目前后的环境审核，设定环境方针，建立环境目标和指标，设计环境方案，以达到“清洁生产”的良好效果，求得环境的长远的持久的发展。因此，它应建立以下环境管理制度：</w:t>
      </w:r>
    </w:p>
    <w:p>
      <w:pPr>
        <w:tabs>
          <w:tab w:val="left" w:pos="1123"/>
        </w:tabs>
        <w:adjustRightInd w:val="0"/>
        <w:snapToGrid w:val="0"/>
        <w:spacing w:line="360" w:lineRule="auto"/>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①内部环境审核制度；</w:t>
      </w:r>
    </w:p>
    <w:p>
      <w:pPr>
        <w:tabs>
          <w:tab w:val="left" w:pos="1123"/>
        </w:tabs>
        <w:adjustRightInd w:val="0"/>
        <w:snapToGrid w:val="0"/>
        <w:spacing w:line="360" w:lineRule="auto"/>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②清洁生产教育及培训制度；</w:t>
      </w:r>
    </w:p>
    <w:p>
      <w:pPr>
        <w:tabs>
          <w:tab w:val="left" w:pos="1123"/>
        </w:tabs>
        <w:adjustRightInd w:val="0"/>
        <w:snapToGrid w:val="0"/>
        <w:spacing w:line="360" w:lineRule="auto"/>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③建立环境目标和确定指标制度；</w:t>
      </w:r>
    </w:p>
    <w:p>
      <w:pPr>
        <w:tabs>
          <w:tab w:val="left" w:pos="1123"/>
        </w:tabs>
        <w:adjustRightInd w:val="0"/>
        <w:snapToGrid w:val="0"/>
        <w:spacing w:line="360" w:lineRule="auto"/>
        <w:ind w:firstLine="480" w:firstLineChars="200"/>
        <w:rPr>
          <w:rFonts w:ascii="Times New Roman" w:hAnsi="Times New Roman" w:eastAsia="宋体"/>
          <w:color w:val="auto"/>
          <w:sz w:val="24"/>
        </w:rPr>
      </w:pPr>
      <w:r>
        <w:rPr>
          <w:rFonts w:hint="eastAsia" w:ascii="Times New Roman" w:hAnsi="Times New Roman" w:eastAsia="宋体"/>
          <w:color w:val="auto"/>
          <w:sz w:val="24"/>
        </w:rPr>
        <w:t>④内部环境管理监督、检查制度。</w:t>
      </w:r>
    </w:p>
    <w:p>
      <w:pPr>
        <w:tabs>
          <w:tab w:val="left" w:pos="1123"/>
        </w:tabs>
        <w:adjustRightInd w:val="0"/>
        <w:snapToGrid w:val="0"/>
        <w:spacing w:line="360" w:lineRule="auto"/>
        <w:ind w:firstLine="480" w:firstLineChars="200"/>
        <w:rPr>
          <w:rFonts w:ascii="Times New Roman" w:hAnsi="Times New Roman" w:eastAsia="宋体"/>
          <w:color w:val="auto"/>
          <w:sz w:val="24"/>
        </w:rPr>
      </w:pPr>
      <w:r>
        <w:rPr>
          <w:rFonts w:hint="eastAsia" w:ascii="Times New Roman" w:hAnsi="Times New Roman" w:eastAsia="宋体"/>
          <w:color w:val="auto"/>
          <w:sz w:val="24"/>
        </w:rPr>
        <w:t>本项目工程针对不同工作阶段，制定环境管理工作计划，工程建设管理工作计划见表 8</w:t>
      </w:r>
      <w:r>
        <w:rPr>
          <w:rFonts w:hint="eastAsia" w:ascii="Times New Roman" w:hAnsi="Times New Roman" w:eastAsia="宋体"/>
          <w:color w:val="auto"/>
          <w:sz w:val="24"/>
          <w:lang w:val="en-US" w:eastAsia="zh-CN"/>
        </w:rPr>
        <w:t>.1</w:t>
      </w:r>
      <w:r>
        <w:rPr>
          <w:rFonts w:hint="eastAsia" w:ascii="Times New Roman" w:hAnsi="Times New Roman" w:eastAsia="宋体"/>
          <w:color w:val="auto"/>
          <w:sz w:val="24"/>
        </w:rPr>
        <w:t>-2。</w:t>
      </w:r>
    </w:p>
    <w:p>
      <w:pPr>
        <w:snapToGrid w:val="0"/>
        <w:jc w:val="center"/>
        <w:rPr>
          <w:rFonts w:ascii="Times New Roman" w:hAnsi="Times New Roman" w:eastAsia="宋体"/>
          <w:b/>
          <w:color w:val="auto"/>
          <w:sz w:val="21"/>
          <w:szCs w:val="21"/>
        </w:rPr>
      </w:pPr>
      <w:r>
        <w:rPr>
          <w:rFonts w:ascii="Times New Roman" w:hAnsi="Times New Roman" w:eastAsia="宋体"/>
          <w:b/>
          <w:color w:val="auto"/>
          <w:sz w:val="21"/>
          <w:szCs w:val="21"/>
        </w:rPr>
        <w:t>表</w:t>
      </w:r>
      <w:r>
        <w:rPr>
          <w:rFonts w:hint="eastAsia" w:ascii="Times New Roman" w:hAnsi="Times New Roman" w:eastAsia="宋体"/>
          <w:b/>
          <w:color w:val="auto"/>
          <w:sz w:val="21"/>
          <w:szCs w:val="21"/>
        </w:rPr>
        <w:t>8</w:t>
      </w:r>
      <w:r>
        <w:rPr>
          <w:rFonts w:ascii="Times New Roman" w:hAnsi="Times New Roman" w:eastAsia="宋体"/>
          <w:b/>
          <w:color w:val="auto"/>
          <w:sz w:val="21"/>
          <w:szCs w:val="21"/>
        </w:rPr>
        <w:t>.</w:t>
      </w:r>
      <w:r>
        <w:rPr>
          <w:rFonts w:hint="eastAsia" w:ascii="Times New Roman" w:hAnsi="Times New Roman" w:eastAsia="宋体"/>
          <w:b/>
          <w:color w:val="auto"/>
          <w:sz w:val="21"/>
          <w:szCs w:val="21"/>
          <w:lang w:val="en-US" w:eastAsia="zh-CN"/>
        </w:rPr>
        <w:t>1-2</w:t>
      </w:r>
      <w:r>
        <w:rPr>
          <w:rFonts w:ascii="Times New Roman" w:hAnsi="Times New Roman" w:eastAsia="宋体"/>
          <w:b/>
          <w:color w:val="auto"/>
          <w:sz w:val="21"/>
          <w:szCs w:val="21"/>
        </w:rPr>
        <w:t xml:space="preserve">  </w:t>
      </w:r>
      <w:r>
        <w:rPr>
          <w:rFonts w:hint="eastAsia" w:ascii="Times New Roman" w:hAnsi="Times New Roman" w:eastAsia="宋体"/>
          <w:b/>
          <w:color w:val="auto"/>
          <w:sz w:val="21"/>
          <w:szCs w:val="21"/>
        </w:rPr>
        <w:t>环境管理工作计划</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0"/>
        <w:gridCol w:w="7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0" w:type="dxa"/>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eastAsiaTheme="minorEastAsia"/>
                <w:b/>
                <w:bCs/>
                <w:color w:val="auto"/>
                <w:sz w:val="21"/>
                <w:szCs w:val="21"/>
                <w:lang w:eastAsia="zh-CN"/>
              </w:rPr>
            </w:pPr>
            <w:r>
              <w:rPr>
                <w:rFonts w:hint="eastAsia" w:ascii="Times New Roman" w:hAnsi="Times New Roman"/>
                <w:b/>
                <w:bCs/>
                <w:color w:val="auto"/>
                <w:sz w:val="21"/>
                <w:szCs w:val="21"/>
                <w:lang w:eastAsia="zh-CN"/>
              </w:rPr>
              <w:t>阶段</w:t>
            </w:r>
          </w:p>
        </w:tc>
        <w:tc>
          <w:tcPr>
            <w:tcW w:w="7740" w:type="dxa"/>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hint="eastAsia" w:ascii="Times New Roman" w:hAnsi="Times New Roman" w:eastAsiaTheme="minorEastAsia"/>
                <w:b/>
                <w:bCs/>
                <w:color w:val="auto"/>
                <w:sz w:val="21"/>
                <w:szCs w:val="21"/>
                <w:lang w:eastAsia="zh-CN"/>
              </w:rPr>
            </w:pPr>
            <w:r>
              <w:rPr>
                <w:rFonts w:hint="eastAsia" w:ascii="Times New Roman" w:hAnsi="Times New Roman"/>
                <w:b/>
                <w:bCs/>
                <w:color w:val="auto"/>
                <w:sz w:val="21"/>
                <w:szCs w:val="21"/>
                <w:lang w:eastAsia="zh-CN"/>
              </w:rPr>
              <w:t>环境管理工作主要内容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0" w:type="dxa"/>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ascii="Times New Roman" w:hAnsi="Times New Roman"/>
                <w:color w:val="auto"/>
                <w:sz w:val="21"/>
                <w:szCs w:val="21"/>
              </w:rPr>
            </w:pPr>
            <w:r>
              <w:rPr>
                <w:rFonts w:hint="eastAsia" w:ascii="Times New Roman" w:hAnsi="Times New Roman"/>
                <w:color w:val="auto"/>
                <w:sz w:val="21"/>
                <w:szCs w:val="21"/>
              </w:rPr>
              <w:t>管理机构职能</w:t>
            </w:r>
          </w:p>
        </w:tc>
        <w:tc>
          <w:tcPr>
            <w:tcW w:w="7740" w:type="dxa"/>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ascii="Times New Roman" w:hAnsi="Times New Roman"/>
                <w:color w:val="auto"/>
                <w:sz w:val="21"/>
                <w:szCs w:val="21"/>
              </w:rPr>
            </w:pPr>
            <w:r>
              <w:rPr>
                <w:rFonts w:hint="eastAsia" w:ascii="Times New Roman" w:hAnsi="Times New Roman"/>
                <w:color w:val="auto"/>
                <w:sz w:val="21"/>
                <w:szCs w:val="21"/>
              </w:rPr>
              <w:t>根据国家建设项目环境管理规定，认真落实各项环保手续，完成各级主管部门对本企业提出的环境管理要求，对本企业内部各项管理计划的执行及完成情况进行监督、控制，确保环境管理工作真正发挥作用。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0" w:type="dxa"/>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ascii="Times New Roman" w:hAnsi="Times New Roman"/>
                <w:color w:val="auto"/>
                <w:sz w:val="21"/>
                <w:szCs w:val="21"/>
              </w:rPr>
            </w:pPr>
            <w:r>
              <w:rPr>
                <w:rFonts w:hint="eastAsia" w:ascii="Times New Roman" w:hAnsi="Times New Roman"/>
                <w:color w:val="auto"/>
                <w:sz w:val="21"/>
                <w:szCs w:val="21"/>
              </w:rPr>
              <w:t>项目建设前期</w:t>
            </w:r>
          </w:p>
        </w:tc>
        <w:tc>
          <w:tcPr>
            <w:tcW w:w="7740" w:type="dxa"/>
            <w:vAlign w:val="center"/>
          </w:tcPr>
          <w:p>
            <w:pPr>
              <w:pStyle w:val="125"/>
              <w:keepNext w:val="0"/>
              <w:keepLines w:val="0"/>
              <w:pageBreakBefore w:val="0"/>
              <w:kinsoku/>
              <w:wordWrap/>
              <w:overflowPunct/>
              <w:topLinePunct w:val="0"/>
              <w:autoSpaceDE/>
              <w:autoSpaceDN/>
              <w:bidi w:val="0"/>
              <w:adjustRightInd w:val="0"/>
              <w:snapToGrid w:val="0"/>
              <w:jc w:val="both"/>
              <w:textAlignment w:val="auto"/>
              <w:rPr>
                <w:rFonts w:hint="eastAsia" w:ascii="Times New Roman" w:hAnsi="Times New Roman"/>
                <w:color w:val="auto"/>
                <w:sz w:val="21"/>
                <w:szCs w:val="21"/>
              </w:rPr>
            </w:pPr>
            <w:r>
              <w:rPr>
                <w:rFonts w:hint="eastAsia" w:ascii="Times New Roman" w:hAnsi="Times New Roman"/>
                <w:color w:val="auto"/>
                <w:sz w:val="21"/>
                <w:szCs w:val="21"/>
                <w:lang w:val="en-US" w:eastAsia="zh-CN"/>
              </w:rPr>
              <w:t>1、</w:t>
            </w:r>
            <w:r>
              <w:rPr>
                <w:rFonts w:hint="eastAsia" w:ascii="Times New Roman" w:hAnsi="Times New Roman"/>
                <w:color w:val="auto"/>
                <w:sz w:val="21"/>
                <w:szCs w:val="21"/>
              </w:rPr>
              <w:t>与项目可行性研究同期，委托评价单位进行项目的环境影响评价工作；</w:t>
            </w:r>
          </w:p>
          <w:p>
            <w:pPr>
              <w:pStyle w:val="125"/>
              <w:keepNext w:val="0"/>
              <w:keepLines w:val="0"/>
              <w:pageBreakBefore w:val="0"/>
              <w:kinsoku/>
              <w:wordWrap/>
              <w:overflowPunct/>
              <w:topLinePunct w:val="0"/>
              <w:autoSpaceDE/>
              <w:autoSpaceDN/>
              <w:bidi w:val="0"/>
              <w:adjustRightInd w:val="0"/>
              <w:snapToGrid w:val="0"/>
              <w:jc w:val="both"/>
              <w:textAlignment w:val="auto"/>
              <w:rPr>
                <w:rFonts w:hint="eastAsia" w:ascii="Times New Roman" w:hAnsi="Times New Roman"/>
                <w:color w:val="auto"/>
                <w:sz w:val="21"/>
                <w:szCs w:val="21"/>
              </w:rPr>
            </w:pPr>
            <w:r>
              <w:rPr>
                <w:rFonts w:hint="eastAsia" w:ascii="Times New Roman" w:hAnsi="Times New Roman"/>
                <w:color w:val="auto"/>
                <w:sz w:val="21"/>
                <w:szCs w:val="21"/>
              </w:rPr>
              <w:t>2、积极配合可研及环评单位所需进行的现场调研；</w:t>
            </w:r>
          </w:p>
          <w:p>
            <w:pPr>
              <w:pStyle w:val="125"/>
              <w:keepNext w:val="0"/>
              <w:keepLines w:val="0"/>
              <w:pageBreakBefore w:val="0"/>
              <w:kinsoku/>
              <w:wordWrap/>
              <w:overflowPunct/>
              <w:topLinePunct w:val="0"/>
              <w:autoSpaceDE/>
              <w:autoSpaceDN/>
              <w:bidi w:val="0"/>
              <w:adjustRightInd w:val="0"/>
              <w:snapToGrid w:val="0"/>
              <w:jc w:val="both"/>
              <w:textAlignment w:val="auto"/>
              <w:rPr>
                <w:rFonts w:hint="eastAsia" w:ascii="Times New Roman" w:hAnsi="Times New Roman"/>
                <w:color w:val="auto"/>
                <w:sz w:val="21"/>
                <w:szCs w:val="21"/>
              </w:rPr>
            </w:pPr>
            <w:r>
              <w:rPr>
                <w:rFonts w:hint="eastAsia" w:ascii="Times New Roman" w:hAnsi="Times New Roman"/>
                <w:color w:val="auto"/>
                <w:sz w:val="21"/>
                <w:szCs w:val="21"/>
              </w:rPr>
              <w:t>3、针对项目的具体情况，建立企业内部必要的环境管理与监测制度；</w:t>
            </w:r>
          </w:p>
          <w:p>
            <w:pPr>
              <w:pStyle w:val="125"/>
              <w:keepNext w:val="0"/>
              <w:keepLines w:val="0"/>
              <w:pageBreakBefore w:val="0"/>
              <w:kinsoku/>
              <w:wordWrap/>
              <w:overflowPunct/>
              <w:topLinePunct w:val="0"/>
              <w:autoSpaceDE/>
              <w:autoSpaceDN/>
              <w:bidi w:val="0"/>
              <w:adjustRightInd w:val="0"/>
              <w:snapToGrid w:val="0"/>
              <w:jc w:val="both"/>
              <w:textAlignment w:val="auto"/>
              <w:rPr>
                <w:rFonts w:ascii="Times New Roman" w:hAnsi="Times New Roman"/>
                <w:color w:val="auto"/>
                <w:sz w:val="21"/>
                <w:szCs w:val="21"/>
              </w:rPr>
            </w:pPr>
            <w:r>
              <w:rPr>
                <w:rFonts w:hint="eastAsia" w:ascii="Times New Roman" w:hAnsi="Times New Roman"/>
                <w:color w:val="auto"/>
                <w:sz w:val="21"/>
                <w:szCs w:val="21"/>
              </w:rPr>
              <w:t>4、对全厂职工进行岗位宣传和培训。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0" w:type="dxa"/>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ascii="Times New Roman" w:hAnsi="Times New Roman"/>
                <w:color w:val="auto"/>
                <w:sz w:val="21"/>
                <w:szCs w:val="21"/>
              </w:rPr>
            </w:pPr>
            <w:r>
              <w:rPr>
                <w:rFonts w:hint="eastAsia" w:ascii="Times New Roman" w:hAnsi="Times New Roman"/>
                <w:color w:val="auto"/>
                <w:sz w:val="21"/>
                <w:szCs w:val="21"/>
              </w:rPr>
              <w:t>设计阶段</w:t>
            </w:r>
          </w:p>
        </w:tc>
        <w:tc>
          <w:tcPr>
            <w:tcW w:w="7740" w:type="dxa"/>
            <w:vAlign w:val="center"/>
          </w:tcPr>
          <w:p>
            <w:pPr>
              <w:pStyle w:val="125"/>
              <w:keepNext w:val="0"/>
              <w:keepLines w:val="0"/>
              <w:pageBreakBefore w:val="0"/>
              <w:numPr>
                <w:ilvl w:val="0"/>
                <w:numId w:val="46"/>
              </w:numPr>
              <w:kinsoku/>
              <w:wordWrap/>
              <w:overflowPunct/>
              <w:topLinePunct w:val="0"/>
              <w:autoSpaceDE/>
              <w:autoSpaceDN/>
              <w:bidi w:val="0"/>
              <w:adjustRightInd w:val="0"/>
              <w:snapToGrid w:val="0"/>
              <w:jc w:val="both"/>
              <w:textAlignment w:val="auto"/>
              <w:rPr>
                <w:rFonts w:hint="eastAsia" w:ascii="Times New Roman" w:hAnsi="Times New Roman"/>
                <w:color w:val="auto"/>
                <w:sz w:val="21"/>
                <w:szCs w:val="21"/>
              </w:rPr>
            </w:pPr>
            <w:r>
              <w:rPr>
                <w:rFonts w:hint="eastAsia" w:ascii="Times New Roman" w:hAnsi="Times New Roman"/>
                <w:color w:val="auto"/>
                <w:sz w:val="21"/>
                <w:szCs w:val="21"/>
              </w:rPr>
              <w:t>委托设计单位对项目的环保工程进行设计，与主体工程同步进行；</w:t>
            </w:r>
          </w:p>
          <w:p>
            <w:pPr>
              <w:pStyle w:val="125"/>
              <w:keepNext w:val="0"/>
              <w:keepLines w:val="0"/>
              <w:pageBreakBefore w:val="0"/>
              <w:numPr>
                <w:ilvl w:val="0"/>
                <w:numId w:val="0"/>
              </w:numPr>
              <w:kinsoku/>
              <w:wordWrap/>
              <w:overflowPunct/>
              <w:topLinePunct w:val="0"/>
              <w:autoSpaceDE/>
              <w:autoSpaceDN/>
              <w:bidi w:val="0"/>
              <w:adjustRightInd w:val="0"/>
              <w:snapToGrid w:val="0"/>
              <w:jc w:val="both"/>
              <w:textAlignment w:val="auto"/>
              <w:rPr>
                <w:rFonts w:ascii="Times New Roman" w:hAnsi="Times New Roman"/>
                <w:color w:val="auto"/>
                <w:sz w:val="21"/>
                <w:szCs w:val="21"/>
              </w:rPr>
            </w:pPr>
            <w:r>
              <w:rPr>
                <w:rFonts w:hint="eastAsia" w:ascii="Times New Roman" w:hAnsi="Times New Roman"/>
                <w:color w:val="auto"/>
                <w:sz w:val="21"/>
                <w:szCs w:val="21"/>
              </w:rPr>
              <w:t>2、协助设计单位弄清楚现阶段的环境问题；</w:t>
            </w:r>
          </w:p>
          <w:p>
            <w:pPr>
              <w:pStyle w:val="125"/>
              <w:keepNext w:val="0"/>
              <w:keepLines w:val="0"/>
              <w:pageBreakBefore w:val="0"/>
              <w:numPr>
                <w:ilvl w:val="0"/>
                <w:numId w:val="0"/>
              </w:numPr>
              <w:kinsoku/>
              <w:wordWrap/>
              <w:overflowPunct/>
              <w:topLinePunct w:val="0"/>
              <w:autoSpaceDE/>
              <w:autoSpaceDN/>
              <w:bidi w:val="0"/>
              <w:adjustRightInd w:val="0"/>
              <w:snapToGrid w:val="0"/>
              <w:jc w:val="both"/>
              <w:textAlignment w:val="auto"/>
              <w:rPr>
                <w:rFonts w:ascii="Times New Roman" w:hAnsi="Times New Roman"/>
                <w:color w:val="auto"/>
                <w:sz w:val="21"/>
                <w:szCs w:val="21"/>
              </w:rPr>
            </w:pPr>
            <w:r>
              <w:rPr>
                <w:rFonts w:hint="eastAsia" w:ascii="Times New Roman" w:hAnsi="Times New Roman"/>
                <w:color w:val="auto"/>
                <w:sz w:val="21"/>
                <w:szCs w:val="21"/>
              </w:rPr>
              <w:t>3、对治污区，应严格按照环保规范布置在场区主导风向的下风向；</w:t>
            </w:r>
          </w:p>
          <w:p>
            <w:pPr>
              <w:pStyle w:val="125"/>
              <w:keepNext w:val="0"/>
              <w:keepLines w:val="0"/>
              <w:pageBreakBefore w:val="0"/>
              <w:numPr>
                <w:ilvl w:val="0"/>
                <w:numId w:val="0"/>
              </w:numPr>
              <w:kinsoku/>
              <w:wordWrap/>
              <w:overflowPunct/>
              <w:topLinePunct w:val="0"/>
              <w:autoSpaceDE/>
              <w:autoSpaceDN/>
              <w:bidi w:val="0"/>
              <w:adjustRightInd w:val="0"/>
              <w:snapToGrid w:val="0"/>
              <w:jc w:val="both"/>
              <w:textAlignment w:val="auto"/>
              <w:rPr>
                <w:rFonts w:ascii="Times New Roman" w:hAnsi="Times New Roman"/>
                <w:color w:val="auto"/>
                <w:sz w:val="21"/>
                <w:szCs w:val="21"/>
              </w:rPr>
            </w:pPr>
            <w:r>
              <w:rPr>
                <w:rFonts w:hint="eastAsia" w:ascii="Times New Roman" w:hAnsi="Times New Roman"/>
                <w:color w:val="auto"/>
                <w:sz w:val="21"/>
                <w:szCs w:val="21"/>
              </w:rPr>
              <w:t>4、在设计中落实环境影响报告中提出的环保对策措施。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0" w:type="dxa"/>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ascii="Times New Roman" w:hAnsi="Times New Roman"/>
                <w:color w:val="auto"/>
                <w:sz w:val="21"/>
                <w:szCs w:val="21"/>
              </w:rPr>
            </w:pPr>
            <w:r>
              <w:rPr>
                <w:rFonts w:hint="eastAsia" w:ascii="Times New Roman" w:hAnsi="Times New Roman"/>
                <w:color w:val="auto"/>
                <w:sz w:val="21"/>
                <w:szCs w:val="21"/>
              </w:rPr>
              <w:t>施工阶段</w:t>
            </w:r>
          </w:p>
        </w:tc>
        <w:tc>
          <w:tcPr>
            <w:tcW w:w="7740" w:type="dxa"/>
            <w:vAlign w:val="center"/>
          </w:tcPr>
          <w:p>
            <w:pPr>
              <w:pStyle w:val="125"/>
              <w:keepNext w:val="0"/>
              <w:keepLines w:val="0"/>
              <w:pageBreakBefore w:val="0"/>
              <w:numPr>
                <w:ilvl w:val="0"/>
                <w:numId w:val="47"/>
              </w:numPr>
              <w:kinsoku/>
              <w:wordWrap/>
              <w:overflowPunct/>
              <w:topLinePunct w:val="0"/>
              <w:autoSpaceDE/>
              <w:autoSpaceDN/>
              <w:bidi w:val="0"/>
              <w:adjustRightInd w:val="0"/>
              <w:snapToGrid w:val="0"/>
              <w:jc w:val="both"/>
              <w:textAlignment w:val="auto"/>
              <w:rPr>
                <w:rFonts w:hint="eastAsia" w:ascii="Times New Roman" w:hAnsi="Times New Roman"/>
                <w:color w:val="auto"/>
                <w:sz w:val="21"/>
                <w:szCs w:val="21"/>
              </w:rPr>
            </w:pPr>
            <w:r>
              <w:rPr>
                <w:rFonts w:hint="eastAsia" w:ascii="Times New Roman" w:hAnsi="Times New Roman"/>
                <w:color w:val="auto"/>
                <w:sz w:val="21"/>
                <w:szCs w:val="21"/>
              </w:rPr>
              <w:t>严格执行“三同时”制度；</w:t>
            </w:r>
          </w:p>
          <w:p>
            <w:pPr>
              <w:pStyle w:val="125"/>
              <w:keepNext w:val="0"/>
              <w:keepLines w:val="0"/>
              <w:pageBreakBefore w:val="0"/>
              <w:numPr>
                <w:ilvl w:val="0"/>
                <w:numId w:val="47"/>
              </w:numPr>
              <w:kinsoku/>
              <w:wordWrap/>
              <w:overflowPunct/>
              <w:topLinePunct w:val="0"/>
              <w:autoSpaceDE/>
              <w:autoSpaceDN/>
              <w:bidi w:val="0"/>
              <w:adjustRightInd w:val="0"/>
              <w:snapToGrid w:val="0"/>
              <w:ind w:left="0" w:leftChars="0" w:firstLine="0" w:firstLineChars="0"/>
              <w:jc w:val="both"/>
              <w:textAlignment w:val="auto"/>
              <w:rPr>
                <w:rFonts w:hint="eastAsia" w:ascii="Times New Roman" w:hAnsi="Times New Roman"/>
                <w:color w:val="auto"/>
                <w:sz w:val="21"/>
                <w:szCs w:val="21"/>
              </w:rPr>
            </w:pPr>
            <w:r>
              <w:rPr>
                <w:rFonts w:hint="eastAsia" w:ascii="Times New Roman" w:hAnsi="Times New Roman"/>
                <w:color w:val="auto"/>
                <w:sz w:val="21"/>
                <w:szCs w:val="21"/>
              </w:rPr>
              <w:t>按照环评报告中提出的要求，制定出建设项目施工措施实施计划表，并与当地环保部门签定落实计划内的目标责任书；</w:t>
            </w:r>
          </w:p>
          <w:p>
            <w:pPr>
              <w:pStyle w:val="125"/>
              <w:keepNext w:val="0"/>
              <w:keepLines w:val="0"/>
              <w:pageBreakBefore w:val="0"/>
              <w:numPr>
                <w:ilvl w:val="0"/>
                <w:numId w:val="47"/>
              </w:numPr>
              <w:kinsoku/>
              <w:wordWrap/>
              <w:overflowPunct/>
              <w:topLinePunct w:val="0"/>
              <w:autoSpaceDE/>
              <w:autoSpaceDN/>
              <w:bidi w:val="0"/>
              <w:adjustRightInd w:val="0"/>
              <w:snapToGrid w:val="0"/>
              <w:ind w:left="0" w:leftChars="0" w:firstLine="0" w:firstLineChars="0"/>
              <w:jc w:val="both"/>
              <w:textAlignment w:val="auto"/>
              <w:rPr>
                <w:rFonts w:hint="eastAsia" w:ascii="Times New Roman" w:hAnsi="Times New Roman"/>
                <w:color w:val="auto"/>
                <w:sz w:val="21"/>
                <w:szCs w:val="21"/>
              </w:rPr>
            </w:pPr>
            <w:r>
              <w:rPr>
                <w:rFonts w:hint="eastAsia" w:ascii="Times New Roman" w:hAnsi="Times New Roman"/>
                <w:color w:val="auto"/>
                <w:sz w:val="21"/>
                <w:szCs w:val="21"/>
              </w:rPr>
              <w:t>认真监督主体工程与环保设施的同步建设；建立环保设施施工进度档案，确保环保工作的正常实施运行；</w:t>
            </w:r>
          </w:p>
          <w:p>
            <w:pPr>
              <w:pStyle w:val="125"/>
              <w:keepNext w:val="0"/>
              <w:keepLines w:val="0"/>
              <w:pageBreakBefore w:val="0"/>
              <w:numPr>
                <w:ilvl w:val="0"/>
                <w:numId w:val="47"/>
              </w:numPr>
              <w:kinsoku/>
              <w:wordWrap/>
              <w:overflowPunct/>
              <w:topLinePunct w:val="0"/>
              <w:autoSpaceDE/>
              <w:autoSpaceDN/>
              <w:bidi w:val="0"/>
              <w:adjustRightInd w:val="0"/>
              <w:snapToGrid w:val="0"/>
              <w:ind w:left="0" w:leftChars="0" w:firstLine="0" w:firstLineChars="0"/>
              <w:jc w:val="both"/>
              <w:textAlignment w:val="auto"/>
              <w:rPr>
                <w:rFonts w:hint="eastAsia" w:ascii="Times New Roman" w:hAnsi="Times New Roman"/>
                <w:color w:val="auto"/>
                <w:sz w:val="21"/>
                <w:szCs w:val="21"/>
              </w:rPr>
            </w:pPr>
            <w:r>
              <w:rPr>
                <w:rFonts w:hint="eastAsia" w:ascii="Times New Roman" w:hAnsi="Times New Roman"/>
                <w:color w:val="auto"/>
                <w:sz w:val="21"/>
                <w:szCs w:val="21"/>
              </w:rPr>
              <w:t>施工噪声与振动要符合《中华人民共和国环境噪声污染防治法》有关规定，不得干扰周围群众的正常生活和工作。</w:t>
            </w:r>
          </w:p>
          <w:p>
            <w:pPr>
              <w:pStyle w:val="125"/>
              <w:keepNext w:val="0"/>
              <w:keepLines w:val="0"/>
              <w:pageBreakBefore w:val="0"/>
              <w:numPr>
                <w:ilvl w:val="0"/>
                <w:numId w:val="47"/>
              </w:numPr>
              <w:kinsoku/>
              <w:wordWrap/>
              <w:overflowPunct/>
              <w:topLinePunct w:val="0"/>
              <w:autoSpaceDE/>
              <w:autoSpaceDN/>
              <w:bidi w:val="0"/>
              <w:adjustRightInd w:val="0"/>
              <w:snapToGrid w:val="0"/>
              <w:ind w:left="0" w:leftChars="0" w:firstLine="0" w:firstLineChars="0"/>
              <w:jc w:val="both"/>
              <w:textAlignment w:val="auto"/>
              <w:rPr>
                <w:rFonts w:hint="eastAsia" w:ascii="Times New Roman" w:hAnsi="Times New Roman"/>
                <w:color w:val="auto"/>
                <w:sz w:val="21"/>
                <w:szCs w:val="21"/>
              </w:rPr>
            </w:pPr>
            <w:r>
              <w:rPr>
                <w:rFonts w:hint="eastAsia" w:ascii="Times New Roman" w:hAnsi="Times New Roman"/>
                <w:color w:val="auto"/>
                <w:sz w:val="21"/>
                <w:szCs w:val="21"/>
              </w:rPr>
              <w:t>施工造成的地表破坏、土地、植物毁坏应在竣工后及时恢复；</w:t>
            </w:r>
          </w:p>
          <w:p>
            <w:pPr>
              <w:pStyle w:val="125"/>
              <w:keepNext w:val="0"/>
              <w:keepLines w:val="0"/>
              <w:pageBreakBefore w:val="0"/>
              <w:numPr>
                <w:ilvl w:val="0"/>
                <w:numId w:val="0"/>
              </w:numPr>
              <w:kinsoku/>
              <w:wordWrap/>
              <w:overflowPunct/>
              <w:topLinePunct w:val="0"/>
              <w:autoSpaceDE/>
              <w:autoSpaceDN/>
              <w:bidi w:val="0"/>
              <w:adjustRightInd w:val="0"/>
              <w:snapToGrid w:val="0"/>
              <w:ind w:leftChars="0"/>
              <w:jc w:val="both"/>
              <w:textAlignment w:val="auto"/>
              <w:rPr>
                <w:rFonts w:ascii="Times New Roman" w:hAnsi="Times New Roman"/>
                <w:color w:val="auto"/>
                <w:sz w:val="21"/>
                <w:szCs w:val="21"/>
              </w:rPr>
            </w:pPr>
            <w:r>
              <w:rPr>
                <w:rFonts w:hint="eastAsia" w:ascii="Times New Roman" w:hAnsi="Times New Roman"/>
                <w:color w:val="auto"/>
                <w:sz w:val="21"/>
                <w:szCs w:val="21"/>
              </w:rPr>
              <w:t>6、设立施工期环境监理制度，监督环保工程的实施情况，施工阶段的环保工程进展情况和环保投资落实情况定期（每季度）向环保主管部门汇报一次。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0" w:type="dxa"/>
            <w:vAlign w:val="center"/>
          </w:tcPr>
          <w:p>
            <w:pPr>
              <w:pStyle w:val="125"/>
              <w:keepNext w:val="0"/>
              <w:keepLines w:val="0"/>
              <w:pageBreakBefore w:val="0"/>
              <w:kinsoku/>
              <w:wordWrap/>
              <w:overflowPunct/>
              <w:topLinePunct w:val="0"/>
              <w:autoSpaceDE/>
              <w:autoSpaceDN/>
              <w:bidi w:val="0"/>
              <w:adjustRightInd w:val="0"/>
              <w:snapToGrid w:val="0"/>
              <w:jc w:val="center"/>
              <w:textAlignment w:val="auto"/>
              <w:rPr>
                <w:rFonts w:ascii="Times New Roman" w:hAnsi="Times New Roman"/>
                <w:color w:val="auto"/>
                <w:sz w:val="21"/>
                <w:szCs w:val="21"/>
              </w:rPr>
            </w:pPr>
            <w:r>
              <w:rPr>
                <w:rFonts w:hint="eastAsia" w:ascii="Times New Roman" w:hAnsi="Times New Roman"/>
                <w:color w:val="auto"/>
                <w:sz w:val="21"/>
                <w:szCs w:val="21"/>
              </w:rPr>
              <w:t>生产运行期</w:t>
            </w:r>
          </w:p>
        </w:tc>
        <w:tc>
          <w:tcPr>
            <w:tcW w:w="7740" w:type="dxa"/>
            <w:vAlign w:val="center"/>
          </w:tcPr>
          <w:p>
            <w:pPr>
              <w:pStyle w:val="125"/>
              <w:keepNext w:val="0"/>
              <w:keepLines w:val="0"/>
              <w:pageBreakBefore w:val="0"/>
              <w:numPr>
                <w:ilvl w:val="0"/>
                <w:numId w:val="48"/>
              </w:numPr>
              <w:kinsoku/>
              <w:wordWrap/>
              <w:overflowPunct/>
              <w:topLinePunct w:val="0"/>
              <w:autoSpaceDE/>
              <w:autoSpaceDN/>
              <w:bidi w:val="0"/>
              <w:adjustRightInd w:val="0"/>
              <w:snapToGrid w:val="0"/>
              <w:jc w:val="both"/>
              <w:textAlignment w:val="auto"/>
              <w:rPr>
                <w:rFonts w:hint="eastAsia" w:ascii="Times New Roman" w:hAnsi="Times New Roman"/>
                <w:color w:val="auto"/>
                <w:sz w:val="21"/>
                <w:szCs w:val="21"/>
              </w:rPr>
            </w:pPr>
            <w:r>
              <w:rPr>
                <w:rFonts w:hint="eastAsia" w:ascii="Times New Roman" w:hAnsi="Times New Roman"/>
                <w:color w:val="auto"/>
                <w:sz w:val="21"/>
                <w:szCs w:val="21"/>
              </w:rPr>
              <w:t>严格执行各项生产及环境管理制度，保证生产的正常进行；</w:t>
            </w:r>
          </w:p>
          <w:p>
            <w:pPr>
              <w:pStyle w:val="125"/>
              <w:keepNext w:val="0"/>
              <w:keepLines w:val="0"/>
              <w:pageBreakBefore w:val="0"/>
              <w:numPr>
                <w:ilvl w:val="0"/>
                <w:numId w:val="48"/>
              </w:numPr>
              <w:kinsoku/>
              <w:wordWrap/>
              <w:overflowPunct/>
              <w:topLinePunct w:val="0"/>
              <w:autoSpaceDE/>
              <w:autoSpaceDN/>
              <w:bidi w:val="0"/>
              <w:adjustRightInd w:val="0"/>
              <w:snapToGrid w:val="0"/>
              <w:ind w:left="0" w:leftChars="0" w:firstLine="0" w:firstLineChars="0"/>
              <w:jc w:val="both"/>
              <w:textAlignment w:val="auto"/>
              <w:rPr>
                <w:rFonts w:hint="eastAsia" w:ascii="Times New Roman" w:hAnsi="Times New Roman"/>
                <w:color w:val="auto"/>
                <w:sz w:val="21"/>
                <w:szCs w:val="21"/>
              </w:rPr>
            </w:pPr>
            <w:r>
              <w:rPr>
                <w:rFonts w:hint="eastAsia" w:ascii="Times New Roman" w:hAnsi="Times New Roman"/>
                <w:color w:val="auto"/>
                <w:sz w:val="21"/>
                <w:szCs w:val="21"/>
              </w:rPr>
              <w:t xml:space="preserve">设立环保设施运行卡，对环保设施定期进行检查、维护，做到勤查、勤记、勤养护，按照监测计划定期组织进行全厂内的污染源监测，对不达标环保设施立即进行寻找原 因，及时处理； </w:t>
            </w:r>
          </w:p>
          <w:p>
            <w:pPr>
              <w:pStyle w:val="125"/>
              <w:keepNext w:val="0"/>
              <w:keepLines w:val="0"/>
              <w:pageBreakBefore w:val="0"/>
              <w:numPr>
                <w:ilvl w:val="0"/>
                <w:numId w:val="0"/>
              </w:numPr>
              <w:kinsoku/>
              <w:wordWrap/>
              <w:overflowPunct/>
              <w:topLinePunct w:val="0"/>
              <w:autoSpaceDE/>
              <w:autoSpaceDN/>
              <w:bidi w:val="0"/>
              <w:adjustRightInd w:val="0"/>
              <w:snapToGrid w:val="0"/>
              <w:ind w:leftChars="0"/>
              <w:jc w:val="both"/>
              <w:textAlignment w:val="auto"/>
              <w:rPr>
                <w:rFonts w:ascii="Times New Roman" w:hAnsi="Times New Roman"/>
                <w:color w:val="auto"/>
                <w:sz w:val="21"/>
                <w:szCs w:val="21"/>
              </w:rPr>
            </w:pPr>
            <w:r>
              <w:rPr>
                <w:rFonts w:hint="eastAsia" w:ascii="Times New Roman" w:hAnsi="Times New Roman"/>
                <w:color w:val="auto"/>
                <w:sz w:val="21"/>
                <w:szCs w:val="21"/>
              </w:rPr>
              <w:t>3、积极配合环保部门的检查、验收。</w:t>
            </w:r>
          </w:p>
        </w:tc>
      </w:tr>
      <w:bookmarkEnd w:id="318"/>
      <w:bookmarkEnd w:id="319"/>
      <w:bookmarkEnd w:id="320"/>
      <w:bookmarkEnd w:id="321"/>
      <w:bookmarkEnd w:id="322"/>
      <w:bookmarkEnd w:id="323"/>
      <w:bookmarkEnd w:id="324"/>
      <w:bookmarkEnd w:id="325"/>
      <w:bookmarkEnd w:id="326"/>
      <w:bookmarkEnd w:id="327"/>
    </w:tbl>
    <w:p>
      <w:pPr>
        <w:pStyle w:val="16"/>
        <w:adjustRightInd w:val="0"/>
        <w:snapToGrid w:val="0"/>
        <w:spacing w:line="360" w:lineRule="auto"/>
        <w:ind w:right="0"/>
        <w:jc w:val="both"/>
        <w:outlineLvl w:val="3"/>
        <w:rPr>
          <w:rFonts w:hint="default" w:ascii="Times New Roman" w:hAnsi="Times New Roman" w:eastAsia="宋体"/>
          <w:color w:val="auto"/>
          <w:sz w:val="24"/>
          <w:szCs w:val="24"/>
          <w:lang w:val="en-US" w:eastAsia="zh-CN"/>
        </w:rPr>
      </w:pPr>
      <w:bookmarkStart w:id="332" w:name="_Toc385952931"/>
      <w:bookmarkStart w:id="333" w:name="_Toc470854089"/>
      <w:bookmarkStart w:id="334" w:name="_Toc366870444"/>
      <w:bookmarkStart w:id="335" w:name="_Toc502454035"/>
      <w:bookmarkStart w:id="336" w:name="_Toc10725"/>
      <w:bookmarkStart w:id="337" w:name="_Toc354925013"/>
      <w:bookmarkStart w:id="338" w:name="_Toc385952737"/>
      <w:bookmarkStart w:id="339" w:name="_Toc385953060"/>
      <w:bookmarkStart w:id="340" w:name="_Toc337391787"/>
      <w:r>
        <w:rPr>
          <w:rFonts w:hint="eastAsia" w:ascii="Times New Roman" w:hAnsi="Times New Roman" w:eastAsia="宋体"/>
          <w:color w:val="auto"/>
          <w:sz w:val="24"/>
          <w:szCs w:val="24"/>
          <w:lang w:val="en-US" w:eastAsia="zh-CN"/>
        </w:rPr>
        <w:t>8.1.5.3废水消纳管理</w:t>
      </w:r>
    </w:p>
    <w:p>
      <w:pPr>
        <w:snapToGrid w:val="0"/>
        <w:spacing w:line="360" w:lineRule="auto"/>
        <w:ind w:firstLine="480" w:firstLineChars="200"/>
        <w:rPr>
          <w:rFonts w:hint="eastAsia" w:ascii="Times New Roman" w:hAnsi="Times New Roman" w:eastAsia="宋体"/>
          <w:color w:val="auto"/>
          <w:sz w:val="24"/>
          <w:lang w:val="en-US" w:eastAsia="zh-CN"/>
        </w:rPr>
      </w:pPr>
      <w:r>
        <w:rPr>
          <w:rFonts w:hint="eastAsia" w:ascii="Times New Roman" w:hAnsi="Times New Roman" w:eastAsia="宋体"/>
          <w:color w:val="auto"/>
          <w:sz w:val="24"/>
        </w:rPr>
        <w:t>本项目实行种养结合、循环利用、生态环保、兼顾效益。利用主管道将</w:t>
      </w:r>
      <w:r>
        <w:rPr>
          <w:rFonts w:hint="eastAsia" w:ascii="Times New Roman" w:hAnsi="Times New Roman" w:eastAsia="宋体"/>
          <w:color w:val="auto"/>
          <w:sz w:val="24"/>
          <w:lang w:val="en-US" w:eastAsia="zh-CN"/>
        </w:rPr>
        <w:t>氧化塘（储蓄池）</w:t>
      </w:r>
      <w:r>
        <w:rPr>
          <w:rFonts w:hint="eastAsia" w:ascii="Times New Roman" w:hAnsi="Times New Roman" w:eastAsia="宋体"/>
          <w:color w:val="auto"/>
          <w:sz w:val="24"/>
        </w:rPr>
        <w:t>经过处理后的沼液</w:t>
      </w:r>
      <w:r>
        <w:rPr>
          <w:rFonts w:hint="eastAsia" w:ascii="Times New Roman" w:hAnsi="Times New Roman" w:eastAsia="宋体"/>
          <w:color w:val="auto"/>
          <w:sz w:val="24"/>
          <w:lang w:val="en-US" w:eastAsia="zh-CN"/>
        </w:rPr>
        <w:t>通过运输车辆转运至需要灌溉的田间，再通过粪污运输车辆自带的灌溉管进行灌溉</w:t>
      </w:r>
      <w:r>
        <w:rPr>
          <w:rFonts w:hint="eastAsia" w:ascii="Times New Roman" w:hAnsi="Times New Roman" w:eastAsia="宋体"/>
          <w:color w:val="auto"/>
          <w:sz w:val="24"/>
        </w:rPr>
        <w:t>，实现消纳地全覆盖。为确保沼液消纳</w:t>
      </w:r>
      <w:r>
        <w:rPr>
          <w:rFonts w:hint="eastAsia" w:ascii="Times New Roman" w:hAnsi="Times New Roman" w:eastAsia="宋体"/>
          <w:color w:val="auto"/>
          <w:sz w:val="24"/>
          <w:lang w:val="en-US" w:eastAsia="zh-CN"/>
        </w:rPr>
        <w:t>果园</w:t>
      </w:r>
      <w:r>
        <w:rPr>
          <w:rFonts w:hint="eastAsia" w:ascii="Times New Roman" w:hAnsi="Times New Roman" w:eastAsia="宋体"/>
          <w:color w:val="auto"/>
          <w:sz w:val="24"/>
        </w:rPr>
        <w:t>用肥需求有效衔接，避免出现沼液过剩无法存储或者种植物无肥可用情况，</w:t>
      </w:r>
      <w:r>
        <w:rPr>
          <w:rFonts w:hint="eastAsia" w:ascii="Times New Roman" w:hAnsi="Times New Roman" w:eastAsia="宋体"/>
          <w:color w:val="auto"/>
          <w:sz w:val="24"/>
          <w:lang w:val="en-US" w:eastAsia="zh-CN"/>
        </w:rPr>
        <w:t>本项目与</w:t>
      </w:r>
      <w:r>
        <w:rPr>
          <w:rFonts w:hint="eastAsia" w:ascii="Times New Roman" w:hAnsi="Times New Roman" w:eastAsia="宋体" w:cs="Times New Roman"/>
          <w:b w:val="0"/>
          <w:bCs/>
          <w:color w:val="auto"/>
          <w:sz w:val="24"/>
          <w:szCs w:val="24"/>
          <w:lang w:eastAsia="zh-CN"/>
        </w:rPr>
        <w:t>丹棱县兴农养殖服务专业合作社签订</w:t>
      </w:r>
      <w:r>
        <w:rPr>
          <w:rFonts w:hint="eastAsia" w:ascii="Times New Roman" w:hAnsi="Times New Roman" w:eastAsia="宋体" w:cs="Times New Roman"/>
          <w:b w:val="0"/>
          <w:bCs/>
          <w:color w:val="auto"/>
          <w:sz w:val="24"/>
          <w:szCs w:val="24"/>
          <w:lang w:val="en-US" w:eastAsia="zh-CN"/>
        </w:rPr>
        <w:t>猪场粪污消纳</w:t>
      </w:r>
      <w:r>
        <w:rPr>
          <w:rFonts w:hint="eastAsia" w:ascii="Times New Roman" w:hAnsi="Times New Roman" w:eastAsia="宋体" w:cs="Times New Roman"/>
          <w:b w:val="0"/>
          <w:bCs/>
          <w:color w:val="auto"/>
          <w:sz w:val="24"/>
          <w:szCs w:val="24"/>
          <w:lang w:eastAsia="zh-CN"/>
        </w:rPr>
        <w:t>服务合同</w:t>
      </w:r>
      <w:r>
        <w:rPr>
          <w:rFonts w:hint="eastAsia" w:ascii="Times New Roman" w:hAnsi="Times New Roman" w:eastAsia="宋体"/>
          <w:color w:val="auto"/>
          <w:sz w:val="24"/>
        </w:rPr>
        <w:t>，</w:t>
      </w:r>
      <w:r>
        <w:rPr>
          <w:rFonts w:hint="eastAsia" w:ascii="Times New Roman" w:hAnsi="Times New Roman" w:eastAsia="宋体"/>
          <w:color w:val="auto"/>
          <w:sz w:val="24"/>
          <w:lang w:val="en-US" w:eastAsia="zh-CN"/>
        </w:rPr>
        <w:t>由</w:t>
      </w:r>
      <w:r>
        <w:rPr>
          <w:rFonts w:hint="eastAsia" w:ascii="Times New Roman" w:hAnsi="Times New Roman" w:eastAsia="宋体" w:cs="Times New Roman"/>
          <w:b w:val="0"/>
          <w:bCs/>
          <w:color w:val="auto"/>
          <w:sz w:val="24"/>
          <w:szCs w:val="24"/>
          <w:lang w:eastAsia="zh-CN"/>
        </w:rPr>
        <w:t>丹棱县兴农养殖服务专业合作社</w:t>
      </w:r>
      <w:r>
        <w:rPr>
          <w:rFonts w:hint="eastAsia" w:ascii="Times New Roman" w:hAnsi="Times New Roman" w:eastAsia="宋体" w:cs="Times New Roman"/>
          <w:b w:val="0"/>
          <w:bCs/>
          <w:color w:val="auto"/>
          <w:sz w:val="24"/>
          <w:szCs w:val="24"/>
          <w:lang w:val="en-US" w:eastAsia="zh-CN"/>
        </w:rPr>
        <w:t>专门进行粪污运输工作，运输过程中产生的泄露等问题由</w:t>
      </w:r>
      <w:r>
        <w:rPr>
          <w:rFonts w:hint="eastAsia" w:ascii="Times New Roman" w:hAnsi="Times New Roman" w:eastAsia="宋体" w:cs="Times New Roman"/>
          <w:b w:val="0"/>
          <w:bCs/>
          <w:color w:val="auto"/>
          <w:sz w:val="24"/>
          <w:szCs w:val="24"/>
          <w:lang w:eastAsia="zh-CN"/>
        </w:rPr>
        <w:t>丹棱县兴农养殖服务专业合作社</w:t>
      </w:r>
      <w:r>
        <w:rPr>
          <w:rFonts w:hint="eastAsia" w:ascii="Times New Roman" w:hAnsi="Times New Roman" w:eastAsia="宋体" w:cs="Times New Roman"/>
          <w:b w:val="0"/>
          <w:bCs/>
          <w:color w:val="auto"/>
          <w:sz w:val="24"/>
          <w:szCs w:val="24"/>
          <w:lang w:val="en-US" w:eastAsia="zh-CN"/>
        </w:rPr>
        <w:t>负责</w:t>
      </w:r>
      <w:r>
        <w:rPr>
          <w:rFonts w:hint="eastAsia" w:ascii="Times New Roman" w:hAnsi="Times New Roman" w:eastAsia="宋体"/>
          <w:color w:val="auto"/>
          <w:sz w:val="24"/>
          <w:lang w:val="en-US" w:eastAsia="zh-CN"/>
        </w:rPr>
        <w:t>。</w:t>
      </w:r>
    </w:p>
    <w:p>
      <w:pPr>
        <w:pStyle w:val="86"/>
        <w:adjustRightInd w:val="0"/>
        <w:snapToGrid w:val="0"/>
        <w:spacing w:beforeLines="0" w:afterLines="0"/>
        <w:rPr>
          <w:rFonts w:hint="eastAsia" w:ascii="Times New Roman" w:hAnsi="Times New Roman" w:eastAsia="宋体"/>
          <w:color w:val="auto"/>
        </w:rPr>
      </w:pPr>
      <w:bookmarkStart w:id="341" w:name="_Toc6235"/>
      <w:r>
        <w:rPr>
          <w:rFonts w:hint="eastAsia" w:ascii="Times New Roman" w:hAnsi="Times New Roman" w:eastAsia="宋体"/>
          <w:color w:val="auto"/>
        </w:rPr>
        <w:t>8.2环境及污染源监测</w:t>
      </w:r>
      <w:bookmarkEnd w:id="332"/>
      <w:bookmarkEnd w:id="333"/>
      <w:bookmarkEnd w:id="334"/>
      <w:bookmarkEnd w:id="335"/>
      <w:bookmarkEnd w:id="336"/>
      <w:bookmarkEnd w:id="337"/>
      <w:bookmarkEnd w:id="338"/>
      <w:bookmarkEnd w:id="339"/>
      <w:bookmarkEnd w:id="340"/>
      <w:bookmarkEnd w:id="341"/>
    </w:p>
    <w:p>
      <w:pPr>
        <w:adjustRightInd w:val="0"/>
        <w:snapToGrid w:val="0"/>
        <w:spacing w:line="360" w:lineRule="auto"/>
        <w:outlineLvl w:val="2"/>
        <w:rPr>
          <w:rFonts w:hint="eastAsia" w:ascii="Times New Roman" w:hAnsi="Times New Roman" w:eastAsia="宋体"/>
          <w:b/>
          <w:color w:val="auto"/>
          <w:sz w:val="28"/>
          <w:szCs w:val="28"/>
        </w:rPr>
      </w:pPr>
      <w:bookmarkStart w:id="342" w:name="_Toc21379"/>
      <w:bookmarkStart w:id="343" w:name="_Toc374134078"/>
      <w:bookmarkStart w:id="344" w:name="_Toc502454036"/>
      <w:r>
        <w:rPr>
          <w:rFonts w:hint="eastAsia" w:ascii="Times New Roman" w:hAnsi="Times New Roman" w:eastAsia="宋体"/>
          <w:b/>
          <w:color w:val="auto"/>
          <w:sz w:val="28"/>
          <w:szCs w:val="28"/>
        </w:rPr>
        <w:t>8.2.1监测目的</w:t>
      </w:r>
      <w:bookmarkEnd w:id="342"/>
      <w:bookmarkEnd w:id="343"/>
      <w:bookmarkEnd w:id="344"/>
    </w:p>
    <w:p>
      <w:pPr>
        <w:snapToGrid w:val="0"/>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环境监测是环境保护的基础，是进行污染源治理及环保设施管理的依据，因而企业应定期对环保设施及废气、废水、噪声等污染源情况进行监测。</w:t>
      </w:r>
    </w:p>
    <w:p>
      <w:pPr>
        <w:snapToGrid w:val="0"/>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通过对工程运行中环保设施进行监控，掌握废气、废水、噪声等污染源排放是否符合国家或地方排放及工艺水质标准的要求，做到达标排放，同时对废气、废水、噪声防治设施进行监督检查，保证正常运行。</w:t>
      </w:r>
    </w:p>
    <w:p>
      <w:pPr>
        <w:adjustRightInd w:val="0"/>
        <w:snapToGrid w:val="0"/>
        <w:spacing w:line="360" w:lineRule="auto"/>
        <w:outlineLvl w:val="2"/>
        <w:rPr>
          <w:rFonts w:ascii="Times New Roman" w:hAnsi="Times New Roman" w:eastAsia="宋体"/>
          <w:b/>
          <w:color w:val="auto"/>
          <w:sz w:val="28"/>
          <w:szCs w:val="28"/>
        </w:rPr>
      </w:pPr>
      <w:bookmarkStart w:id="345" w:name="_Toc374134079"/>
      <w:bookmarkStart w:id="346" w:name="_Toc502454037"/>
      <w:bookmarkStart w:id="347" w:name="_Toc773"/>
      <w:r>
        <w:rPr>
          <w:rFonts w:hint="eastAsia" w:ascii="Times New Roman" w:hAnsi="Times New Roman" w:eastAsia="宋体"/>
          <w:b/>
          <w:color w:val="auto"/>
          <w:sz w:val="28"/>
          <w:szCs w:val="28"/>
        </w:rPr>
        <w:t>8</w:t>
      </w:r>
      <w:r>
        <w:rPr>
          <w:rFonts w:ascii="Times New Roman" w:hAnsi="Times New Roman" w:eastAsia="宋体"/>
          <w:b/>
          <w:color w:val="auto"/>
          <w:sz w:val="28"/>
          <w:szCs w:val="28"/>
        </w:rPr>
        <w:t>.2.2环境监测管理机构</w:t>
      </w:r>
      <w:bookmarkEnd w:id="345"/>
      <w:r>
        <w:rPr>
          <w:rFonts w:ascii="Times New Roman" w:hAnsi="Times New Roman" w:eastAsia="宋体"/>
          <w:b/>
          <w:color w:val="auto"/>
          <w:sz w:val="28"/>
          <w:szCs w:val="28"/>
        </w:rPr>
        <w:t>及设备配置</w:t>
      </w:r>
      <w:bookmarkEnd w:id="346"/>
      <w:bookmarkEnd w:id="347"/>
    </w:p>
    <w:p>
      <w:pPr>
        <w:snapToGrid w:val="0"/>
        <w:spacing w:line="360" w:lineRule="auto"/>
        <w:ind w:firstLine="480" w:firstLineChars="200"/>
        <w:rPr>
          <w:rFonts w:ascii="Times New Roman" w:hAnsi="Times New Roman" w:eastAsia="宋体"/>
          <w:color w:val="auto"/>
          <w:sz w:val="24"/>
        </w:rPr>
      </w:pPr>
      <w:bookmarkStart w:id="348" w:name="_Toc374134080"/>
      <w:r>
        <w:rPr>
          <w:rFonts w:ascii="Times New Roman" w:hAnsi="Times New Roman" w:eastAsia="宋体"/>
          <w:color w:val="auto"/>
          <w:sz w:val="24"/>
        </w:rPr>
        <w:t>环境监测是环境保护的基础，是进行污染治理和监督管理的依据。根据《全国环境监测管理条例》要求，本评价建议项目的环境监测工作委托当地有资质的环境监测机构承担。</w:t>
      </w:r>
    </w:p>
    <w:p>
      <w:pPr>
        <w:adjustRightInd w:val="0"/>
        <w:snapToGrid w:val="0"/>
        <w:spacing w:line="360" w:lineRule="auto"/>
        <w:outlineLvl w:val="2"/>
        <w:rPr>
          <w:rFonts w:ascii="Times New Roman" w:hAnsi="Times New Roman" w:eastAsia="宋体"/>
          <w:b/>
          <w:color w:val="auto"/>
          <w:sz w:val="28"/>
          <w:szCs w:val="28"/>
        </w:rPr>
      </w:pPr>
      <w:bookmarkStart w:id="349" w:name="_Toc4377"/>
      <w:bookmarkStart w:id="350" w:name="_Toc502454038"/>
      <w:r>
        <w:rPr>
          <w:rFonts w:hint="eastAsia" w:ascii="Times New Roman" w:hAnsi="Times New Roman" w:eastAsia="宋体"/>
          <w:b/>
          <w:color w:val="auto"/>
          <w:sz w:val="28"/>
          <w:szCs w:val="28"/>
        </w:rPr>
        <w:t>8.2.3环境监测计划</w:t>
      </w:r>
      <w:bookmarkEnd w:id="349"/>
      <w:bookmarkEnd w:id="350"/>
    </w:p>
    <w:p>
      <w:pPr>
        <w:pStyle w:val="16"/>
        <w:adjustRightInd w:val="0"/>
        <w:snapToGrid w:val="0"/>
        <w:spacing w:line="360" w:lineRule="auto"/>
        <w:ind w:right="0"/>
        <w:jc w:val="both"/>
        <w:outlineLvl w:val="3"/>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8.2.3.1施工期环境监测</w:t>
      </w:r>
    </w:p>
    <w:p>
      <w:pPr>
        <w:snapToGrid w:val="0"/>
        <w:spacing w:line="360" w:lineRule="auto"/>
        <w:ind w:firstLine="480" w:firstLineChars="200"/>
        <w:rPr>
          <w:rFonts w:ascii="Times New Roman" w:hAnsi="Times New Roman" w:eastAsia="宋体"/>
          <w:color w:val="auto"/>
          <w:sz w:val="24"/>
        </w:rPr>
      </w:pPr>
      <w:r>
        <w:rPr>
          <w:rFonts w:hint="eastAsia" w:ascii="Times New Roman" w:hAnsi="Times New Roman" w:eastAsia="宋体"/>
          <w:color w:val="auto"/>
          <w:sz w:val="24"/>
        </w:rPr>
        <w:t>施工期主要关注施工噪声和施工扬尘对环境的影响。施工期的噪声监测主要是对施工场界噪声排放和周边敏感目标声环境质量的达标情况进行监控性监测。施工期的大气监测主要是对周边敏感目标环境空气质量 TSP 因子的达标情况进行监控性监测。施工期环境监测的点位、项目、时间、频次应根据施工现场的实际情况，由环境保护主管部门确定。</w:t>
      </w:r>
    </w:p>
    <w:p>
      <w:pPr>
        <w:pStyle w:val="16"/>
        <w:adjustRightInd w:val="0"/>
        <w:snapToGrid w:val="0"/>
        <w:spacing w:line="360" w:lineRule="auto"/>
        <w:ind w:right="0"/>
        <w:jc w:val="both"/>
        <w:outlineLvl w:val="3"/>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8.2.3.2运营期环境监测</w:t>
      </w:r>
    </w:p>
    <w:p>
      <w:pPr>
        <w:snapToGrid w:val="0"/>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企业应按照有关法律和《环境监测管理办法》等规定，建立企业监测制度，制定监测方案，配备必要的监测设备和仪器，对污染物排放状况及其对周边环境质量的影响开展自行监测。对于企业不能监测的项目，也必须定期委托有资质的环境监测部门或机构进行监测。</w:t>
      </w:r>
      <w:r>
        <w:rPr>
          <w:rFonts w:hint="eastAsia" w:ascii="Times New Roman" w:hAnsi="Times New Roman" w:eastAsia="宋体"/>
          <w:color w:val="auto"/>
          <w:sz w:val="24"/>
        </w:rPr>
        <w:t>并随时根据监测结果调整环保设施至最佳运行状态。</w:t>
      </w:r>
    </w:p>
    <w:p>
      <w:pPr>
        <w:snapToGrid w:val="0"/>
        <w:spacing w:line="360" w:lineRule="auto"/>
        <w:ind w:firstLine="480" w:firstLineChars="200"/>
        <w:rPr>
          <w:rFonts w:hint="eastAsia" w:ascii="Times New Roman" w:hAnsi="Times New Roman" w:eastAsia="宋体"/>
          <w:color w:val="auto"/>
          <w:sz w:val="24"/>
          <w:lang w:eastAsia="zh-CN"/>
        </w:rPr>
      </w:pPr>
      <w:r>
        <w:rPr>
          <w:rFonts w:hint="eastAsia" w:ascii="Times New Roman" w:hAnsi="Times New Roman" w:eastAsia="宋体"/>
          <w:color w:val="auto"/>
          <w:sz w:val="24"/>
          <w:lang w:eastAsia="zh-CN"/>
        </w:rPr>
        <w:t>根据《排污许可证申请与核发技术规范</w:t>
      </w:r>
      <w:r>
        <w:rPr>
          <w:rFonts w:hint="eastAsia" w:ascii="Times New Roman" w:hAnsi="Times New Roman" w:eastAsia="宋体"/>
          <w:color w:val="auto"/>
          <w:sz w:val="24"/>
          <w:lang w:val="en-US" w:eastAsia="zh-CN"/>
        </w:rPr>
        <w:t xml:space="preserve">  畜禽养殖行业</w:t>
      </w:r>
      <w:r>
        <w:rPr>
          <w:rFonts w:hint="eastAsia" w:ascii="Times New Roman" w:hAnsi="Times New Roman" w:eastAsia="宋体"/>
          <w:color w:val="auto"/>
          <w:sz w:val="24"/>
          <w:lang w:eastAsia="zh-CN"/>
        </w:rPr>
        <w:t>》（</w:t>
      </w:r>
      <w:r>
        <w:rPr>
          <w:rFonts w:hint="eastAsia" w:ascii="Times New Roman" w:hAnsi="Times New Roman" w:eastAsia="宋体"/>
          <w:color w:val="auto"/>
          <w:sz w:val="24"/>
          <w:lang w:val="en-US" w:eastAsia="zh-CN"/>
        </w:rPr>
        <w:t>HJ 1029-2019</w:t>
      </w:r>
      <w:r>
        <w:rPr>
          <w:rFonts w:hint="eastAsia" w:ascii="Times New Roman" w:hAnsi="Times New Roman" w:eastAsia="宋体"/>
          <w:color w:val="auto"/>
          <w:sz w:val="24"/>
          <w:lang w:eastAsia="zh-CN"/>
        </w:rPr>
        <w:t>），并结合《畜禽养殖业污染物排放标准》（</w:t>
      </w:r>
      <w:r>
        <w:rPr>
          <w:rFonts w:hint="eastAsia" w:ascii="Times New Roman" w:hAnsi="Times New Roman" w:eastAsia="宋体"/>
          <w:color w:val="auto"/>
          <w:sz w:val="24"/>
          <w:lang w:val="en-US" w:eastAsia="zh-CN"/>
        </w:rPr>
        <w:t>GB18596-2001</w:t>
      </w:r>
      <w:r>
        <w:rPr>
          <w:rFonts w:hint="eastAsia" w:ascii="Times New Roman" w:hAnsi="Times New Roman" w:eastAsia="宋体"/>
          <w:color w:val="auto"/>
          <w:sz w:val="24"/>
          <w:lang w:eastAsia="zh-CN"/>
        </w:rPr>
        <w:t>），确定监测内容及监测频率等。</w:t>
      </w:r>
      <w:r>
        <w:rPr>
          <w:rFonts w:ascii="Times New Roman" w:hAnsi="Times New Roman" w:eastAsia="宋体"/>
          <w:color w:val="auto"/>
          <w:sz w:val="24"/>
        </w:rPr>
        <w:t>项目投入运行后各污染源监测因子及监测频率情况见</w:t>
      </w:r>
      <w:r>
        <w:rPr>
          <w:rFonts w:hint="eastAsia" w:ascii="Times New Roman" w:hAnsi="Times New Roman" w:eastAsia="宋体"/>
          <w:color w:val="auto"/>
          <w:sz w:val="24"/>
          <w:lang w:val="en-US" w:eastAsia="zh-CN"/>
        </w:rPr>
        <w:t>下</w:t>
      </w:r>
      <w:r>
        <w:rPr>
          <w:rFonts w:ascii="Times New Roman" w:hAnsi="Times New Roman" w:eastAsia="宋体"/>
          <w:color w:val="auto"/>
          <w:sz w:val="24"/>
        </w:rPr>
        <w:t>表</w:t>
      </w:r>
      <w:bookmarkEnd w:id="348"/>
      <w:r>
        <w:rPr>
          <w:rFonts w:hint="eastAsia" w:ascii="Times New Roman" w:hAnsi="Times New Roman" w:eastAsia="宋体"/>
          <w:color w:val="auto"/>
          <w:sz w:val="24"/>
          <w:lang w:eastAsia="zh-CN"/>
        </w:rPr>
        <w:t>：</w:t>
      </w:r>
    </w:p>
    <w:p>
      <w:pPr>
        <w:snapToGrid w:val="0"/>
        <w:jc w:val="center"/>
        <w:rPr>
          <w:rFonts w:ascii="Times New Roman" w:hAnsi="Times New Roman" w:eastAsia="宋体"/>
          <w:b/>
          <w:color w:val="auto"/>
          <w:sz w:val="21"/>
          <w:szCs w:val="21"/>
        </w:rPr>
      </w:pPr>
      <w:r>
        <w:rPr>
          <w:rFonts w:ascii="Times New Roman" w:hAnsi="Times New Roman" w:eastAsia="宋体"/>
          <w:b/>
          <w:color w:val="auto"/>
          <w:sz w:val="21"/>
          <w:szCs w:val="21"/>
        </w:rPr>
        <w:t>表</w:t>
      </w:r>
      <w:r>
        <w:rPr>
          <w:rFonts w:hint="eastAsia" w:ascii="Times New Roman" w:hAnsi="Times New Roman" w:eastAsia="宋体"/>
          <w:b/>
          <w:color w:val="auto"/>
          <w:sz w:val="21"/>
          <w:szCs w:val="21"/>
        </w:rPr>
        <w:t>8</w:t>
      </w:r>
      <w:r>
        <w:rPr>
          <w:rFonts w:ascii="Times New Roman" w:hAnsi="Times New Roman" w:eastAsia="宋体"/>
          <w:b/>
          <w:color w:val="auto"/>
          <w:sz w:val="21"/>
          <w:szCs w:val="21"/>
        </w:rPr>
        <w:t>.2-1  环境监测计划</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6"/>
        <w:gridCol w:w="2648"/>
        <w:gridCol w:w="2219"/>
        <w:gridCol w:w="1257"/>
        <w:gridCol w:w="2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6" w:type="dxa"/>
            <w:vAlign w:val="center"/>
          </w:tcPr>
          <w:p>
            <w:pPr>
              <w:adjustRightInd w:val="0"/>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项目</w:t>
            </w:r>
          </w:p>
        </w:tc>
        <w:tc>
          <w:tcPr>
            <w:tcW w:w="2648" w:type="dxa"/>
            <w:vAlign w:val="center"/>
          </w:tcPr>
          <w:p>
            <w:pPr>
              <w:adjustRightInd w:val="0"/>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监测点位</w:t>
            </w:r>
          </w:p>
        </w:tc>
        <w:tc>
          <w:tcPr>
            <w:tcW w:w="2219" w:type="dxa"/>
            <w:vAlign w:val="center"/>
          </w:tcPr>
          <w:p>
            <w:pPr>
              <w:adjustRightInd w:val="0"/>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 xml:space="preserve">监测指标 </w:t>
            </w:r>
          </w:p>
        </w:tc>
        <w:tc>
          <w:tcPr>
            <w:tcW w:w="1257" w:type="dxa"/>
            <w:vAlign w:val="center"/>
          </w:tcPr>
          <w:p>
            <w:pPr>
              <w:adjustRightInd w:val="0"/>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 xml:space="preserve">监测频次 </w:t>
            </w:r>
          </w:p>
        </w:tc>
        <w:tc>
          <w:tcPr>
            <w:tcW w:w="2130" w:type="dxa"/>
            <w:vAlign w:val="center"/>
          </w:tcPr>
          <w:p>
            <w:pPr>
              <w:adjustRightInd w:val="0"/>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6" w:type="dxa"/>
            <w:vAlign w:val="center"/>
          </w:tcPr>
          <w:p>
            <w:pPr>
              <w:adjustRightInd w:val="0"/>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噪声</w:t>
            </w:r>
          </w:p>
        </w:tc>
        <w:tc>
          <w:tcPr>
            <w:tcW w:w="2648" w:type="dxa"/>
            <w:vAlign w:val="center"/>
          </w:tcPr>
          <w:p>
            <w:pPr>
              <w:adjustRightInd w:val="0"/>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边界外 1m 设 4 个监测点</w:t>
            </w:r>
          </w:p>
        </w:tc>
        <w:tc>
          <w:tcPr>
            <w:tcW w:w="2219" w:type="dxa"/>
            <w:vAlign w:val="center"/>
          </w:tcPr>
          <w:p>
            <w:pPr>
              <w:adjustRightInd w:val="0"/>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 xml:space="preserve">场界噪声的的等效连续 A 声级 </w:t>
            </w:r>
          </w:p>
        </w:tc>
        <w:tc>
          <w:tcPr>
            <w:tcW w:w="1257" w:type="dxa"/>
            <w:vAlign w:val="center"/>
          </w:tcPr>
          <w:p>
            <w:pPr>
              <w:adjustRightInd w:val="0"/>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每年 1 次</w:t>
            </w:r>
          </w:p>
        </w:tc>
        <w:tc>
          <w:tcPr>
            <w:tcW w:w="2130" w:type="dxa"/>
            <w:vAlign w:val="center"/>
          </w:tcPr>
          <w:p>
            <w:pPr>
              <w:adjustRightInd w:val="0"/>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《工业企业厂界噪声排放标准》（GB12348-2008）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966" w:type="dxa"/>
            <w:vMerge w:val="restart"/>
            <w:vAlign w:val="center"/>
          </w:tcPr>
          <w:p>
            <w:pPr>
              <w:adjustRightInd w:val="0"/>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废气</w:t>
            </w:r>
          </w:p>
        </w:tc>
        <w:tc>
          <w:tcPr>
            <w:tcW w:w="2648" w:type="dxa"/>
            <w:vAlign w:val="center"/>
          </w:tcPr>
          <w:p>
            <w:pPr>
              <w:adjustRightInd w:val="0"/>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厂界</w:t>
            </w:r>
          </w:p>
        </w:tc>
        <w:tc>
          <w:tcPr>
            <w:tcW w:w="2219" w:type="dxa"/>
            <w:vMerge w:val="restart"/>
            <w:vAlign w:val="center"/>
          </w:tcPr>
          <w:p>
            <w:pPr>
              <w:adjustRightInd w:val="0"/>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恶臭（臭气浓度、</w:t>
            </w:r>
          </w:p>
          <w:p>
            <w:pPr>
              <w:adjustRightInd w:val="0"/>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 xml:space="preserve">氨、硫化氢） </w:t>
            </w:r>
          </w:p>
        </w:tc>
        <w:tc>
          <w:tcPr>
            <w:tcW w:w="1257" w:type="dxa"/>
            <w:vMerge w:val="restart"/>
            <w:vAlign w:val="center"/>
          </w:tcPr>
          <w:p>
            <w:pPr>
              <w:adjustRightInd w:val="0"/>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每年 1 次</w:t>
            </w:r>
          </w:p>
        </w:tc>
        <w:tc>
          <w:tcPr>
            <w:tcW w:w="2130" w:type="dxa"/>
            <w:vMerge w:val="restart"/>
            <w:vAlign w:val="center"/>
          </w:tcPr>
          <w:p>
            <w:pPr>
              <w:adjustRightInd w:val="0"/>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《恶臭污染物排放标准》（GB14554-93）、《畜禽养殖业污染物排放标准》（</w:t>
            </w:r>
            <w:r>
              <w:rPr>
                <w:rFonts w:hint="eastAsia" w:ascii="Times New Roman" w:hAnsi="Times New Roman" w:eastAsia="宋体"/>
                <w:color w:val="auto"/>
                <w:szCs w:val="21"/>
                <w:lang w:val="en-US" w:eastAsia="zh-CN"/>
              </w:rPr>
              <w:t>GB18596-2001</w:t>
            </w:r>
            <w:r>
              <w:rPr>
                <w:rFonts w:hint="eastAsia" w:ascii="Times New Roman" w:hAnsi="Times New Roman" w:eastAsia="宋体"/>
                <w:color w:val="auto"/>
                <w:szCs w:val="21"/>
                <w:lang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6" w:type="dxa"/>
            <w:vMerge w:val="continue"/>
            <w:vAlign w:val="center"/>
          </w:tcPr>
          <w:p>
            <w:pPr>
              <w:adjustRightInd w:val="0"/>
              <w:snapToGrid w:val="0"/>
              <w:jc w:val="center"/>
              <w:rPr>
                <w:rFonts w:hint="eastAsia" w:ascii="Times New Roman" w:hAnsi="Times New Roman" w:eastAsia="宋体"/>
                <w:color w:val="auto"/>
                <w:szCs w:val="21"/>
                <w:lang w:eastAsia="zh-CN"/>
              </w:rPr>
            </w:pPr>
          </w:p>
        </w:tc>
        <w:tc>
          <w:tcPr>
            <w:tcW w:w="2648" w:type="dxa"/>
            <w:vAlign w:val="center"/>
          </w:tcPr>
          <w:p>
            <w:pPr>
              <w:adjustRightInd w:val="0"/>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排气筒</w:t>
            </w:r>
          </w:p>
        </w:tc>
        <w:tc>
          <w:tcPr>
            <w:tcW w:w="2219" w:type="dxa"/>
            <w:vMerge w:val="continue"/>
            <w:vAlign w:val="center"/>
          </w:tcPr>
          <w:p>
            <w:pPr>
              <w:adjustRightInd w:val="0"/>
              <w:snapToGrid w:val="0"/>
              <w:jc w:val="center"/>
              <w:rPr>
                <w:rFonts w:hint="eastAsia" w:ascii="Times New Roman" w:hAnsi="Times New Roman" w:eastAsia="宋体"/>
                <w:color w:val="auto"/>
                <w:szCs w:val="21"/>
                <w:lang w:eastAsia="zh-CN"/>
              </w:rPr>
            </w:pPr>
          </w:p>
        </w:tc>
        <w:tc>
          <w:tcPr>
            <w:tcW w:w="1257" w:type="dxa"/>
            <w:vMerge w:val="continue"/>
            <w:vAlign w:val="center"/>
          </w:tcPr>
          <w:p>
            <w:pPr>
              <w:adjustRightInd w:val="0"/>
              <w:snapToGrid w:val="0"/>
              <w:jc w:val="center"/>
              <w:rPr>
                <w:rFonts w:hint="eastAsia" w:ascii="Times New Roman" w:hAnsi="Times New Roman" w:eastAsia="宋体"/>
                <w:color w:val="auto"/>
                <w:szCs w:val="21"/>
                <w:lang w:eastAsia="zh-CN"/>
              </w:rPr>
            </w:pPr>
          </w:p>
        </w:tc>
        <w:tc>
          <w:tcPr>
            <w:tcW w:w="2130" w:type="dxa"/>
            <w:vMerge w:val="continue"/>
            <w:vAlign w:val="center"/>
          </w:tcPr>
          <w:p>
            <w:pPr>
              <w:adjustRightInd w:val="0"/>
              <w:snapToGrid w:val="0"/>
              <w:jc w:val="center"/>
              <w:rPr>
                <w:rFonts w:hint="eastAsia" w:ascii="Times New Roman" w:hAnsi="Times New Roman" w:eastAsia="宋体"/>
                <w:color w:val="auto"/>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6" w:type="dxa"/>
            <w:vAlign w:val="center"/>
          </w:tcPr>
          <w:p>
            <w:pPr>
              <w:adjustRightInd w:val="0"/>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地表水</w:t>
            </w:r>
          </w:p>
        </w:tc>
        <w:tc>
          <w:tcPr>
            <w:tcW w:w="2648" w:type="dxa"/>
            <w:vAlign w:val="center"/>
          </w:tcPr>
          <w:p>
            <w:pPr>
              <w:adjustRightInd w:val="0"/>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灌溉用水排口</w:t>
            </w:r>
          </w:p>
        </w:tc>
        <w:tc>
          <w:tcPr>
            <w:tcW w:w="2219" w:type="dxa"/>
            <w:vAlign w:val="center"/>
          </w:tcPr>
          <w:p>
            <w:pPr>
              <w:adjustRightInd w:val="0"/>
              <w:snapToGrid w:val="0"/>
              <w:jc w:val="center"/>
              <w:rPr>
                <w:rFonts w:hint="default" w:ascii="Times New Roman" w:hAnsi="Times New Roman" w:eastAsia="宋体"/>
                <w:color w:val="auto"/>
                <w:szCs w:val="21"/>
                <w:vertAlign w:val="baseline"/>
                <w:lang w:val="en-US" w:eastAsia="zh-CN"/>
              </w:rPr>
            </w:pPr>
            <w:r>
              <w:rPr>
                <w:rFonts w:hint="eastAsia" w:ascii="Times New Roman" w:hAnsi="Times New Roman" w:eastAsia="宋体"/>
                <w:color w:val="auto"/>
                <w:szCs w:val="21"/>
                <w:lang w:val="en-US" w:eastAsia="zh-CN"/>
              </w:rPr>
              <w:t>COD、BOD</w:t>
            </w:r>
            <w:r>
              <w:rPr>
                <w:rFonts w:hint="eastAsia" w:ascii="Times New Roman" w:hAnsi="Times New Roman" w:eastAsia="宋体"/>
                <w:color w:val="auto"/>
                <w:szCs w:val="21"/>
                <w:vertAlign w:val="subscript"/>
                <w:lang w:val="en-US" w:eastAsia="zh-CN"/>
              </w:rPr>
              <w:t>5</w:t>
            </w:r>
            <w:r>
              <w:rPr>
                <w:rFonts w:hint="eastAsia" w:ascii="Times New Roman" w:hAnsi="Times New Roman" w:eastAsia="宋体"/>
                <w:color w:val="auto"/>
                <w:szCs w:val="21"/>
                <w:vertAlign w:val="baseline"/>
                <w:lang w:val="en-US" w:eastAsia="zh-CN"/>
              </w:rPr>
              <w:t>、SS、粪大肠菌群、蛔虫卵数、氨氮、总磷、总氮</w:t>
            </w:r>
          </w:p>
        </w:tc>
        <w:tc>
          <w:tcPr>
            <w:tcW w:w="1257" w:type="dxa"/>
            <w:vAlign w:val="center"/>
          </w:tcPr>
          <w:p>
            <w:pPr>
              <w:adjustRightInd w:val="0"/>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每年 1 次</w:t>
            </w:r>
          </w:p>
        </w:tc>
        <w:tc>
          <w:tcPr>
            <w:tcW w:w="2130" w:type="dxa"/>
            <w:vAlign w:val="center"/>
          </w:tcPr>
          <w:p>
            <w:pPr>
              <w:adjustRightInd w:val="0"/>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《农田灌溉水质标准》（GB5084-2021）</w:t>
            </w:r>
          </w:p>
        </w:tc>
      </w:tr>
    </w:tbl>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除了进行以上常规监测外，还应对企业环保处理设施运行情况要严格监视，及时监测，当发现环保处理设施发生故障或运行不正常时，应及时向上级管理部门报告，并必须即时进行应急取样监测，分析污染物排放量，对事故发生的原因、事故造成的后果和损失等进行调查统计，并建档上报。必要时应提出暂时停产措施，直至环保设施恢复正常运转，坚决杜绝事故性排放。</w:t>
      </w:r>
    </w:p>
    <w:p>
      <w:pPr>
        <w:adjustRightInd w:val="0"/>
        <w:snapToGrid w:val="0"/>
        <w:spacing w:line="360" w:lineRule="auto"/>
        <w:outlineLvl w:val="2"/>
        <w:rPr>
          <w:rFonts w:hint="eastAsia" w:ascii="Times New Roman" w:hAnsi="Times New Roman" w:eastAsia="宋体"/>
          <w:b/>
          <w:color w:val="auto"/>
          <w:sz w:val="28"/>
          <w:szCs w:val="28"/>
        </w:rPr>
      </w:pPr>
      <w:bookmarkStart w:id="351" w:name="_Toc502454039"/>
      <w:bookmarkStart w:id="352" w:name="_Toc27648"/>
      <w:r>
        <w:rPr>
          <w:rFonts w:hint="eastAsia" w:ascii="Times New Roman" w:hAnsi="Times New Roman" w:eastAsia="宋体"/>
          <w:b/>
          <w:color w:val="auto"/>
          <w:sz w:val="28"/>
          <w:szCs w:val="28"/>
        </w:rPr>
        <w:t>8.2.4环境监测方法</w:t>
      </w:r>
      <w:bookmarkEnd w:id="351"/>
      <w:bookmarkEnd w:id="352"/>
    </w:p>
    <w:p>
      <w:pPr>
        <w:snapToGrid w:val="0"/>
        <w:spacing w:line="360" w:lineRule="auto"/>
        <w:ind w:firstLine="480" w:firstLineChars="200"/>
        <w:rPr>
          <w:rFonts w:ascii="Times New Roman" w:hAnsi="Times New Roman" w:eastAsia="宋体"/>
          <w:color w:val="auto"/>
          <w:sz w:val="24"/>
        </w:rPr>
      </w:pPr>
      <w:r>
        <w:rPr>
          <w:rFonts w:hint="eastAsia" w:ascii="Times New Roman" w:hAnsi="Times New Roman" w:eastAsia="宋体"/>
          <w:color w:val="auto"/>
          <w:sz w:val="24"/>
          <w:lang w:eastAsia="zh-CN"/>
        </w:rPr>
        <w:t>畜禽养殖业污染物排放监测方法按照《畜禽养殖业污染物排放标准》（</w:t>
      </w:r>
      <w:r>
        <w:rPr>
          <w:rFonts w:hint="eastAsia" w:ascii="Times New Roman" w:hAnsi="Times New Roman" w:eastAsia="宋体"/>
          <w:color w:val="auto"/>
          <w:sz w:val="24"/>
          <w:lang w:val="en-US" w:eastAsia="zh-CN"/>
        </w:rPr>
        <w:t>GB18596-2001</w:t>
      </w:r>
      <w:r>
        <w:rPr>
          <w:rFonts w:hint="eastAsia" w:ascii="Times New Roman" w:hAnsi="Times New Roman" w:eastAsia="宋体"/>
          <w:color w:val="auto"/>
          <w:sz w:val="24"/>
          <w:lang w:eastAsia="zh-CN"/>
        </w:rPr>
        <w:t>）中表</w:t>
      </w:r>
      <w:r>
        <w:rPr>
          <w:rFonts w:hint="eastAsia" w:ascii="Times New Roman" w:hAnsi="Times New Roman" w:eastAsia="宋体"/>
          <w:color w:val="auto"/>
          <w:sz w:val="24"/>
          <w:lang w:val="en-US" w:eastAsia="zh-CN"/>
        </w:rPr>
        <w:t>8执行</w:t>
      </w:r>
      <w:r>
        <w:rPr>
          <w:rFonts w:hint="eastAsia" w:ascii="Times New Roman" w:hAnsi="Times New Roman" w:eastAsia="宋体"/>
          <w:color w:val="auto"/>
          <w:sz w:val="24"/>
          <w:lang w:eastAsia="zh-CN"/>
        </w:rPr>
        <w:t>。</w:t>
      </w:r>
      <w:r>
        <w:rPr>
          <w:rFonts w:ascii="Times New Roman" w:hAnsi="Times New Roman" w:eastAsia="宋体"/>
          <w:color w:val="auto"/>
          <w:sz w:val="24"/>
        </w:rPr>
        <w:t>噪声</w:t>
      </w:r>
      <w:r>
        <w:rPr>
          <w:rFonts w:hint="eastAsia" w:ascii="Times New Roman" w:hAnsi="Times New Roman" w:eastAsia="宋体"/>
          <w:color w:val="auto"/>
          <w:sz w:val="24"/>
          <w:lang w:eastAsia="zh-CN"/>
        </w:rPr>
        <w:t>监测监测方案按照</w:t>
      </w:r>
      <w:r>
        <w:rPr>
          <w:rFonts w:ascii="Times New Roman" w:hAnsi="Times New Roman" w:eastAsia="宋体"/>
          <w:color w:val="auto"/>
          <w:sz w:val="24"/>
        </w:rPr>
        <w:t>国家有关标准中推荐方法进行。</w:t>
      </w:r>
      <w:r>
        <w:drawing>
          <wp:inline distT="0" distB="0" distL="114300" distR="114300">
            <wp:extent cx="5714365" cy="2425700"/>
            <wp:effectExtent l="0" t="0" r="635" b="12700"/>
            <wp:docPr id="45"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21"/>
                    <pic:cNvPicPr>
                      <a:picLocks noChangeAspect="1"/>
                    </pic:cNvPicPr>
                  </pic:nvPicPr>
                  <pic:blipFill>
                    <a:blip r:embed="rId79"/>
                    <a:stretch>
                      <a:fillRect/>
                    </a:stretch>
                  </pic:blipFill>
                  <pic:spPr>
                    <a:xfrm>
                      <a:off x="0" y="0"/>
                      <a:ext cx="5714365" cy="2425700"/>
                    </a:xfrm>
                    <a:prstGeom prst="rect">
                      <a:avLst/>
                    </a:prstGeom>
                    <a:noFill/>
                    <a:ln>
                      <a:noFill/>
                    </a:ln>
                  </pic:spPr>
                </pic:pic>
              </a:graphicData>
            </a:graphic>
          </wp:inline>
        </w:drawing>
      </w:r>
    </w:p>
    <w:p>
      <w:pPr>
        <w:adjustRightInd w:val="0"/>
        <w:snapToGrid w:val="0"/>
        <w:spacing w:line="360" w:lineRule="auto"/>
        <w:outlineLvl w:val="2"/>
        <w:rPr>
          <w:rFonts w:hint="eastAsia" w:ascii="Times New Roman" w:hAnsi="Times New Roman" w:eastAsia="宋体"/>
          <w:b/>
          <w:color w:val="auto"/>
          <w:sz w:val="28"/>
          <w:szCs w:val="28"/>
          <w:highlight w:val="none"/>
        </w:rPr>
      </w:pPr>
      <w:bookmarkStart w:id="353" w:name="_Toc502454040"/>
      <w:bookmarkStart w:id="354" w:name="_Toc31510"/>
      <w:r>
        <w:rPr>
          <w:rFonts w:hint="eastAsia" w:ascii="Times New Roman" w:hAnsi="Times New Roman" w:eastAsia="宋体"/>
          <w:b/>
          <w:color w:val="auto"/>
          <w:sz w:val="28"/>
          <w:szCs w:val="28"/>
          <w:highlight w:val="none"/>
        </w:rPr>
        <w:t>8.2.5监测上报制度</w:t>
      </w:r>
      <w:bookmarkEnd w:id="353"/>
      <w:bookmarkEnd w:id="354"/>
    </w:p>
    <w:p>
      <w:pPr>
        <w:snapToGrid w:val="0"/>
        <w:spacing w:line="360" w:lineRule="auto"/>
        <w:ind w:firstLine="480" w:firstLineChars="200"/>
        <w:rPr>
          <w:rFonts w:hint="eastAsia" w:ascii="Times New Roman" w:hAnsi="Times New Roman" w:eastAsia="宋体"/>
          <w:color w:val="auto"/>
          <w:sz w:val="24"/>
          <w:highlight w:val="none"/>
        </w:rPr>
      </w:pPr>
      <w:r>
        <w:rPr>
          <w:rFonts w:ascii="Times New Roman" w:hAnsi="Times New Roman" w:eastAsia="宋体"/>
          <w:color w:val="auto"/>
          <w:sz w:val="24"/>
          <w:highlight w:val="none"/>
        </w:rPr>
        <w:t>（1）</w:t>
      </w:r>
      <w:r>
        <w:rPr>
          <w:rFonts w:hint="eastAsia" w:ascii="Times New Roman" w:hAnsi="Times New Roman" w:eastAsia="宋体"/>
          <w:color w:val="auto"/>
          <w:sz w:val="24"/>
          <w:highlight w:val="none"/>
        </w:rPr>
        <w:t>监测期间手工监测的记录和自动监测运维记录按照 HJ 819 执行。应同步记录监测期间的生产状况。</w:t>
      </w:r>
    </w:p>
    <w:p>
      <w:pPr>
        <w:snapToGrid w:val="0"/>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（2）</w:t>
      </w:r>
      <w:r>
        <w:rPr>
          <w:rFonts w:hint="eastAsia" w:ascii="Times New Roman" w:hAnsi="Times New Roman" w:eastAsia="宋体"/>
          <w:color w:val="auto"/>
          <w:sz w:val="24"/>
        </w:rPr>
        <w:t>按照 HJ 819、HJ/T 373 要求，畜禽养殖行业排污单位应当根据自行监测方案及开展状况，梳理全过程监测质控要求，建立自行监测质量保证与质量控制体系</w:t>
      </w:r>
      <w:r>
        <w:rPr>
          <w:rFonts w:ascii="Times New Roman" w:hAnsi="Times New Roman" w:eastAsia="宋体"/>
          <w:color w:val="auto"/>
          <w:sz w:val="24"/>
        </w:rPr>
        <w:t>。</w:t>
      </w:r>
    </w:p>
    <w:p>
      <w:pPr>
        <w:snapToGrid w:val="0"/>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（3）</w:t>
      </w:r>
      <w:r>
        <w:rPr>
          <w:rFonts w:hint="eastAsia" w:ascii="Times New Roman" w:hAnsi="Times New Roman" w:eastAsia="宋体"/>
          <w:color w:val="auto"/>
          <w:sz w:val="24"/>
        </w:rPr>
        <w:t>畜禽养殖行业排污单位应按照 HJ 819 要求进行自行监测信息公开</w:t>
      </w:r>
      <w:r>
        <w:rPr>
          <w:rFonts w:ascii="Times New Roman" w:hAnsi="Times New Roman" w:eastAsia="宋体"/>
          <w:color w:val="auto"/>
          <w:sz w:val="24"/>
        </w:rPr>
        <w:t>。</w:t>
      </w:r>
    </w:p>
    <w:p>
      <w:pPr>
        <w:pStyle w:val="86"/>
        <w:adjustRightInd w:val="0"/>
        <w:snapToGrid w:val="0"/>
        <w:spacing w:beforeLines="0" w:afterLines="0"/>
        <w:rPr>
          <w:rFonts w:hint="eastAsia" w:ascii="Times New Roman" w:hAnsi="Times New Roman" w:eastAsia="宋体"/>
          <w:color w:val="auto"/>
        </w:rPr>
      </w:pPr>
      <w:bookmarkStart w:id="355" w:name="_Toc25902"/>
      <w:bookmarkStart w:id="356" w:name="_Toc29243"/>
      <w:bookmarkStart w:id="357" w:name="_Toc502454047"/>
      <w:r>
        <w:rPr>
          <w:rFonts w:hint="eastAsia" w:ascii="Times New Roman" w:hAnsi="Times New Roman" w:eastAsia="宋体"/>
          <w:color w:val="auto"/>
        </w:rPr>
        <w:t>8.</w:t>
      </w:r>
      <w:bookmarkStart w:id="358" w:name="_Toc428264229"/>
      <w:bookmarkStart w:id="359" w:name="_Toc452024342"/>
      <w:bookmarkStart w:id="360" w:name="_Toc463540371"/>
      <w:bookmarkStart w:id="361" w:name="_Toc463543438"/>
      <w:bookmarkStart w:id="362" w:name="_Toc463540838"/>
      <w:bookmarkStart w:id="363" w:name="_Toc463543905"/>
      <w:r>
        <w:rPr>
          <w:rFonts w:hint="eastAsia" w:ascii="Times New Roman" w:hAnsi="Times New Roman" w:eastAsia="宋体"/>
          <w:color w:val="auto"/>
          <w:lang w:val="en-US" w:eastAsia="zh-CN"/>
        </w:rPr>
        <w:t>3</w:t>
      </w:r>
      <w:r>
        <w:rPr>
          <w:rFonts w:hint="eastAsia" w:ascii="Times New Roman" w:hAnsi="Times New Roman" w:eastAsia="宋体"/>
          <w:color w:val="auto"/>
        </w:rPr>
        <w:t>排污口规范化</w:t>
      </w:r>
      <w:bookmarkEnd w:id="355"/>
      <w:bookmarkEnd w:id="356"/>
      <w:bookmarkEnd w:id="357"/>
      <w:bookmarkEnd w:id="358"/>
      <w:bookmarkEnd w:id="359"/>
      <w:bookmarkEnd w:id="360"/>
      <w:bookmarkEnd w:id="361"/>
      <w:bookmarkEnd w:id="362"/>
      <w:bookmarkEnd w:id="363"/>
    </w:p>
    <w:p>
      <w:pPr>
        <w:pStyle w:val="101"/>
        <w:spacing w:line="360" w:lineRule="auto"/>
        <w:ind w:firstLine="480"/>
        <w:rPr>
          <w:rFonts w:hint="eastAsia" w:ascii="Times New Roman" w:hAnsi="Times New Roman" w:eastAsia="宋体"/>
          <w:color w:val="auto"/>
          <w:sz w:val="24"/>
          <w:szCs w:val="24"/>
        </w:rPr>
      </w:pPr>
      <w:r>
        <w:rPr>
          <w:rFonts w:hint="eastAsia" w:ascii="Times New Roman" w:hAnsi="Times New Roman" w:eastAsia="宋体"/>
          <w:color w:val="auto"/>
          <w:sz w:val="24"/>
          <w:szCs w:val="24"/>
        </w:rPr>
        <w:t>建设项目废气排放口、固体废物贮存（处置）场所规范化设置应符合《环境保护图形标志实施细则（试行）》（环监〔1996〕463 号文）有关规定。</w:t>
      </w:r>
    </w:p>
    <w:p>
      <w:pPr>
        <w:pStyle w:val="101"/>
        <w:spacing w:line="360" w:lineRule="auto"/>
        <w:ind w:firstLine="480"/>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废水排放口：本项目实行雨污分流制。雨水外排进入周边沟渠，</w:t>
      </w:r>
      <w:r>
        <w:rPr>
          <w:rFonts w:hint="eastAsia" w:ascii="Times New Roman" w:hAnsi="Times New Roman" w:eastAsia="宋体"/>
          <w:color w:val="auto"/>
          <w:sz w:val="24"/>
          <w:szCs w:val="24"/>
          <w:lang w:eastAsia="zh-CN"/>
        </w:rPr>
        <w:t>废水</w:t>
      </w:r>
      <w:r>
        <w:rPr>
          <w:rFonts w:hint="eastAsia" w:ascii="Times New Roman" w:hAnsi="Times New Roman" w:eastAsia="宋体"/>
          <w:color w:val="auto"/>
          <w:sz w:val="24"/>
          <w:szCs w:val="24"/>
        </w:rPr>
        <w:t>经</w:t>
      </w:r>
      <w:r>
        <w:rPr>
          <w:rFonts w:hint="eastAsia" w:ascii="Times New Roman" w:hAnsi="Times New Roman" w:eastAsia="宋体"/>
          <w:color w:val="auto"/>
          <w:sz w:val="24"/>
          <w:szCs w:val="24"/>
          <w:lang w:eastAsia="zh-CN"/>
        </w:rPr>
        <w:t>污水处理区处理后用作灌溉，</w:t>
      </w:r>
      <w:r>
        <w:rPr>
          <w:rFonts w:hint="eastAsia" w:ascii="Times New Roman" w:hAnsi="Times New Roman" w:eastAsia="宋体"/>
          <w:color w:val="auto"/>
          <w:sz w:val="24"/>
          <w:szCs w:val="24"/>
        </w:rPr>
        <w:t>废水不外排。</w:t>
      </w:r>
    </w:p>
    <w:p>
      <w:pPr>
        <w:pStyle w:val="101"/>
        <w:spacing w:line="360" w:lineRule="auto"/>
        <w:ind w:firstLine="480"/>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废气排放口：项目设置 1 个</w:t>
      </w:r>
      <w:r>
        <w:rPr>
          <w:rFonts w:hint="eastAsia" w:ascii="Times New Roman" w:hAnsi="Times New Roman" w:eastAsia="宋体" w:cs="Times New Roman"/>
          <w:b w:val="0"/>
          <w:bCs/>
          <w:color w:val="auto"/>
          <w:sz w:val="24"/>
          <w:szCs w:val="24"/>
          <w:lang w:eastAsia="zh-CN"/>
        </w:rPr>
        <w:t>喷淋洗涤吸收塔</w:t>
      </w:r>
      <w:r>
        <w:rPr>
          <w:rFonts w:hint="eastAsia" w:ascii="Times New Roman" w:hAnsi="Times New Roman" w:eastAsia="宋体"/>
          <w:color w:val="auto"/>
          <w:sz w:val="24"/>
          <w:szCs w:val="24"/>
        </w:rPr>
        <w:t>废气排放口，其余废气主要是无组织排放。</w:t>
      </w:r>
    </w:p>
    <w:p>
      <w:pPr>
        <w:pStyle w:val="101"/>
        <w:spacing w:line="360" w:lineRule="auto"/>
        <w:ind w:firstLine="480"/>
        <w:rPr>
          <w:rFonts w:ascii="Times New Roman" w:hAnsi="Times New Roman" w:eastAsia="宋体"/>
          <w:color w:val="auto"/>
          <w:sz w:val="24"/>
          <w:szCs w:val="24"/>
        </w:rPr>
      </w:pPr>
      <w:r>
        <w:rPr>
          <w:rFonts w:hint="eastAsia" w:ascii="Times New Roman" w:hAnsi="Times New Roman" w:eastAsia="宋体"/>
          <w:color w:val="auto"/>
          <w:sz w:val="24"/>
          <w:szCs w:val="24"/>
        </w:rPr>
        <w:t>（3）固体废弃物：各种固体废物处置设施和堆放场所必须有防火、防扬散、防流失、防渗漏或者其他防止污染环境的措施，贮存（堆放）处进出路口应设置标示牌。危险废物经厂内暂存后，定期交由有资质的的危险废物处置单位处置。图形标志见表 8</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p>
    <w:p>
      <w:pPr>
        <w:adjustRightInd w:val="0"/>
        <w:snapToGrid w:val="0"/>
        <w:jc w:val="center"/>
        <w:rPr>
          <w:rFonts w:hint="eastAsia" w:ascii="Times New Roman" w:hAnsi="Times New Roman" w:eastAsia="宋体"/>
          <w:b/>
          <w:color w:val="auto"/>
        </w:rPr>
      </w:pPr>
    </w:p>
    <w:p>
      <w:pPr>
        <w:adjustRightInd w:val="0"/>
        <w:snapToGrid w:val="0"/>
        <w:jc w:val="center"/>
        <w:rPr>
          <w:rFonts w:hint="eastAsia" w:ascii="Times New Roman" w:hAnsi="Times New Roman" w:eastAsia="宋体"/>
          <w:b/>
          <w:color w:val="auto"/>
        </w:rPr>
      </w:pPr>
    </w:p>
    <w:p>
      <w:pPr>
        <w:adjustRightInd w:val="0"/>
        <w:snapToGrid w:val="0"/>
        <w:jc w:val="center"/>
        <w:rPr>
          <w:rFonts w:hint="eastAsia" w:ascii="Times New Roman" w:hAnsi="Times New Roman" w:eastAsia="宋体"/>
          <w:b/>
          <w:color w:val="auto"/>
        </w:rPr>
      </w:pPr>
    </w:p>
    <w:p>
      <w:pPr>
        <w:adjustRightInd w:val="0"/>
        <w:snapToGrid w:val="0"/>
        <w:jc w:val="center"/>
        <w:rPr>
          <w:rFonts w:hint="eastAsia" w:ascii="Times New Roman" w:hAnsi="Times New Roman" w:eastAsia="宋体"/>
          <w:b/>
          <w:color w:val="auto"/>
        </w:rPr>
      </w:pPr>
    </w:p>
    <w:p>
      <w:pPr>
        <w:adjustRightInd w:val="0"/>
        <w:snapToGrid w:val="0"/>
        <w:jc w:val="center"/>
        <w:rPr>
          <w:rFonts w:hint="eastAsia" w:ascii="Times New Roman" w:hAnsi="Times New Roman" w:eastAsia="宋体"/>
          <w:b/>
          <w:color w:val="auto"/>
        </w:rPr>
      </w:pPr>
    </w:p>
    <w:p>
      <w:pPr>
        <w:adjustRightInd w:val="0"/>
        <w:snapToGrid w:val="0"/>
        <w:jc w:val="center"/>
        <w:rPr>
          <w:rFonts w:hint="eastAsia" w:ascii="Times New Roman" w:hAnsi="Times New Roman" w:eastAsia="宋体"/>
          <w:b/>
          <w:color w:val="auto"/>
        </w:rPr>
      </w:pPr>
    </w:p>
    <w:p>
      <w:pPr>
        <w:adjustRightInd w:val="0"/>
        <w:snapToGrid w:val="0"/>
        <w:jc w:val="center"/>
        <w:rPr>
          <w:rFonts w:ascii="Times New Roman" w:hAnsi="Times New Roman" w:eastAsia="宋体"/>
          <w:color w:val="auto"/>
          <w:sz w:val="24"/>
          <w:szCs w:val="24"/>
        </w:rPr>
      </w:pPr>
      <w:r>
        <w:rPr>
          <w:rFonts w:hint="eastAsia" w:ascii="Times New Roman" w:hAnsi="Times New Roman" w:eastAsia="宋体"/>
          <w:b/>
          <w:color w:val="auto"/>
        </w:rPr>
        <w:t>表8</w:t>
      </w:r>
      <w:r>
        <w:rPr>
          <w:rFonts w:ascii="Times New Roman" w:hAnsi="Times New Roman" w:eastAsia="宋体"/>
          <w:b/>
          <w:color w:val="auto"/>
        </w:rPr>
        <w:t>.</w:t>
      </w:r>
      <w:r>
        <w:rPr>
          <w:rFonts w:hint="eastAsia" w:ascii="Times New Roman" w:hAnsi="Times New Roman" w:eastAsia="宋体"/>
          <w:b/>
          <w:color w:val="auto"/>
          <w:lang w:val="en-US" w:eastAsia="zh-CN"/>
        </w:rPr>
        <w:t>3</w:t>
      </w:r>
      <w:r>
        <w:rPr>
          <w:rFonts w:ascii="Times New Roman" w:hAnsi="Times New Roman" w:eastAsia="宋体"/>
          <w:b/>
          <w:color w:val="auto"/>
        </w:rPr>
        <w:t>-1</w:t>
      </w:r>
      <w:r>
        <w:rPr>
          <w:rFonts w:hint="eastAsia" w:ascii="Times New Roman" w:hAnsi="Times New Roman" w:eastAsia="宋体"/>
          <w:b/>
          <w:color w:val="auto"/>
          <w:lang w:val="en-US" w:eastAsia="zh-CN"/>
        </w:rPr>
        <w:t xml:space="preserve"> </w:t>
      </w:r>
      <w:r>
        <w:rPr>
          <w:rFonts w:ascii="Times New Roman" w:hAnsi="Times New Roman" w:eastAsia="宋体"/>
          <w:b/>
          <w:color w:val="auto"/>
        </w:rPr>
        <w:t>排污口提示图形符号</w:t>
      </w:r>
    </w:p>
    <w:tbl>
      <w:tblPr>
        <w:tblStyle w:val="34"/>
        <w:tblW w:w="90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5"/>
        <w:gridCol w:w="2070"/>
        <w:gridCol w:w="1680"/>
        <w:gridCol w:w="2085"/>
        <w:gridCol w:w="19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1235" w:type="dxa"/>
            <w:tcMar>
              <w:left w:w="0" w:type="dxa"/>
              <w:right w:w="0" w:type="dxa"/>
            </w:tcMar>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排放口</w:t>
            </w:r>
          </w:p>
        </w:tc>
        <w:tc>
          <w:tcPr>
            <w:tcW w:w="2070" w:type="dxa"/>
            <w:tcMar>
              <w:left w:w="0" w:type="dxa"/>
              <w:right w:w="0" w:type="dxa"/>
            </w:tcMar>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废气排放口</w:t>
            </w:r>
          </w:p>
        </w:tc>
        <w:tc>
          <w:tcPr>
            <w:tcW w:w="1680" w:type="dxa"/>
            <w:tcMar>
              <w:left w:w="0" w:type="dxa"/>
              <w:right w:w="0" w:type="dxa"/>
            </w:tcMar>
            <w:vAlign w:val="center"/>
          </w:tcPr>
          <w:p>
            <w:pPr>
              <w:adjustRightInd w:val="0"/>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危险废物</w:t>
            </w:r>
          </w:p>
        </w:tc>
        <w:tc>
          <w:tcPr>
            <w:tcW w:w="2085" w:type="dxa"/>
            <w:tcMar>
              <w:left w:w="0" w:type="dxa"/>
              <w:right w:w="0" w:type="dxa"/>
            </w:tcMar>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噪声排放源</w:t>
            </w:r>
          </w:p>
        </w:tc>
        <w:tc>
          <w:tcPr>
            <w:tcW w:w="1968" w:type="dxa"/>
            <w:tcMar>
              <w:left w:w="0" w:type="dxa"/>
              <w:right w:w="0" w:type="dxa"/>
            </w:tcMar>
            <w:vAlign w:val="center"/>
          </w:tcPr>
          <w:p>
            <w:pPr>
              <w:adjustRightInd w:val="0"/>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一般固废储存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9" w:hRule="atLeast"/>
          <w:jc w:val="center"/>
        </w:trPr>
        <w:tc>
          <w:tcPr>
            <w:tcW w:w="1235" w:type="dxa"/>
            <w:tcMar>
              <w:left w:w="0" w:type="dxa"/>
              <w:right w:w="0" w:type="dxa"/>
            </w:tcMar>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图形符号</w:t>
            </w:r>
          </w:p>
        </w:tc>
        <w:tc>
          <w:tcPr>
            <w:tcW w:w="2070" w:type="dxa"/>
            <w:tcMar>
              <w:left w:w="0" w:type="dxa"/>
              <w:right w:w="0" w:type="dxa"/>
            </w:tcMar>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drawing>
                <wp:inline distT="0" distB="0" distL="114300" distR="114300">
                  <wp:extent cx="954405" cy="954405"/>
                  <wp:effectExtent l="0" t="0" r="17145" b="17145"/>
                  <wp:docPr id="9" name="图片 23" descr="点击看大图及详细资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3" descr="点击看大图及详细资料"/>
                          <pic:cNvPicPr>
                            <a:picLocks noChangeAspect="1"/>
                          </pic:cNvPicPr>
                        </pic:nvPicPr>
                        <pic:blipFill>
                          <a:blip r:embed="rId80"/>
                          <a:stretch>
                            <a:fillRect/>
                          </a:stretch>
                        </pic:blipFill>
                        <pic:spPr>
                          <a:xfrm>
                            <a:off x="0" y="0"/>
                            <a:ext cx="954405" cy="954405"/>
                          </a:xfrm>
                          <a:prstGeom prst="rect">
                            <a:avLst/>
                          </a:prstGeom>
                          <a:noFill/>
                          <a:ln w="9525">
                            <a:noFill/>
                          </a:ln>
                        </pic:spPr>
                      </pic:pic>
                    </a:graphicData>
                  </a:graphic>
                </wp:inline>
              </w:drawing>
            </w:r>
          </w:p>
        </w:tc>
        <w:tc>
          <w:tcPr>
            <w:tcW w:w="1680" w:type="dxa"/>
            <w:tcMar>
              <w:left w:w="0" w:type="dxa"/>
              <w:right w:w="0" w:type="dxa"/>
            </w:tcMar>
            <w:vAlign w:val="center"/>
          </w:tcPr>
          <w:p>
            <w:pPr>
              <w:adjustRightInd w:val="0"/>
              <w:snapToGrid w:val="0"/>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w:t>
            </w:r>
          </w:p>
        </w:tc>
        <w:tc>
          <w:tcPr>
            <w:tcW w:w="2085" w:type="dxa"/>
            <w:tcMar>
              <w:left w:w="0" w:type="dxa"/>
              <w:right w:w="0" w:type="dxa"/>
            </w:tcMar>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drawing>
                <wp:inline distT="0" distB="0" distL="114300" distR="114300">
                  <wp:extent cx="954405" cy="954405"/>
                  <wp:effectExtent l="0" t="0" r="17145" b="17145"/>
                  <wp:docPr id="7" name="图片 24" descr="点击看大图及详细资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4" descr="点击看大图及详细资料"/>
                          <pic:cNvPicPr>
                            <a:picLocks noChangeAspect="1"/>
                          </pic:cNvPicPr>
                        </pic:nvPicPr>
                        <pic:blipFill>
                          <a:blip r:embed="rId81"/>
                          <a:stretch>
                            <a:fillRect/>
                          </a:stretch>
                        </pic:blipFill>
                        <pic:spPr>
                          <a:xfrm>
                            <a:off x="0" y="0"/>
                            <a:ext cx="954405" cy="954405"/>
                          </a:xfrm>
                          <a:prstGeom prst="rect">
                            <a:avLst/>
                          </a:prstGeom>
                          <a:noFill/>
                          <a:ln w="9525">
                            <a:noFill/>
                          </a:ln>
                        </pic:spPr>
                      </pic:pic>
                    </a:graphicData>
                  </a:graphic>
                </wp:inline>
              </w:drawing>
            </w:r>
          </w:p>
        </w:tc>
        <w:tc>
          <w:tcPr>
            <w:tcW w:w="1968" w:type="dxa"/>
            <w:tcMar>
              <w:left w:w="0" w:type="dxa"/>
              <w:right w:w="0" w:type="dxa"/>
            </w:tcMar>
            <w:vAlign w:val="center"/>
          </w:tcPr>
          <w:p>
            <w:pPr>
              <w:adjustRightInd w:val="0"/>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drawing>
                <wp:inline distT="0" distB="0" distL="114300" distR="114300">
                  <wp:extent cx="952500" cy="923925"/>
                  <wp:effectExtent l="0" t="0" r="0" b="9525"/>
                  <wp:docPr id="1" name="图片 1" descr="15783640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578364032(1)"/>
                          <pic:cNvPicPr>
                            <a:picLocks noChangeAspect="1"/>
                          </pic:cNvPicPr>
                        </pic:nvPicPr>
                        <pic:blipFill>
                          <a:blip r:embed="rId82"/>
                          <a:stretch>
                            <a:fillRect/>
                          </a:stretch>
                        </pic:blipFill>
                        <pic:spPr>
                          <a:xfrm>
                            <a:off x="0" y="0"/>
                            <a:ext cx="952500" cy="92392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1235" w:type="dxa"/>
            <w:tcMar>
              <w:left w:w="0" w:type="dxa"/>
              <w:right w:w="0" w:type="dxa"/>
            </w:tcMar>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背景颜色</w:t>
            </w:r>
          </w:p>
        </w:tc>
        <w:tc>
          <w:tcPr>
            <w:tcW w:w="7803" w:type="dxa"/>
            <w:gridSpan w:val="4"/>
            <w:tcMar>
              <w:left w:w="0" w:type="dxa"/>
              <w:right w:w="0" w:type="dxa"/>
            </w:tcMar>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绿色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235" w:type="dxa"/>
            <w:tcMar>
              <w:left w:w="0" w:type="dxa"/>
              <w:right w:w="0" w:type="dxa"/>
            </w:tcMar>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图形颜色</w:t>
            </w:r>
          </w:p>
        </w:tc>
        <w:tc>
          <w:tcPr>
            <w:tcW w:w="7803" w:type="dxa"/>
            <w:gridSpan w:val="4"/>
            <w:tcMar>
              <w:left w:w="0" w:type="dxa"/>
              <w:right w:w="0" w:type="dxa"/>
            </w:tcMar>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白色</w:t>
            </w:r>
          </w:p>
        </w:tc>
      </w:tr>
    </w:tbl>
    <w:p>
      <w:pPr>
        <w:autoSpaceDE w:val="0"/>
        <w:autoSpaceDN w:val="0"/>
        <w:adjustRightInd w:val="0"/>
        <w:snapToGrid w:val="0"/>
        <w:jc w:val="center"/>
        <w:rPr>
          <w:rFonts w:ascii="Times New Roman" w:hAnsi="Times New Roman" w:eastAsia="宋体"/>
          <w:b/>
          <w:color w:val="auto"/>
        </w:rPr>
      </w:pPr>
      <w:r>
        <w:rPr>
          <w:rFonts w:hint="eastAsia" w:ascii="Times New Roman" w:hAnsi="Times New Roman" w:eastAsia="宋体"/>
          <w:b/>
          <w:color w:val="auto"/>
        </w:rPr>
        <w:t>表8</w:t>
      </w:r>
      <w:r>
        <w:rPr>
          <w:rFonts w:ascii="Times New Roman" w:hAnsi="Times New Roman" w:eastAsia="宋体"/>
          <w:b/>
          <w:color w:val="auto"/>
        </w:rPr>
        <w:t>.</w:t>
      </w:r>
      <w:r>
        <w:rPr>
          <w:rFonts w:hint="eastAsia" w:ascii="Times New Roman" w:hAnsi="Times New Roman" w:eastAsia="宋体"/>
          <w:b/>
          <w:color w:val="auto"/>
          <w:lang w:val="en-US" w:eastAsia="zh-CN"/>
        </w:rPr>
        <w:t>3</w:t>
      </w:r>
      <w:r>
        <w:rPr>
          <w:rFonts w:ascii="Times New Roman" w:hAnsi="Times New Roman" w:eastAsia="宋体"/>
          <w:b/>
          <w:color w:val="auto"/>
        </w:rPr>
        <w:t>-2</w:t>
      </w:r>
      <w:r>
        <w:rPr>
          <w:rFonts w:hint="eastAsia" w:ascii="Times New Roman" w:hAnsi="Times New Roman" w:eastAsia="宋体"/>
          <w:b/>
          <w:color w:val="auto"/>
          <w:lang w:val="en-US" w:eastAsia="zh-CN"/>
        </w:rPr>
        <w:t xml:space="preserve"> </w:t>
      </w:r>
      <w:r>
        <w:rPr>
          <w:rFonts w:ascii="Times New Roman" w:hAnsi="Times New Roman" w:eastAsia="宋体"/>
          <w:b/>
          <w:color w:val="auto"/>
        </w:rPr>
        <w:t>排污口警告图形符号</w:t>
      </w:r>
    </w:p>
    <w:tbl>
      <w:tblPr>
        <w:tblStyle w:val="34"/>
        <w:tblW w:w="89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0"/>
        <w:gridCol w:w="2070"/>
        <w:gridCol w:w="1710"/>
        <w:gridCol w:w="2025"/>
        <w:gridCol w:w="19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230" w:type="dxa"/>
            <w:tcMar>
              <w:left w:w="0" w:type="dxa"/>
              <w:right w:w="0" w:type="dxa"/>
            </w:tcMar>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排放口</w:t>
            </w:r>
          </w:p>
        </w:tc>
        <w:tc>
          <w:tcPr>
            <w:tcW w:w="2070" w:type="dxa"/>
            <w:tcMar>
              <w:left w:w="0" w:type="dxa"/>
              <w:right w:w="0" w:type="dxa"/>
            </w:tcMar>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废气排放口</w:t>
            </w:r>
          </w:p>
        </w:tc>
        <w:tc>
          <w:tcPr>
            <w:tcW w:w="1710" w:type="dxa"/>
            <w:tcMar>
              <w:left w:w="0" w:type="dxa"/>
              <w:right w:w="0" w:type="dxa"/>
            </w:tcMar>
            <w:vAlign w:val="center"/>
          </w:tcPr>
          <w:p>
            <w:pPr>
              <w:adjustRightInd w:val="0"/>
              <w:snapToGrid w:val="0"/>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eastAsia="zh-CN"/>
              </w:rPr>
              <w:t>危险废物</w:t>
            </w:r>
          </w:p>
        </w:tc>
        <w:tc>
          <w:tcPr>
            <w:tcW w:w="2025" w:type="dxa"/>
            <w:tcMar>
              <w:left w:w="0" w:type="dxa"/>
              <w:right w:w="0" w:type="dxa"/>
            </w:tcMar>
            <w:vAlign w:val="center"/>
          </w:tcPr>
          <w:p>
            <w:pPr>
              <w:adjustRightInd w:val="0"/>
              <w:snapToGrid w:val="0"/>
              <w:jc w:val="center"/>
              <w:rPr>
                <w:rFonts w:ascii="Times New Roman" w:hAnsi="Times New Roman" w:eastAsia="宋体" w:cstheme="minorBidi"/>
                <w:color w:val="auto"/>
                <w:kern w:val="2"/>
                <w:sz w:val="21"/>
                <w:szCs w:val="21"/>
                <w:lang w:val="en-US" w:eastAsia="zh-CN" w:bidi="ar-SA"/>
              </w:rPr>
            </w:pPr>
            <w:r>
              <w:rPr>
                <w:rFonts w:ascii="Times New Roman" w:hAnsi="Times New Roman" w:eastAsia="宋体"/>
                <w:color w:val="auto"/>
                <w:szCs w:val="21"/>
              </w:rPr>
              <w:t>噪声排放源</w:t>
            </w:r>
          </w:p>
        </w:tc>
        <w:tc>
          <w:tcPr>
            <w:tcW w:w="1963" w:type="dxa"/>
            <w:tcMar>
              <w:left w:w="0" w:type="dxa"/>
              <w:right w:w="0" w:type="dxa"/>
            </w:tcMar>
            <w:vAlign w:val="center"/>
          </w:tcPr>
          <w:p>
            <w:pPr>
              <w:adjustRightInd w:val="0"/>
              <w:snapToGrid w:val="0"/>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eastAsia="zh-CN"/>
              </w:rPr>
              <w:t>一般固废储存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48" w:hRule="atLeast"/>
          <w:jc w:val="center"/>
        </w:trPr>
        <w:tc>
          <w:tcPr>
            <w:tcW w:w="1230" w:type="dxa"/>
            <w:tcMar>
              <w:left w:w="0" w:type="dxa"/>
              <w:right w:w="0" w:type="dxa"/>
            </w:tcMar>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图形符号</w:t>
            </w:r>
          </w:p>
        </w:tc>
        <w:tc>
          <w:tcPr>
            <w:tcW w:w="2070" w:type="dxa"/>
            <w:tcMar>
              <w:left w:w="0" w:type="dxa"/>
              <w:right w:w="0" w:type="dxa"/>
            </w:tcMar>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rPr>
              <w:drawing>
                <wp:inline distT="0" distB="0" distL="114300" distR="114300">
                  <wp:extent cx="954405" cy="835025"/>
                  <wp:effectExtent l="0" t="0" r="17145" b="3175"/>
                  <wp:docPr id="10" name="图片 25" descr="点击看大图及详细资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5" descr="点击看大图及详细资料"/>
                          <pic:cNvPicPr>
                            <a:picLocks noChangeAspect="1"/>
                          </pic:cNvPicPr>
                        </pic:nvPicPr>
                        <pic:blipFill>
                          <a:blip r:embed="rId83"/>
                          <a:stretch>
                            <a:fillRect/>
                          </a:stretch>
                        </pic:blipFill>
                        <pic:spPr>
                          <a:xfrm>
                            <a:off x="0" y="0"/>
                            <a:ext cx="954405" cy="835025"/>
                          </a:xfrm>
                          <a:prstGeom prst="rect">
                            <a:avLst/>
                          </a:prstGeom>
                          <a:noFill/>
                          <a:ln w="9525">
                            <a:noFill/>
                          </a:ln>
                        </pic:spPr>
                      </pic:pic>
                    </a:graphicData>
                  </a:graphic>
                </wp:inline>
              </w:drawing>
            </w:r>
          </w:p>
        </w:tc>
        <w:tc>
          <w:tcPr>
            <w:tcW w:w="1710" w:type="dxa"/>
            <w:tcMar>
              <w:left w:w="0" w:type="dxa"/>
              <w:right w:w="0" w:type="dxa"/>
            </w:tcMar>
            <w:vAlign w:val="center"/>
          </w:tcPr>
          <w:p>
            <w:pPr>
              <w:adjustRightInd w:val="0"/>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drawing>
                <wp:inline distT="0" distB="0" distL="114300" distR="114300">
                  <wp:extent cx="1078865" cy="849630"/>
                  <wp:effectExtent l="0" t="0" r="6985" b="7620"/>
                  <wp:docPr id="4" name="图片 4" descr="15783640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578364076(1)"/>
                          <pic:cNvPicPr>
                            <a:picLocks noChangeAspect="1"/>
                          </pic:cNvPicPr>
                        </pic:nvPicPr>
                        <pic:blipFill>
                          <a:blip r:embed="rId84"/>
                          <a:stretch>
                            <a:fillRect/>
                          </a:stretch>
                        </pic:blipFill>
                        <pic:spPr>
                          <a:xfrm>
                            <a:off x="0" y="0"/>
                            <a:ext cx="1078865" cy="849630"/>
                          </a:xfrm>
                          <a:prstGeom prst="rect">
                            <a:avLst/>
                          </a:prstGeom>
                        </pic:spPr>
                      </pic:pic>
                    </a:graphicData>
                  </a:graphic>
                </wp:inline>
              </w:drawing>
            </w:r>
          </w:p>
        </w:tc>
        <w:tc>
          <w:tcPr>
            <w:tcW w:w="2025" w:type="dxa"/>
            <w:tcMar>
              <w:left w:w="0" w:type="dxa"/>
              <w:right w:w="0" w:type="dxa"/>
            </w:tcMar>
            <w:vAlign w:val="center"/>
          </w:tcPr>
          <w:p>
            <w:pPr>
              <w:adjustRightInd w:val="0"/>
              <w:snapToGrid w:val="0"/>
              <w:jc w:val="center"/>
              <w:rPr>
                <w:rFonts w:ascii="Times New Roman" w:hAnsi="Times New Roman" w:eastAsia="宋体" w:cstheme="minorBidi"/>
                <w:color w:val="auto"/>
                <w:kern w:val="2"/>
                <w:sz w:val="21"/>
                <w:szCs w:val="21"/>
                <w:lang w:val="en-US" w:eastAsia="zh-CN" w:bidi="ar-SA"/>
              </w:rPr>
            </w:pPr>
            <w:r>
              <w:rPr>
                <w:rFonts w:ascii="Times New Roman" w:hAnsi="Times New Roman" w:eastAsia="宋体"/>
                <w:color w:val="auto"/>
              </w:rPr>
              <w:drawing>
                <wp:inline distT="0" distB="0" distL="114300" distR="114300">
                  <wp:extent cx="954405" cy="835025"/>
                  <wp:effectExtent l="0" t="0" r="17145" b="3175"/>
                  <wp:docPr id="2" name="图片 26" descr="点击看大图及详细资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6" descr="点击看大图及详细资料"/>
                          <pic:cNvPicPr>
                            <a:picLocks noChangeAspect="1"/>
                          </pic:cNvPicPr>
                        </pic:nvPicPr>
                        <pic:blipFill>
                          <a:blip r:embed="rId85"/>
                          <a:stretch>
                            <a:fillRect/>
                          </a:stretch>
                        </pic:blipFill>
                        <pic:spPr>
                          <a:xfrm>
                            <a:off x="0" y="0"/>
                            <a:ext cx="954405" cy="835025"/>
                          </a:xfrm>
                          <a:prstGeom prst="rect">
                            <a:avLst/>
                          </a:prstGeom>
                          <a:noFill/>
                          <a:ln w="9525">
                            <a:noFill/>
                          </a:ln>
                        </pic:spPr>
                      </pic:pic>
                    </a:graphicData>
                  </a:graphic>
                </wp:inline>
              </w:drawing>
            </w:r>
          </w:p>
        </w:tc>
        <w:tc>
          <w:tcPr>
            <w:tcW w:w="1963" w:type="dxa"/>
            <w:tcMar>
              <w:left w:w="0" w:type="dxa"/>
              <w:right w:w="0" w:type="dxa"/>
            </w:tcMar>
            <w:vAlign w:val="center"/>
          </w:tcPr>
          <w:p>
            <w:pPr>
              <w:adjustRightInd w:val="0"/>
              <w:snapToGrid w:val="0"/>
              <w:jc w:val="center"/>
              <w:rPr>
                <w:rFonts w:hint="eastAsia" w:ascii="Times New Roman" w:hAnsi="Times New Roman" w:eastAsia="宋体"/>
                <w:color w:val="auto"/>
                <w:lang w:eastAsia="zh-CN"/>
              </w:rPr>
            </w:pPr>
            <w:r>
              <w:rPr>
                <w:rFonts w:hint="eastAsia" w:ascii="Times New Roman" w:hAnsi="Times New Roman" w:eastAsia="宋体"/>
                <w:color w:val="auto"/>
                <w:lang w:eastAsia="zh-CN"/>
              </w:rPr>
              <w:drawing>
                <wp:inline distT="0" distB="0" distL="114300" distR="114300">
                  <wp:extent cx="1104900" cy="933450"/>
                  <wp:effectExtent l="0" t="0" r="0" b="0"/>
                  <wp:docPr id="3" name="图片 3" descr="15783640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578364063(1)"/>
                          <pic:cNvPicPr>
                            <a:picLocks noChangeAspect="1"/>
                          </pic:cNvPicPr>
                        </pic:nvPicPr>
                        <pic:blipFill>
                          <a:blip r:embed="rId86"/>
                          <a:stretch>
                            <a:fillRect/>
                          </a:stretch>
                        </pic:blipFill>
                        <pic:spPr>
                          <a:xfrm>
                            <a:off x="0" y="0"/>
                            <a:ext cx="1104900" cy="93345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3" w:hRule="atLeast"/>
          <w:jc w:val="center"/>
        </w:trPr>
        <w:tc>
          <w:tcPr>
            <w:tcW w:w="1230" w:type="dxa"/>
            <w:tcMar>
              <w:left w:w="0" w:type="dxa"/>
              <w:right w:w="0" w:type="dxa"/>
            </w:tcMar>
            <w:vAlign w:val="center"/>
          </w:tcPr>
          <w:p>
            <w:pPr>
              <w:adjustRightInd w:val="0"/>
              <w:snapToGrid w:val="0"/>
              <w:jc w:val="center"/>
              <w:rPr>
                <w:rFonts w:ascii="Times New Roman" w:hAnsi="Times New Roman" w:eastAsia="宋体" w:cstheme="minorBidi"/>
                <w:color w:val="auto"/>
                <w:kern w:val="2"/>
                <w:sz w:val="21"/>
                <w:szCs w:val="21"/>
                <w:lang w:val="en-US" w:eastAsia="zh-CN" w:bidi="ar-SA"/>
              </w:rPr>
            </w:pPr>
            <w:r>
              <w:rPr>
                <w:rFonts w:ascii="Times New Roman" w:hAnsi="Times New Roman" w:eastAsia="宋体"/>
                <w:color w:val="auto"/>
                <w:szCs w:val="21"/>
              </w:rPr>
              <w:t>背景颜色</w:t>
            </w:r>
          </w:p>
        </w:tc>
        <w:tc>
          <w:tcPr>
            <w:tcW w:w="7768" w:type="dxa"/>
            <w:gridSpan w:val="4"/>
            <w:tcMar>
              <w:left w:w="0" w:type="dxa"/>
              <w:right w:w="0" w:type="dxa"/>
            </w:tcMar>
            <w:vAlign w:val="center"/>
          </w:tcPr>
          <w:p>
            <w:pPr>
              <w:adjustRightInd w:val="0"/>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黄色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jc w:val="center"/>
        </w:trPr>
        <w:tc>
          <w:tcPr>
            <w:tcW w:w="1230" w:type="dxa"/>
            <w:tcMar>
              <w:left w:w="0" w:type="dxa"/>
              <w:right w:w="0" w:type="dxa"/>
            </w:tcMar>
            <w:vAlign w:val="center"/>
          </w:tcPr>
          <w:p>
            <w:pPr>
              <w:adjustRightInd w:val="0"/>
              <w:snapToGrid w:val="0"/>
              <w:jc w:val="center"/>
              <w:rPr>
                <w:rFonts w:ascii="Times New Roman" w:hAnsi="Times New Roman" w:eastAsia="宋体" w:cstheme="minorBidi"/>
                <w:color w:val="auto"/>
                <w:kern w:val="2"/>
                <w:sz w:val="21"/>
                <w:szCs w:val="21"/>
                <w:lang w:val="en-US" w:eastAsia="zh-CN" w:bidi="ar-SA"/>
              </w:rPr>
            </w:pPr>
            <w:r>
              <w:rPr>
                <w:rFonts w:ascii="Times New Roman" w:hAnsi="Times New Roman" w:eastAsia="宋体"/>
                <w:color w:val="auto"/>
                <w:szCs w:val="21"/>
              </w:rPr>
              <w:t>图形颜色</w:t>
            </w:r>
          </w:p>
        </w:tc>
        <w:tc>
          <w:tcPr>
            <w:tcW w:w="7768" w:type="dxa"/>
            <w:gridSpan w:val="4"/>
            <w:tcMar>
              <w:left w:w="0" w:type="dxa"/>
              <w:right w:w="0" w:type="dxa"/>
            </w:tcMar>
            <w:vAlign w:val="center"/>
          </w:tcPr>
          <w:p>
            <w:pPr>
              <w:adjustRightInd w:val="0"/>
              <w:snapToGrid w:val="0"/>
              <w:jc w:val="center"/>
              <w:rPr>
                <w:rFonts w:hint="eastAsia" w:ascii="Times New Roman" w:hAnsi="Times New Roman" w:eastAsia="宋体"/>
                <w:color w:val="auto"/>
                <w:lang w:eastAsia="zh-CN"/>
              </w:rPr>
            </w:pPr>
            <w:r>
              <w:rPr>
                <w:rFonts w:hint="eastAsia" w:ascii="Times New Roman" w:hAnsi="Times New Roman" w:eastAsia="宋体"/>
                <w:color w:val="auto"/>
                <w:lang w:eastAsia="zh-CN"/>
              </w:rPr>
              <w:t>黑色</w:t>
            </w:r>
          </w:p>
        </w:tc>
      </w:tr>
    </w:tbl>
    <w:p>
      <w:pPr>
        <w:snapToGrid w:val="0"/>
        <w:spacing w:line="360" w:lineRule="auto"/>
        <w:ind w:firstLine="480" w:firstLineChars="200"/>
        <w:rPr>
          <w:rFonts w:hint="eastAsia" w:ascii="Times New Roman" w:hAnsi="Times New Roman" w:eastAsia="宋体"/>
          <w:color w:val="auto"/>
          <w:kern w:val="0"/>
          <w:sz w:val="24"/>
        </w:rPr>
      </w:pPr>
    </w:p>
    <w:p>
      <w:pPr>
        <w:snapToGrid w:val="0"/>
        <w:spacing w:line="360" w:lineRule="auto"/>
        <w:ind w:firstLine="480" w:firstLineChars="200"/>
        <w:rPr>
          <w:rFonts w:hint="eastAsia" w:ascii="Times New Roman" w:hAnsi="Times New Roman" w:eastAsia="宋体"/>
          <w:color w:val="auto"/>
          <w:kern w:val="0"/>
          <w:sz w:val="24"/>
        </w:rPr>
      </w:pPr>
      <w:r>
        <w:rPr>
          <w:rFonts w:hint="eastAsia" w:ascii="Times New Roman" w:hAnsi="Times New Roman" w:eastAsia="宋体"/>
          <w:color w:val="auto"/>
          <w:kern w:val="0"/>
          <w:sz w:val="24"/>
          <w:lang w:eastAsia="zh-CN"/>
        </w:rPr>
        <w:t>（</w:t>
      </w:r>
      <w:r>
        <w:rPr>
          <w:rFonts w:hint="eastAsia" w:ascii="Times New Roman" w:hAnsi="Times New Roman" w:eastAsia="宋体"/>
          <w:color w:val="auto"/>
          <w:kern w:val="0"/>
          <w:sz w:val="24"/>
          <w:lang w:val="en-US" w:eastAsia="zh-CN"/>
        </w:rPr>
        <w:t>4</w:t>
      </w:r>
      <w:r>
        <w:rPr>
          <w:rFonts w:hint="eastAsia" w:ascii="Times New Roman" w:hAnsi="Times New Roman" w:eastAsia="宋体"/>
          <w:color w:val="auto"/>
          <w:kern w:val="0"/>
          <w:sz w:val="24"/>
          <w:lang w:eastAsia="zh-CN"/>
        </w:rPr>
        <w:t>）</w:t>
      </w:r>
      <w:r>
        <w:rPr>
          <w:rFonts w:hint="eastAsia" w:ascii="Times New Roman" w:hAnsi="Times New Roman" w:eastAsia="宋体"/>
          <w:color w:val="auto"/>
          <w:kern w:val="0"/>
          <w:sz w:val="24"/>
        </w:rPr>
        <w:t>排污口立标</w:t>
      </w:r>
    </w:p>
    <w:p>
      <w:pPr>
        <w:snapToGrid w:val="0"/>
        <w:spacing w:line="360" w:lineRule="auto"/>
        <w:ind w:firstLine="480" w:firstLineChars="200"/>
        <w:rPr>
          <w:rFonts w:hint="eastAsia" w:ascii="Times New Roman" w:hAnsi="Times New Roman" w:eastAsia="宋体"/>
          <w:color w:val="auto"/>
          <w:kern w:val="0"/>
          <w:sz w:val="24"/>
        </w:rPr>
      </w:pPr>
      <w:r>
        <w:rPr>
          <w:rFonts w:hint="eastAsia" w:ascii="Times New Roman" w:hAnsi="Times New Roman" w:eastAsia="宋体"/>
          <w:color w:val="auto"/>
          <w:kern w:val="0"/>
          <w:sz w:val="24"/>
        </w:rPr>
        <w:t>①污染物排放口的环保图形标志牌应设置在靠近采样点，且醒目处，标志牌设置高度为其上边缘距离地面约 2 m。</w:t>
      </w:r>
    </w:p>
    <w:p>
      <w:pPr>
        <w:snapToGrid w:val="0"/>
        <w:spacing w:line="360" w:lineRule="auto"/>
        <w:ind w:firstLine="480" w:firstLineChars="200"/>
        <w:rPr>
          <w:rFonts w:ascii="Times New Roman" w:hAnsi="Times New Roman" w:eastAsia="宋体"/>
          <w:color w:val="auto"/>
          <w:kern w:val="0"/>
          <w:sz w:val="24"/>
        </w:rPr>
      </w:pPr>
      <w:r>
        <w:rPr>
          <w:rFonts w:hint="eastAsia" w:ascii="Times New Roman" w:hAnsi="Times New Roman" w:eastAsia="宋体"/>
          <w:color w:val="auto"/>
          <w:kern w:val="0"/>
          <w:sz w:val="24"/>
        </w:rPr>
        <w:t>②一般排污单位的污染物排放口，可根据情况设置立式或平面固定式标志牌。</w:t>
      </w:r>
    </w:p>
    <w:p>
      <w:pPr>
        <w:snapToGrid w:val="0"/>
        <w:spacing w:line="360" w:lineRule="auto"/>
        <w:ind w:firstLine="480" w:firstLineChars="200"/>
        <w:rPr>
          <w:rFonts w:hint="eastAsia" w:ascii="Times New Roman" w:hAnsi="Times New Roman" w:eastAsia="宋体"/>
          <w:color w:val="auto"/>
          <w:kern w:val="0"/>
          <w:sz w:val="24"/>
        </w:rPr>
      </w:pPr>
      <w:r>
        <w:rPr>
          <w:rFonts w:hint="eastAsia" w:ascii="Times New Roman" w:hAnsi="Times New Roman" w:eastAsia="宋体"/>
          <w:color w:val="auto"/>
          <w:kern w:val="0"/>
          <w:sz w:val="24"/>
          <w:lang w:eastAsia="zh-CN"/>
        </w:rPr>
        <w:t>（</w:t>
      </w:r>
      <w:r>
        <w:rPr>
          <w:rFonts w:hint="eastAsia" w:ascii="Times New Roman" w:hAnsi="Times New Roman" w:eastAsia="宋体"/>
          <w:color w:val="auto"/>
          <w:kern w:val="0"/>
          <w:sz w:val="24"/>
          <w:lang w:val="en-US" w:eastAsia="zh-CN"/>
        </w:rPr>
        <w:t>5</w:t>
      </w:r>
      <w:r>
        <w:rPr>
          <w:rFonts w:hint="eastAsia" w:ascii="Times New Roman" w:hAnsi="Times New Roman" w:eastAsia="宋体"/>
          <w:color w:val="auto"/>
          <w:kern w:val="0"/>
          <w:sz w:val="24"/>
          <w:lang w:eastAsia="zh-CN"/>
        </w:rPr>
        <w:t>）</w:t>
      </w:r>
      <w:r>
        <w:rPr>
          <w:rFonts w:hint="eastAsia" w:ascii="Times New Roman" w:hAnsi="Times New Roman" w:eastAsia="宋体"/>
          <w:color w:val="auto"/>
          <w:kern w:val="0"/>
          <w:sz w:val="24"/>
        </w:rPr>
        <w:t>排污口管理</w:t>
      </w:r>
    </w:p>
    <w:p>
      <w:pPr>
        <w:snapToGrid w:val="0"/>
        <w:spacing w:line="360" w:lineRule="auto"/>
        <w:ind w:firstLine="480" w:firstLineChars="200"/>
        <w:rPr>
          <w:rFonts w:hint="eastAsia" w:ascii="Times New Roman" w:hAnsi="Times New Roman" w:eastAsia="宋体"/>
          <w:color w:val="auto"/>
          <w:kern w:val="0"/>
          <w:sz w:val="24"/>
        </w:rPr>
      </w:pPr>
      <w:r>
        <w:rPr>
          <w:rFonts w:hint="eastAsia" w:ascii="Times New Roman" w:hAnsi="Times New Roman" w:eastAsia="宋体"/>
          <w:color w:val="auto"/>
          <w:kern w:val="0"/>
          <w:sz w:val="24"/>
        </w:rPr>
        <w:t>①管理原则</w:t>
      </w:r>
    </w:p>
    <w:p>
      <w:pPr>
        <w:snapToGrid w:val="0"/>
        <w:spacing w:line="360" w:lineRule="auto"/>
        <w:ind w:firstLine="480" w:firstLineChars="200"/>
        <w:rPr>
          <w:rFonts w:hint="eastAsia" w:ascii="Times New Roman" w:hAnsi="Times New Roman" w:eastAsia="宋体"/>
          <w:color w:val="auto"/>
          <w:kern w:val="0"/>
          <w:sz w:val="24"/>
        </w:rPr>
      </w:pPr>
      <w:r>
        <w:rPr>
          <w:rFonts w:hint="eastAsia" w:ascii="Times New Roman" w:hAnsi="Times New Roman" w:eastAsia="宋体"/>
          <w:color w:val="auto"/>
          <w:kern w:val="0"/>
          <w:sz w:val="24"/>
        </w:rPr>
        <w:t>排污口是企业污染物进入环境，污染环境的通道，强化排污口的管理是实施污染物总量控制的基础工作之一，也是区域环境管理逐步实现污染物排放科学化、定量化的重要手段。</w:t>
      </w:r>
    </w:p>
    <w:p>
      <w:pPr>
        <w:snapToGrid w:val="0"/>
        <w:spacing w:line="360" w:lineRule="auto"/>
        <w:ind w:firstLine="480" w:firstLineChars="200"/>
        <w:rPr>
          <w:rFonts w:hint="eastAsia" w:ascii="Times New Roman" w:hAnsi="Times New Roman" w:eastAsia="宋体"/>
          <w:color w:val="auto"/>
          <w:kern w:val="0"/>
          <w:sz w:val="24"/>
        </w:rPr>
      </w:pPr>
      <w:r>
        <w:rPr>
          <w:rFonts w:hint="eastAsia" w:ascii="Times New Roman" w:hAnsi="Times New Roman" w:eastAsia="宋体"/>
          <w:color w:val="auto"/>
          <w:kern w:val="0"/>
          <w:sz w:val="24"/>
        </w:rPr>
        <w:t>具体管理原则如下：</w:t>
      </w:r>
    </w:p>
    <w:p>
      <w:pPr>
        <w:snapToGrid w:val="0"/>
        <w:spacing w:line="360" w:lineRule="auto"/>
        <w:ind w:firstLine="480" w:firstLineChars="200"/>
        <w:rPr>
          <w:rFonts w:hint="eastAsia" w:ascii="Times New Roman" w:hAnsi="Times New Roman" w:eastAsia="宋体"/>
          <w:color w:val="auto"/>
          <w:kern w:val="0"/>
          <w:sz w:val="24"/>
        </w:rPr>
      </w:pPr>
      <w:r>
        <w:rPr>
          <w:rFonts w:hint="eastAsia" w:ascii="Times New Roman" w:hAnsi="Times New Roman" w:eastAsia="宋体"/>
          <w:color w:val="auto"/>
          <w:kern w:val="0"/>
          <w:sz w:val="24"/>
          <w:lang w:val="en-US" w:eastAsia="zh-CN"/>
        </w:rPr>
        <w:t>a.</w:t>
      </w:r>
      <w:r>
        <w:rPr>
          <w:rFonts w:hint="eastAsia" w:ascii="Times New Roman" w:hAnsi="Times New Roman" w:eastAsia="宋体"/>
          <w:color w:val="auto"/>
          <w:kern w:val="0"/>
          <w:sz w:val="24"/>
        </w:rPr>
        <w:t>向环境排放的污染物的排放口必须规范化。</w:t>
      </w:r>
    </w:p>
    <w:p>
      <w:pPr>
        <w:snapToGrid w:val="0"/>
        <w:spacing w:line="360" w:lineRule="auto"/>
        <w:ind w:firstLine="480" w:firstLineChars="200"/>
        <w:rPr>
          <w:rFonts w:hint="eastAsia" w:ascii="Times New Roman" w:hAnsi="Times New Roman" w:eastAsia="宋体"/>
          <w:color w:val="auto"/>
          <w:kern w:val="0"/>
          <w:sz w:val="24"/>
        </w:rPr>
      </w:pPr>
      <w:r>
        <w:rPr>
          <w:rFonts w:hint="eastAsia" w:ascii="Times New Roman" w:hAnsi="Times New Roman" w:eastAsia="宋体"/>
          <w:color w:val="auto"/>
          <w:kern w:val="0"/>
          <w:sz w:val="24"/>
          <w:lang w:val="en-US" w:eastAsia="zh-CN"/>
        </w:rPr>
        <w:t>b.</w:t>
      </w:r>
      <w:r>
        <w:rPr>
          <w:rFonts w:hint="eastAsia" w:ascii="Times New Roman" w:hAnsi="Times New Roman" w:eastAsia="宋体"/>
          <w:color w:val="auto"/>
          <w:kern w:val="0"/>
          <w:sz w:val="24"/>
        </w:rPr>
        <w:t>列入总量控制的污染物排放源列为管理的重点。</w:t>
      </w:r>
    </w:p>
    <w:p>
      <w:pPr>
        <w:snapToGrid w:val="0"/>
        <w:spacing w:line="360" w:lineRule="auto"/>
        <w:ind w:firstLine="480" w:firstLineChars="200"/>
        <w:rPr>
          <w:rFonts w:hint="eastAsia" w:ascii="Times New Roman" w:hAnsi="Times New Roman" w:eastAsia="宋体"/>
          <w:color w:val="auto"/>
          <w:kern w:val="0"/>
          <w:sz w:val="24"/>
        </w:rPr>
      </w:pPr>
      <w:r>
        <w:rPr>
          <w:rFonts w:hint="eastAsia" w:ascii="Times New Roman" w:hAnsi="Times New Roman" w:eastAsia="宋体"/>
          <w:color w:val="auto"/>
          <w:kern w:val="0"/>
          <w:sz w:val="24"/>
          <w:lang w:val="en-US" w:eastAsia="zh-CN"/>
        </w:rPr>
        <w:t>c.</w:t>
      </w:r>
      <w:r>
        <w:rPr>
          <w:rFonts w:hint="eastAsia" w:ascii="Times New Roman" w:hAnsi="Times New Roman" w:eastAsia="宋体"/>
          <w:color w:val="auto"/>
          <w:kern w:val="0"/>
          <w:sz w:val="24"/>
        </w:rPr>
        <w:t>如实向环保管理部门申报排污口数量、位置及所排放的主要污染物种类、数量、浓度、排放去向等情况。</w:t>
      </w:r>
    </w:p>
    <w:p>
      <w:pPr>
        <w:snapToGrid w:val="0"/>
        <w:spacing w:line="360" w:lineRule="auto"/>
        <w:ind w:firstLine="480" w:firstLineChars="200"/>
        <w:rPr>
          <w:rFonts w:hint="eastAsia" w:ascii="Times New Roman" w:hAnsi="Times New Roman" w:eastAsia="宋体"/>
          <w:color w:val="auto"/>
          <w:kern w:val="0"/>
          <w:sz w:val="24"/>
        </w:rPr>
      </w:pPr>
      <w:r>
        <w:rPr>
          <w:rFonts w:hint="eastAsia" w:ascii="Times New Roman" w:hAnsi="Times New Roman" w:eastAsia="宋体"/>
          <w:color w:val="auto"/>
          <w:kern w:val="0"/>
          <w:sz w:val="24"/>
          <w:lang w:val="en-US" w:eastAsia="zh-CN"/>
        </w:rPr>
        <w:t>d.</w:t>
      </w:r>
      <w:r>
        <w:rPr>
          <w:rFonts w:hint="eastAsia" w:ascii="Times New Roman" w:hAnsi="Times New Roman" w:eastAsia="宋体"/>
          <w:color w:val="auto"/>
          <w:kern w:val="0"/>
          <w:sz w:val="24"/>
        </w:rPr>
        <w:t>废气排气装置应设置便于采样、监测的采样孔和采样平台，设置应符合《污染源监测技术规范》。</w:t>
      </w:r>
    </w:p>
    <w:p>
      <w:pPr>
        <w:snapToGrid w:val="0"/>
        <w:spacing w:line="360" w:lineRule="auto"/>
        <w:ind w:firstLine="480" w:firstLineChars="200"/>
        <w:rPr>
          <w:rFonts w:hint="eastAsia" w:ascii="Times New Roman" w:hAnsi="Times New Roman" w:eastAsia="宋体"/>
          <w:color w:val="auto"/>
          <w:kern w:val="0"/>
          <w:sz w:val="24"/>
        </w:rPr>
      </w:pPr>
      <w:r>
        <w:rPr>
          <w:rFonts w:hint="eastAsia" w:ascii="Times New Roman" w:hAnsi="Times New Roman" w:eastAsia="宋体"/>
          <w:color w:val="auto"/>
          <w:kern w:val="0"/>
          <w:sz w:val="24"/>
          <w:lang w:val="en-US" w:eastAsia="zh-CN"/>
        </w:rPr>
        <w:t>e.</w:t>
      </w:r>
      <w:r>
        <w:rPr>
          <w:rFonts w:hint="eastAsia" w:ascii="Times New Roman" w:hAnsi="Times New Roman" w:eastAsia="宋体"/>
          <w:color w:val="auto"/>
          <w:kern w:val="0"/>
          <w:sz w:val="24"/>
        </w:rPr>
        <w:t>工程固废堆存时，应设置专用堆放场地，并有防扬散、防流失、对有毒有害固 废采取防渗漏措施。</w:t>
      </w:r>
    </w:p>
    <w:p>
      <w:pPr>
        <w:snapToGrid w:val="0"/>
        <w:spacing w:line="360" w:lineRule="auto"/>
        <w:ind w:firstLine="480" w:firstLineChars="200"/>
        <w:rPr>
          <w:rFonts w:hint="eastAsia" w:ascii="Times New Roman" w:hAnsi="Times New Roman" w:eastAsia="宋体"/>
          <w:color w:val="auto"/>
          <w:kern w:val="0"/>
          <w:sz w:val="24"/>
        </w:rPr>
      </w:pPr>
      <w:r>
        <w:rPr>
          <w:rFonts w:hint="eastAsia" w:ascii="Times New Roman" w:hAnsi="Times New Roman" w:eastAsia="宋体"/>
          <w:color w:val="auto"/>
          <w:kern w:val="0"/>
          <w:sz w:val="24"/>
        </w:rPr>
        <w:t>②排放源建档</w:t>
      </w:r>
    </w:p>
    <w:p>
      <w:pPr>
        <w:snapToGrid w:val="0"/>
        <w:spacing w:line="360" w:lineRule="auto"/>
        <w:ind w:firstLine="480" w:firstLineChars="200"/>
        <w:rPr>
          <w:rFonts w:hint="eastAsia" w:ascii="Times New Roman" w:hAnsi="Times New Roman" w:eastAsia="宋体"/>
          <w:color w:val="auto"/>
          <w:kern w:val="0"/>
          <w:sz w:val="24"/>
        </w:rPr>
      </w:pPr>
      <w:r>
        <w:rPr>
          <w:rFonts w:hint="eastAsia" w:ascii="Times New Roman" w:hAnsi="Times New Roman" w:eastAsia="宋体"/>
          <w:color w:val="auto"/>
          <w:kern w:val="0"/>
          <w:sz w:val="24"/>
          <w:lang w:val="en-US" w:eastAsia="zh-CN"/>
        </w:rPr>
        <w:t>a.</w:t>
      </w:r>
      <w:r>
        <w:rPr>
          <w:rFonts w:hint="eastAsia" w:ascii="Times New Roman" w:hAnsi="Times New Roman" w:eastAsia="宋体"/>
          <w:color w:val="auto"/>
          <w:kern w:val="0"/>
          <w:sz w:val="24"/>
        </w:rPr>
        <w:t>本项目应使用生态环境部统一印制的《中华人民共和国规范化排污口标志登记证》，并按要求填写有关内容。</w:t>
      </w:r>
    </w:p>
    <w:p>
      <w:pPr>
        <w:snapToGrid w:val="0"/>
        <w:spacing w:line="360" w:lineRule="auto"/>
        <w:ind w:firstLine="480" w:firstLineChars="200"/>
        <w:rPr>
          <w:rFonts w:ascii="Times New Roman" w:hAnsi="Times New Roman" w:eastAsia="宋体"/>
          <w:color w:val="auto"/>
          <w:kern w:val="0"/>
          <w:sz w:val="24"/>
        </w:rPr>
      </w:pPr>
      <w:r>
        <w:rPr>
          <w:rFonts w:hint="eastAsia" w:ascii="Times New Roman" w:hAnsi="Times New Roman" w:eastAsia="宋体"/>
          <w:color w:val="auto"/>
          <w:kern w:val="0"/>
          <w:sz w:val="24"/>
        </w:rPr>
        <w:t>b.根据排污口管理内容要求，项目建成投产后，应将主要污染物种类、数量、浓度、排放去向，立标情况及设施运行情况记录于档案。</w:t>
      </w:r>
    </w:p>
    <w:p>
      <w:pPr>
        <w:pStyle w:val="86"/>
        <w:adjustRightInd w:val="0"/>
        <w:snapToGrid w:val="0"/>
        <w:spacing w:beforeLines="0" w:afterLines="0"/>
        <w:rPr>
          <w:rFonts w:hint="eastAsia" w:ascii="Times New Roman" w:hAnsi="Times New Roman" w:eastAsia="宋体"/>
          <w:color w:val="auto"/>
          <w:lang w:val="en-US" w:eastAsia="zh-CN"/>
        </w:rPr>
      </w:pPr>
      <w:bookmarkStart w:id="364" w:name="_Toc8420"/>
      <w:bookmarkStart w:id="365" w:name="_Toc385953059"/>
      <w:bookmarkStart w:id="366" w:name="_Toc366870443"/>
      <w:bookmarkStart w:id="367" w:name="_Toc385952930"/>
      <w:bookmarkStart w:id="368" w:name="_Toc385952736"/>
      <w:bookmarkStart w:id="369" w:name="_Toc406416659"/>
      <w:bookmarkStart w:id="370" w:name="_Toc470854090"/>
      <w:bookmarkStart w:id="371" w:name="_Toc406416483"/>
      <w:bookmarkStart w:id="372" w:name="_Toc502454041"/>
      <w:bookmarkStart w:id="373" w:name="_Toc3904"/>
      <w:bookmarkStart w:id="374" w:name="_Toc366870445"/>
      <w:bookmarkStart w:id="375" w:name="_Toc337391788"/>
      <w:bookmarkStart w:id="376" w:name="_Toc385952932"/>
      <w:bookmarkStart w:id="377" w:name="_Toc385952738"/>
      <w:bookmarkStart w:id="378" w:name="_Toc385953061"/>
      <w:bookmarkStart w:id="379" w:name="_Toc354925014"/>
      <w:r>
        <w:rPr>
          <w:rFonts w:hint="eastAsia" w:ascii="Times New Roman" w:hAnsi="Times New Roman" w:eastAsia="宋体"/>
          <w:color w:val="auto"/>
        </w:rPr>
        <w:t>8.</w:t>
      </w:r>
      <w:bookmarkEnd w:id="364"/>
      <w:bookmarkEnd w:id="365"/>
      <w:bookmarkEnd w:id="366"/>
      <w:bookmarkEnd w:id="367"/>
      <w:bookmarkEnd w:id="368"/>
      <w:bookmarkEnd w:id="369"/>
      <w:bookmarkEnd w:id="370"/>
      <w:bookmarkEnd w:id="371"/>
      <w:bookmarkEnd w:id="372"/>
      <w:r>
        <w:rPr>
          <w:rFonts w:hint="eastAsia" w:ascii="Times New Roman" w:hAnsi="Times New Roman" w:eastAsia="宋体"/>
          <w:color w:val="auto"/>
          <w:lang w:val="en-US" w:eastAsia="zh-CN"/>
        </w:rPr>
        <w:t>4环境管理和监测费用预算</w:t>
      </w:r>
      <w:bookmarkEnd w:id="373"/>
    </w:p>
    <w:p>
      <w:pPr>
        <w:snapToGrid w:val="0"/>
        <w:spacing w:line="360" w:lineRule="auto"/>
        <w:ind w:firstLine="480" w:firstLineChars="200"/>
        <w:rPr>
          <w:rFonts w:hint="eastAsia" w:ascii="Times New Roman" w:hAnsi="Times New Roman" w:eastAsia="宋体"/>
          <w:color w:val="auto"/>
          <w:kern w:val="0"/>
          <w:sz w:val="24"/>
          <w:lang w:val="en-US" w:eastAsia="zh-CN"/>
        </w:rPr>
      </w:pPr>
      <w:r>
        <w:rPr>
          <w:rFonts w:hint="eastAsia" w:ascii="Times New Roman" w:hAnsi="Times New Roman" w:eastAsia="宋体"/>
          <w:color w:val="auto"/>
          <w:kern w:val="0"/>
          <w:sz w:val="24"/>
          <w:lang w:val="en-US" w:eastAsia="zh-CN"/>
        </w:rPr>
        <w:t>环境管理和环境监测经费预算包括一次性投资和常规性开支等。</w:t>
      </w:r>
    </w:p>
    <w:p>
      <w:pPr>
        <w:adjustRightInd w:val="0"/>
        <w:snapToGrid w:val="0"/>
        <w:spacing w:line="360" w:lineRule="auto"/>
        <w:outlineLvl w:val="2"/>
        <w:rPr>
          <w:rFonts w:hint="eastAsia" w:ascii="Times New Roman" w:hAnsi="Times New Roman" w:eastAsia="宋体"/>
          <w:b/>
          <w:color w:val="auto"/>
          <w:sz w:val="28"/>
          <w:szCs w:val="28"/>
          <w:lang w:eastAsia="zh-CN"/>
        </w:rPr>
      </w:pPr>
      <w:bookmarkStart w:id="380" w:name="_Toc502454042"/>
      <w:bookmarkStart w:id="381" w:name="_Toc24308"/>
      <w:r>
        <w:rPr>
          <w:rFonts w:hint="eastAsia" w:ascii="Times New Roman" w:hAnsi="Times New Roman" w:eastAsia="宋体"/>
          <w:b/>
          <w:color w:val="auto"/>
          <w:sz w:val="28"/>
          <w:szCs w:val="28"/>
        </w:rPr>
        <w:t>8.</w:t>
      </w:r>
      <w:r>
        <w:rPr>
          <w:rFonts w:hint="eastAsia" w:ascii="Times New Roman" w:hAnsi="Times New Roman" w:eastAsia="宋体"/>
          <w:b/>
          <w:color w:val="auto"/>
          <w:sz w:val="28"/>
          <w:szCs w:val="28"/>
          <w:lang w:val="en-US" w:eastAsia="zh-CN"/>
        </w:rPr>
        <w:t>4</w:t>
      </w:r>
      <w:r>
        <w:rPr>
          <w:rFonts w:hint="eastAsia" w:ascii="Times New Roman" w:hAnsi="Times New Roman" w:eastAsia="宋体"/>
          <w:b/>
          <w:color w:val="auto"/>
          <w:sz w:val="28"/>
          <w:szCs w:val="28"/>
        </w:rPr>
        <w:t>.1</w:t>
      </w:r>
      <w:bookmarkEnd w:id="380"/>
      <w:bookmarkEnd w:id="381"/>
      <w:r>
        <w:rPr>
          <w:rFonts w:hint="eastAsia" w:ascii="Times New Roman" w:hAnsi="Times New Roman" w:eastAsia="宋体"/>
          <w:b/>
          <w:color w:val="auto"/>
          <w:sz w:val="28"/>
          <w:szCs w:val="28"/>
          <w:lang w:eastAsia="zh-CN"/>
        </w:rPr>
        <w:t>一次性投资</w:t>
      </w:r>
    </w:p>
    <w:p>
      <w:pPr>
        <w:snapToGrid w:val="0"/>
        <w:spacing w:line="360" w:lineRule="auto"/>
        <w:ind w:firstLine="480" w:firstLineChars="200"/>
        <w:rPr>
          <w:rFonts w:ascii="Times New Roman" w:hAnsi="Times New Roman" w:eastAsia="宋体"/>
          <w:color w:val="auto"/>
          <w:kern w:val="0"/>
          <w:sz w:val="24"/>
        </w:rPr>
      </w:pPr>
      <w:r>
        <w:rPr>
          <w:rFonts w:hint="eastAsia" w:ascii="Times New Roman" w:hAnsi="Times New Roman" w:eastAsia="宋体"/>
          <w:color w:val="auto"/>
          <w:kern w:val="0"/>
          <w:sz w:val="24"/>
        </w:rPr>
        <w:t>环境监测委托当地有资质的单位负责进行，建设单位不再进行监测仪器的购置。</w:t>
      </w:r>
    </w:p>
    <w:p>
      <w:pPr>
        <w:adjustRightInd w:val="0"/>
        <w:snapToGrid w:val="0"/>
        <w:spacing w:line="360" w:lineRule="auto"/>
        <w:outlineLvl w:val="2"/>
        <w:rPr>
          <w:rFonts w:hint="eastAsia" w:ascii="Times New Roman" w:hAnsi="Times New Roman" w:eastAsia="宋体"/>
          <w:b/>
          <w:color w:val="auto"/>
          <w:sz w:val="28"/>
          <w:szCs w:val="28"/>
          <w:lang w:eastAsia="zh-CN"/>
        </w:rPr>
      </w:pPr>
      <w:bookmarkStart w:id="382" w:name="_Toc23627"/>
      <w:bookmarkStart w:id="383" w:name="_Toc502454043"/>
      <w:r>
        <w:rPr>
          <w:rFonts w:hint="eastAsia" w:ascii="Times New Roman" w:hAnsi="Times New Roman" w:eastAsia="宋体"/>
          <w:b/>
          <w:color w:val="auto"/>
          <w:sz w:val="28"/>
          <w:szCs w:val="28"/>
        </w:rPr>
        <w:t>8.</w:t>
      </w:r>
      <w:r>
        <w:rPr>
          <w:rFonts w:hint="eastAsia" w:ascii="Times New Roman" w:hAnsi="Times New Roman" w:eastAsia="宋体"/>
          <w:b/>
          <w:color w:val="auto"/>
          <w:sz w:val="28"/>
          <w:szCs w:val="28"/>
          <w:lang w:val="en-US" w:eastAsia="zh-CN"/>
        </w:rPr>
        <w:t>4</w:t>
      </w:r>
      <w:r>
        <w:rPr>
          <w:rFonts w:hint="eastAsia" w:ascii="Times New Roman" w:hAnsi="Times New Roman" w:eastAsia="宋体"/>
          <w:b/>
          <w:color w:val="auto"/>
          <w:sz w:val="28"/>
          <w:szCs w:val="28"/>
        </w:rPr>
        <w:t>.2</w:t>
      </w:r>
      <w:bookmarkEnd w:id="382"/>
      <w:bookmarkEnd w:id="383"/>
      <w:r>
        <w:rPr>
          <w:rFonts w:hint="eastAsia" w:ascii="Times New Roman" w:hAnsi="Times New Roman" w:eastAsia="宋体"/>
          <w:b/>
          <w:color w:val="auto"/>
          <w:sz w:val="28"/>
          <w:szCs w:val="28"/>
          <w:lang w:eastAsia="zh-CN"/>
        </w:rPr>
        <w:t>常规性开支</w:t>
      </w:r>
    </w:p>
    <w:p>
      <w:pPr>
        <w:snapToGrid w:val="0"/>
        <w:spacing w:line="360" w:lineRule="auto"/>
        <w:ind w:firstLine="480" w:firstLineChars="200"/>
        <w:rPr>
          <w:rFonts w:ascii="Times New Roman" w:hAnsi="Times New Roman" w:eastAsia="宋体"/>
          <w:color w:val="auto"/>
          <w:kern w:val="0"/>
          <w:sz w:val="24"/>
        </w:rPr>
      </w:pPr>
      <w:r>
        <w:rPr>
          <w:rFonts w:hint="eastAsia" w:ascii="Times New Roman" w:hAnsi="Times New Roman" w:eastAsia="宋体"/>
          <w:color w:val="auto"/>
          <w:kern w:val="0"/>
          <w:sz w:val="24"/>
        </w:rPr>
        <w:t>常规性开支包括环保科人员进行日常工作，开展宣传教育、报刊订阅、维修设备仪器、进行监测等工作的费用，预计每年 2 万元。</w:t>
      </w:r>
    </w:p>
    <w:p>
      <w:pPr>
        <w:adjustRightInd w:val="0"/>
        <w:snapToGrid w:val="0"/>
        <w:spacing w:line="360" w:lineRule="auto"/>
        <w:outlineLvl w:val="2"/>
        <w:rPr>
          <w:rFonts w:hint="eastAsia" w:ascii="Times New Roman" w:hAnsi="Times New Roman" w:eastAsia="宋体"/>
          <w:b/>
          <w:color w:val="auto"/>
          <w:sz w:val="28"/>
          <w:szCs w:val="28"/>
        </w:rPr>
      </w:pPr>
      <w:bookmarkStart w:id="384" w:name="_Toc11237"/>
      <w:bookmarkStart w:id="385" w:name="_Toc502454044"/>
      <w:r>
        <w:rPr>
          <w:rFonts w:hint="eastAsia" w:ascii="Times New Roman" w:hAnsi="Times New Roman" w:eastAsia="宋体"/>
          <w:b/>
          <w:color w:val="auto"/>
          <w:sz w:val="28"/>
          <w:szCs w:val="28"/>
        </w:rPr>
        <w:t>8.</w:t>
      </w:r>
      <w:r>
        <w:rPr>
          <w:rFonts w:hint="eastAsia" w:ascii="Times New Roman" w:hAnsi="Times New Roman" w:eastAsia="宋体"/>
          <w:b/>
          <w:color w:val="auto"/>
          <w:sz w:val="28"/>
          <w:szCs w:val="28"/>
          <w:lang w:val="en-US" w:eastAsia="zh-CN"/>
        </w:rPr>
        <w:t>4</w:t>
      </w:r>
      <w:r>
        <w:rPr>
          <w:rFonts w:hint="eastAsia" w:ascii="Times New Roman" w:hAnsi="Times New Roman" w:eastAsia="宋体"/>
          <w:b/>
          <w:color w:val="auto"/>
          <w:sz w:val="28"/>
          <w:szCs w:val="28"/>
        </w:rPr>
        <w:t>.3</w:t>
      </w:r>
      <w:bookmarkEnd w:id="384"/>
      <w:bookmarkEnd w:id="385"/>
      <w:r>
        <w:rPr>
          <w:rFonts w:hint="eastAsia" w:ascii="Times New Roman" w:hAnsi="Times New Roman" w:eastAsia="宋体"/>
          <w:b/>
          <w:color w:val="auto"/>
          <w:sz w:val="28"/>
          <w:szCs w:val="28"/>
        </w:rPr>
        <w:t>监测计划的实施及档案管理</w:t>
      </w:r>
    </w:p>
    <w:p>
      <w:pPr>
        <w:snapToGrid w:val="0"/>
        <w:spacing w:line="360" w:lineRule="auto"/>
        <w:ind w:firstLine="480" w:firstLineChars="200"/>
        <w:rPr>
          <w:rFonts w:hint="eastAsia" w:ascii="Times New Roman" w:hAnsi="Times New Roman" w:eastAsia="宋体"/>
          <w:color w:val="auto"/>
          <w:kern w:val="0"/>
          <w:sz w:val="24"/>
        </w:rPr>
      </w:pPr>
      <w:r>
        <w:rPr>
          <w:rFonts w:hint="eastAsia" w:ascii="Times New Roman" w:hAnsi="Times New Roman" w:eastAsia="宋体"/>
          <w:color w:val="auto"/>
          <w:kern w:val="0"/>
          <w:sz w:val="24"/>
        </w:rPr>
        <w:t>根据上表的监测计划和内容，所有项目监测分析方法均按</w:t>
      </w:r>
      <w:r>
        <w:rPr>
          <w:rFonts w:hint="eastAsia" w:ascii="Times New Roman" w:hAnsi="Times New Roman" w:eastAsia="宋体"/>
          <w:color w:val="auto"/>
          <w:sz w:val="24"/>
          <w:lang w:eastAsia="zh-CN"/>
        </w:rPr>
        <w:t>《畜禽养殖业污染物排放标准》（</w:t>
      </w:r>
      <w:r>
        <w:rPr>
          <w:rFonts w:hint="eastAsia" w:ascii="Times New Roman" w:hAnsi="Times New Roman" w:eastAsia="宋体"/>
          <w:color w:val="auto"/>
          <w:sz w:val="24"/>
          <w:lang w:val="en-US" w:eastAsia="zh-CN"/>
        </w:rPr>
        <w:t>GB18596-2001</w:t>
      </w:r>
      <w:r>
        <w:rPr>
          <w:rFonts w:hint="eastAsia" w:ascii="Times New Roman" w:hAnsi="Times New Roman" w:eastAsia="宋体"/>
          <w:color w:val="auto"/>
          <w:sz w:val="24"/>
          <w:lang w:eastAsia="zh-CN"/>
        </w:rPr>
        <w:t>）中表</w:t>
      </w:r>
      <w:r>
        <w:rPr>
          <w:rFonts w:hint="eastAsia" w:ascii="Times New Roman" w:hAnsi="Times New Roman" w:eastAsia="宋体"/>
          <w:color w:val="auto"/>
          <w:sz w:val="24"/>
          <w:lang w:val="en-US" w:eastAsia="zh-CN"/>
        </w:rPr>
        <w:t>8</w:t>
      </w:r>
      <w:r>
        <w:rPr>
          <w:rFonts w:hint="eastAsia" w:ascii="Times New Roman" w:hAnsi="Times New Roman" w:eastAsia="宋体"/>
          <w:color w:val="auto"/>
          <w:kern w:val="0"/>
          <w:sz w:val="24"/>
        </w:rPr>
        <w:t>中相应项目的监测分析方法执行，评价标准执行当地生态环境局对本次环评批复的国家标准。</w:t>
      </w:r>
    </w:p>
    <w:p>
      <w:pPr>
        <w:snapToGrid w:val="0"/>
        <w:spacing w:line="360" w:lineRule="auto"/>
        <w:ind w:firstLine="480" w:firstLineChars="200"/>
        <w:rPr>
          <w:rFonts w:hint="eastAsia" w:ascii="Times New Roman" w:hAnsi="Times New Roman" w:eastAsia="宋体"/>
          <w:color w:val="auto"/>
          <w:kern w:val="0"/>
          <w:sz w:val="24"/>
        </w:rPr>
      </w:pPr>
      <w:r>
        <w:rPr>
          <w:rFonts w:hint="eastAsia" w:ascii="Times New Roman" w:hAnsi="Times New Roman" w:eastAsia="宋体"/>
          <w:color w:val="auto"/>
          <w:kern w:val="0"/>
          <w:sz w:val="24"/>
        </w:rPr>
        <w:t>企业对自身污染源及污染物排放实行例行监测、控制污染是企业做好环境保护职责之一。监测资料应进行技术分析、分类存档、科学管理为企业防治环境污染途径和治理措施提供必要的依据；同时也是企业的环境保护资料统计上报、查阅、目标管理等必须要做的工作内容之一。</w:t>
      </w:r>
    </w:p>
    <w:p>
      <w:pPr>
        <w:pStyle w:val="86"/>
        <w:adjustRightInd w:val="0"/>
        <w:snapToGrid w:val="0"/>
        <w:spacing w:beforeLines="0" w:afterLines="0"/>
        <w:rPr>
          <w:rFonts w:hint="eastAsia" w:ascii="Times New Roman" w:hAnsi="Times New Roman" w:eastAsia="宋体"/>
          <w:color w:val="auto"/>
          <w:highlight w:val="none"/>
          <w:lang w:eastAsia="zh-CN"/>
        </w:rPr>
      </w:pPr>
      <w:bookmarkStart w:id="386" w:name="_Toc502454045"/>
      <w:bookmarkStart w:id="387" w:name="_Toc23466"/>
      <w:bookmarkStart w:id="388" w:name="_Toc32563"/>
      <w:bookmarkStart w:id="389" w:name="_Toc470854091"/>
      <w:r>
        <w:rPr>
          <w:rFonts w:hint="eastAsia" w:ascii="Times New Roman" w:hAnsi="Times New Roman" w:eastAsia="宋体"/>
          <w:color w:val="auto"/>
          <w:highlight w:val="none"/>
        </w:rPr>
        <w:t>8.</w:t>
      </w:r>
      <w:bookmarkEnd w:id="386"/>
      <w:bookmarkEnd w:id="387"/>
      <w:r>
        <w:rPr>
          <w:rFonts w:hint="eastAsia" w:ascii="Times New Roman" w:hAnsi="Times New Roman" w:eastAsia="宋体"/>
          <w:color w:val="auto"/>
          <w:highlight w:val="none"/>
          <w:lang w:val="en-US" w:eastAsia="zh-CN"/>
        </w:rPr>
        <w:t>5污染物排放清单及管理要求</w:t>
      </w:r>
      <w:bookmarkEnd w:id="388"/>
    </w:p>
    <w:p>
      <w:pPr>
        <w:adjustRightInd w:val="0"/>
        <w:snapToGrid w:val="0"/>
        <w:spacing w:line="360" w:lineRule="auto"/>
        <w:outlineLvl w:val="2"/>
        <w:rPr>
          <w:rFonts w:hint="eastAsia" w:ascii="Times New Roman" w:hAnsi="Times New Roman" w:eastAsia="宋体"/>
          <w:b/>
          <w:color w:val="auto"/>
          <w:sz w:val="28"/>
          <w:szCs w:val="28"/>
          <w:highlight w:val="none"/>
        </w:rPr>
      </w:pPr>
      <w:bookmarkStart w:id="390" w:name="_Toc20558"/>
      <w:r>
        <w:rPr>
          <w:rFonts w:hint="eastAsia" w:ascii="Times New Roman" w:hAnsi="Times New Roman" w:eastAsia="宋体"/>
          <w:b/>
          <w:color w:val="auto"/>
          <w:sz w:val="28"/>
          <w:szCs w:val="28"/>
          <w:highlight w:val="none"/>
        </w:rPr>
        <w:t>8.</w:t>
      </w:r>
      <w:r>
        <w:rPr>
          <w:rFonts w:hint="eastAsia" w:ascii="Times New Roman" w:hAnsi="Times New Roman" w:eastAsia="宋体"/>
          <w:b/>
          <w:color w:val="auto"/>
          <w:sz w:val="28"/>
          <w:szCs w:val="28"/>
          <w:highlight w:val="none"/>
          <w:lang w:val="en-US" w:eastAsia="zh-CN"/>
        </w:rPr>
        <w:t>5</w:t>
      </w:r>
      <w:r>
        <w:rPr>
          <w:rFonts w:hint="eastAsia" w:ascii="Times New Roman" w:hAnsi="Times New Roman" w:eastAsia="宋体"/>
          <w:b/>
          <w:color w:val="auto"/>
          <w:sz w:val="28"/>
          <w:szCs w:val="28"/>
          <w:highlight w:val="none"/>
        </w:rPr>
        <w:t>.1污染物排放清单</w:t>
      </w:r>
      <w:bookmarkEnd w:id="390"/>
    </w:p>
    <w:p>
      <w:pPr>
        <w:ind w:firstLine="480"/>
        <w:rPr>
          <w:rFonts w:ascii="Times New Roman" w:hAnsi="Times New Roman" w:eastAsia="宋体"/>
          <w:color w:val="auto"/>
          <w:sz w:val="24"/>
          <w:highlight w:val="none"/>
        </w:rPr>
      </w:pPr>
      <w:r>
        <w:rPr>
          <w:rFonts w:ascii="Times New Roman" w:hAnsi="Times New Roman" w:eastAsia="宋体"/>
          <w:color w:val="auto"/>
          <w:sz w:val="24"/>
          <w:highlight w:val="none"/>
        </w:rPr>
        <w:t>本项目污染物排放情况详见下表。</w:t>
      </w:r>
    </w:p>
    <w:p>
      <w:pPr>
        <w:rPr>
          <w:rFonts w:ascii="Times New Roman" w:hAnsi="Times New Roman" w:eastAsia="宋体"/>
          <w:b/>
          <w:color w:val="auto"/>
          <w:szCs w:val="21"/>
          <w:highlight w:val="none"/>
        </w:rPr>
        <w:sectPr>
          <w:pgSz w:w="11906" w:h="16838"/>
          <w:pgMar w:top="1440" w:right="1451" w:bottom="1440" w:left="1451" w:header="851" w:footer="992" w:gutter="0"/>
          <w:pgBorders>
            <w:top w:val="none" w:sz="0" w:space="0"/>
            <w:left w:val="none" w:sz="0" w:space="0"/>
            <w:bottom w:val="none" w:sz="0" w:space="0"/>
            <w:right w:val="none" w:sz="0" w:space="0"/>
          </w:pgBorders>
          <w:pgNumType w:fmt="decimal"/>
          <w:cols w:space="0" w:num="1"/>
          <w:rtlGutter w:val="0"/>
          <w:docGrid w:type="lines" w:linePitch="321" w:charSpace="0"/>
        </w:sectPr>
      </w:pPr>
    </w:p>
    <w:p>
      <w:pPr>
        <w:ind w:firstLine="480"/>
        <w:jc w:val="center"/>
        <w:rPr>
          <w:rFonts w:ascii="Times New Roman" w:hAnsi="Times New Roman" w:eastAsia="宋体"/>
          <w:b/>
          <w:color w:val="auto"/>
          <w:szCs w:val="21"/>
        </w:rPr>
      </w:pPr>
      <w:r>
        <w:rPr>
          <w:rFonts w:ascii="Times New Roman" w:hAnsi="Times New Roman" w:eastAsia="宋体"/>
          <w:b/>
          <w:color w:val="auto"/>
          <w:szCs w:val="21"/>
        </w:rPr>
        <w:t>表</w:t>
      </w:r>
      <w:r>
        <w:rPr>
          <w:rFonts w:hint="eastAsia" w:ascii="Times New Roman" w:hAnsi="Times New Roman" w:eastAsia="宋体"/>
          <w:b/>
          <w:color w:val="auto"/>
          <w:szCs w:val="21"/>
        </w:rPr>
        <w:t>8</w:t>
      </w:r>
      <w:r>
        <w:rPr>
          <w:rFonts w:ascii="Times New Roman" w:hAnsi="Times New Roman" w:eastAsia="宋体"/>
          <w:b/>
          <w:color w:val="auto"/>
          <w:szCs w:val="21"/>
        </w:rPr>
        <w:t>.</w:t>
      </w:r>
      <w:r>
        <w:rPr>
          <w:rFonts w:hint="eastAsia" w:ascii="Times New Roman" w:hAnsi="Times New Roman" w:eastAsia="宋体"/>
          <w:b/>
          <w:color w:val="auto"/>
          <w:szCs w:val="21"/>
          <w:lang w:val="en-US" w:eastAsia="zh-CN"/>
        </w:rPr>
        <w:t>5</w:t>
      </w:r>
      <w:r>
        <w:rPr>
          <w:rFonts w:ascii="Times New Roman" w:hAnsi="Times New Roman" w:eastAsia="宋体"/>
          <w:b/>
          <w:color w:val="auto"/>
          <w:szCs w:val="21"/>
        </w:rPr>
        <w:t>-1 本</w:t>
      </w:r>
      <w:r>
        <w:rPr>
          <w:rFonts w:hint="eastAsia" w:ascii="Times New Roman" w:hAnsi="Times New Roman" w:eastAsia="宋体"/>
          <w:b/>
          <w:color w:val="auto"/>
          <w:szCs w:val="21"/>
        </w:rPr>
        <w:t>项目</w:t>
      </w:r>
      <w:r>
        <w:rPr>
          <w:rFonts w:ascii="Times New Roman" w:hAnsi="Times New Roman" w:eastAsia="宋体"/>
          <w:b/>
          <w:color w:val="auto"/>
          <w:szCs w:val="21"/>
        </w:rPr>
        <w:t>污染物排放清单</w:t>
      </w:r>
    </w:p>
    <w:tbl>
      <w:tblPr>
        <w:tblStyle w:val="34"/>
        <w:tblW w:w="14077" w:type="dxa"/>
        <w:tblInd w:w="0" w:type="dxa"/>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Layout w:type="fixed"/>
        <w:tblCellMar>
          <w:top w:w="0" w:type="dxa"/>
          <w:left w:w="108" w:type="dxa"/>
          <w:bottom w:w="0" w:type="dxa"/>
          <w:right w:w="108" w:type="dxa"/>
        </w:tblCellMar>
      </w:tblPr>
      <w:tblGrid>
        <w:gridCol w:w="339"/>
        <w:gridCol w:w="945"/>
        <w:gridCol w:w="295"/>
        <w:gridCol w:w="822"/>
        <w:gridCol w:w="2537"/>
        <w:gridCol w:w="1101"/>
        <w:gridCol w:w="1007"/>
        <w:gridCol w:w="899"/>
        <w:gridCol w:w="995"/>
        <w:gridCol w:w="804"/>
        <w:gridCol w:w="408"/>
        <w:gridCol w:w="2250"/>
        <w:gridCol w:w="1675"/>
      </w:tblGrid>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64" w:hRule="atLeast"/>
        </w:trPr>
        <w:tc>
          <w:tcPr>
            <w:tcW w:w="339" w:type="dxa"/>
            <w:vMerge w:val="restart"/>
            <w:tcBorders>
              <w:tl2br w:val="nil"/>
              <w:tr2bl w:val="nil"/>
            </w:tcBorders>
            <w:tcMar>
              <w:left w:w="28" w:type="dxa"/>
              <w:right w:w="28" w:type="dxa"/>
            </w:tcMar>
            <w:vAlign w:val="center"/>
          </w:tcPr>
          <w:p>
            <w:pPr>
              <w:adjustRightInd w:val="0"/>
              <w:snapToGrid w:val="0"/>
              <w:jc w:val="center"/>
              <w:rPr>
                <w:rFonts w:ascii="Times New Roman" w:hAnsi="Times New Roman" w:eastAsia="宋体"/>
                <w:b/>
                <w:bCs/>
                <w:color w:val="auto"/>
                <w:szCs w:val="21"/>
              </w:rPr>
            </w:pPr>
            <w:r>
              <w:rPr>
                <w:rFonts w:hint="eastAsia" w:ascii="Times New Roman" w:hAnsi="Times New Roman" w:eastAsia="宋体"/>
                <w:b/>
                <w:bCs/>
                <w:color w:val="auto"/>
                <w:szCs w:val="21"/>
              </w:rPr>
              <w:t>类别</w:t>
            </w:r>
          </w:p>
        </w:tc>
        <w:tc>
          <w:tcPr>
            <w:tcW w:w="945" w:type="dxa"/>
            <w:vMerge w:val="restart"/>
            <w:tcBorders>
              <w:tl2br w:val="nil"/>
              <w:tr2bl w:val="nil"/>
            </w:tcBorders>
            <w:tcMar>
              <w:left w:w="28" w:type="dxa"/>
              <w:right w:w="28" w:type="dxa"/>
            </w:tcMar>
            <w:vAlign w:val="center"/>
          </w:tcPr>
          <w:p>
            <w:pPr>
              <w:adjustRightInd w:val="0"/>
              <w:snapToGrid w:val="0"/>
              <w:jc w:val="center"/>
              <w:rPr>
                <w:rFonts w:ascii="Times New Roman" w:hAnsi="Times New Roman" w:eastAsia="宋体"/>
                <w:b/>
                <w:bCs/>
                <w:color w:val="auto"/>
                <w:szCs w:val="21"/>
              </w:rPr>
            </w:pPr>
            <w:r>
              <w:rPr>
                <w:rFonts w:hint="eastAsia" w:ascii="Times New Roman" w:hAnsi="Times New Roman" w:eastAsia="宋体"/>
                <w:b/>
                <w:bCs/>
                <w:color w:val="auto"/>
                <w:szCs w:val="21"/>
                <w:lang w:eastAsia="zh-CN"/>
              </w:rPr>
              <w:t>污染源</w:t>
            </w:r>
          </w:p>
        </w:tc>
        <w:tc>
          <w:tcPr>
            <w:tcW w:w="1117" w:type="dxa"/>
            <w:gridSpan w:val="2"/>
            <w:vMerge w:val="restart"/>
            <w:tcBorders>
              <w:tl2br w:val="nil"/>
              <w:tr2bl w:val="nil"/>
            </w:tcBorders>
            <w:tcMar>
              <w:left w:w="28" w:type="dxa"/>
              <w:right w:w="28" w:type="dxa"/>
            </w:tcMar>
            <w:vAlign w:val="center"/>
          </w:tcPr>
          <w:p>
            <w:pPr>
              <w:adjustRightInd w:val="0"/>
              <w:snapToGrid w:val="0"/>
              <w:jc w:val="center"/>
              <w:rPr>
                <w:rFonts w:ascii="Times New Roman" w:hAnsi="Times New Roman" w:eastAsia="宋体"/>
                <w:b/>
                <w:bCs/>
                <w:color w:val="auto"/>
                <w:szCs w:val="21"/>
              </w:rPr>
            </w:pPr>
            <w:r>
              <w:rPr>
                <w:rFonts w:ascii="Times New Roman" w:hAnsi="Times New Roman" w:eastAsia="宋体"/>
                <w:b/>
                <w:bCs/>
                <w:color w:val="auto"/>
                <w:szCs w:val="21"/>
              </w:rPr>
              <w:t>污染因子</w:t>
            </w:r>
          </w:p>
        </w:tc>
        <w:tc>
          <w:tcPr>
            <w:tcW w:w="2537" w:type="dxa"/>
            <w:vMerge w:val="restart"/>
            <w:tcBorders>
              <w:tl2br w:val="nil"/>
              <w:tr2bl w:val="nil"/>
            </w:tcBorders>
            <w:tcMar>
              <w:left w:w="28" w:type="dxa"/>
              <w:right w:w="28" w:type="dxa"/>
            </w:tcMar>
            <w:vAlign w:val="center"/>
          </w:tcPr>
          <w:p>
            <w:pPr>
              <w:adjustRightInd w:val="0"/>
              <w:snapToGrid w:val="0"/>
              <w:jc w:val="center"/>
              <w:rPr>
                <w:rFonts w:ascii="Times New Roman" w:hAnsi="Times New Roman" w:eastAsia="宋体"/>
                <w:b/>
                <w:bCs/>
                <w:color w:val="auto"/>
                <w:szCs w:val="21"/>
              </w:rPr>
            </w:pPr>
            <w:r>
              <w:rPr>
                <w:rFonts w:hint="eastAsia" w:ascii="Times New Roman" w:hAnsi="Times New Roman" w:eastAsia="宋体"/>
                <w:b/>
                <w:bCs/>
                <w:color w:val="auto"/>
                <w:szCs w:val="21"/>
              </w:rPr>
              <w:t>拟采取的环保措施及运行参数</w:t>
            </w:r>
          </w:p>
        </w:tc>
        <w:tc>
          <w:tcPr>
            <w:tcW w:w="3007" w:type="dxa"/>
            <w:gridSpan w:val="3"/>
            <w:tcBorders>
              <w:tl2br w:val="nil"/>
              <w:tr2bl w:val="nil"/>
            </w:tcBorders>
            <w:tcMar>
              <w:left w:w="28" w:type="dxa"/>
              <w:right w:w="28" w:type="dxa"/>
            </w:tcMar>
            <w:vAlign w:val="center"/>
          </w:tcPr>
          <w:p>
            <w:pPr>
              <w:adjustRightInd w:val="0"/>
              <w:snapToGrid w:val="0"/>
              <w:jc w:val="center"/>
              <w:rPr>
                <w:rFonts w:ascii="Times New Roman" w:hAnsi="Times New Roman" w:eastAsia="宋体"/>
                <w:b/>
                <w:bCs/>
                <w:color w:val="auto"/>
                <w:szCs w:val="21"/>
              </w:rPr>
            </w:pPr>
            <w:r>
              <w:rPr>
                <w:rFonts w:hint="eastAsia" w:ascii="Times New Roman" w:hAnsi="Times New Roman" w:eastAsia="宋体"/>
                <w:b/>
                <w:bCs/>
                <w:color w:val="auto"/>
                <w:szCs w:val="21"/>
              </w:rPr>
              <w:t>排放清单</w:t>
            </w:r>
          </w:p>
        </w:tc>
        <w:tc>
          <w:tcPr>
            <w:tcW w:w="995" w:type="dxa"/>
            <w:vMerge w:val="restart"/>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b/>
                <w:bCs/>
                <w:color w:val="auto"/>
                <w:szCs w:val="21"/>
                <w:lang w:eastAsia="zh-CN"/>
              </w:rPr>
            </w:pPr>
            <w:r>
              <w:rPr>
                <w:rFonts w:hint="eastAsia" w:ascii="Times New Roman" w:hAnsi="Times New Roman" w:eastAsia="宋体"/>
                <w:b/>
                <w:bCs/>
                <w:color w:val="auto"/>
                <w:szCs w:val="21"/>
                <w:lang w:eastAsia="zh-CN"/>
              </w:rPr>
              <w:t>排放标准</w:t>
            </w:r>
            <w:r>
              <w:rPr>
                <w:rFonts w:ascii="Times New Roman" w:hAnsi="Times New Roman" w:eastAsia="宋体"/>
                <w:b/>
                <w:bCs/>
                <w:color w:val="auto"/>
                <w:szCs w:val="21"/>
              </w:rPr>
              <w:t>（mg/</w:t>
            </w:r>
            <w:r>
              <w:rPr>
                <w:rFonts w:hint="eastAsia" w:ascii="Times New Roman" w:hAnsi="Times New Roman" w:eastAsia="宋体"/>
                <w:b/>
                <w:bCs/>
                <w:color w:val="auto"/>
                <w:szCs w:val="21"/>
              </w:rPr>
              <w:t>m</w:t>
            </w:r>
            <w:r>
              <w:rPr>
                <w:rFonts w:hint="eastAsia" w:ascii="Times New Roman" w:hAnsi="Times New Roman" w:eastAsia="宋体"/>
                <w:b/>
                <w:bCs/>
                <w:color w:val="auto"/>
                <w:szCs w:val="21"/>
                <w:vertAlign w:val="superscript"/>
              </w:rPr>
              <w:t>3</w:t>
            </w:r>
            <w:r>
              <w:rPr>
                <w:rFonts w:ascii="Times New Roman" w:hAnsi="Times New Roman" w:eastAsia="宋体"/>
                <w:b/>
                <w:bCs/>
                <w:color w:val="auto"/>
                <w:szCs w:val="21"/>
              </w:rPr>
              <w:t>）</w:t>
            </w:r>
          </w:p>
        </w:tc>
        <w:tc>
          <w:tcPr>
            <w:tcW w:w="804" w:type="dxa"/>
            <w:vMerge w:val="restart"/>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b/>
                <w:bCs/>
                <w:color w:val="auto"/>
                <w:szCs w:val="21"/>
                <w:lang w:eastAsia="zh-CN"/>
              </w:rPr>
            </w:pPr>
            <w:r>
              <w:rPr>
                <w:rFonts w:hint="eastAsia" w:ascii="Times New Roman" w:hAnsi="Times New Roman" w:eastAsia="宋体"/>
                <w:b/>
                <w:bCs/>
                <w:color w:val="auto"/>
                <w:szCs w:val="21"/>
                <w:lang w:eastAsia="zh-CN"/>
              </w:rPr>
              <w:t>排放口位置</w:t>
            </w:r>
          </w:p>
        </w:tc>
        <w:tc>
          <w:tcPr>
            <w:tcW w:w="2658" w:type="dxa"/>
            <w:gridSpan w:val="2"/>
            <w:vMerge w:val="restart"/>
            <w:tcBorders>
              <w:tl2br w:val="nil"/>
              <w:tr2bl w:val="nil"/>
            </w:tcBorders>
            <w:tcMar>
              <w:left w:w="28" w:type="dxa"/>
              <w:right w:w="28" w:type="dxa"/>
            </w:tcMar>
            <w:vAlign w:val="center"/>
          </w:tcPr>
          <w:p>
            <w:pPr>
              <w:adjustRightInd w:val="0"/>
              <w:snapToGrid w:val="0"/>
              <w:jc w:val="center"/>
              <w:rPr>
                <w:rFonts w:ascii="Times New Roman" w:hAnsi="Times New Roman" w:eastAsia="宋体"/>
                <w:b/>
                <w:bCs/>
                <w:color w:val="auto"/>
                <w:szCs w:val="21"/>
              </w:rPr>
            </w:pPr>
            <w:r>
              <w:rPr>
                <w:rFonts w:hint="eastAsia" w:ascii="Times New Roman" w:hAnsi="Times New Roman" w:eastAsia="宋体"/>
                <w:b/>
                <w:bCs/>
                <w:color w:val="auto"/>
                <w:szCs w:val="21"/>
              </w:rPr>
              <w:t>执行标准</w:t>
            </w:r>
          </w:p>
        </w:tc>
        <w:tc>
          <w:tcPr>
            <w:tcW w:w="1675" w:type="dxa"/>
            <w:vMerge w:val="restart"/>
            <w:tcBorders>
              <w:tl2br w:val="nil"/>
              <w:tr2bl w:val="nil"/>
            </w:tcBorders>
            <w:tcMar>
              <w:left w:w="28" w:type="dxa"/>
              <w:right w:w="28" w:type="dxa"/>
            </w:tcMar>
            <w:vAlign w:val="center"/>
          </w:tcPr>
          <w:p>
            <w:pPr>
              <w:adjustRightInd w:val="0"/>
              <w:snapToGrid w:val="0"/>
              <w:jc w:val="center"/>
              <w:rPr>
                <w:rFonts w:ascii="Times New Roman" w:hAnsi="Times New Roman" w:eastAsia="宋体"/>
                <w:b/>
                <w:bCs/>
                <w:color w:val="auto"/>
                <w:szCs w:val="21"/>
              </w:rPr>
            </w:pPr>
            <w:r>
              <w:rPr>
                <w:rFonts w:hint="eastAsia" w:ascii="Times New Roman" w:hAnsi="Times New Roman" w:eastAsia="宋体"/>
                <w:b/>
                <w:bCs/>
                <w:color w:val="auto"/>
                <w:szCs w:val="21"/>
              </w:rPr>
              <w:t>标准值</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312" w:hRule="atLeast"/>
        </w:trPr>
        <w:tc>
          <w:tcPr>
            <w:tcW w:w="339"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945"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1117" w:type="dxa"/>
            <w:gridSpan w:val="2"/>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2537"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1101" w:type="dxa"/>
            <w:tcBorders>
              <w:tl2br w:val="nil"/>
              <w:tr2bl w:val="nil"/>
            </w:tcBorders>
            <w:tcMar>
              <w:left w:w="28" w:type="dxa"/>
              <w:right w:w="28" w:type="dxa"/>
            </w:tcMar>
            <w:vAlign w:val="center"/>
          </w:tcPr>
          <w:p>
            <w:pPr>
              <w:adjustRightInd w:val="0"/>
              <w:snapToGrid w:val="0"/>
              <w:jc w:val="center"/>
              <w:rPr>
                <w:rFonts w:ascii="Times New Roman" w:hAnsi="Times New Roman" w:eastAsia="宋体"/>
                <w:b/>
                <w:bCs/>
                <w:color w:val="auto"/>
                <w:szCs w:val="21"/>
              </w:rPr>
            </w:pPr>
            <w:r>
              <w:rPr>
                <w:rFonts w:ascii="Times New Roman" w:hAnsi="Times New Roman" w:eastAsia="宋体"/>
                <w:b/>
                <w:bCs/>
                <w:color w:val="auto"/>
                <w:szCs w:val="21"/>
              </w:rPr>
              <w:t>排放浓度（mg/</w:t>
            </w:r>
            <w:r>
              <w:rPr>
                <w:rFonts w:hint="eastAsia" w:ascii="Times New Roman" w:hAnsi="Times New Roman" w:eastAsia="宋体"/>
                <w:b/>
                <w:bCs/>
                <w:color w:val="auto"/>
                <w:szCs w:val="21"/>
              </w:rPr>
              <w:t>m</w:t>
            </w:r>
            <w:r>
              <w:rPr>
                <w:rFonts w:hint="eastAsia" w:ascii="Times New Roman" w:hAnsi="Times New Roman" w:eastAsia="宋体"/>
                <w:b/>
                <w:bCs/>
                <w:color w:val="auto"/>
                <w:szCs w:val="21"/>
                <w:vertAlign w:val="superscript"/>
              </w:rPr>
              <w:t>3</w:t>
            </w:r>
            <w:r>
              <w:rPr>
                <w:rFonts w:ascii="Times New Roman" w:hAnsi="Times New Roman" w:eastAsia="宋体"/>
                <w:b/>
                <w:bCs/>
                <w:color w:val="auto"/>
                <w:szCs w:val="21"/>
              </w:rPr>
              <w:t>）</w:t>
            </w:r>
          </w:p>
        </w:tc>
        <w:tc>
          <w:tcPr>
            <w:tcW w:w="1007" w:type="dxa"/>
            <w:tcBorders>
              <w:tl2br w:val="nil"/>
              <w:tr2bl w:val="nil"/>
            </w:tcBorders>
            <w:tcMar>
              <w:left w:w="28" w:type="dxa"/>
              <w:right w:w="28" w:type="dxa"/>
            </w:tcMar>
            <w:vAlign w:val="center"/>
          </w:tcPr>
          <w:p>
            <w:pPr>
              <w:adjustRightInd w:val="0"/>
              <w:snapToGrid w:val="0"/>
              <w:jc w:val="center"/>
              <w:rPr>
                <w:rFonts w:ascii="Times New Roman" w:hAnsi="Times New Roman" w:eastAsia="宋体"/>
                <w:b/>
                <w:bCs/>
                <w:color w:val="auto"/>
                <w:szCs w:val="21"/>
              </w:rPr>
            </w:pPr>
            <w:r>
              <w:rPr>
                <w:rFonts w:ascii="Times New Roman" w:hAnsi="Times New Roman" w:eastAsia="宋体"/>
                <w:b/>
                <w:bCs/>
                <w:color w:val="auto"/>
                <w:szCs w:val="21"/>
              </w:rPr>
              <w:t>排放速率（kg/h）</w:t>
            </w:r>
          </w:p>
        </w:tc>
        <w:tc>
          <w:tcPr>
            <w:tcW w:w="899" w:type="dxa"/>
            <w:tcBorders>
              <w:tl2br w:val="nil"/>
              <w:tr2bl w:val="nil"/>
            </w:tcBorders>
            <w:tcMar>
              <w:left w:w="28" w:type="dxa"/>
              <w:right w:w="28" w:type="dxa"/>
            </w:tcMar>
            <w:vAlign w:val="center"/>
          </w:tcPr>
          <w:p>
            <w:pPr>
              <w:adjustRightInd w:val="0"/>
              <w:snapToGrid w:val="0"/>
              <w:jc w:val="center"/>
              <w:rPr>
                <w:rFonts w:ascii="Times New Roman" w:hAnsi="Times New Roman" w:eastAsia="宋体"/>
                <w:b/>
                <w:bCs/>
                <w:color w:val="auto"/>
                <w:szCs w:val="21"/>
              </w:rPr>
            </w:pPr>
            <w:r>
              <w:rPr>
                <w:rFonts w:ascii="Times New Roman" w:hAnsi="Times New Roman" w:eastAsia="宋体"/>
                <w:b/>
                <w:bCs/>
                <w:color w:val="auto"/>
                <w:szCs w:val="21"/>
              </w:rPr>
              <w:t>年排放量（t/a）</w:t>
            </w:r>
          </w:p>
        </w:tc>
        <w:tc>
          <w:tcPr>
            <w:tcW w:w="995"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804"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2658" w:type="dxa"/>
            <w:gridSpan w:val="2"/>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1675"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90" w:hRule="atLeast"/>
        </w:trPr>
        <w:tc>
          <w:tcPr>
            <w:tcW w:w="339" w:type="dxa"/>
            <w:vMerge w:val="restart"/>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废气</w:t>
            </w:r>
          </w:p>
        </w:tc>
        <w:tc>
          <w:tcPr>
            <w:tcW w:w="945" w:type="dxa"/>
            <w:vMerge w:val="restart"/>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育肥舍1恶臭</w:t>
            </w:r>
          </w:p>
        </w:tc>
        <w:tc>
          <w:tcPr>
            <w:tcW w:w="1117" w:type="dxa"/>
            <w:gridSpan w:val="2"/>
            <w:tcBorders>
              <w:tl2br w:val="nil"/>
              <w:tr2bl w:val="nil"/>
            </w:tcBorders>
            <w:tcMar>
              <w:left w:w="28" w:type="dxa"/>
              <w:right w:w="28" w:type="dxa"/>
            </w:tcMar>
            <w:vAlign w:val="center"/>
          </w:tcPr>
          <w:p>
            <w:pPr>
              <w:adjustRightInd w:val="0"/>
              <w:snapToGrid w:val="0"/>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NH</w:t>
            </w:r>
            <w:r>
              <w:rPr>
                <w:rFonts w:hint="eastAsia" w:ascii="Times New Roman" w:hAnsi="Times New Roman" w:eastAsia="宋体"/>
                <w:color w:val="auto"/>
                <w:szCs w:val="21"/>
                <w:vertAlign w:val="subscript"/>
                <w:lang w:val="en-US" w:eastAsia="zh-CN"/>
              </w:rPr>
              <w:t>3</w:t>
            </w:r>
          </w:p>
        </w:tc>
        <w:tc>
          <w:tcPr>
            <w:tcW w:w="2537" w:type="dxa"/>
            <w:vMerge w:val="restart"/>
            <w:tcBorders>
              <w:tl2br w:val="nil"/>
              <w:tr2bl w:val="nil"/>
            </w:tcBorders>
            <w:tcMar>
              <w:left w:w="28" w:type="dxa"/>
              <w:right w:w="28" w:type="dxa"/>
            </w:tcMar>
            <w:vAlign w:val="center"/>
          </w:tcPr>
          <w:p>
            <w:pPr>
              <w:pStyle w:val="98"/>
              <w:jc w:val="center"/>
              <w:rPr>
                <w:rFonts w:hint="eastAsia" w:ascii="Times New Roman" w:hAnsi="Times New Roman" w:eastAsia="宋体"/>
                <w:color w:val="auto"/>
                <w:szCs w:val="21"/>
                <w:lang w:val="en-US" w:eastAsia="zh-CN"/>
              </w:rPr>
            </w:pPr>
            <w:r>
              <w:rPr>
                <w:rFonts w:hint="eastAsia" w:ascii="Times New Roman" w:hAnsi="Times New Roman" w:cs="Times New Roman"/>
                <w:color w:val="auto"/>
                <w:szCs w:val="21"/>
                <w:lang w:val="en-US" w:eastAsia="zh-CN"/>
              </w:rPr>
              <w:t>封闭式猪舍，加强绿化、除臭剂、绿化、无组织排放</w:t>
            </w:r>
          </w:p>
        </w:tc>
        <w:tc>
          <w:tcPr>
            <w:tcW w:w="1101" w:type="dxa"/>
            <w:tcBorders>
              <w:tl2br w:val="nil"/>
              <w:tr2bl w:val="nil"/>
            </w:tcBorders>
            <w:tcMar>
              <w:left w:w="28" w:type="dxa"/>
              <w:right w:w="28" w:type="dxa"/>
            </w:tcMar>
            <w:vAlign w:val="center"/>
          </w:tcPr>
          <w:p>
            <w:pPr>
              <w:adjustRightInd w:val="0"/>
              <w:snapToGrid w:val="0"/>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w:t>
            </w:r>
          </w:p>
        </w:tc>
        <w:tc>
          <w:tcPr>
            <w:tcW w:w="1007" w:type="dxa"/>
            <w:tcBorders>
              <w:tl2br w:val="nil"/>
              <w:tr2bl w:val="nil"/>
            </w:tcBorders>
            <w:tcMar>
              <w:left w:w="28" w:type="dxa"/>
              <w:right w:w="28" w:type="dxa"/>
            </w:tcMar>
            <w:vAlign w:val="center"/>
          </w:tcPr>
          <w:p>
            <w:pPr>
              <w:adjustRightInd w:val="0"/>
              <w:snapToGrid w:val="0"/>
              <w:jc w:val="center"/>
              <w:rPr>
                <w:rFonts w:hint="default" w:ascii="Times New Roman" w:hAnsi="Times New Roman" w:eastAsia="宋体"/>
                <w:color w:val="auto"/>
                <w:szCs w:val="21"/>
                <w:lang w:val="en-US" w:eastAsia="zh-CN"/>
              </w:rPr>
            </w:pPr>
            <w:r>
              <w:rPr>
                <w:rFonts w:hint="eastAsia" w:ascii="Times New Roman" w:hAnsi="Times New Roman" w:eastAsia="宋体" w:cs="Times New Roman"/>
                <w:color w:val="auto"/>
                <w:szCs w:val="21"/>
                <w:lang w:val="en-US" w:eastAsia="zh-CN"/>
              </w:rPr>
              <w:t>0.01</w:t>
            </w:r>
          </w:p>
        </w:tc>
        <w:tc>
          <w:tcPr>
            <w:tcW w:w="899" w:type="dxa"/>
            <w:tcBorders>
              <w:tl2br w:val="nil"/>
              <w:tr2bl w:val="nil"/>
            </w:tcBorders>
            <w:tcMar>
              <w:left w:w="28" w:type="dxa"/>
              <w:right w:w="28" w:type="dxa"/>
            </w:tcMar>
            <w:vAlign w:val="center"/>
          </w:tcPr>
          <w:p>
            <w:pPr>
              <w:pStyle w:val="98"/>
              <w:jc w:val="center"/>
              <w:rPr>
                <w:rFonts w:hint="default"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0.10</w:t>
            </w:r>
          </w:p>
        </w:tc>
        <w:tc>
          <w:tcPr>
            <w:tcW w:w="995"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val="en-US" w:eastAsia="zh-CN"/>
              </w:rPr>
              <w:t>厂界&lt;1.5</w:t>
            </w:r>
          </w:p>
        </w:tc>
        <w:tc>
          <w:tcPr>
            <w:tcW w:w="804" w:type="dxa"/>
            <w:vMerge w:val="restart"/>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无组织</w:t>
            </w:r>
          </w:p>
        </w:tc>
        <w:tc>
          <w:tcPr>
            <w:tcW w:w="2658" w:type="dxa"/>
            <w:gridSpan w:val="2"/>
            <w:vMerge w:val="restart"/>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r>
              <w:rPr>
                <w:rFonts w:hint="default" w:ascii="Times New Roman" w:hAnsi="Times New Roman" w:eastAsia="宋体"/>
                <w:color w:val="auto"/>
                <w:szCs w:val="21"/>
              </w:rPr>
              <w:t>《恶臭污染物排放标准》 （GB14554-93） 中表 1 新扩改建二级标准</w:t>
            </w:r>
          </w:p>
        </w:tc>
        <w:tc>
          <w:tcPr>
            <w:tcW w:w="1675"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b w:val="0"/>
                <w:bCs w:val="0"/>
                <w:color w:val="auto"/>
                <w:szCs w:val="21"/>
                <w:lang w:val="en-US" w:eastAsia="zh-CN"/>
              </w:rPr>
            </w:pPr>
            <w:r>
              <w:rPr>
                <w:rFonts w:hint="eastAsia" w:ascii="Times New Roman" w:hAnsi="Times New Roman" w:eastAsia="宋体"/>
                <w:b w:val="0"/>
                <w:bCs w:val="0"/>
                <w:color w:val="auto"/>
                <w:szCs w:val="21"/>
                <w:lang w:val="en-US" w:eastAsia="zh-CN"/>
              </w:rPr>
              <w:t>厂界&lt;1.5</w:t>
            </w:r>
            <w:r>
              <w:rPr>
                <w:rFonts w:ascii="Times New Roman" w:hAnsi="Times New Roman" w:eastAsia="宋体"/>
                <w:b w:val="0"/>
                <w:bCs w:val="0"/>
                <w:color w:val="auto"/>
                <w:szCs w:val="21"/>
              </w:rPr>
              <w:t>mg/</w:t>
            </w:r>
            <w:r>
              <w:rPr>
                <w:rFonts w:hint="eastAsia" w:ascii="Times New Roman" w:hAnsi="Times New Roman" w:eastAsia="宋体"/>
                <w:b w:val="0"/>
                <w:bCs w:val="0"/>
                <w:color w:val="auto"/>
                <w:szCs w:val="21"/>
              </w:rPr>
              <w:t>m</w:t>
            </w:r>
            <w:r>
              <w:rPr>
                <w:rFonts w:hint="eastAsia" w:ascii="Times New Roman" w:hAnsi="Times New Roman" w:eastAsia="宋体"/>
                <w:b w:val="0"/>
                <w:bCs w:val="0"/>
                <w:color w:val="auto"/>
                <w:szCs w:val="21"/>
                <w:vertAlign w:val="superscript"/>
              </w:rPr>
              <w:t>3</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90" w:hRule="atLeast"/>
        </w:trPr>
        <w:tc>
          <w:tcPr>
            <w:tcW w:w="339" w:type="dxa"/>
            <w:vMerge w:val="continue"/>
            <w:tcBorders>
              <w:tl2br w:val="nil"/>
              <w:tr2bl w:val="nil"/>
            </w:tcBorders>
            <w:tcMar>
              <w:left w:w="28" w:type="dxa"/>
              <w:right w:w="28" w:type="dxa"/>
            </w:tcMar>
            <w:vAlign w:val="center"/>
          </w:tcPr>
          <w:p>
            <w:pPr>
              <w:adjustRightInd w:val="0"/>
              <w:snapToGrid w:val="0"/>
              <w:jc w:val="center"/>
              <w:rPr>
                <w:color w:val="auto"/>
              </w:rPr>
            </w:pPr>
          </w:p>
        </w:tc>
        <w:tc>
          <w:tcPr>
            <w:tcW w:w="945" w:type="dxa"/>
            <w:vMerge w:val="continue"/>
            <w:tcBorders>
              <w:tl2br w:val="nil"/>
              <w:tr2bl w:val="nil"/>
            </w:tcBorders>
            <w:tcMar>
              <w:left w:w="28" w:type="dxa"/>
              <w:right w:w="28" w:type="dxa"/>
            </w:tcMar>
            <w:vAlign w:val="center"/>
          </w:tcPr>
          <w:p>
            <w:pPr>
              <w:adjustRightInd w:val="0"/>
              <w:snapToGrid w:val="0"/>
              <w:jc w:val="center"/>
              <w:rPr>
                <w:color w:val="auto"/>
              </w:rPr>
            </w:pPr>
          </w:p>
        </w:tc>
        <w:tc>
          <w:tcPr>
            <w:tcW w:w="1117" w:type="dxa"/>
            <w:gridSpan w:val="2"/>
            <w:tcBorders>
              <w:tl2br w:val="nil"/>
              <w:tr2bl w:val="nil"/>
            </w:tcBorders>
            <w:tcMar>
              <w:left w:w="28" w:type="dxa"/>
              <w:right w:w="28" w:type="dxa"/>
            </w:tcMar>
            <w:vAlign w:val="center"/>
          </w:tcPr>
          <w:p>
            <w:pPr>
              <w:adjustRightInd w:val="0"/>
              <w:snapToGrid w:val="0"/>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H</w:t>
            </w:r>
            <w:r>
              <w:rPr>
                <w:rFonts w:hint="eastAsia" w:ascii="Times New Roman" w:hAnsi="Times New Roman" w:eastAsia="宋体"/>
                <w:color w:val="auto"/>
                <w:szCs w:val="21"/>
                <w:vertAlign w:val="subscript"/>
                <w:lang w:val="en-US" w:eastAsia="zh-CN"/>
              </w:rPr>
              <w:t>2</w:t>
            </w:r>
            <w:r>
              <w:rPr>
                <w:rFonts w:hint="eastAsia" w:ascii="Times New Roman" w:hAnsi="Times New Roman" w:eastAsia="宋体"/>
                <w:color w:val="auto"/>
                <w:szCs w:val="21"/>
                <w:lang w:val="en-US" w:eastAsia="zh-CN"/>
              </w:rPr>
              <w:t>S</w:t>
            </w:r>
          </w:p>
        </w:tc>
        <w:tc>
          <w:tcPr>
            <w:tcW w:w="2537"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1101"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w:t>
            </w:r>
          </w:p>
        </w:tc>
        <w:tc>
          <w:tcPr>
            <w:tcW w:w="1007" w:type="dxa"/>
            <w:tcBorders>
              <w:tl2br w:val="nil"/>
              <w:tr2bl w:val="nil"/>
            </w:tcBorders>
            <w:tcMar>
              <w:left w:w="28" w:type="dxa"/>
              <w:right w:w="28" w:type="dxa"/>
            </w:tcMar>
            <w:vAlign w:val="center"/>
          </w:tcPr>
          <w:p>
            <w:pPr>
              <w:adjustRightInd w:val="0"/>
              <w:snapToGrid w:val="0"/>
              <w:jc w:val="center"/>
              <w:rPr>
                <w:rFonts w:hint="default" w:ascii="Times New Roman" w:hAnsi="Times New Roman" w:eastAsia="宋体"/>
                <w:color w:val="auto"/>
                <w:szCs w:val="21"/>
                <w:lang w:val="en-US" w:eastAsia="zh-CN"/>
              </w:rPr>
            </w:pPr>
            <w:r>
              <w:rPr>
                <w:rFonts w:hint="default" w:ascii="Times New Roman" w:hAnsi="Times New Roman" w:eastAsia="宋体" w:cs="Times New Roman"/>
                <w:color w:val="auto"/>
                <w:szCs w:val="21"/>
                <w:lang w:val="en-US" w:eastAsia="zh-CN"/>
              </w:rPr>
              <w:t>0.0007</w:t>
            </w:r>
          </w:p>
        </w:tc>
        <w:tc>
          <w:tcPr>
            <w:tcW w:w="899" w:type="dxa"/>
            <w:tcBorders>
              <w:tl2br w:val="nil"/>
              <w:tr2bl w:val="nil"/>
            </w:tcBorders>
            <w:tcMar>
              <w:left w:w="28" w:type="dxa"/>
              <w:right w:w="28" w:type="dxa"/>
            </w:tcMar>
            <w:vAlign w:val="center"/>
          </w:tcPr>
          <w:p>
            <w:pPr>
              <w:pStyle w:val="98"/>
              <w:jc w:val="center"/>
              <w:rPr>
                <w:rFonts w:hint="default"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szCs w:val="21"/>
                <w:lang w:val="en-US" w:eastAsia="zh-CN"/>
              </w:rPr>
              <w:t>0.02</w:t>
            </w:r>
          </w:p>
        </w:tc>
        <w:tc>
          <w:tcPr>
            <w:tcW w:w="995" w:type="dxa"/>
            <w:tcBorders>
              <w:tl2br w:val="nil"/>
              <w:tr2bl w:val="nil"/>
            </w:tcBorders>
            <w:tcMar>
              <w:left w:w="28" w:type="dxa"/>
              <w:right w:w="28" w:type="dxa"/>
            </w:tcMar>
            <w:vAlign w:val="center"/>
          </w:tcPr>
          <w:p>
            <w:pPr>
              <w:adjustRightInd w:val="0"/>
              <w:snapToGrid w:val="0"/>
              <w:jc w:val="center"/>
              <w:rPr>
                <w:rFonts w:hint="default"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val="en-US" w:eastAsia="zh-CN"/>
              </w:rPr>
              <w:t>厂界&lt;0.06</w:t>
            </w:r>
          </w:p>
        </w:tc>
        <w:tc>
          <w:tcPr>
            <w:tcW w:w="804"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2658" w:type="dxa"/>
            <w:gridSpan w:val="2"/>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1675" w:type="dxa"/>
            <w:tcBorders>
              <w:tl2br w:val="nil"/>
              <w:tr2bl w:val="nil"/>
            </w:tcBorders>
            <w:tcMar>
              <w:left w:w="28" w:type="dxa"/>
              <w:right w:w="28" w:type="dxa"/>
            </w:tcMar>
            <w:vAlign w:val="center"/>
          </w:tcPr>
          <w:p>
            <w:pPr>
              <w:adjustRightInd w:val="0"/>
              <w:snapToGrid w:val="0"/>
              <w:jc w:val="center"/>
              <w:rPr>
                <w:rFonts w:ascii="Times New Roman" w:hAnsi="Times New Roman" w:eastAsia="宋体"/>
                <w:b w:val="0"/>
                <w:bCs w:val="0"/>
                <w:color w:val="auto"/>
                <w:szCs w:val="21"/>
              </w:rPr>
            </w:pPr>
            <w:r>
              <w:rPr>
                <w:rFonts w:hint="eastAsia" w:ascii="Times New Roman" w:hAnsi="Times New Roman" w:eastAsia="宋体"/>
                <w:b w:val="0"/>
                <w:bCs w:val="0"/>
                <w:color w:val="auto"/>
                <w:szCs w:val="21"/>
                <w:lang w:val="en-US" w:eastAsia="zh-CN"/>
              </w:rPr>
              <w:t>厂界&lt;0.06</w:t>
            </w:r>
            <w:r>
              <w:rPr>
                <w:rFonts w:ascii="Times New Roman" w:hAnsi="Times New Roman" w:eastAsia="宋体"/>
                <w:b w:val="0"/>
                <w:bCs w:val="0"/>
                <w:color w:val="auto"/>
                <w:szCs w:val="21"/>
              </w:rPr>
              <w:t>mg/</w:t>
            </w:r>
            <w:r>
              <w:rPr>
                <w:rFonts w:hint="eastAsia" w:ascii="Times New Roman" w:hAnsi="Times New Roman" w:eastAsia="宋体"/>
                <w:b w:val="0"/>
                <w:bCs w:val="0"/>
                <w:color w:val="auto"/>
                <w:szCs w:val="21"/>
              </w:rPr>
              <w:t>m</w:t>
            </w:r>
            <w:r>
              <w:rPr>
                <w:rFonts w:hint="eastAsia" w:ascii="Times New Roman" w:hAnsi="Times New Roman" w:eastAsia="宋体"/>
                <w:b w:val="0"/>
                <w:bCs w:val="0"/>
                <w:color w:val="auto"/>
                <w:szCs w:val="21"/>
                <w:vertAlign w:val="superscript"/>
              </w:rPr>
              <w:t>3</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90" w:hRule="atLeast"/>
        </w:trPr>
        <w:tc>
          <w:tcPr>
            <w:tcW w:w="339" w:type="dxa"/>
            <w:vMerge w:val="continue"/>
            <w:tcBorders>
              <w:tl2br w:val="nil"/>
              <w:tr2bl w:val="nil"/>
            </w:tcBorders>
            <w:tcMar>
              <w:left w:w="28" w:type="dxa"/>
              <w:right w:w="28" w:type="dxa"/>
            </w:tcMar>
            <w:vAlign w:val="center"/>
          </w:tcPr>
          <w:p>
            <w:pPr>
              <w:adjustRightInd w:val="0"/>
              <w:snapToGrid w:val="0"/>
              <w:jc w:val="center"/>
              <w:rPr>
                <w:color w:val="auto"/>
              </w:rPr>
            </w:pPr>
          </w:p>
        </w:tc>
        <w:tc>
          <w:tcPr>
            <w:tcW w:w="945" w:type="dxa"/>
            <w:vMerge w:val="restart"/>
            <w:tcBorders>
              <w:tl2br w:val="nil"/>
              <w:tr2bl w:val="nil"/>
            </w:tcBorders>
            <w:tcMar>
              <w:left w:w="28" w:type="dxa"/>
              <w:right w:w="28" w:type="dxa"/>
            </w:tcMar>
            <w:vAlign w:val="center"/>
          </w:tcPr>
          <w:p>
            <w:pPr>
              <w:adjustRightInd w:val="0"/>
              <w:snapToGrid w:val="0"/>
              <w:jc w:val="center"/>
              <w:rPr>
                <w:color w:val="auto"/>
              </w:rPr>
            </w:pPr>
            <w:r>
              <w:rPr>
                <w:rFonts w:hint="eastAsia" w:ascii="Times New Roman" w:hAnsi="Times New Roman" w:eastAsia="宋体"/>
                <w:color w:val="auto"/>
                <w:szCs w:val="21"/>
                <w:lang w:eastAsia="zh-CN"/>
              </w:rPr>
              <w:t>育肥舍2恶臭</w:t>
            </w:r>
          </w:p>
        </w:tc>
        <w:tc>
          <w:tcPr>
            <w:tcW w:w="1117" w:type="dxa"/>
            <w:gridSpan w:val="2"/>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NH</w:t>
            </w:r>
            <w:r>
              <w:rPr>
                <w:rFonts w:hint="eastAsia" w:ascii="Times New Roman" w:hAnsi="Times New Roman" w:eastAsia="宋体"/>
                <w:color w:val="auto"/>
                <w:szCs w:val="21"/>
                <w:vertAlign w:val="subscript"/>
                <w:lang w:val="en-US" w:eastAsia="zh-CN"/>
              </w:rPr>
              <w:t>3</w:t>
            </w:r>
          </w:p>
        </w:tc>
        <w:tc>
          <w:tcPr>
            <w:tcW w:w="2537"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1101"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w:t>
            </w:r>
          </w:p>
        </w:tc>
        <w:tc>
          <w:tcPr>
            <w:tcW w:w="1007"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lang w:val="en-US" w:eastAsia="zh-CN"/>
              </w:rPr>
            </w:pPr>
            <w:r>
              <w:rPr>
                <w:rFonts w:hint="eastAsia" w:ascii="Times New Roman" w:hAnsi="Times New Roman" w:eastAsia="宋体" w:cs="Times New Roman"/>
                <w:color w:val="auto"/>
                <w:szCs w:val="21"/>
                <w:lang w:val="en-US" w:eastAsia="zh-CN"/>
              </w:rPr>
              <w:t>0.01</w:t>
            </w:r>
          </w:p>
        </w:tc>
        <w:tc>
          <w:tcPr>
            <w:tcW w:w="899" w:type="dxa"/>
            <w:tcBorders>
              <w:tl2br w:val="nil"/>
              <w:tr2bl w:val="nil"/>
            </w:tcBorders>
            <w:tcMar>
              <w:left w:w="28" w:type="dxa"/>
              <w:right w:w="28" w:type="dxa"/>
            </w:tcMar>
            <w:vAlign w:val="center"/>
          </w:tcPr>
          <w:p>
            <w:pPr>
              <w:pStyle w:val="98"/>
              <w:jc w:val="center"/>
              <w:rPr>
                <w:rFonts w:hint="eastAsia" w:ascii="Times New Roman" w:hAnsi="Times New Roman" w:cs="Times New Roman"/>
                <w:color w:val="auto"/>
                <w:kern w:val="2"/>
                <w:sz w:val="21"/>
                <w:szCs w:val="21"/>
                <w:lang w:val="en-US" w:eastAsia="zh-CN" w:bidi="zh-CN"/>
              </w:rPr>
            </w:pPr>
            <w:r>
              <w:rPr>
                <w:rFonts w:hint="eastAsia" w:ascii="Times New Roman" w:hAnsi="Times New Roman" w:cs="Times New Roman"/>
                <w:color w:val="auto"/>
                <w:szCs w:val="21"/>
                <w:lang w:val="en-US" w:eastAsia="zh-CN"/>
              </w:rPr>
              <w:t>0.10</w:t>
            </w:r>
          </w:p>
        </w:tc>
        <w:tc>
          <w:tcPr>
            <w:tcW w:w="995"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厂界&lt;1.5</w:t>
            </w:r>
          </w:p>
        </w:tc>
        <w:tc>
          <w:tcPr>
            <w:tcW w:w="804"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2658" w:type="dxa"/>
            <w:gridSpan w:val="2"/>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1675" w:type="dxa"/>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b w:val="0"/>
                <w:bCs w:val="0"/>
                <w:color w:val="auto"/>
                <w:szCs w:val="21"/>
                <w:lang w:val="en-US" w:eastAsia="zh-CN"/>
              </w:rPr>
              <w:t>厂界&lt;1.5</w:t>
            </w:r>
            <w:r>
              <w:rPr>
                <w:rFonts w:ascii="Times New Roman" w:hAnsi="Times New Roman" w:eastAsia="宋体"/>
                <w:b w:val="0"/>
                <w:bCs w:val="0"/>
                <w:color w:val="auto"/>
                <w:szCs w:val="21"/>
              </w:rPr>
              <w:t>mg/</w:t>
            </w:r>
            <w:r>
              <w:rPr>
                <w:rFonts w:hint="eastAsia" w:ascii="Times New Roman" w:hAnsi="Times New Roman" w:eastAsia="宋体"/>
                <w:b w:val="0"/>
                <w:bCs w:val="0"/>
                <w:color w:val="auto"/>
                <w:szCs w:val="21"/>
              </w:rPr>
              <w:t>m</w:t>
            </w:r>
            <w:r>
              <w:rPr>
                <w:rFonts w:hint="eastAsia" w:ascii="Times New Roman" w:hAnsi="Times New Roman" w:eastAsia="宋体"/>
                <w:b w:val="0"/>
                <w:bCs w:val="0"/>
                <w:color w:val="auto"/>
                <w:szCs w:val="21"/>
                <w:vertAlign w:val="superscript"/>
              </w:rPr>
              <w:t>3</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90" w:hRule="atLeast"/>
        </w:trPr>
        <w:tc>
          <w:tcPr>
            <w:tcW w:w="339" w:type="dxa"/>
            <w:vMerge w:val="continue"/>
            <w:tcBorders>
              <w:tl2br w:val="nil"/>
              <w:tr2bl w:val="nil"/>
            </w:tcBorders>
            <w:tcMar>
              <w:left w:w="28" w:type="dxa"/>
              <w:right w:w="28" w:type="dxa"/>
            </w:tcMar>
            <w:vAlign w:val="center"/>
          </w:tcPr>
          <w:p>
            <w:pPr>
              <w:adjustRightInd w:val="0"/>
              <w:snapToGrid w:val="0"/>
              <w:jc w:val="center"/>
              <w:rPr>
                <w:color w:val="auto"/>
              </w:rPr>
            </w:pPr>
          </w:p>
        </w:tc>
        <w:tc>
          <w:tcPr>
            <w:tcW w:w="945" w:type="dxa"/>
            <w:vMerge w:val="continue"/>
            <w:tcBorders>
              <w:tl2br w:val="nil"/>
              <w:tr2bl w:val="nil"/>
            </w:tcBorders>
            <w:tcMar>
              <w:left w:w="28" w:type="dxa"/>
              <w:right w:w="28" w:type="dxa"/>
            </w:tcMar>
            <w:vAlign w:val="center"/>
          </w:tcPr>
          <w:p>
            <w:pPr>
              <w:adjustRightInd w:val="0"/>
              <w:snapToGrid w:val="0"/>
              <w:jc w:val="center"/>
              <w:rPr>
                <w:color w:val="auto"/>
              </w:rPr>
            </w:pPr>
          </w:p>
        </w:tc>
        <w:tc>
          <w:tcPr>
            <w:tcW w:w="1117" w:type="dxa"/>
            <w:gridSpan w:val="2"/>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H</w:t>
            </w:r>
            <w:r>
              <w:rPr>
                <w:rFonts w:hint="eastAsia" w:ascii="Times New Roman" w:hAnsi="Times New Roman" w:eastAsia="宋体"/>
                <w:color w:val="auto"/>
                <w:szCs w:val="21"/>
                <w:vertAlign w:val="subscript"/>
                <w:lang w:val="en-US" w:eastAsia="zh-CN"/>
              </w:rPr>
              <w:t>2</w:t>
            </w:r>
            <w:r>
              <w:rPr>
                <w:rFonts w:hint="eastAsia" w:ascii="Times New Roman" w:hAnsi="Times New Roman" w:eastAsia="宋体"/>
                <w:color w:val="auto"/>
                <w:szCs w:val="21"/>
                <w:lang w:val="en-US" w:eastAsia="zh-CN"/>
              </w:rPr>
              <w:t>S</w:t>
            </w:r>
          </w:p>
        </w:tc>
        <w:tc>
          <w:tcPr>
            <w:tcW w:w="2537"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1101"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w:t>
            </w:r>
          </w:p>
        </w:tc>
        <w:tc>
          <w:tcPr>
            <w:tcW w:w="1007"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lang w:val="en-US" w:eastAsia="zh-CN"/>
              </w:rPr>
            </w:pPr>
            <w:r>
              <w:rPr>
                <w:rFonts w:hint="default" w:ascii="Times New Roman" w:hAnsi="Times New Roman" w:eastAsia="宋体" w:cs="Times New Roman"/>
                <w:color w:val="auto"/>
                <w:szCs w:val="21"/>
                <w:lang w:val="en-US" w:eastAsia="zh-CN"/>
              </w:rPr>
              <w:t>0.0007</w:t>
            </w:r>
          </w:p>
        </w:tc>
        <w:tc>
          <w:tcPr>
            <w:tcW w:w="899" w:type="dxa"/>
            <w:tcBorders>
              <w:tl2br w:val="nil"/>
              <w:tr2bl w:val="nil"/>
            </w:tcBorders>
            <w:tcMar>
              <w:left w:w="28" w:type="dxa"/>
              <w:right w:w="28" w:type="dxa"/>
            </w:tcMar>
            <w:vAlign w:val="center"/>
          </w:tcPr>
          <w:p>
            <w:pPr>
              <w:pStyle w:val="98"/>
              <w:jc w:val="center"/>
              <w:rPr>
                <w:rFonts w:hint="eastAsia" w:ascii="Times New Roman" w:hAnsi="Times New Roman" w:cs="Times New Roman"/>
                <w:color w:val="auto"/>
                <w:kern w:val="2"/>
                <w:sz w:val="21"/>
                <w:szCs w:val="21"/>
                <w:lang w:val="en-US" w:eastAsia="zh-CN" w:bidi="zh-CN"/>
              </w:rPr>
            </w:pPr>
            <w:r>
              <w:rPr>
                <w:rFonts w:hint="eastAsia" w:ascii="Times New Roman" w:hAnsi="Times New Roman" w:cs="Times New Roman"/>
                <w:color w:val="auto"/>
                <w:szCs w:val="21"/>
                <w:lang w:val="en-US" w:eastAsia="zh-CN"/>
              </w:rPr>
              <w:t>0.02</w:t>
            </w:r>
          </w:p>
        </w:tc>
        <w:tc>
          <w:tcPr>
            <w:tcW w:w="995"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厂界&lt;0.06</w:t>
            </w:r>
          </w:p>
        </w:tc>
        <w:tc>
          <w:tcPr>
            <w:tcW w:w="804"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2658" w:type="dxa"/>
            <w:gridSpan w:val="2"/>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1675" w:type="dxa"/>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b w:val="0"/>
                <w:bCs w:val="0"/>
                <w:color w:val="auto"/>
                <w:szCs w:val="21"/>
                <w:lang w:val="en-US" w:eastAsia="zh-CN"/>
              </w:rPr>
              <w:t>厂界&lt;0.06</w:t>
            </w:r>
            <w:r>
              <w:rPr>
                <w:rFonts w:ascii="Times New Roman" w:hAnsi="Times New Roman" w:eastAsia="宋体"/>
                <w:b w:val="0"/>
                <w:bCs w:val="0"/>
                <w:color w:val="auto"/>
                <w:szCs w:val="21"/>
              </w:rPr>
              <w:t>mg/</w:t>
            </w:r>
            <w:r>
              <w:rPr>
                <w:rFonts w:hint="eastAsia" w:ascii="Times New Roman" w:hAnsi="Times New Roman" w:eastAsia="宋体"/>
                <w:b w:val="0"/>
                <w:bCs w:val="0"/>
                <w:color w:val="auto"/>
                <w:szCs w:val="21"/>
              </w:rPr>
              <w:t>m</w:t>
            </w:r>
            <w:r>
              <w:rPr>
                <w:rFonts w:hint="eastAsia" w:ascii="Times New Roman" w:hAnsi="Times New Roman" w:eastAsia="宋体"/>
                <w:b w:val="0"/>
                <w:bCs w:val="0"/>
                <w:color w:val="auto"/>
                <w:szCs w:val="21"/>
                <w:vertAlign w:val="superscript"/>
              </w:rPr>
              <w:t>3</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1" w:hRule="atLeast"/>
        </w:trPr>
        <w:tc>
          <w:tcPr>
            <w:tcW w:w="339" w:type="dxa"/>
            <w:vMerge w:val="continue"/>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rPr>
            </w:pPr>
          </w:p>
        </w:tc>
        <w:tc>
          <w:tcPr>
            <w:tcW w:w="945" w:type="dxa"/>
            <w:vMerge w:val="restart"/>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污水处理区（沼液储蓄池）</w:t>
            </w:r>
          </w:p>
        </w:tc>
        <w:tc>
          <w:tcPr>
            <w:tcW w:w="1117" w:type="dxa"/>
            <w:gridSpan w:val="2"/>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val="en-US" w:eastAsia="zh-CN"/>
              </w:rPr>
              <w:t>NH</w:t>
            </w:r>
            <w:r>
              <w:rPr>
                <w:rFonts w:hint="eastAsia" w:ascii="Times New Roman" w:hAnsi="Times New Roman" w:eastAsia="宋体"/>
                <w:color w:val="auto"/>
                <w:szCs w:val="21"/>
                <w:vertAlign w:val="subscript"/>
                <w:lang w:val="en-US" w:eastAsia="zh-CN"/>
              </w:rPr>
              <w:t>3</w:t>
            </w:r>
          </w:p>
        </w:tc>
        <w:tc>
          <w:tcPr>
            <w:tcW w:w="2537" w:type="dxa"/>
            <w:vMerge w:val="restart"/>
            <w:tcBorders>
              <w:tl2br w:val="nil"/>
              <w:tr2bl w:val="nil"/>
            </w:tcBorders>
            <w:tcMar>
              <w:left w:w="28" w:type="dxa"/>
              <w:right w:w="28" w:type="dxa"/>
            </w:tcMar>
            <w:vAlign w:val="center"/>
          </w:tcPr>
          <w:p>
            <w:pPr>
              <w:pStyle w:val="98"/>
              <w:jc w:val="center"/>
              <w:rPr>
                <w:rFonts w:hint="eastAsia" w:ascii="Times New Roman" w:hAnsi="Times New Roman" w:eastAsia="宋体"/>
                <w:color w:val="auto"/>
                <w:szCs w:val="21"/>
                <w:lang w:val="en-US" w:eastAsia="zh-CN"/>
              </w:rPr>
            </w:pPr>
            <w:r>
              <w:rPr>
                <w:rFonts w:hint="eastAsia" w:ascii="Times New Roman" w:hAnsi="Times New Roman" w:cs="Times New Roman"/>
                <w:color w:val="auto"/>
                <w:szCs w:val="21"/>
                <w:lang w:val="en-US" w:eastAsia="zh-CN"/>
              </w:rPr>
              <w:t>定期喷洒除臭剂、周边种植植物吸收</w:t>
            </w:r>
          </w:p>
        </w:tc>
        <w:tc>
          <w:tcPr>
            <w:tcW w:w="1101"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w:t>
            </w:r>
          </w:p>
        </w:tc>
        <w:tc>
          <w:tcPr>
            <w:tcW w:w="1007" w:type="dxa"/>
            <w:tcBorders>
              <w:tl2br w:val="nil"/>
              <w:tr2bl w:val="nil"/>
            </w:tcBorders>
            <w:tcMar>
              <w:left w:w="28" w:type="dxa"/>
              <w:right w:w="28" w:type="dxa"/>
            </w:tcMar>
            <w:vAlign w:val="center"/>
          </w:tcPr>
          <w:p>
            <w:pPr>
              <w:adjustRightInd w:val="0"/>
              <w:snapToGrid w:val="0"/>
              <w:jc w:val="center"/>
              <w:rPr>
                <w:rFonts w:hint="default" w:ascii="Times New Roman" w:hAnsi="Times New Roman" w:eastAsia="宋体" w:cstheme="minorBidi"/>
                <w:color w:val="auto"/>
                <w:kern w:val="2"/>
                <w:sz w:val="21"/>
                <w:szCs w:val="21"/>
                <w:lang w:val="en-US" w:eastAsia="zh-CN" w:bidi="ar-SA"/>
              </w:rPr>
            </w:pPr>
            <w:r>
              <w:rPr>
                <w:rFonts w:hint="eastAsia" w:ascii="Times New Roman" w:hAnsi="Times New Roman" w:eastAsia="宋体" w:cs="Times New Roman"/>
                <w:color w:val="auto"/>
                <w:szCs w:val="21"/>
                <w:lang w:val="en-US" w:eastAsia="zh-CN"/>
              </w:rPr>
              <w:t>0.00552</w:t>
            </w:r>
          </w:p>
        </w:tc>
        <w:tc>
          <w:tcPr>
            <w:tcW w:w="899" w:type="dxa"/>
            <w:tcBorders>
              <w:tl2br w:val="nil"/>
              <w:tr2bl w:val="nil"/>
            </w:tcBorders>
            <w:tcMar>
              <w:left w:w="28" w:type="dxa"/>
              <w:right w:w="28" w:type="dxa"/>
            </w:tcMar>
            <w:vAlign w:val="center"/>
          </w:tcPr>
          <w:p>
            <w:pPr>
              <w:pStyle w:val="98"/>
              <w:jc w:val="center"/>
              <w:rPr>
                <w:rFonts w:hint="eastAsia" w:ascii="Times New Roman" w:hAnsi="Times New Roman" w:eastAsia="宋体"/>
                <w:color w:val="auto"/>
                <w:szCs w:val="21"/>
                <w:lang w:val="en-US" w:eastAsia="zh-CN"/>
              </w:rPr>
            </w:pPr>
            <w:r>
              <w:rPr>
                <w:rFonts w:hint="eastAsia" w:ascii="Times New Roman" w:hAnsi="Times New Roman" w:cs="Times New Roman"/>
                <w:color w:val="auto"/>
                <w:szCs w:val="21"/>
                <w:lang w:val="en-US" w:eastAsia="zh-CN"/>
              </w:rPr>
              <w:t>0.06</w:t>
            </w:r>
          </w:p>
        </w:tc>
        <w:tc>
          <w:tcPr>
            <w:tcW w:w="995"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val="en-US" w:eastAsia="zh-CN"/>
              </w:rPr>
              <w:t>厂界&lt;1.5</w:t>
            </w:r>
          </w:p>
        </w:tc>
        <w:tc>
          <w:tcPr>
            <w:tcW w:w="804" w:type="dxa"/>
            <w:vMerge w:val="restart"/>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无组织</w:t>
            </w:r>
          </w:p>
        </w:tc>
        <w:tc>
          <w:tcPr>
            <w:tcW w:w="2658" w:type="dxa"/>
            <w:gridSpan w:val="2"/>
            <w:vMerge w:val="restart"/>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default" w:ascii="Times New Roman" w:hAnsi="Times New Roman" w:eastAsia="宋体"/>
                <w:color w:val="auto"/>
                <w:szCs w:val="21"/>
              </w:rPr>
              <w:t>《恶臭污染物排放标准》 （GB14554-93） 中表 1 新扩改建二级标准</w:t>
            </w:r>
          </w:p>
        </w:tc>
        <w:tc>
          <w:tcPr>
            <w:tcW w:w="1675" w:type="dxa"/>
            <w:tcBorders>
              <w:tl2br w:val="nil"/>
              <w:tr2bl w:val="nil"/>
            </w:tcBorders>
            <w:tcMar>
              <w:left w:w="28" w:type="dxa"/>
              <w:right w:w="28" w:type="dxa"/>
            </w:tcMar>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olor w:val="auto"/>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69" w:hRule="atLeast"/>
        </w:trPr>
        <w:tc>
          <w:tcPr>
            <w:tcW w:w="339" w:type="dxa"/>
            <w:vMerge w:val="continue"/>
            <w:tcBorders>
              <w:tl2br w:val="nil"/>
              <w:tr2bl w:val="nil"/>
            </w:tcBorders>
            <w:tcMar>
              <w:left w:w="28" w:type="dxa"/>
              <w:right w:w="28" w:type="dxa"/>
            </w:tcMar>
            <w:vAlign w:val="center"/>
          </w:tcPr>
          <w:p>
            <w:pPr>
              <w:adjustRightInd w:val="0"/>
              <w:snapToGrid w:val="0"/>
              <w:jc w:val="center"/>
              <w:rPr>
                <w:color w:val="auto"/>
              </w:rPr>
            </w:pPr>
          </w:p>
        </w:tc>
        <w:tc>
          <w:tcPr>
            <w:tcW w:w="945" w:type="dxa"/>
            <w:vMerge w:val="continue"/>
            <w:tcBorders>
              <w:tl2br w:val="nil"/>
              <w:tr2bl w:val="nil"/>
            </w:tcBorders>
            <w:tcMar>
              <w:left w:w="28" w:type="dxa"/>
              <w:right w:w="28" w:type="dxa"/>
            </w:tcMar>
            <w:vAlign w:val="center"/>
          </w:tcPr>
          <w:p>
            <w:pPr>
              <w:adjustRightInd w:val="0"/>
              <w:snapToGrid w:val="0"/>
              <w:jc w:val="center"/>
              <w:rPr>
                <w:color w:val="auto"/>
              </w:rPr>
            </w:pPr>
          </w:p>
        </w:tc>
        <w:tc>
          <w:tcPr>
            <w:tcW w:w="1117" w:type="dxa"/>
            <w:gridSpan w:val="2"/>
            <w:tcBorders>
              <w:bottom w:val="single" w:color="auto" w:sz="4" w:space="0"/>
              <w:tl2br w:val="nil"/>
              <w:tr2bl w:val="nil"/>
            </w:tcBorders>
            <w:tcMar>
              <w:left w:w="28" w:type="dxa"/>
              <w:right w:w="28" w:type="dxa"/>
            </w:tcMar>
            <w:vAlign w:val="center"/>
          </w:tcPr>
          <w:p>
            <w:pPr>
              <w:adjustRightInd w:val="0"/>
              <w:snapToGrid w:val="0"/>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val="en-US" w:eastAsia="zh-CN"/>
              </w:rPr>
              <w:t>H</w:t>
            </w:r>
            <w:r>
              <w:rPr>
                <w:rFonts w:hint="eastAsia" w:ascii="Times New Roman" w:hAnsi="Times New Roman" w:eastAsia="宋体"/>
                <w:color w:val="auto"/>
                <w:szCs w:val="21"/>
                <w:vertAlign w:val="subscript"/>
                <w:lang w:val="en-US" w:eastAsia="zh-CN"/>
              </w:rPr>
              <w:t>2</w:t>
            </w:r>
            <w:r>
              <w:rPr>
                <w:rFonts w:hint="eastAsia" w:ascii="Times New Roman" w:hAnsi="Times New Roman" w:eastAsia="宋体"/>
                <w:color w:val="auto"/>
                <w:szCs w:val="21"/>
                <w:lang w:val="en-US" w:eastAsia="zh-CN"/>
              </w:rPr>
              <w:t>S</w:t>
            </w:r>
          </w:p>
        </w:tc>
        <w:tc>
          <w:tcPr>
            <w:tcW w:w="2537" w:type="dxa"/>
            <w:vMerge w:val="continue"/>
            <w:tcBorders>
              <w:bottom w:val="single" w:color="auto" w:sz="4" w:space="0"/>
              <w:tl2br w:val="nil"/>
              <w:tr2bl w:val="nil"/>
            </w:tcBorders>
            <w:tcMar>
              <w:left w:w="28" w:type="dxa"/>
              <w:right w:w="28" w:type="dxa"/>
            </w:tcMar>
            <w:vAlign w:val="center"/>
          </w:tcPr>
          <w:p>
            <w:pPr>
              <w:adjustRightInd w:val="0"/>
              <w:snapToGrid w:val="0"/>
              <w:jc w:val="center"/>
              <w:rPr>
                <w:rFonts w:hint="eastAsia" w:ascii="Times New Roman" w:hAnsi="Times New Roman" w:eastAsia="宋体" w:cs="Times New Roman"/>
                <w:color w:val="auto"/>
                <w:szCs w:val="21"/>
                <w:lang w:val="en-US" w:eastAsia="zh-CN"/>
              </w:rPr>
            </w:pPr>
          </w:p>
        </w:tc>
        <w:tc>
          <w:tcPr>
            <w:tcW w:w="1101"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w:t>
            </w:r>
          </w:p>
        </w:tc>
        <w:tc>
          <w:tcPr>
            <w:tcW w:w="1007" w:type="dxa"/>
            <w:tcBorders>
              <w:tl2br w:val="nil"/>
              <w:tr2bl w:val="nil"/>
            </w:tcBorders>
            <w:tcMar>
              <w:left w:w="28" w:type="dxa"/>
              <w:right w:w="28" w:type="dxa"/>
            </w:tcMar>
            <w:vAlign w:val="center"/>
          </w:tcPr>
          <w:p>
            <w:pPr>
              <w:adjustRightInd w:val="0"/>
              <w:snapToGrid w:val="0"/>
              <w:jc w:val="center"/>
              <w:rPr>
                <w:rFonts w:hint="default" w:ascii="Times New Roman" w:hAnsi="Times New Roman" w:eastAsia="宋体" w:cstheme="minorBidi"/>
                <w:color w:val="auto"/>
                <w:kern w:val="2"/>
                <w:sz w:val="21"/>
                <w:szCs w:val="21"/>
                <w:lang w:val="en-US" w:eastAsia="zh-CN" w:bidi="ar-SA"/>
              </w:rPr>
            </w:pPr>
            <w:r>
              <w:rPr>
                <w:rFonts w:hint="eastAsia" w:ascii="Times New Roman" w:hAnsi="Times New Roman" w:eastAsia="宋体" w:cs="Times New Roman"/>
                <w:color w:val="auto"/>
                <w:szCs w:val="21"/>
                <w:lang w:val="en-US" w:eastAsia="zh-CN"/>
              </w:rPr>
              <w:t>0.000016</w:t>
            </w:r>
          </w:p>
        </w:tc>
        <w:tc>
          <w:tcPr>
            <w:tcW w:w="899" w:type="dxa"/>
            <w:tcBorders>
              <w:tl2br w:val="nil"/>
              <w:tr2bl w:val="nil"/>
            </w:tcBorders>
            <w:tcMar>
              <w:left w:w="28" w:type="dxa"/>
              <w:right w:w="28" w:type="dxa"/>
            </w:tcMar>
            <w:vAlign w:val="center"/>
          </w:tcPr>
          <w:p>
            <w:pPr>
              <w:pStyle w:val="98"/>
              <w:jc w:val="center"/>
              <w:rPr>
                <w:rFonts w:hint="eastAsia" w:ascii="Times New Roman" w:hAnsi="Times New Roman" w:eastAsia="宋体"/>
                <w:color w:val="auto"/>
                <w:szCs w:val="21"/>
                <w:lang w:val="en-US" w:eastAsia="zh-CN"/>
              </w:rPr>
            </w:pPr>
            <w:r>
              <w:rPr>
                <w:rFonts w:hint="eastAsia" w:ascii="Times New Roman" w:hAnsi="Times New Roman" w:cs="Times New Roman"/>
                <w:color w:val="auto"/>
                <w:szCs w:val="21"/>
                <w:lang w:val="en-US" w:eastAsia="zh-CN"/>
              </w:rPr>
              <w:t>0.00018</w:t>
            </w:r>
          </w:p>
        </w:tc>
        <w:tc>
          <w:tcPr>
            <w:tcW w:w="995"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val="en-US" w:eastAsia="zh-CN"/>
              </w:rPr>
              <w:t>厂界&lt;0.06</w:t>
            </w:r>
          </w:p>
        </w:tc>
        <w:tc>
          <w:tcPr>
            <w:tcW w:w="804" w:type="dxa"/>
            <w:vMerge w:val="continue"/>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Times New Roman"/>
                <w:color w:val="auto"/>
                <w:szCs w:val="21"/>
                <w:lang w:val="en-US" w:eastAsia="zh-CN"/>
              </w:rPr>
            </w:pPr>
          </w:p>
        </w:tc>
        <w:tc>
          <w:tcPr>
            <w:tcW w:w="2658" w:type="dxa"/>
            <w:gridSpan w:val="2"/>
            <w:vMerge w:val="continue"/>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Times New Roman"/>
                <w:color w:val="auto"/>
                <w:szCs w:val="21"/>
                <w:lang w:val="en-US" w:eastAsia="zh-CN"/>
              </w:rPr>
            </w:pPr>
          </w:p>
        </w:tc>
        <w:tc>
          <w:tcPr>
            <w:tcW w:w="1675"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olor w:val="auto"/>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69" w:hRule="atLeast"/>
        </w:trPr>
        <w:tc>
          <w:tcPr>
            <w:tcW w:w="339" w:type="dxa"/>
            <w:vMerge w:val="continue"/>
            <w:tcBorders>
              <w:tl2br w:val="nil"/>
              <w:tr2bl w:val="nil"/>
            </w:tcBorders>
            <w:tcMar>
              <w:left w:w="28" w:type="dxa"/>
              <w:right w:w="28" w:type="dxa"/>
            </w:tcMar>
            <w:vAlign w:val="center"/>
          </w:tcPr>
          <w:p>
            <w:pPr>
              <w:adjustRightInd w:val="0"/>
              <w:snapToGrid w:val="0"/>
              <w:jc w:val="center"/>
              <w:rPr>
                <w:color w:val="auto"/>
              </w:rPr>
            </w:pPr>
          </w:p>
        </w:tc>
        <w:tc>
          <w:tcPr>
            <w:tcW w:w="945" w:type="dxa"/>
            <w:vMerge w:val="restart"/>
            <w:tcBorders>
              <w:tl2br w:val="nil"/>
              <w:tr2bl w:val="nil"/>
            </w:tcBorders>
            <w:tcMar>
              <w:left w:w="28" w:type="dxa"/>
              <w:right w:w="28" w:type="dxa"/>
            </w:tcMar>
            <w:vAlign w:val="center"/>
          </w:tcPr>
          <w:p>
            <w:pPr>
              <w:adjustRightInd w:val="0"/>
              <w:snapToGrid w:val="0"/>
              <w:jc w:val="center"/>
              <w:rPr>
                <w:rFonts w:hint="eastAsia" w:eastAsiaTheme="minorEastAsia"/>
                <w:color w:val="auto"/>
                <w:lang w:eastAsia="zh-CN"/>
              </w:rPr>
            </w:pPr>
            <w:r>
              <w:rPr>
                <w:rFonts w:hint="eastAsia"/>
                <w:color w:val="auto"/>
                <w:lang w:eastAsia="zh-CN"/>
              </w:rPr>
              <w:t>堆粪间</w:t>
            </w:r>
          </w:p>
        </w:tc>
        <w:tc>
          <w:tcPr>
            <w:tcW w:w="1117" w:type="dxa"/>
            <w:gridSpan w:val="2"/>
            <w:tcBorders>
              <w:top w:val="single" w:color="auto" w:sz="4" w:space="0"/>
              <w:tl2br w:val="nil"/>
              <w:tr2bl w:val="nil"/>
            </w:tcBorders>
            <w:tcMar>
              <w:left w:w="28" w:type="dxa"/>
              <w:right w:w="28" w:type="dxa"/>
            </w:tcMar>
            <w:vAlign w:val="center"/>
          </w:tcPr>
          <w:p>
            <w:pPr>
              <w:adjustRightInd w:val="0"/>
              <w:snapToGrid w:val="0"/>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val="en-US" w:eastAsia="zh-CN"/>
              </w:rPr>
              <w:t>NH</w:t>
            </w:r>
            <w:r>
              <w:rPr>
                <w:rFonts w:hint="eastAsia" w:ascii="Times New Roman" w:hAnsi="Times New Roman" w:eastAsia="宋体"/>
                <w:color w:val="auto"/>
                <w:szCs w:val="21"/>
                <w:vertAlign w:val="subscript"/>
                <w:lang w:val="en-US" w:eastAsia="zh-CN"/>
              </w:rPr>
              <w:t>3</w:t>
            </w:r>
          </w:p>
        </w:tc>
        <w:tc>
          <w:tcPr>
            <w:tcW w:w="2537" w:type="dxa"/>
            <w:vMerge w:val="restart"/>
            <w:tcBorders>
              <w:top w:val="single" w:color="auto" w:sz="4" w:space="0"/>
              <w:tl2br w:val="nil"/>
              <w:tr2bl w:val="nil"/>
            </w:tcBorders>
            <w:tcMar>
              <w:left w:w="28" w:type="dxa"/>
              <w:right w:w="28" w:type="dxa"/>
            </w:tcMar>
            <w:vAlign w:val="center"/>
          </w:tcPr>
          <w:p>
            <w:pPr>
              <w:pStyle w:val="98"/>
              <w:jc w:val="center"/>
              <w:rPr>
                <w:rFonts w:hint="eastAsia"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进行封闭处理，负压收集废气，收集后经喷淋洗涤吸收塔（风量10000m</w:t>
            </w:r>
            <w:r>
              <w:rPr>
                <w:rFonts w:hint="eastAsia" w:ascii="Times New Roman" w:hAnsi="Times New Roman" w:cs="Times New Roman"/>
                <w:color w:val="auto"/>
                <w:szCs w:val="21"/>
                <w:vertAlign w:val="superscript"/>
                <w:lang w:val="en-US" w:eastAsia="zh-CN"/>
              </w:rPr>
              <w:t>3</w:t>
            </w:r>
            <w:r>
              <w:rPr>
                <w:rFonts w:hint="eastAsia" w:ascii="Times New Roman" w:hAnsi="Times New Roman" w:cs="Times New Roman"/>
                <w:color w:val="auto"/>
                <w:szCs w:val="21"/>
                <w:lang w:val="en-US" w:eastAsia="zh-CN"/>
              </w:rPr>
              <w:t>/h）处理后由15m排气筒排放</w:t>
            </w:r>
          </w:p>
        </w:tc>
        <w:tc>
          <w:tcPr>
            <w:tcW w:w="1101" w:type="dxa"/>
            <w:tcBorders>
              <w:tl2br w:val="nil"/>
              <w:tr2bl w:val="nil"/>
            </w:tcBorders>
            <w:tcMar>
              <w:left w:w="28" w:type="dxa"/>
              <w:right w:w="28" w:type="dxa"/>
            </w:tcMar>
            <w:vAlign w:val="center"/>
          </w:tcPr>
          <w:p>
            <w:pPr>
              <w:pStyle w:val="98"/>
              <w:jc w:val="center"/>
              <w:rPr>
                <w:rFonts w:hint="eastAsia" w:ascii="Times New Roman" w:hAnsi="Times New Roman" w:eastAsia="宋体"/>
                <w:color w:val="auto"/>
                <w:szCs w:val="21"/>
                <w:lang w:val="en-US" w:eastAsia="zh-CN"/>
              </w:rPr>
            </w:pPr>
            <w:r>
              <w:rPr>
                <w:rFonts w:hint="eastAsia" w:ascii="Times New Roman" w:hAnsi="Times New Roman" w:cs="Times New Roman"/>
                <w:color w:val="auto"/>
                <w:szCs w:val="21"/>
                <w:lang w:val="en-US" w:eastAsia="zh-CN"/>
              </w:rPr>
              <w:t>0.637</w:t>
            </w:r>
          </w:p>
        </w:tc>
        <w:tc>
          <w:tcPr>
            <w:tcW w:w="1007" w:type="dxa"/>
            <w:tcBorders>
              <w:tl2br w:val="nil"/>
              <w:tr2bl w:val="nil"/>
            </w:tcBorders>
            <w:tcMar>
              <w:left w:w="28" w:type="dxa"/>
              <w:right w:w="28" w:type="dxa"/>
            </w:tcMar>
            <w:vAlign w:val="center"/>
          </w:tcPr>
          <w:p>
            <w:pPr>
              <w:adjustRightInd w:val="0"/>
              <w:snapToGrid w:val="0"/>
              <w:jc w:val="center"/>
              <w:rPr>
                <w:rFonts w:hint="default" w:ascii="Times New Roman" w:hAnsi="Times New Roman" w:eastAsia="宋体"/>
                <w:color w:val="auto"/>
                <w:szCs w:val="21"/>
                <w:lang w:val="en-US" w:eastAsia="zh-CN"/>
              </w:rPr>
            </w:pPr>
            <w:r>
              <w:rPr>
                <w:rFonts w:hint="eastAsia" w:ascii="Times New Roman" w:hAnsi="Times New Roman" w:cs="Times New Roman"/>
                <w:color w:val="auto"/>
                <w:szCs w:val="21"/>
                <w:lang w:val="en-US" w:eastAsia="zh-CN"/>
              </w:rPr>
              <w:t>0.00673</w:t>
            </w:r>
          </w:p>
        </w:tc>
        <w:tc>
          <w:tcPr>
            <w:tcW w:w="899" w:type="dxa"/>
            <w:tcBorders>
              <w:tl2br w:val="nil"/>
              <w:tr2bl w:val="nil"/>
            </w:tcBorders>
            <w:tcMar>
              <w:left w:w="28" w:type="dxa"/>
              <w:right w:w="28" w:type="dxa"/>
            </w:tcMar>
            <w:vAlign w:val="center"/>
          </w:tcPr>
          <w:p>
            <w:pPr>
              <w:pStyle w:val="98"/>
              <w:jc w:val="center"/>
              <w:rPr>
                <w:rFonts w:hint="eastAsia" w:ascii="Times New Roman" w:hAnsi="Times New Roman" w:eastAsia="宋体"/>
                <w:color w:val="auto"/>
                <w:szCs w:val="21"/>
                <w:lang w:val="en-US" w:eastAsia="zh-CN"/>
              </w:rPr>
            </w:pPr>
            <w:r>
              <w:rPr>
                <w:rFonts w:hint="eastAsia" w:ascii="Times New Roman" w:hAnsi="Times New Roman" w:cs="Times New Roman"/>
                <w:color w:val="auto"/>
                <w:szCs w:val="21"/>
                <w:lang w:val="en-US" w:eastAsia="zh-CN"/>
              </w:rPr>
              <w:t>0.002</w:t>
            </w:r>
          </w:p>
        </w:tc>
        <w:tc>
          <w:tcPr>
            <w:tcW w:w="995" w:type="dxa"/>
            <w:tcBorders>
              <w:tl2br w:val="nil"/>
              <w:tr2bl w:val="nil"/>
            </w:tcBorders>
            <w:tcMar>
              <w:left w:w="28" w:type="dxa"/>
              <w:right w:w="28" w:type="dxa"/>
            </w:tcMar>
            <w:vAlign w:val="center"/>
          </w:tcPr>
          <w:p>
            <w:pPr>
              <w:pStyle w:val="98"/>
              <w:jc w:val="center"/>
              <w:rPr>
                <w:rFonts w:hint="default"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kern w:val="2"/>
                <w:sz w:val="21"/>
                <w:szCs w:val="21"/>
                <w:lang w:val="en-US" w:eastAsia="zh-CN" w:bidi="zh-CN"/>
              </w:rPr>
              <w:t>/</w:t>
            </w:r>
          </w:p>
        </w:tc>
        <w:tc>
          <w:tcPr>
            <w:tcW w:w="804" w:type="dxa"/>
            <w:vMerge w:val="restart"/>
            <w:tcBorders>
              <w:tl2br w:val="nil"/>
              <w:tr2bl w:val="nil"/>
            </w:tcBorders>
            <w:tcMar>
              <w:left w:w="28" w:type="dxa"/>
              <w:right w:w="28" w:type="dxa"/>
            </w:tcMar>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P1</w:t>
            </w:r>
          </w:p>
          <w:p>
            <w:pPr>
              <w:adjustRightInd w:val="0"/>
              <w:snapToGrid w:val="0"/>
              <w:jc w:val="center"/>
              <w:rPr>
                <w:rFonts w:hint="eastAsia" w:ascii="Times New Roman" w:hAnsi="Times New Roman" w:eastAsia="宋体" w:cs="Times New Roman"/>
                <w:color w:val="auto"/>
                <w:szCs w:val="21"/>
                <w:lang w:val="en-US" w:eastAsia="zh-CN"/>
              </w:rPr>
            </w:pPr>
          </w:p>
        </w:tc>
        <w:tc>
          <w:tcPr>
            <w:tcW w:w="2658" w:type="dxa"/>
            <w:gridSpan w:val="2"/>
            <w:vMerge w:val="restart"/>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default" w:ascii="Times New Roman" w:hAnsi="Times New Roman" w:eastAsia="宋体"/>
                <w:color w:val="auto"/>
                <w:szCs w:val="21"/>
              </w:rPr>
              <w:t xml:space="preserve">《恶臭污染物排放标准》 （GB14554-93） 中表 </w:t>
            </w:r>
            <w:r>
              <w:rPr>
                <w:rFonts w:hint="eastAsia" w:ascii="Times New Roman" w:hAnsi="Times New Roman" w:eastAsia="宋体"/>
                <w:color w:val="auto"/>
                <w:szCs w:val="21"/>
                <w:lang w:val="en-US" w:eastAsia="zh-CN"/>
              </w:rPr>
              <w:t>2</w:t>
            </w:r>
          </w:p>
        </w:tc>
        <w:tc>
          <w:tcPr>
            <w:tcW w:w="1675"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val="en-US" w:eastAsia="zh-CN"/>
              </w:rPr>
              <w:t>15m，4.9kg/h</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69" w:hRule="atLeast"/>
        </w:trPr>
        <w:tc>
          <w:tcPr>
            <w:tcW w:w="339" w:type="dxa"/>
            <w:vMerge w:val="continue"/>
            <w:tcBorders>
              <w:tl2br w:val="nil"/>
              <w:tr2bl w:val="nil"/>
            </w:tcBorders>
            <w:tcMar>
              <w:left w:w="28" w:type="dxa"/>
              <w:right w:w="28" w:type="dxa"/>
            </w:tcMar>
            <w:vAlign w:val="center"/>
          </w:tcPr>
          <w:p>
            <w:pPr>
              <w:adjustRightInd w:val="0"/>
              <w:snapToGrid w:val="0"/>
              <w:jc w:val="center"/>
              <w:rPr>
                <w:color w:val="auto"/>
              </w:rPr>
            </w:pPr>
          </w:p>
        </w:tc>
        <w:tc>
          <w:tcPr>
            <w:tcW w:w="945" w:type="dxa"/>
            <w:vMerge w:val="continue"/>
            <w:tcBorders>
              <w:tl2br w:val="nil"/>
              <w:tr2bl w:val="nil"/>
            </w:tcBorders>
            <w:tcMar>
              <w:left w:w="28" w:type="dxa"/>
              <w:right w:w="28" w:type="dxa"/>
            </w:tcMar>
            <w:vAlign w:val="center"/>
          </w:tcPr>
          <w:p>
            <w:pPr>
              <w:adjustRightInd w:val="0"/>
              <w:snapToGrid w:val="0"/>
              <w:jc w:val="center"/>
              <w:rPr>
                <w:color w:val="auto"/>
              </w:rPr>
            </w:pPr>
          </w:p>
        </w:tc>
        <w:tc>
          <w:tcPr>
            <w:tcW w:w="1117" w:type="dxa"/>
            <w:gridSpan w:val="2"/>
            <w:tcBorders>
              <w:bottom w:val="single" w:color="auto" w:sz="4" w:space="0"/>
              <w:tl2br w:val="nil"/>
              <w:tr2bl w:val="nil"/>
            </w:tcBorders>
            <w:tcMar>
              <w:left w:w="28" w:type="dxa"/>
              <w:right w:w="28" w:type="dxa"/>
            </w:tcMar>
            <w:vAlign w:val="center"/>
          </w:tcPr>
          <w:p>
            <w:pPr>
              <w:adjustRightInd w:val="0"/>
              <w:snapToGrid w:val="0"/>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val="en-US" w:eastAsia="zh-CN"/>
              </w:rPr>
              <w:t>H</w:t>
            </w:r>
            <w:r>
              <w:rPr>
                <w:rFonts w:hint="eastAsia" w:ascii="Times New Roman" w:hAnsi="Times New Roman" w:eastAsia="宋体"/>
                <w:color w:val="auto"/>
                <w:szCs w:val="21"/>
                <w:vertAlign w:val="subscript"/>
                <w:lang w:val="en-US" w:eastAsia="zh-CN"/>
              </w:rPr>
              <w:t>2</w:t>
            </w:r>
            <w:r>
              <w:rPr>
                <w:rFonts w:hint="eastAsia" w:ascii="Times New Roman" w:hAnsi="Times New Roman" w:eastAsia="宋体"/>
                <w:color w:val="auto"/>
                <w:szCs w:val="21"/>
                <w:lang w:val="en-US" w:eastAsia="zh-CN"/>
              </w:rPr>
              <w:t>S</w:t>
            </w:r>
          </w:p>
        </w:tc>
        <w:tc>
          <w:tcPr>
            <w:tcW w:w="2537" w:type="dxa"/>
            <w:vMerge w:val="continue"/>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Times New Roman"/>
                <w:color w:val="auto"/>
                <w:szCs w:val="21"/>
                <w:lang w:val="en-US" w:eastAsia="zh-CN"/>
              </w:rPr>
            </w:pPr>
          </w:p>
        </w:tc>
        <w:tc>
          <w:tcPr>
            <w:tcW w:w="1101" w:type="dxa"/>
            <w:tcBorders>
              <w:tl2br w:val="nil"/>
              <w:tr2bl w:val="nil"/>
            </w:tcBorders>
            <w:tcMar>
              <w:left w:w="28" w:type="dxa"/>
              <w:right w:w="28" w:type="dxa"/>
            </w:tcMar>
            <w:vAlign w:val="center"/>
          </w:tcPr>
          <w:p>
            <w:pPr>
              <w:pStyle w:val="98"/>
              <w:jc w:val="center"/>
              <w:rPr>
                <w:rFonts w:hint="eastAsia" w:ascii="Times New Roman" w:hAnsi="Times New Roman" w:eastAsia="宋体"/>
                <w:color w:val="auto"/>
                <w:szCs w:val="21"/>
                <w:lang w:val="en-US" w:eastAsia="zh-CN"/>
              </w:rPr>
            </w:pPr>
            <w:r>
              <w:rPr>
                <w:rFonts w:hint="eastAsia" w:ascii="Times New Roman" w:hAnsi="Times New Roman" w:cs="Times New Roman"/>
                <w:color w:val="auto"/>
                <w:szCs w:val="21"/>
                <w:lang w:val="en-US" w:eastAsia="zh-CN"/>
              </w:rPr>
              <w:t>0.04</w:t>
            </w:r>
          </w:p>
        </w:tc>
        <w:tc>
          <w:tcPr>
            <w:tcW w:w="1007" w:type="dxa"/>
            <w:tcBorders>
              <w:tl2br w:val="nil"/>
              <w:tr2bl w:val="nil"/>
            </w:tcBorders>
            <w:tcMar>
              <w:left w:w="28" w:type="dxa"/>
              <w:right w:w="28" w:type="dxa"/>
            </w:tcMar>
            <w:vAlign w:val="center"/>
          </w:tcPr>
          <w:p>
            <w:pPr>
              <w:adjustRightInd w:val="0"/>
              <w:snapToGrid w:val="0"/>
              <w:jc w:val="center"/>
              <w:rPr>
                <w:rFonts w:hint="default" w:ascii="Times New Roman" w:hAnsi="Times New Roman" w:eastAsia="宋体"/>
                <w:color w:val="auto"/>
                <w:szCs w:val="21"/>
                <w:lang w:val="en-US" w:eastAsia="zh-CN"/>
              </w:rPr>
            </w:pPr>
            <w:r>
              <w:rPr>
                <w:rFonts w:hint="eastAsia" w:ascii="Times New Roman" w:hAnsi="Times New Roman" w:cs="Times New Roman"/>
                <w:color w:val="auto"/>
                <w:szCs w:val="21"/>
                <w:lang w:val="en-US" w:eastAsia="zh-CN"/>
              </w:rPr>
              <w:t>0.0004</w:t>
            </w:r>
          </w:p>
        </w:tc>
        <w:tc>
          <w:tcPr>
            <w:tcW w:w="899" w:type="dxa"/>
            <w:tcBorders>
              <w:tl2br w:val="nil"/>
              <w:tr2bl w:val="nil"/>
            </w:tcBorders>
            <w:tcMar>
              <w:left w:w="28" w:type="dxa"/>
              <w:right w:w="28" w:type="dxa"/>
            </w:tcMar>
            <w:vAlign w:val="center"/>
          </w:tcPr>
          <w:p>
            <w:pPr>
              <w:pStyle w:val="98"/>
              <w:jc w:val="center"/>
              <w:rPr>
                <w:rFonts w:hint="eastAsia" w:ascii="Times New Roman" w:hAnsi="Times New Roman" w:eastAsia="宋体"/>
                <w:color w:val="auto"/>
                <w:szCs w:val="21"/>
                <w:lang w:val="en-US" w:eastAsia="zh-CN"/>
              </w:rPr>
            </w:pPr>
            <w:r>
              <w:rPr>
                <w:rFonts w:hint="eastAsia" w:ascii="Times New Roman" w:hAnsi="Times New Roman" w:cs="Times New Roman"/>
                <w:color w:val="auto"/>
                <w:szCs w:val="21"/>
                <w:lang w:val="en-US" w:eastAsia="zh-CN"/>
              </w:rPr>
              <w:t>0.0001</w:t>
            </w:r>
          </w:p>
        </w:tc>
        <w:tc>
          <w:tcPr>
            <w:tcW w:w="995" w:type="dxa"/>
            <w:tcBorders>
              <w:tl2br w:val="nil"/>
              <w:tr2bl w:val="nil"/>
            </w:tcBorders>
            <w:tcMar>
              <w:left w:w="28" w:type="dxa"/>
              <w:right w:w="28" w:type="dxa"/>
            </w:tcMar>
            <w:vAlign w:val="center"/>
          </w:tcPr>
          <w:p>
            <w:pPr>
              <w:pStyle w:val="98"/>
              <w:jc w:val="center"/>
              <w:rPr>
                <w:rFonts w:hint="default" w:ascii="Times New Roman" w:hAnsi="Times New Roman" w:eastAsia="宋体" w:cs="Times New Roman"/>
                <w:color w:val="auto"/>
                <w:kern w:val="2"/>
                <w:sz w:val="21"/>
                <w:szCs w:val="21"/>
                <w:lang w:val="en-US" w:eastAsia="zh-CN" w:bidi="zh-CN"/>
              </w:rPr>
            </w:pPr>
            <w:r>
              <w:rPr>
                <w:rFonts w:hint="eastAsia" w:ascii="Times New Roman" w:hAnsi="Times New Roman" w:cs="Times New Roman"/>
                <w:color w:val="auto"/>
                <w:kern w:val="2"/>
                <w:sz w:val="21"/>
                <w:szCs w:val="21"/>
                <w:lang w:val="en-US" w:eastAsia="zh-CN" w:bidi="zh-CN"/>
              </w:rPr>
              <w:t>/</w:t>
            </w:r>
          </w:p>
        </w:tc>
        <w:tc>
          <w:tcPr>
            <w:tcW w:w="804" w:type="dxa"/>
            <w:vMerge w:val="continue"/>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Times New Roman"/>
                <w:color w:val="auto"/>
                <w:szCs w:val="21"/>
                <w:lang w:val="en-US" w:eastAsia="zh-CN"/>
              </w:rPr>
            </w:pPr>
          </w:p>
        </w:tc>
        <w:tc>
          <w:tcPr>
            <w:tcW w:w="2658" w:type="dxa"/>
            <w:gridSpan w:val="2"/>
            <w:vMerge w:val="continue"/>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Times New Roman"/>
                <w:color w:val="auto"/>
                <w:szCs w:val="21"/>
                <w:lang w:val="en-US" w:eastAsia="zh-CN"/>
              </w:rPr>
            </w:pPr>
          </w:p>
        </w:tc>
        <w:tc>
          <w:tcPr>
            <w:tcW w:w="1675"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15m，0.33</w:t>
            </w:r>
            <w:r>
              <w:rPr>
                <w:rFonts w:hint="eastAsia" w:ascii="Times New Roman" w:hAnsi="Times New Roman" w:eastAsia="宋体"/>
                <w:color w:val="auto"/>
                <w:szCs w:val="21"/>
                <w:lang w:val="en-US" w:eastAsia="zh-CN"/>
              </w:rPr>
              <w:t>kg/h</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69" w:hRule="atLeast"/>
        </w:trPr>
        <w:tc>
          <w:tcPr>
            <w:tcW w:w="339" w:type="dxa"/>
            <w:vMerge w:val="continue"/>
            <w:tcBorders>
              <w:tl2br w:val="nil"/>
              <w:tr2bl w:val="nil"/>
            </w:tcBorders>
            <w:tcMar>
              <w:left w:w="28" w:type="dxa"/>
              <w:right w:w="28" w:type="dxa"/>
            </w:tcMar>
            <w:vAlign w:val="center"/>
          </w:tcPr>
          <w:p>
            <w:pPr>
              <w:adjustRightInd w:val="0"/>
              <w:snapToGrid w:val="0"/>
              <w:jc w:val="center"/>
              <w:rPr>
                <w:color w:val="auto"/>
              </w:rPr>
            </w:pPr>
          </w:p>
        </w:tc>
        <w:tc>
          <w:tcPr>
            <w:tcW w:w="945" w:type="dxa"/>
            <w:vMerge w:val="continue"/>
            <w:tcBorders>
              <w:tl2br w:val="nil"/>
              <w:tr2bl w:val="nil"/>
            </w:tcBorders>
            <w:tcMar>
              <w:left w:w="28" w:type="dxa"/>
              <w:right w:w="28" w:type="dxa"/>
            </w:tcMar>
            <w:vAlign w:val="center"/>
          </w:tcPr>
          <w:p>
            <w:pPr>
              <w:adjustRightInd w:val="0"/>
              <w:snapToGrid w:val="0"/>
              <w:jc w:val="center"/>
              <w:rPr>
                <w:color w:val="auto"/>
              </w:rPr>
            </w:pPr>
          </w:p>
        </w:tc>
        <w:tc>
          <w:tcPr>
            <w:tcW w:w="1117" w:type="dxa"/>
            <w:gridSpan w:val="2"/>
            <w:tcBorders>
              <w:top w:val="single" w:color="auto" w:sz="4" w:space="0"/>
              <w:tl2br w:val="nil"/>
              <w:tr2bl w:val="nil"/>
            </w:tcBorders>
            <w:tcMar>
              <w:left w:w="28" w:type="dxa"/>
              <w:right w:w="28" w:type="dxa"/>
            </w:tcMar>
            <w:vAlign w:val="center"/>
          </w:tcPr>
          <w:p>
            <w:pPr>
              <w:adjustRightInd w:val="0"/>
              <w:snapToGrid w:val="0"/>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val="en-US" w:eastAsia="zh-CN"/>
              </w:rPr>
              <w:t>NH</w:t>
            </w:r>
            <w:r>
              <w:rPr>
                <w:rFonts w:hint="eastAsia" w:ascii="Times New Roman" w:hAnsi="Times New Roman" w:eastAsia="宋体"/>
                <w:color w:val="auto"/>
                <w:szCs w:val="21"/>
                <w:vertAlign w:val="subscript"/>
                <w:lang w:val="en-US" w:eastAsia="zh-CN"/>
              </w:rPr>
              <w:t>3</w:t>
            </w:r>
          </w:p>
        </w:tc>
        <w:tc>
          <w:tcPr>
            <w:tcW w:w="2537" w:type="dxa"/>
            <w:vMerge w:val="continue"/>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Times New Roman"/>
                <w:color w:val="auto"/>
                <w:szCs w:val="21"/>
                <w:lang w:val="en-US" w:eastAsia="zh-CN"/>
              </w:rPr>
            </w:pPr>
          </w:p>
        </w:tc>
        <w:tc>
          <w:tcPr>
            <w:tcW w:w="1101"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w:t>
            </w:r>
          </w:p>
        </w:tc>
        <w:tc>
          <w:tcPr>
            <w:tcW w:w="1007" w:type="dxa"/>
            <w:tcBorders>
              <w:tl2br w:val="nil"/>
              <w:tr2bl w:val="nil"/>
            </w:tcBorders>
            <w:tcMar>
              <w:left w:w="28" w:type="dxa"/>
              <w:right w:w="28" w:type="dxa"/>
            </w:tcMar>
            <w:vAlign w:val="center"/>
          </w:tcPr>
          <w:p>
            <w:pPr>
              <w:adjustRightInd w:val="0"/>
              <w:snapToGrid w:val="0"/>
              <w:jc w:val="center"/>
              <w:rPr>
                <w:rFonts w:hint="default" w:ascii="Times New Roman" w:hAnsi="Times New Roman" w:eastAsia="宋体"/>
                <w:color w:val="auto"/>
                <w:szCs w:val="21"/>
                <w:lang w:val="en-US" w:eastAsia="zh-CN"/>
              </w:rPr>
            </w:pPr>
            <w:r>
              <w:rPr>
                <w:rFonts w:hint="eastAsia" w:ascii="Times New Roman" w:hAnsi="Times New Roman" w:eastAsia="宋体" w:cs="Times New Roman"/>
                <w:color w:val="auto"/>
                <w:szCs w:val="21"/>
                <w:lang w:val="en-US" w:eastAsia="zh-CN"/>
              </w:rPr>
              <w:t>0.0013</w:t>
            </w:r>
          </w:p>
        </w:tc>
        <w:tc>
          <w:tcPr>
            <w:tcW w:w="899" w:type="dxa"/>
            <w:tcBorders>
              <w:tl2br w:val="nil"/>
              <w:tr2bl w:val="nil"/>
            </w:tcBorders>
            <w:tcMar>
              <w:left w:w="28" w:type="dxa"/>
              <w:right w:w="28" w:type="dxa"/>
            </w:tcMar>
            <w:vAlign w:val="center"/>
          </w:tcPr>
          <w:p>
            <w:pPr>
              <w:pStyle w:val="98"/>
              <w:jc w:val="center"/>
              <w:rPr>
                <w:rFonts w:hint="eastAsia" w:ascii="Times New Roman" w:hAnsi="Times New Roman" w:eastAsia="宋体"/>
                <w:color w:val="auto"/>
                <w:szCs w:val="21"/>
                <w:lang w:val="en-US" w:eastAsia="zh-CN"/>
              </w:rPr>
            </w:pPr>
            <w:r>
              <w:rPr>
                <w:rFonts w:hint="eastAsia" w:ascii="Times New Roman" w:hAnsi="Times New Roman" w:cs="Times New Roman"/>
                <w:color w:val="auto"/>
                <w:szCs w:val="21"/>
                <w:lang w:val="en-US" w:eastAsia="zh-CN"/>
              </w:rPr>
              <w:t>0.0013</w:t>
            </w:r>
          </w:p>
        </w:tc>
        <w:tc>
          <w:tcPr>
            <w:tcW w:w="995"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val="en-US" w:eastAsia="zh-CN"/>
              </w:rPr>
              <w:t>厂界&lt;1.5.</w:t>
            </w:r>
          </w:p>
        </w:tc>
        <w:tc>
          <w:tcPr>
            <w:tcW w:w="804" w:type="dxa"/>
            <w:vMerge w:val="restart"/>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无组织</w:t>
            </w:r>
          </w:p>
          <w:p>
            <w:pPr>
              <w:adjustRightInd w:val="0"/>
              <w:snapToGrid w:val="0"/>
              <w:jc w:val="center"/>
              <w:rPr>
                <w:rFonts w:hint="eastAsia" w:ascii="Times New Roman" w:hAnsi="Times New Roman" w:eastAsia="宋体" w:cs="Times New Roman"/>
                <w:color w:val="auto"/>
                <w:szCs w:val="21"/>
                <w:lang w:val="en-US" w:eastAsia="zh-CN"/>
              </w:rPr>
            </w:pPr>
          </w:p>
        </w:tc>
        <w:tc>
          <w:tcPr>
            <w:tcW w:w="2658" w:type="dxa"/>
            <w:gridSpan w:val="2"/>
            <w:vMerge w:val="restart"/>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default" w:ascii="Times New Roman" w:hAnsi="Times New Roman" w:eastAsia="宋体"/>
                <w:color w:val="auto"/>
                <w:szCs w:val="21"/>
              </w:rPr>
              <w:t>《恶臭污染物排放标准》 （GB14554-93） 中表 1 新扩改建二级标准</w:t>
            </w:r>
          </w:p>
        </w:tc>
        <w:tc>
          <w:tcPr>
            <w:tcW w:w="1675"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厂界&lt;1.5.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69" w:hRule="atLeast"/>
        </w:trPr>
        <w:tc>
          <w:tcPr>
            <w:tcW w:w="339" w:type="dxa"/>
            <w:vMerge w:val="continue"/>
            <w:tcBorders>
              <w:tl2br w:val="nil"/>
              <w:tr2bl w:val="nil"/>
            </w:tcBorders>
            <w:tcMar>
              <w:left w:w="28" w:type="dxa"/>
              <w:right w:w="28" w:type="dxa"/>
            </w:tcMar>
            <w:vAlign w:val="center"/>
          </w:tcPr>
          <w:p>
            <w:pPr>
              <w:adjustRightInd w:val="0"/>
              <w:snapToGrid w:val="0"/>
              <w:jc w:val="center"/>
              <w:rPr>
                <w:color w:val="auto"/>
              </w:rPr>
            </w:pPr>
          </w:p>
        </w:tc>
        <w:tc>
          <w:tcPr>
            <w:tcW w:w="945" w:type="dxa"/>
            <w:vMerge w:val="continue"/>
            <w:tcBorders>
              <w:tl2br w:val="nil"/>
              <w:tr2bl w:val="nil"/>
            </w:tcBorders>
            <w:tcMar>
              <w:left w:w="28" w:type="dxa"/>
              <w:right w:w="28" w:type="dxa"/>
            </w:tcMar>
            <w:vAlign w:val="center"/>
          </w:tcPr>
          <w:p>
            <w:pPr>
              <w:adjustRightInd w:val="0"/>
              <w:snapToGrid w:val="0"/>
              <w:jc w:val="center"/>
              <w:rPr>
                <w:color w:val="auto"/>
              </w:rPr>
            </w:pPr>
          </w:p>
        </w:tc>
        <w:tc>
          <w:tcPr>
            <w:tcW w:w="1117" w:type="dxa"/>
            <w:gridSpan w:val="2"/>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val="en-US" w:eastAsia="zh-CN"/>
              </w:rPr>
              <w:t>H</w:t>
            </w:r>
            <w:r>
              <w:rPr>
                <w:rFonts w:hint="eastAsia" w:ascii="Times New Roman" w:hAnsi="Times New Roman" w:eastAsia="宋体"/>
                <w:color w:val="auto"/>
                <w:szCs w:val="21"/>
                <w:vertAlign w:val="subscript"/>
                <w:lang w:val="en-US" w:eastAsia="zh-CN"/>
              </w:rPr>
              <w:t>2</w:t>
            </w:r>
            <w:r>
              <w:rPr>
                <w:rFonts w:hint="eastAsia" w:ascii="Times New Roman" w:hAnsi="Times New Roman" w:eastAsia="宋体"/>
                <w:color w:val="auto"/>
                <w:szCs w:val="21"/>
                <w:lang w:val="en-US" w:eastAsia="zh-CN"/>
              </w:rPr>
              <w:t>S</w:t>
            </w:r>
          </w:p>
        </w:tc>
        <w:tc>
          <w:tcPr>
            <w:tcW w:w="2537" w:type="dxa"/>
            <w:vMerge w:val="continue"/>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Times New Roman"/>
                <w:color w:val="auto"/>
                <w:szCs w:val="21"/>
                <w:lang w:val="en-US" w:eastAsia="zh-CN"/>
              </w:rPr>
            </w:pPr>
          </w:p>
        </w:tc>
        <w:tc>
          <w:tcPr>
            <w:tcW w:w="1101"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w:t>
            </w:r>
          </w:p>
        </w:tc>
        <w:tc>
          <w:tcPr>
            <w:tcW w:w="1007" w:type="dxa"/>
            <w:tcBorders>
              <w:tl2br w:val="nil"/>
              <w:tr2bl w:val="nil"/>
            </w:tcBorders>
            <w:tcMar>
              <w:left w:w="28" w:type="dxa"/>
              <w:right w:w="28" w:type="dxa"/>
            </w:tcMar>
            <w:vAlign w:val="center"/>
          </w:tcPr>
          <w:p>
            <w:pPr>
              <w:adjustRightInd w:val="0"/>
              <w:snapToGrid w:val="0"/>
              <w:jc w:val="center"/>
              <w:rPr>
                <w:rFonts w:hint="default" w:ascii="Times New Roman" w:hAnsi="Times New Roman" w:eastAsia="宋体"/>
                <w:color w:val="auto"/>
                <w:szCs w:val="21"/>
                <w:lang w:val="en-US" w:eastAsia="zh-CN"/>
              </w:rPr>
            </w:pPr>
            <w:r>
              <w:rPr>
                <w:rFonts w:hint="eastAsia" w:ascii="Times New Roman" w:hAnsi="Times New Roman" w:eastAsia="宋体" w:cs="Times New Roman"/>
                <w:color w:val="auto"/>
                <w:szCs w:val="21"/>
                <w:lang w:val="en-US" w:eastAsia="zh-CN"/>
              </w:rPr>
              <w:t>0.00008</w:t>
            </w:r>
          </w:p>
        </w:tc>
        <w:tc>
          <w:tcPr>
            <w:tcW w:w="899" w:type="dxa"/>
            <w:tcBorders>
              <w:tl2br w:val="nil"/>
              <w:tr2bl w:val="nil"/>
            </w:tcBorders>
            <w:tcMar>
              <w:left w:w="28" w:type="dxa"/>
              <w:right w:w="28" w:type="dxa"/>
            </w:tcMar>
            <w:vAlign w:val="center"/>
          </w:tcPr>
          <w:p>
            <w:pPr>
              <w:pStyle w:val="98"/>
              <w:jc w:val="center"/>
              <w:rPr>
                <w:rFonts w:hint="default" w:ascii="Times New Roman" w:hAnsi="Times New Roman" w:eastAsia="宋体"/>
                <w:color w:val="auto"/>
                <w:szCs w:val="21"/>
                <w:lang w:val="en-US" w:eastAsia="zh-CN"/>
              </w:rPr>
            </w:pPr>
            <w:r>
              <w:rPr>
                <w:rFonts w:hint="eastAsia" w:ascii="Times New Roman" w:hAnsi="Times New Roman" w:cs="Times New Roman"/>
                <w:color w:val="auto"/>
                <w:szCs w:val="21"/>
                <w:lang w:val="en-US" w:eastAsia="zh-CN"/>
              </w:rPr>
              <w:t>0.00008</w:t>
            </w:r>
          </w:p>
        </w:tc>
        <w:tc>
          <w:tcPr>
            <w:tcW w:w="995"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val="en-US" w:eastAsia="zh-CN"/>
              </w:rPr>
              <w:t>厂界&lt;0.06</w:t>
            </w:r>
          </w:p>
        </w:tc>
        <w:tc>
          <w:tcPr>
            <w:tcW w:w="804" w:type="dxa"/>
            <w:vMerge w:val="continue"/>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Times New Roman"/>
                <w:color w:val="auto"/>
                <w:szCs w:val="21"/>
                <w:lang w:val="en-US" w:eastAsia="zh-CN"/>
              </w:rPr>
            </w:pPr>
          </w:p>
        </w:tc>
        <w:tc>
          <w:tcPr>
            <w:tcW w:w="2658" w:type="dxa"/>
            <w:gridSpan w:val="2"/>
            <w:vMerge w:val="continue"/>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Times New Roman"/>
                <w:color w:val="auto"/>
                <w:szCs w:val="21"/>
                <w:lang w:val="en-US" w:eastAsia="zh-CN"/>
              </w:rPr>
            </w:pPr>
          </w:p>
        </w:tc>
        <w:tc>
          <w:tcPr>
            <w:tcW w:w="1675"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olor w:val="auto"/>
                <w:szCs w:val="21"/>
                <w:lang w:val="en-US" w:eastAsia="zh-CN"/>
              </w:rPr>
              <w:t>厂界&lt;0.06</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362" w:hRule="atLeast"/>
        </w:trPr>
        <w:tc>
          <w:tcPr>
            <w:tcW w:w="339"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945"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食堂</w:t>
            </w:r>
          </w:p>
        </w:tc>
        <w:tc>
          <w:tcPr>
            <w:tcW w:w="1117" w:type="dxa"/>
            <w:gridSpan w:val="2"/>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油烟</w:t>
            </w:r>
          </w:p>
        </w:tc>
        <w:tc>
          <w:tcPr>
            <w:tcW w:w="2537"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rPr>
            </w:pPr>
            <w:r>
              <w:rPr>
                <w:rFonts w:hint="eastAsia" w:ascii="Times New Roman" w:hAnsi="Times New Roman" w:cs="Times New Roman"/>
                <w:color w:val="auto"/>
                <w:szCs w:val="21"/>
                <w:lang w:val="en-US" w:eastAsia="zh-CN"/>
              </w:rPr>
              <w:t>油烟净化器+排烟管道</w:t>
            </w:r>
          </w:p>
        </w:tc>
        <w:tc>
          <w:tcPr>
            <w:tcW w:w="1101" w:type="dxa"/>
            <w:tcBorders>
              <w:tl2br w:val="nil"/>
              <w:tr2bl w:val="nil"/>
            </w:tcBorders>
            <w:tcMar>
              <w:left w:w="28" w:type="dxa"/>
              <w:right w:w="28" w:type="dxa"/>
            </w:tcMar>
            <w:vAlign w:val="center"/>
          </w:tcPr>
          <w:p>
            <w:pPr>
              <w:adjustRightInd w:val="0"/>
              <w:snapToGrid w:val="0"/>
              <w:jc w:val="center"/>
              <w:rPr>
                <w:rFonts w:hint="default" w:ascii="Times New Roman" w:hAnsi="Times New Roman" w:eastAsia="宋体"/>
                <w:color w:val="auto"/>
                <w:szCs w:val="21"/>
                <w:lang w:val="en-US" w:eastAsia="zh-CN"/>
              </w:rPr>
            </w:pPr>
            <w:r>
              <w:rPr>
                <w:rFonts w:hint="eastAsia" w:ascii="Times New Roman" w:hAnsi="Times New Roman" w:cs="Times New Roman"/>
                <w:color w:val="auto"/>
                <w:szCs w:val="21"/>
                <w:lang w:val="en-US" w:eastAsia="zh-CN"/>
              </w:rPr>
              <w:t>0.9375</w:t>
            </w:r>
          </w:p>
        </w:tc>
        <w:tc>
          <w:tcPr>
            <w:tcW w:w="1007" w:type="dxa"/>
            <w:tcBorders>
              <w:tl2br w:val="nil"/>
              <w:tr2bl w:val="nil"/>
            </w:tcBorders>
            <w:tcMar>
              <w:left w:w="28" w:type="dxa"/>
              <w:right w:w="28" w:type="dxa"/>
            </w:tcMar>
            <w:vAlign w:val="center"/>
          </w:tcPr>
          <w:p>
            <w:pPr>
              <w:adjustRightInd w:val="0"/>
              <w:snapToGrid w:val="0"/>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0.00075</w:t>
            </w:r>
          </w:p>
        </w:tc>
        <w:tc>
          <w:tcPr>
            <w:tcW w:w="899" w:type="dxa"/>
            <w:tcBorders>
              <w:tl2br w:val="nil"/>
              <w:tr2bl w:val="nil"/>
            </w:tcBorders>
            <w:tcMar>
              <w:left w:w="28" w:type="dxa"/>
              <w:right w:w="28" w:type="dxa"/>
            </w:tcMar>
            <w:vAlign w:val="center"/>
          </w:tcPr>
          <w:p>
            <w:pPr>
              <w:adjustRightInd w:val="0"/>
              <w:snapToGrid w:val="0"/>
              <w:jc w:val="center"/>
              <w:rPr>
                <w:rFonts w:hint="default" w:ascii="Times New Roman" w:hAnsi="Times New Roman" w:eastAsia="宋体"/>
                <w:color w:val="auto"/>
                <w:szCs w:val="21"/>
                <w:lang w:val="en-US" w:eastAsia="zh-CN"/>
              </w:rPr>
            </w:pPr>
            <w:r>
              <w:rPr>
                <w:rFonts w:hint="eastAsia" w:ascii="Times New Roman" w:hAnsi="Times New Roman" w:cs="Times New Roman"/>
                <w:color w:val="auto"/>
                <w:szCs w:val="21"/>
                <w:lang w:val="en-US" w:eastAsia="zh-CN"/>
              </w:rPr>
              <w:t>0.004</w:t>
            </w:r>
          </w:p>
        </w:tc>
        <w:tc>
          <w:tcPr>
            <w:tcW w:w="995" w:type="dxa"/>
            <w:tcBorders>
              <w:tl2br w:val="nil"/>
              <w:tr2bl w:val="nil"/>
            </w:tcBorders>
            <w:tcMar>
              <w:left w:w="28" w:type="dxa"/>
              <w:right w:w="28" w:type="dxa"/>
            </w:tcMar>
            <w:vAlign w:val="center"/>
          </w:tcPr>
          <w:p>
            <w:pPr>
              <w:adjustRightInd w:val="0"/>
              <w:snapToGrid w:val="0"/>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2.0</w:t>
            </w:r>
          </w:p>
        </w:tc>
        <w:tc>
          <w:tcPr>
            <w:tcW w:w="804"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rPr>
            </w:pPr>
            <w:r>
              <w:rPr>
                <w:rFonts w:hint="eastAsia" w:ascii="Times New Roman" w:hAnsi="Times New Roman" w:eastAsia="宋体"/>
                <w:color w:val="auto"/>
                <w:szCs w:val="21"/>
              </w:rPr>
              <w:t>/</w:t>
            </w:r>
          </w:p>
        </w:tc>
        <w:tc>
          <w:tcPr>
            <w:tcW w:w="2658" w:type="dxa"/>
            <w:gridSpan w:val="2"/>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《饮食行业油烟排放标准试行》（GB18483-2001）标准</w:t>
            </w:r>
          </w:p>
        </w:tc>
        <w:tc>
          <w:tcPr>
            <w:tcW w:w="1675" w:type="dxa"/>
            <w:tcBorders>
              <w:tl2br w:val="nil"/>
              <w:tr2bl w:val="nil"/>
            </w:tcBorders>
            <w:tcMar>
              <w:left w:w="28" w:type="dxa"/>
              <w:right w:w="28" w:type="dxa"/>
            </w:tcMar>
            <w:vAlign w:val="center"/>
          </w:tcPr>
          <w:p>
            <w:pPr>
              <w:adjustRightInd w:val="0"/>
              <w:snapToGrid w:val="0"/>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2.0</w:t>
            </w:r>
            <w:r>
              <w:rPr>
                <w:rFonts w:ascii="Times New Roman" w:hAnsi="Times New Roman" w:eastAsia="宋体"/>
                <w:b w:val="0"/>
                <w:bCs w:val="0"/>
                <w:color w:val="auto"/>
                <w:szCs w:val="21"/>
              </w:rPr>
              <w:t>mg/</w:t>
            </w:r>
            <w:r>
              <w:rPr>
                <w:rFonts w:hint="eastAsia" w:ascii="Times New Roman" w:hAnsi="Times New Roman" w:eastAsia="宋体"/>
                <w:b w:val="0"/>
                <w:bCs w:val="0"/>
                <w:color w:val="auto"/>
                <w:szCs w:val="21"/>
              </w:rPr>
              <w:t>m</w:t>
            </w:r>
            <w:r>
              <w:rPr>
                <w:rFonts w:hint="eastAsia" w:ascii="Times New Roman" w:hAnsi="Times New Roman" w:eastAsia="宋体"/>
                <w:b w:val="0"/>
                <w:bCs w:val="0"/>
                <w:color w:val="auto"/>
                <w:szCs w:val="21"/>
                <w:vertAlign w:val="superscript"/>
              </w:rPr>
              <w:t>3</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596" w:hRule="atLeast"/>
        </w:trPr>
        <w:tc>
          <w:tcPr>
            <w:tcW w:w="339" w:type="dxa"/>
            <w:vMerge w:val="restart"/>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固废</w:t>
            </w:r>
          </w:p>
        </w:tc>
        <w:tc>
          <w:tcPr>
            <w:tcW w:w="945" w:type="dxa"/>
            <w:tcBorders>
              <w:tl2br w:val="nil"/>
              <w:tr2bl w:val="nil"/>
            </w:tcBorders>
            <w:tcMar>
              <w:left w:w="28" w:type="dxa"/>
              <w:right w:w="28" w:type="dxa"/>
            </w:tcMar>
            <w:vAlign w:val="center"/>
          </w:tcPr>
          <w:p>
            <w:pPr>
              <w:pStyle w:val="128"/>
              <w:spacing w:line="240" w:lineRule="auto"/>
              <w:ind w:firstLine="0" w:firstLineChars="0"/>
              <w:jc w:val="center"/>
              <w:rPr>
                <w:rFonts w:hint="eastAsia" w:ascii="Times New Roman" w:hAnsi="Times New Roman" w:eastAsia="宋体"/>
                <w:color w:val="auto"/>
                <w:szCs w:val="21"/>
                <w:lang w:val="en-US" w:eastAsia="zh-CN"/>
              </w:rPr>
            </w:pPr>
            <w:r>
              <w:rPr>
                <w:rFonts w:hint="default" w:ascii="Times New Roman" w:hAnsi="Times New Roman" w:eastAsia="宋体" w:cs="Times New Roman"/>
                <w:color w:val="auto"/>
                <w:kern w:val="2"/>
                <w:sz w:val="21"/>
                <w:szCs w:val="21"/>
                <w:highlight w:val="none"/>
                <w:lang w:val="en-US" w:eastAsia="zh-CN" w:bidi="ar-SA"/>
              </w:rPr>
              <w:t>猪舍</w:t>
            </w:r>
          </w:p>
        </w:tc>
        <w:tc>
          <w:tcPr>
            <w:tcW w:w="1117" w:type="dxa"/>
            <w:gridSpan w:val="2"/>
            <w:tcBorders>
              <w:tl2br w:val="nil"/>
              <w:tr2bl w:val="nil"/>
            </w:tcBorders>
            <w:tcMar>
              <w:left w:w="28" w:type="dxa"/>
              <w:right w:w="28" w:type="dxa"/>
            </w:tcMar>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干粪</w:t>
            </w:r>
          </w:p>
        </w:tc>
        <w:tc>
          <w:tcPr>
            <w:tcW w:w="2537" w:type="dxa"/>
            <w:tcBorders>
              <w:tl2br w:val="nil"/>
              <w:tr2bl w:val="nil"/>
            </w:tcBorders>
            <w:tcMar>
              <w:left w:w="28" w:type="dxa"/>
              <w:right w:w="28" w:type="dxa"/>
            </w:tcMar>
            <w:vAlign w:val="center"/>
          </w:tcPr>
          <w:p>
            <w:pPr>
              <w:pStyle w:val="128"/>
              <w:spacing w:line="240" w:lineRule="auto"/>
              <w:ind w:firstLine="0" w:firstLineChars="0"/>
              <w:jc w:val="center"/>
              <w:rPr>
                <w:rFonts w:hint="eastAsia" w:ascii="Times New Roman" w:hAnsi="Times New Roman" w:eastAsia="宋体"/>
                <w:color w:val="auto"/>
                <w:szCs w:val="21"/>
                <w:lang w:val="en-US" w:eastAsia="zh-CN"/>
              </w:rPr>
            </w:pPr>
            <w:r>
              <w:rPr>
                <w:rFonts w:hint="default" w:ascii="Times New Roman" w:hAnsi="Times New Roman" w:eastAsia="宋体" w:cs="Times New Roman"/>
                <w:color w:val="auto"/>
                <w:kern w:val="2"/>
                <w:sz w:val="21"/>
                <w:szCs w:val="21"/>
                <w:highlight w:val="none"/>
                <w:lang w:val="en-US" w:eastAsia="zh-CN" w:bidi="ar-SA"/>
              </w:rPr>
              <w:t>好氧堆肥</w:t>
            </w:r>
          </w:p>
        </w:tc>
        <w:tc>
          <w:tcPr>
            <w:tcW w:w="1101" w:type="dxa"/>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w:t>
            </w:r>
          </w:p>
        </w:tc>
        <w:tc>
          <w:tcPr>
            <w:tcW w:w="1007" w:type="dxa"/>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w:t>
            </w:r>
          </w:p>
        </w:tc>
        <w:tc>
          <w:tcPr>
            <w:tcW w:w="899" w:type="dxa"/>
            <w:tcBorders>
              <w:tl2br w:val="nil"/>
              <w:tr2bl w:val="nil"/>
            </w:tcBorders>
            <w:tcMar>
              <w:left w:w="28" w:type="dxa"/>
              <w:right w:w="28" w:type="dxa"/>
            </w:tcMar>
            <w:vAlign w:val="center"/>
          </w:tcPr>
          <w:p>
            <w:pPr>
              <w:pStyle w:val="128"/>
              <w:spacing w:line="240" w:lineRule="auto"/>
              <w:ind w:firstLine="0" w:firstLineChars="0"/>
              <w:jc w:val="center"/>
              <w:rPr>
                <w:rFonts w:hint="default" w:ascii="Times New Roman" w:hAnsi="Times New Roman" w:eastAsia="宋体"/>
                <w:color w:val="auto"/>
                <w:szCs w:val="21"/>
                <w:lang w:val="en-US" w:eastAsia="zh-CN"/>
              </w:rPr>
            </w:pPr>
            <w:r>
              <w:rPr>
                <w:rFonts w:hint="eastAsia" w:ascii="Times New Roman" w:hAnsi="Times New Roman" w:eastAsia="宋体" w:cs="Times New Roman"/>
                <w:color w:val="auto"/>
                <w:kern w:val="2"/>
                <w:sz w:val="21"/>
                <w:szCs w:val="21"/>
                <w:highlight w:val="none"/>
                <w:lang w:val="en-US" w:eastAsia="zh-CN" w:bidi="ar-SA"/>
              </w:rPr>
              <w:t>10950</w:t>
            </w:r>
          </w:p>
        </w:tc>
        <w:tc>
          <w:tcPr>
            <w:tcW w:w="995" w:type="dxa"/>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w:t>
            </w:r>
          </w:p>
        </w:tc>
        <w:tc>
          <w:tcPr>
            <w:tcW w:w="804" w:type="dxa"/>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w:t>
            </w:r>
          </w:p>
        </w:tc>
        <w:tc>
          <w:tcPr>
            <w:tcW w:w="2658" w:type="dxa"/>
            <w:gridSpan w:val="2"/>
            <w:vMerge w:val="restart"/>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rPr>
              <w:t>按</w:t>
            </w:r>
            <w:r>
              <w:rPr>
                <w:rFonts w:hint="eastAsia" w:ascii="Times New Roman" w:hAnsi="Times New Roman" w:eastAsia="宋体"/>
                <w:color w:val="auto"/>
                <w:szCs w:val="21"/>
                <w:lang w:eastAsia="zh-CN"/>
              </w:rPr>
              <w:t xml:space="preserve">《一般工业固体废物贮存和填埋污染控制标准》（GB 18599-2020） </w:t>
            </w:r>
          </w:p>
        </w:tc>
        <w:tc>
          <w:tcPr>
            <w:tcW w:w="1675" w:type="dxa"/>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113" w:hRule="atLeast"/>
        </w:trPr>
        <w:tc>
          <w:tcPr>
            <w:tcW w:w="339"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945" w:type="dxa"/>
            <w:tcBorders>
              <w:tl2br w:val="nil"/>
              <w:tr2bl w:val="nil"/>
            </w:tcBorders>
            <w:tcMar>
              <w:left w:w="28" w:type="dxa"/>
              <w:right w:w="28" w:type="dxa"/>
            </w:tcMar>
            <w:vAlign w:val="center"/>
          </w:tcPr>
          <w:p>
            <w:pPr>
              <w:pStyle w:val="128"/>
              <w:spacing w:line="240" w:lineRule="auto"/>
              <w:ind w:firstLine="0" w:firstLineChars="0"/>
              <w:jc w:val="center"/>
              <w:rPr>
                <w:rFonts w:hint="eastAsia" w:ascii="Times New Roman" w:hAnsi="Times New Roman" w:eastAsia="宋体"/>
                <w:color w:val="auto"/>
                <w:szCs w:val="21"/>
                <w:lang w:val="en-US" w:eastAsia="zh-CN"/>
              </w:rPr>
            </w:pPr>
            <w:r>
              <w:rPr>
                <w:rFonts w:hint="default" w:ascii="Times New Roman" w:hAnsi="Times New Roman" w:eastAsia="宋体" w:cs="Times New Roman"/>
                <w:color w:val="auto"/>
                <w:kern w:val="2"/>
                <w:sz w:val="21"/>
                <w:szCs w:val="21"/>
                <w:highlight w:val="none"/>
                <w:lang w:val="en-US" w:eastAsia="zh-CN" w:bidi="ar-SA"/>
              </w:rPr>
              <w:t>猪舍</w:t>
            </w:r>
          </w:p>
        </w:tc>
        <w:tc>
          <w:tcPr>
            <w:tcW w:w="1117" w:type="dxa"/>
            <w:gridSpan w:val="2"/>
            <w:tcBorders>
              <w:tl2br w:val="nil"/>
              <w:tr2bl w:val="nil"/>
            </w:tcBorders>
            <w:tcMar>
              <w:left w:w="28" w:type="dxa"/>
              <w:right w:w="28" w:type="dxa"/>
            </w:tcMar>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病死猪</w:t>
            </w:r>
          </w:p>
        </w:tc>
        <w:tc>
          <w:tcPr>
            <w:tcW w:w="2537" w:type="dxa"/>
            <w:tcBorders>
              <w:tl2br w:val="nil"/>
              <w:tr2bl w:val="nil"/>
            </w:tcBorders>
            <w:tcMar>
              <w:left w:w="28" w:type="dxa"/>
              <w:right w:w="28" w:type="dxa"/>
            </w:tcMar>
            <w:vAlign w:val="center"/>
          </w:tcPr>
          <w:p>
            <w:pPr>
              <w:pStyle w:val="128"/>
              <w:spacing w:line="240" w:lineRule="auto"/>
              <w:ind w:firstLine="0" w:firstLineChars="0"/>
              <w:jc w:val="center"/>
              <w:rPr>
                <w:rFonts w:hint="eastAsia" w:ascii="Times New Roman" w:hAnsi="Times New Roman" w:eastAsia="宋体"/>
                <w:color w:val="auto"/>
                <w:szCs w:val="21"/>
                <w:lang w:val="en-US" w:eastAsia="zh-CN"/>
              </w:rPr>
            </w:pPr>
            <w:r>
              <w:rPr>
                <w:rFonts w:hint="eastAsia" w:ascii="Times New Roman" w:hAnsi="Times New Roman" w:eastAsia="宋体" w:cs="Times New Roman"/>
                <w:color w:val="auto"/>
                <w:kern w:val="2"/>
                <w:sz w:val="21"/>
                <w:szCs w:val="21"/>
                <w:highlight w:val="none"/>
                <w:lang w:val="en-US" w:eastAsia="zh-CN" w:bidi="ar-SA"/>
              </w:rPr>
              <w:t>场内化尸池无害化填埋</w:t>
            </w:r>
          </w:p>
        </w:tc>
        <w:tc>
          <w:tcPr>
            <w:tcW w:w="1101" w:type="dxa"/>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w:t>
            </w:r>
          </w:p>
        </w:tc>
        <w:tc>
          <w:tcPr>
            <w:tcW w:w="1007" w:type="dxa"/>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w:t>
            </w:r>
          </w:p>
        </w:tc>
        <w:tc>
          <w:tcPr>
            <w:tcW w:w="899" w:type="dxa"/>
            <w:tcBorders>
              <w:tl2br w:val="nil"/>
              <w:tr2bl w:val="nil"/>
            </w:tcBorders>
            <w:tcMar>
              <w:left w:w="28" w:type="dxa"/>
              <w:right w:w="28" w:type="dxa"/>
            </w:tcMar>
            <w:vAlign w:val="center"/>
          </w:tcPr>
          <w:p>
            <w:pPr>
              <w:pStyle w:val="128"/>
              <w:spacing w:line="240" w:lineRule="auto"/>
              <w:ind w:firstLine="0" w:firstLineChars="0"/>
              <w:jc w:val="center"/>
              <w:rPr>
                <w:rFonts w:hint="default" w:ascii="Times New Roman" w:hAnsi="Times New Roman" w:eastAsia="宋体"/>
                <w:color w:val="auto"/>
                <w:szCs w:val="21"/>
                <w:lang w:val="en-US" w:eastAsia="zh-CN"/>
              </w:rPr>
            </w:pPr>
            <w:r>
              <w:rPr>
                <w:rFonts w:hint="eastAsia" w:ascii="Times New Roman" w:hAnsi="Times New Roman" w:eastAsia="宋体" w:cs="Times New Roman"/>
                <w:color w:val="auto"/>
                <w:kern w:val="2"/>
                <w:sz w:val="21"/>
                <w:szCs w:val="21"/>
                <w:highlight w:val="none"/>
                <w:lang w:val="en-US" w:eastAsia="zh-CN" w:bidi="ar-SA"/>
              </w:rPr>
              <w:t>42</w:t>
            </w:r>
          </w:p>
        </w:tc>
        <w:tc>
          <w:tcPr>
            <w:tcW w:w="995" w:type="dxa"/>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w:t>
            </w:r>
          </w:p>
        </w:tc>
        <w:tc>
          <w:tcPr>
            <w:tcW w:w="804" w:type="dxa"/>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w:t>
            </w:r>
          </w:p>
        </w:tc>
        <w:tc>
          <w:tcPr>
            <w:tcW w:w="2658" w:type="dxa"/>
            <w:gridSpan w:val="2"/>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1675" w:type="dxa"/>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156" w:hRule="atLeast"/>
        </w:trPr>
        <w:tc>
          <w:tcPr>
            <w:tcW w:w="339"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945" w:type="dxa"/>
            <w:vMerge w:val="restart"/>
            <w:tcBorders>
              <w:tl2br w:val="nil"/>
              <w:tr2bl w:val="nil"/>
            </w:tcBorders>
            <w:tcMar>
              <w:left w:w="28" w:type="dxa"/>
              <w:right w:w="28" w:type="dxa"/>
            </w:tcMar>
            <w:vAlign w:val="center"/>
          </w:tcPr>
          <w:p>
            <w:pPr>
              <w:pStyle w:val="128"/>
              <w:spacing w:line="240" w:lineRule="auto"/>
              <w:ind w:firstLine="0" w:firstLineChars="0"/>
              <w:jc w:val="center"/>
              <w:rPr>
                <w:rFonts w:hint="eastAsia" w:ascii="Times New Roman" w:hAnsi="Times New Roman" w:eastAsia="宋体"/>
                <w:color w:val="auto"/>
                <w:szCs w:val="21"/>
                <w:lang w:val="en-US" w:eastAsia="zh-CN"/>
              </w:rPr>
            </w:pPr>
            <w:r>
              <w:rPr>
                <w:rFonts w:hint="default" w:ascii="Times New Roman" w:hAnsi="Times New Roman" w:eastAsia="宋体" w:cs="Times New Roman"/>
                <w:color w:val="auto"/>
                <w:kern w:val="2"/>
                <w:sz w:val="21"/>
                <w:szCs w:val="21"/>
                <w:highlight w:val="none"/>
                <w:lang w:val="en-US" w:eastAsia="zh-CN" w:bidi="ar-SA"/>
              </w:rPr>
              <w:t>生活区</w:t>
            </w:r>
          </w:p>
        </w:tc>
        <w:tc>
          <w:tcPr>
            <w:tcW w:w="1117" w:type="dxa"/>
            <w:gridSpan w:val="2"/>
            <w:tcBorders>
              <w:bottom w:val="single" w:color="auto" w:sz="4" w:space="0"/>
              <w:tl2br w:val="nil"/>
              <w:tr2bl w:val="nil"/>
            </w:tcBorders>
            <w:tcMar>
              <w:left w:w="28" w:type="dxa"/>
              <w:right w:w="28" w:type="dxa"/>
            </w:tcMar>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生活垃圾</w:t>
            </w:r>
          </w:p>
        </w:tc>
        <w:tc>
          <w:tcPr>
            <w:tcW w:w="2537" w:type="dxa"/>
            <w:vMerge w:val="restart"/>
            <w:tcBorders>
              <w:tl2br w:val="nil"/>
              <w:tr2bl w:val="nil"/>
            </w:tcBorders>
            <w:tcMar>
              <w:left w:w="28" w:type="dxa"/>
              <w:right w:w="28" w:type="dxa"/>
            </w:tcMar>
            <w:vAlign w:val="center"/>
          </w:tcPr>
          <w:p>
            <w:pPr>
              <w:pStyle w:val="128"/>
              <w:spacing w:line="240" w:lineRule="auto"/>
              <w:ind w:firstLine="0" w:firstLineChars="0"/>
              <w:jc w:val="center"/>
              <w:rPr>
                <w:rFonts w:hint="eastAsia" w:ascii="Times New Roman" w:hAnsi="Times New Roman" w:eastAsia="宋体"/>
                <w:color w:val="auto"/>
                <w:szCs w:val="21"/>
                <w:lang w:val="en-US" w:eastAsia="zh-CN"/>
              </w:rPr>
            </w:pPr>
            <w:r>
              <w:rPr>
                <w:rFonts w:hint="default" w:ascii="Times New Roman" w:hAnsi="Times New Roman" w:eastAsia="宋体" w:cs="Times New Roman"/>
                <w:color w:val="auto"/>
                <w:kern w:val="2"/>
                <w:sz w:val="21"/>
                <w:szCs w:val="21"/>
                <w:highlight w:val="none"/>
                <w:lang w:val="en-US" w:eastAsia="zh-CN" w:bidi="ar-SA"/>
              </w:rPr>
              <w:t>收集后由村环卫部门清运至定点垃圾收集点再行转运处理中转站，由环卫部门统一清运</w:t>
            </w:r>
          </w:p>
        </w:tc>
        <w:tc>
          <w:tcPr>
            <w:tcW w:w="1101" w:type="dxa"/>
            <w:tcBorders>
              <w:bottom w:val="single" w:color="auto" w:sz="4" w:space="0"/>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rPr>
            </w:pPr>
            <w:r>
              <w:rPr>
                <w:rFonts w:hint="eastAsia" w:ascii="Times New Roman" w:hAnsi="Times New Roman" w:eastAsia="宋体"/>
                <w:color w:val="auto"/>
                <w:szCs w:val="21"/>
              </w:rPr>
              <w:t>/</w:t>
            </w:r>
          </w:p>
        </w:tc>
        <w:tc>
          <w:tcPr>
            <w:tcW w:w="1007" w:type="dxa"/>
            <w:tcBorders>
              <w:bottom w:val="single" w:color="auto" w:sz="4" w:space="0"/>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rPr>
            </w:pPr>
            <w:r>
              <w:rPr>
                <w:rFonts w:hint="eastAsia" w:ascii="Times New Roman" w:hAnsi="Times New Roman" w:eastAsia="宋体"/>
                <w:color w:val="auto"/>
                <w:szCs w:val="21"/>
              </w:rPr>
              <w:t>/</w:t>
            </w:r>
          </w:p>
        </w:tc>
        <w:tc>
          <w:tcPr>
            <w:tcW w:w="899" w:type="dxa"/>
            <w:tcBorders>
              <w:bottom w:val="single" w:color="auto" w:sz="4" w:space="0"/>
              <w:tl2br w:val="nil"/>
              <w:tr2bl w:val="nil"/>
            </w:tcBorders>
            <w:tcMar>
              <w:left w:w="28" w:type="dxa"/>
              <w:right w:w="28" w:type="dxa"/>
            </w:tcMar>
            <w:vAlign w:val="center"/>
          </w:tcPr>
          <w:p>
            <w:pPr>
              <w:pStyle w:val="128"/>
              <w:spacing w:line="240" w:lineRule="auto"/>
              <w:ind w:firstLine="0" w:firstLineChars="0"/>
              <w:jc w:val="center"/>
              <w:rPr>
                <w:rFonts w:hint="default" w:ascii="Times New Roman" w:hAnsi="Times New Roman" w:eastAsia="宋体"/>
                <w:color w:val="auto"/>
                <w:szCs w:val="21"/>
                <w:lang w:val="en-US" w:eastAsia="zh-CN"/>
              </w:rPr>
            </w:pPr>
            <w:r>
              <w:rPr>
                <w:rFonts w:hint="eastAsia" w:ascii="Times New Roman" w:hAnsi="Times New Roman" w:eastAsia="宋体" w:cs="Times New Roman"/>
                <w:color w:val="auto"/>
                <w:kern w:val="2"/>
                <w:sz w:val="21"/>
                <w:szCs w:val="21"/>
                <w:highlight w:val="none"/>
                <w:lang w:val="en-US" w:eastAsia="zh-CN" w:bidi="ar-SA"/>
              </w:rPr>
              <w:t>9.125</w:t>
            </w:r>
          </w:p>
        </w:tc>
        <w:tc>
          <w:tcPr>
            <w:tcW w:w="995" w:type="dxa"/>
            <w:tcBorders>
              <w:bottom w:val="single" w:color="auto" w:sz="4" w:space="0"/>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rPr>
            </w:pPr>
            <w:r>
              <w:rPr>
                <w:rFonts w:hint="eastAsia" w:ascii="Times New Roman" w:hAnsi="Times New Roman" w:eastAsia="宋体"/>
                <w:color w:val="auto"/>
                <w:szCs w:val="21"/>
              </w:rPr>
              <w:t>/</w:t>
            </w:r>
          </w:p>
        </w:tc>
        <w:tc>
          <w:tcPr>
            <w:tcW w:w="804" w:type="dxa"/>
            <w:tcBorders>
              <w:bottom w:val="single" w:color="auto" w:sz="4" w:space="0"/>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rPr>
            </w:pPr>
            <w:r>
              <w:rPr>
                <w:rFonts w:hint="eastAsia" w:ascii="Times New Roman" w:hAnsi="Times New Roman" w:eastAsia="宋体"/>
                <w:color w:val="auto"/>
                <w:szCs w:val="21"/>
              </w:rPr>
              <w:t>/</w:t>
            </w:r>
          </w:p>
        </w:tc>
        <w:tc>
          <w:tcPr>
            <w:tcW w:w="2658" w:type="dxa"/>
            <w:gridSpan w:val="2"/>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1675" w:type="dxa"/>
            <w:tcBorders>
              <w:bottom w:val="single" w:color="auto" w:sz="4" w:space="0"/>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63" w:hRule="atLeast"/>
        </w:trPr>
        <w:tc>
          <w:tcPr>
            <w:tcW w:w="339"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945" w:type="dxa"/>
            <w:vMerge w:val="continue"/>
            <w:tcBorders>
              <w:tl2br w:val="nil"/>
              <w:tr2bl w:val="nil"/>
            </w:tcBorders>
            <w:tcMar>
              <w:left w:w="28" w:type="dxa"/>
              <w:right w:w="28" w:type="dxa"/>
            </w:tcMar>
            <w:vAlign w:val="center"/>
          </w:tcPr>
          <w:p>
            <w:pPr>
              <w:pStyle w:val="128"/>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1117" w:type="dxa"/>
            <w:gridSpan w:val="2"/>
            <w:tcBorders>
              <w:top w:val="single" w:color="auto" w:sz="4" w:space="0"/>
              <w:tl2br w:val="nil"/>
              <w:tr2bl w:val="nil"/>
            </w:tcBorders>
            <w:tcMar>
              <w:left w:w="28" w:type="dxa"/>
              <w:right w:w="28" w:type="dxa"/>
            </w:tcMar>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食堂废油脂</w:t>
            </w:r>
          </w:p>
        </w:tc>
        <w:tc>
          <w:tcPr>
            <w:tcW w:w="2537" w:type="dxa"/>
            <w:vMerge w:val="continue"/>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lang w:val="en-US" w:eastAsia="zh-CN"/>
              </w:rPr>
            </w:pPr>
          </w:p>
        </w:tc>
        <w:tc>
          <w:tcPr>
            <w:tcW w:w="1101" w:type="dxa"/>
            <w:tcBorders>
              <w:top w:val="single" w:color="auto" w:sz="4" w:space="0"/>
              <w:tl2br w:val="nil"/>
              <w:tr2bl w:val="nil"/>
            </w:tcBorders>
            <w:tcMar>
              <w:left w:w="28" w:type="dxa"/>
              <w:right w:w="28" w:type="dxa"/>
            </w:tcMar>
            <w:vAlign w:val="center"/>
          </w:tcPr>
          <w:p>
            <w:pPr>
              <w:adjustRightInd w:val="0"/>
              <w:snapToGrid w:val="0"/>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rPr>
              <w:t>/</w:t>
            </w:r>
          </w:p>
        </w:tc>
        <w:tc>
          <w:tcPr>
            <w:tcW w:w="1007" w:type="dxa"/>
            <w:tcBorders>
              <w:top w:val="single" w:color="auto" w:sz="4" w:space="0"/>
              <w:tl2br w:val="nil"/>
              <w:tr2bl w:val="nil"/>
            </w:tcBorders>
            <w:tcMar>
              <w:left w:w="28" w:type="dxa"/>
              <w:right w:w="28" w:type="dxa"/>
            </w:tcMar>
            <w:vAlign w:val="center"/>
          </w:tcPr>
          <w:p>
            <w:pPr>
              <w:adjustRightInd w:val="0"/>
              <w:snapToGrid w:val="0"/>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rPr>
              <w:t>/</w:t>
            </w:r>
          </w:p>
        </w:tc>
        <w:tc>
          <w:tcPr>
            <w:tcW w:w="899" w:type="dxa"/>
            <w:tcBorders>
              <w:top w:val="single" w:color="auto" w:sz="4" w:space="0"/>
              <w:tl2br w:val="nil"/>
              <w:tr2bl w:val="nil"/>
            </w:tcBorders>
            <w:tcMar>
              <w:left w:w="28" w:type="dxa"/>
              <w:right w:w="28" w:type="dxa"/>
            </w:tcMar>
            <w:vAlign w:val="center"/>
          </w:tcPr>
          <w:p>
            <w:pPr>
              <w:pStyle w:val="128"/>
              <w:spacing w:line="240" w:lineRule="auto"/>
              <w:ind w:firstLine="0" w:firstLineChars="0"/>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s="Times New Roman"/>
                <w:color w:val="auto"/>
                <w:kern w:val="2"/>
                <w:sz w:val="21"/>
                <w:szCs w:val="21"/>
                <w:highlight w:val="none"/>
                <w:lang w:val="en-US" w:eastAsia="zh-CN" w:bidi="ar-SA"/>
              </w:rPr>
              <w:t>0.055</w:t>
            </w:r>
          </w:p>
        </w:tc>
        <w:tc>
          <w:tcPr>
            <w:tcW w:w="995" w:type="dxa"/>
            <w:tcBorders>
              <w:top w:val="single" w:color="auto" w:sz="4" w:space="0"/>
              <w:tl2br w:val="nil"/>
              <w:tr2bl w:val="nil"/>
            </w:tcBorders>
            <w:tcMar>
              <w:left w:w="28" w:type="dxa"/>
              <w:right w:w="28" w:type="dxa"/>
            </w:tcMar>
            <w:vAlign w:val="center"/>
          </w:tcPr>
          <w:p>
            <w:pPr>
              <w:adjustRightInd w:val="0"/>
              <w:snapToGrid w:val="0"/>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rPr>
              <w:t>/</w:t>
            </w:r>
          </w:p>
        </w:tc>
        <w:tc>
          <w:tcPr>
            <w:tcW w:w="804" w:type="dxa"/>
            <w:tcBorders>
              <w:top w:val="single" w:color="auto" w:sz="4" w:space="0"/>
              <w:tl2br w:val="nil"/>
              <w:tr2bl w:val="nil"/>
            </w:tcBorders>
            <w:tcMar>
              <w:left w:w="28" w:type="dxa"/>
              <w:right w:w="28" w:type="dxa"/>
            </w:tcMar>
            <w:vAlign w:val="center"/>
          </w:tcPr>
          <w:p>
            <w:pPr>
              <w:adjustRightInd w:val="0"/>
              <w:snapToGrid w:val="0"/>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rPr>
              <w:t>/</w:t>
            </w:r>
          </w:p>
        </w:tc>
        <w:tc>
          <w:tcPr>
            <w:tcW w:w="2658" w:type="dxa"/>
            <w:gridSpan w:val="2"/>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1675" w:type="dxa"/>
            <w:tcBorders>
              <w:top w:val="single" w:color="auto" w:sz="4" w:space="0"/>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rPr>
            </w:pPr>
            <w:r>
              <w:rPr>
                <w:rFonts w:hint="eastAsia" w:ascii="Times New Roman" w:hAnsi="Times New Roman" w:eastAsia="宋体"/>
                <w:color w:val="auto"/>
                <w:szCs w:val="21"/>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113" w:hRule="atLeast"/>
        </w:trPr>
        <w:tc>
          <w:tcPr>
            <w:tcW w:w="339"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945" w:type="dxa"/>
            <w:tcBorders>
              <w:tl2br w:val="nil"/>
              <w:tr2bl w:val="nil"/>
            </w:tcBorders>
            <w:tcMar>
              <w:left w:w="28" w:type="dxa"/>
              <w:right w:w="28" w:type="dxa"/>
            </w:tcMar>
            <w:vAlign w:val="center"/>
          </w:tcPr>
          <w:p>
            <w:pPr>
              <w:pStyle w:val="128"/>
              <w:spacing w:line="240" w:lineRule="auto"/>
              <w:ind w:firstLine="0" w:firstLineChars="0"/>
              <w:jc w:val="center"/>
              <w:rPr>
                <w:rFonts w:hint="eastAsia" w:ascii="Times New Roman" w:hAnsi="Times New Roman" w:eastAsia="宋体"/>
                <w:color w:val="auto"/>
                <w:szCs w:val="21"/>
                <w:lang w:val="en-US" w:eastAsia="zh-CN"/>
              </w:rPr>
            </w:pPr>
            <w:r>
              <w:rPr>
                <w:rFonts w:hint="default" w:ascii="Times New Roman" w:hAnsi="Times New Roman" w:eastAsia="宋体" w:cs="Times New Roman"/>
                <w:color w:val="auto"/>
                <w:kern w:val="2"/>
                <w:sz w:val="21"/>
                <w:szCs w:val="21"/>
                <w:highlight w:val="none"/>
                <w:lang w:val="en-US" w:eastAsia="zh-CN" w:bidi="ar-SA"/>
              </w:rPr>
              <w:t>料塔</w:t>
            </w:r>
          </w:p>
        </w:tc>
        <w:tc>
          <w:tcPr>
            <w:tcW w:w="1117" w:type="dxa"/>
            <w:gridSpan w:val="2"/>
            <w:tcBorders>
              <w:tl2br w:val="nil"/>
              <w:tr2bl w:val="nil"/>
            </w:tcBorders>
            <w:tcMar>
              <w:left w:w="28" w:type="dxa"/>
              <w:right w:w="28" w:type="dxa"/>
            </w:tcMar>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废包装材料</w:t>
            </w:r>
          </w:p>
        </w:tc>
        <w:tc>
          <w:tcPr>
            <w:tcW w:w="2537" w:type="dxa"/>
            <w:tcBorders>
              <w:tl2br w:val="nil"/>
              <w:tr2bl w:val="nil"/>
            </w:tcBorders>
            <w:tcMar>
              <w:left w:w="28" w:type="dxa"/>
              <w:right w:w="28" w:type="dxa"/>
            </w:tcMar>
            <w:vAlign w:val="center"/>
          </w:tcPr>
          <w:p>
            <w:pPr>
              <w:pStyle w:val="128"/>
              <w:spacing w:line="240" w:lineRule="auto"/>
              <w:ind w:firstLine="0" w:firstLineChars="0"/>
              <w:jc w:val="center"/>
              <w:rPr>
                <w:rFonts w:hint="eastAsia" w:ascii="Times New Roman" w:hAnsi="Times New Roman" w:eastAsia="宋体"/>
                <w:color w:val="auto"/>
                <w:szCs w:val="21"/>
                <w:lang w:val="en-US" w:eastAsia="zh-CN"/>
              </w:rPr>
            </w:pPr>
            <w:r>
              <w:rPr>
                <w:rFonts w:hint="default" w:ascii="Times New Roman" w:hAnsi="Times New Roman" w:eastAsia="宋体" w:cs="Times New Roman"/>
                <w:color w:val="auto"/>
                <w:kern w:val="2"/>
                <w:sz w:val="21"/>
                <w:szCs w:val="21"/>
                <w:highlight w:val="none"/>
                <w:lang w:val="en-US" w:eastAsia="zh-CN" w:bidi="ar-SA"/>
              </w:rPr>
              <w:t>收集后外售废品回收站回收利用</w:t>
            </w:r>
          </w:p>
        </w:tc>
        <w:tc>
          <w:tcPr>
            <w:tcW w:w="1101"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rPr>
            </w:pPr>
            <w:r>
              <w:rPr>
                <w:rFonts w:hint="eastAsia" w:ascii="Times New Roman" w:hAnsi="Times New Roman" w:eastAsia="宋体"/>
                <w:color w:val="auto"/>
                <w:szCs w:val="21"/>
              </w:rPr>
              <w:t>/</w:t>
            </w:r>
          </w:p>
        </w:tc>
        <w:tc>
          <w:tcPr>
            <w:tcW w:w="1007"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rPr>
            </w:pPr>
            <w:r>
              <w:rPr>
                <w:rFonts w:hint="eastAsia" w:ascii="Times New Roman" w:hAnsi="Times New Roman" w:eastAsia="宋体"/>
                <w:color w:val="auto"/>
                <w:szCs w:val="21"/>
              </w:rPr>
              <w:t>/</w:t>
            </w:r>
          </w:p>
        </w:tc>
        <w:tc>
          <w:tcPr>
            <w:tcW w:w="899" w:type="dxa"/>
            <w:tcBorders>
              <w:tl2br w:val="nil"/>
              <w:tr2bl w:val="nil"/>
            </w:tcBorders>
            <w:tcMar>
              <w:left w:w="28" w:type="dxa"/>
              <w:right w:w="28" w:type="dxa"/>
            </w:tcMar>
            <w:vAlign w:val="center"/>
          </w:tcPr>
          <w:p>
            <w:pPr>
              <w:pStyle w:val="128"/>
              <w:spacing w:line="240" w:lineRule="auto"/>
              <w:ind w:firstLine="0" w:firstLineChars="0"/>
              <w:jc w:val="center"/>
              <w:rPr>
                <w:rFonts w:hint="default" w:ascii="Times New Roman" w:hAnsi="Times New Roman" w:eastAsia="宋体"/>
                <w:color w:val="auto"/>
                <w:szCs w:val="21"/>
                <w:lang w:val="en-US" w:eastAsia="zh-CN"/>
              </w:rPr>
            </w:pPr>
            <w:r>
              <w:rPr>
                <w:rFonts w:hint="eastAsia" w:ascii="Times New Roman" w:hAnsi="Times New Roman" w:eastAsia="宋体" w:cs="Times New Roman"/>
                <w:color w:val="auto"/>
                <w:kern w:val="2"/>
                <w:sz w:val="21"/>
                <w:szCs w:val="21"/>
                <w:highlight w:val="none"/>
                <w:lang w:val="en-US" w:eastAsia="zh-CN" w:bidi="ar-SA"/>
              </w:rPr>
              <w:t>5.0</w:t>
            </w:r>
          </w:p>
        </w:tc>
        <w:tc>
          <w:tcPr>
            <w:tcW w:w="995"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rPr>
            </w:pPr>
            <w:r>
              <w:rPr>
                <w:rFonts w:hint="eastAsia" w:ascii="Times New Roman" w:hAnsi="Times New Roman" w:eastAsia="宋体"/>
                <w:color w:val="auto"/>
                <w:szCs w:val="21"/>
              </w:rPr>
              <w:t>/</w:t>
            </w:r>
          </w:p>
        </w:tc>
        <w:tc>
          <w:tcPr>
            <w:tcW w:w="804"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rPr>
            </w:pPr>
            <w:r>
              <w:rPr>
                <w:rFonts w:hint="eastAsia" w:ascii="Times New Roman" w:hAnsi="Times New Roman" w:eastAsia="宋体"/>
                <w:color w:val="auto"/>
                <w:szCs w:val="21"/>
              </w:rPr>
              <w:t>/</w:t>
            </w:r>
          </w:p>
        </w:tc>
        <w:tc>
          <w:tcPr>
            <w:tcW w:w="2658" w:type="dxa"/>
            <w:gridSpan w:val="2"/>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1675" w:type="dxa"/>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113" w:hRule="atLeast"/>
        </w:trPr>
        <w:tc>
          <w:tcPr>
            <w:tcW w:w="339"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945" w:type="dxa"/>
            <w:tcBorders>
              <w:tl2br w:val="nil"/>
              <w:tr2bl w:val="nil"/>
            </w:tcBorders>
            <w:tcMar>
              <w:left w:w="28" w:type="dxa"/>
              <w:right w:w="28" w:type="dxa"/>
            </w:tcMar>
            <w:vAlign w:val="center"/>
          </w:tcPr>
          <w:p>
            <w:pPr>
              <w:pStyle w:val="128"/>
              <w:spacing w:line="240" w:lineRule="auto"/>
              <w:ind w:firstLine="0" w:firstLineChars="0"/>
              <w:jc w:val="center"/>
              <w:rPr>
                <w:rFonts w:hint="eastAsia" w:ascii="Times New Roman" w:hAnsi="Times New Roman" w:eastAsia="宋体"/>
                <w:color w:val="auto"/>
                <w:szCs w:val="21"/>
                <w:lang w:val="en-US" w:eastAsia="zh-CN"/>
              </w:rPr>
            </w:pPr>
            <w:r>
              <w:rPr>
                <w:rFonts w:hint="default" w:ascii="Times New Roman" w:hAnsi="Times New Roman" w:eastAsia="宋体" w:cs="Times New Roman"/>
                <w:color w:val="auto"/>
                <w:kern w:val="2"/>
                <w:sz w:val="21"/>
                <w:szCs w:val="21"/>
                <w:highlight w:val="none"/>
                <w:lang w:val="en-US" w:eastAsia="zh-CN" w:bidi="ar-SA"/>
              </w:rPr>
              <w:t>水处理池</w:t>
            </w:r>
          </w:p>
        </w:tc>
        <w:tc>
          <w:tcPr>
            <w:tcW w:w="1117" w:type="dxa"/>
            <w:gridSpan w:val="2"/>
            <w:tcBorders>
              <w:tl2br w:val="nil"/>
              <w:tr2bl w:val="nil"/>
            </w:tcBorders>
            <w:tcMar>
              <w:left w:w="28" w:type="dxa"/>
              <w:right w:w="28" w:type="dxa"/>
            </w:tcMar>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污泥</w:t>
            </w:r>
          </w:p>
        </w:tc>
        <w:tc>
          <w:tcPr>
            <w:tcW w:w="2537" w:type="dxa"/>
            <w:tcBorders>
              <w:tl2br w:val="nil"/>
              <w:tr2bl w:val="nil"/>
            </w:tcBorders>
            <w:tcMar>
              <w:left w:w="28" w:type="dxa"/>
              <w:right w:w="28" w:type="dxa"/>
            </w:tcMar>
            <w:vAlign w:val="center"/>
          </w:tcPr>
          <w:p>
            <w:pPr>
              <w:pStyle w:val="128"/>
              <w:spacing w:line="240" w:lineRule="auto"/>
              <w:ind w:firstLine="0" w:firstLineChars="0"/>
              <w:jc w:val="center"/>
              <w:rPr>
                <w:rFonts w:hint="eastAsia" w:ascii="Times New Roman" w:hAnsi="Times New Roman" w:eastAsia="宋体"/>
                <w:color w:val="auto"/>
                <w:szCs w:val="21"/>
                <w:lang w:val="en-US" w:eastAsia="zh-CN"/>
              </w:rPr>
            </w:pPr>
            <w:r>
              <w:rPr>
                <w:rFonts w:hint="default" w:ascii="Times New Roman" w:hAnsi="Times New Roman" w:eastAsia="宋体" w:cs="Times New Roman"/>
                <w:color w:val="auto"/>
                <w:kern w:val="2"/>
                <w:sz w:val="21"/>
                <w:szCs w:val="21"/>
                <w:highlight w:val="none"/>
                <w:lang w:val="en-US" w:eastAsia="zh-CN" w:bidi="ar-SA"/>
              </w:rPr>
              <w:t>好氧堆肥</w:t>
            </w:r>
          </w:p>
        </w:tc>
        <w:tc>
          <w:tcPr>
            <w:tcW w:w="1101"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rPr>
              <w:t>/</w:t>
            </w:r>
          </w:p>
        </w:tc>
        <w:tc>
          <w:tcPr>
            <w:tcW w:w="1007"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rPr>
              <w:t>/</w:t>
            </w:r>
          </w:p>
        </w:tc>
        <w:tc>
          <w:tcPr>
            <w:tcW w:w="899" w:type="dxa"/>
            <w:tcBorders>
              <w:tl2br w:val="nil"/>
              <w:tr2bl w:val="nil"/>
            </w:tcBorders>
            <w:tcMar>
              <w:left w:w="28" w:type="dxa"/>
              <w:right w:w="28" w:type="dxa"/>
            </w:tcMar>
            <w:vAlign w:val="center"/>
          </w:tcPr>
          <w:p>
            <w:pPr>
              <w:pStyle w:val="128"/>
              <w:spacing w:line="240" w:lineRule="auto"/>
              <w:ind w:firstLine="0" w:firstLineChars="0"/>
              <w:jc w:val="center"/>
              <w:rPr>
                <w:rFonts w:hint="eastAsia" w:ascii="Times New Roman" w:hAnsi="Times New Roman" w:eastAsia="宋体"/>
                <w:color w:val="auto"/>
                <w:szCs w:val="21"/>
                <w:lang w:val="en-US" w:eastAsia="zh-CN"/>
              </w:rPr>
            </w:pPr>
            <w:r>
              <w:rPr>
                <w:rFonts w:hint="eastAsia" w:ascii="Times New Roman" w:hAnsi="Times New Roman" w:eastAsia="宋体" w:cs="Times New Roman"/>
                <w:color w:val="auto"/>
                <w:kern w:val="2"/>
                <w:sz w:val="21"/>
                <w:szCs w:val="21"/>
                <w:highlight w:val="none"/>
                <w:lang w:val="en-US" w:eastAsia="zh-CN" w:bidi="ar-SA"/>
              </w:rPr>
              <w:t>13.37</w:t>
            </w:r>
          </w:p>
        </w:tc>
        <w:tc>
          <w:tcPr>
            <w:tcW w:w="995"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rPr>
            </w:pPr>
            <w:r>
              <w:rPr>
                <w:rFonts w:hint="eastAsia" w:ascii="Times New Roman" w:hAnsi="Times New Roman" w:eastAsia="宋体"/>
                <w:color w:val="auto"/>
                <w:szCs w:val="21"/>
              </w:rPr>
              <w:t>/</w:t>
            </w:r>
          </w:p>
        </w:tc>
        <w:tc>
          <w:tcPr>
            <w:tcW w:w="804"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rPr>
            </w:pPr>
            <w:r>
              <w:rPr>
                <w:rFonts w:hint="eastAsia" w:ascii="Times New Roman" w:hAnsi="Times New Roman" w:eastAsia="宋体"/>
                <w:color w:val="auto"/>
                <w:szCs w:val="21"/>
              </w:rPr>
              <w:t>/</w:t>
            </w:r>
          </w:p>
        </w:tc>
        <w:tc>
          <w:tcPr>
            <w:tcW w:w="2658" w:type="dxa"/>
            <w:gridSpan w:val="2"/>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1675"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113" w:hRule="atLeast"/>
        </w:trPr>
        <w:tc>
          <w:tcPr>
            <w:tcW w:w="339"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945" w:type="dxa"/>
            <w:tcBorders>
              <w:tl2br w:val="nil"/>
              <w:tr2bl w:val="nil"/>
            </w:tcBorders>
            <w:tcMar>
              <w:left w:w="28" w:type="dxa"/>
              <w:right w:w="28" w:type="dxa"/>
            </w:tcMar>
            <w:vAlign w:val="center"/>
          </w:tcPr>
          <w:p>
            <w:pPr>
              <w:pStyle w:val="128"/>
              <w:spacing w:line="240" w:lineRule="auto"/>
              <w:ind w:firstLine="0" w:firstLineChars="0"/>
              <w:jc w:val="center"/>
              <w:rPr>
                <w:rFonts w:hint="eastAsia" w:ascii="Times New Roman" w:hAnsi="Times New Roman" w:eastAsia="宋体"/>
                <w:color w:val="auto"/>
                <w:szCs w:val="21"/>
                <w:lang w:val="en-US" w:eastAsia="zh-CN"/>
              </w:rPr>
            </w:pPr>
            <w:r>
              <w:rPr>
                <w:rFonts w:hint="default" w:ascii="Times New Roman" w:hAnsi="Times New Roman" w:eastAsia="宋体" w:cs="Times New Roman"/>
                <w:color w:val="auto"/>
                <w:kern w:val="2"/>
                <w:sz w:val="21"/>
                <w:szCs w:val="21"/>
                <w:highlight w:val="none"/>
                <w:lang w:val="en-US" w:eastAsia="zh-CN" w:bidi="ar-SA"/>
              </w:rPr>
              <w:t>猪舍</w:t>
            </w:r>
          </w:p>
        </w:tc>
        <w:tc>
          <w:tcPr>
            <w:tcW w:w="1117" w:type="dxa"/>
            <w:gridSpan w:val="2"/>
            <w:tcBorders>
              <w:tl2br w:val="nil"/>
              <w:tr2bl w:val="nil"/>
            </w:tcBorders>
            <w:tcMar>
              <w:left w:w="28" w:type="dxa"/>
              <w:right w:w="28" w:type="dxa"/>
            </w:tcMar>
            <w:vAlign w:val="center"/>
          </w:tcPr>
          <w:p>
            <w:pPr>
              <w:pStyle w:val="128"/>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医疗废物</w:t>
            </w:r>
          </w:p>
        </w:tc>
        <w:tc>
          <w:tcPr>
            <w:tcW w:w="2537" w:type="dxa"/>
            <w:tcBorders>
              <w:tl2br w:val="nil"/>
              <w:tr2bl w:val="nil"/>
            </w:tcBorders>
            <w:tcMar>
              <w:left w:w="28" w:type="dxa"/>
              <w:right w:w="28" w:type="dxa"/>
            </w:tcMar>
            <w:vAlign w:val="center"/>
          </w:tcPr>
          <w:p>
            <w:pPr>
              <w:pStyle w:val="128"/>
              <w:spacing w:line="240" w:lineRule="auto"/>
              <w:ind w:firstLine="0" w:firstLineChars="0"/>
              <w:jc w:val="center"/>
              <w:rPr>
                <w:rFonts w:hint="eastAsia" w:ascii="Times New Roman" w:hAnsi="Times New Roman" w:eastAsia="宋体"/>
                <w:color w:val="auto"/>
                <w:szCs w:val="21"/>
                <w:lang w:val="en-US" w:eastAsia="zh-CN"/>
              </w:rPr>
            </w:pPr>
            <w:r>
              <w:rPr>
                <w:rFonts w:hint="default" w:ascii="Times New Roman" w:hAnsi="Times New Roman" w:eastAsia="宋体" w:cs="Times New Roman"/>
                <w:color w:val="auto"/>
                <w:kern w:val="2"/>
                <w:sz w:val="21"/>
                <w:szCs w:val="21"/>
                <w:highlight w:val="none"/>
                <w:lang w:val="en-US" w:eastAsia="zh-CN" w:bidi="ar-SA"/>
              </w:rPr>
              <w:t>交有资质单位处置</w:t>
            </w:r>
          </w:p>
        </w:tc>
        <w:tc>
          <w:tcPr>
            <w:tcW w:w="1101"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rPr>
              <w:t>/</w:t>
            </w:r>
          </w:p>
        </w:tc>
        <w:tc>
          <w:tcPr>
            <w:tcW w:w="1007"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rPr>
              <w:t>/</w:t>
            </w:r>
          </w:p>
        </w:tc>
        <w:tc>
          <w:tcPr>
            <w:tcW w:w="899" w:type="dxa"/>
            <w:tcBorders>
              <w:tl2br w:val="nil"/>
              <w:tr2bl w:val="nil"/>
            </w:tcBorders>
            <w:tcMar>
              <w:left w:w="28" w:type="dxa"/>
              <w:right w:w="28" w:type="dxa"/>
            </w:tcMar>
            <w:vAlign w:val="center"/>
          </w:tcPr>
          <w:p>
            <w:pPr>
              <w:pStyle w:val="128"/>
              <w:spacing w:line="240" w:lineRule="auto"/>
              <w:ind w:firstLine="0" w:firstLineChars="0"/>
              <w:jc w:val="center"/>
              <w:rPr>
                <w:rFonts w:hint="default" w:ascii="Times New Roman" w:hAnsi="Times New Roman" w:eastAsia="宋体"/>
                <w:color w:val="auto"/>
                <w:szCs w:val="21"/>
                <w:lang w:val="en-US" w:eastAsia="zh-CN"/>
              </w:rPr>
            </w:pPr>
            <w:r>
              <w:rPr>
                <w:rFonts w:hint="eastAsia" w:ascii="Times New Roman" w:hAnsi="Times New Roman" w:eastAsia="宋体" w:cs="Times New Roman"/>
                <w:color w:val="auto"/>
                <w:kern w:val="2"/>
                <w:sz w:val="21"/>
                <w:szCs w:val="21"/>
                <w:highlight w:val="none"/>
                <w:lang w:val="en-US" w:eastAsia="zh-CN" w:bidi="ar-SA"/>
              </w:rPr>
              <w:t>0.075</w:t>
            </w:r>
          </w:p>
        </w:tc>
        <w:tc>
          <w:tcPr>
            <w:tcW w:w="995"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rPr>
            </w:pPr>
            <w:r>
              <w:rPr>
                <w:rFonts w:hint="eastAsia" w:ascii="Times New Roman" w:hAnsi="Times New Roman" w:eastAsia="宋体"/>
                <w:color w:val="auto"/>
                <w:szCs w:val="21"/>
              </w:rPr>
              <w:t>/</w:t>
            </w:r>
          </w:p>
        </w:tc>
        <w:tc>
          <w:tcPr>
            <w:tcW w:w="804"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rPr>
            </w:pPr>
            <w:r>
              <w:rPr>
                <w:rFonts w:hint="eastAsia" w:ascii="Times New Roman" w:hAnsi="Times New Roman" w:eastAsia="宋体"/>
                <w:color w:val="auto"/>
                <w:szCs w:val="21"/>
              </w:rPr>
              <w:t>/</w:t>
            </w:r>
          </w:p>
        </w:tc>
        <w:tc>
          <w:tcPr>
            <w:tcW w:w="2658" w:type="dxa"/>
            <w:gridSpan w:val="2"/>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《危险废物贮存污染控制标准》（GB18597-2001）</w:t>
            </w:r>
            <w:r>
              <w:rPr>
                <w:rFonts w:hint="eastAsia" w:ascii="Times New Roman" w:hAnsi="Times New Roman" w:eastAsia="宋体"/>
                <w:color w:val="auto"/>
                <w:szCs w:val="21"/>
                <w:lang w:eastAsia="zh-CN"/>
              </w:rPr>
              <w:t xml:space="preserve"> </w:t>
            </w:r>
            <w:r>
              <w:rPr>
                <w:rFonts w:hint="eastAsia" w:ascii="Times New Roman" w:hAnsi="Times New Roman" w:eastAsia="宋体"/>
                <w:color w:val="auto"/>
                <w:szCs w:val="21"/>
              </w:rPr>
              <w:t>中的有关规定要求处置。</w:t>
            </w:r>
          </w:p>
        </w:tc>
        <w:tc>
          <w:tcPr>
            <w:tcW w:w="1675"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rPr>
            </w:pPr>
            <w:r>
              <w:rPr>
                <w:rFonts w:hint="eastAsia" w:ascii="Times New Roman" w:hAnsi="Times New Roman" w:eastAsia="宋体"/>
                <w:color w:val="auto"/>
                <w:szCs w:val="21"/>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4" w:hRule="atLeast"/>
        </w:trPr>
        <w:tc>
          <w:tcPr>
            <w:tcW w:w="339" w:type="dxa"/>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噪声</w:t>
            </w:r>
          </w:p>
        </w:tc>
        <w:tc>
          <w:tcPr>
            <w:tcW w:w="945" w:type="dxa"/>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生产设备</w:t>
            </w:r>
          </w:p>
        </w:tc>
        <w:tc>
          <w:tcPr>
            <w:tcW w:w="1117" w:type="dxa"/>
            <w:gridSpan w:val="2"/>
            <w:tcBorders>
              <w:tl2br w:val="nil"/>
              <w:tr2bl w:val="nil"/>
            </w:tcBorders>
            <w:tcMar>
              <w:left w:w="28" w:type="dxa"/>
              <w:right w:w="28" w:type="dxa"/>
            </w:tcMar>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噪声</w:t>
            </w:r>
          </w:p>
        </w:tc>
        <w:tc>
          <w:tcPr>
            <w:tcW w:w="2537" w:type="dxa"/>
            <w:tcBorders>
              <w:tl2br w:val="nil"/>
              <w:tr2bl w:val="nil"/>
            </w:tcBorders>
            <w:tcMar>
              <w:left w:w="28" w:type="dxa"/>
              <w:right w:w="28" w:type="dxa"/>
            </w:tcMar>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水泵、风机、备用柴油发电机、发电机组等噪声源安装减振支座，风机安装隔声罩；选用低噪声设备；加强管理和绿化等措施</w:t>
            </w:r>
          </w:p>
        </w:tc>
        <w:tc>
          <w:tcPr>
            <w:tcW w:w="1101" w:type="dxa"/>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w:t>
            </w:r>
          </w:p>
        </w:tc>
        <w:tc>
          <w:tcPr>
            <w:tcW w:w="1007" w:type="dxa"/>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w:t>
            </w:r>
          </w:p>
        </w:tc>
        <w:tc>
          <w:tcPr>
            <w:tcW w:w="899" w:type="dxa"/>
            <w:tcBorders>
              <w:tl2br w:val="nil"/>
              <w:tr2bl w:val="nil"/>
            </w:tcBorders>
            <w:tcMar>
              <w:left w:w="28" w:type="dxa"/>
              <w:right w:w="28" w:type="dxa"/>
            </w:tcMar>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w:t>
            </w:r>
          </w:p>
        </w:tc>
        <w:tc>
          <w:tcPr>
            <w:tcW w:w="995" w:type="dxa"/>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厂界</w:t>
            </w:r>
          </w:p>
        </w:tc>
        <w:tc>
          <w:tcPr>
            <w:tcW w:w="804"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w:t>
            </w:r>
          </w:p>
        </w:tc>
        <w:tc>
          <w:tcPr>
            <w:tcW w:w="2658" w:type="dxa"/>
            <w:gridSpan w:val="2"/>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《工业企业厂界环境噪声排放标准》（GB12348-2008）</w:t>
            </w:r>
            <w:r>
              <w:rPr>
                <w:rFonts w:hint="eastAsia" w:ascii="Times New Roman" w:hAnsi="Times New Roman" w:eastAsia="宋体"/>
                <w:color w:val="auto"/>
                <w:szCs w:val="21"/>
                <w:lang w:val="en-US" w:eastAsia="zh-CN"/>
              </w:rPr>
              <w:t>2</w:t>
            </w:r>
            <w:r>
              <w:rPr>
                <w:rFonts w:ascii="Times New Roman" w:hAnsi="Times New Roman" w:eastAsia="宋体"/>
                <w:color w:val="auto"/>
                <w:szCs w:val="21"/>
              </w:rPr>
              <w:t>类标准</w:t>
            </w:r>
          </w:p>
        </w:tc>
        <w:tc>
          <w:tcPr>
            <w:tcW w:w="1675" w:type="dxa"/>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昼间：6</w:t>
            </w:r>
            <w:r>
              <w:rPr>
                <w:rFonts w:hint="eastAsia" w:ascii="Times New Roman" w:hAnsi="Times New Roman" w:eastAsia="宋体"/>
                <w:color w:val="auto"/>
                <w:szCs w:val="21"/>
                <w:lang w:val="en-US" w:eastAsia="zh-CN"/>
              </w:rPr>
              <w:t>0</w:t>
            </w:r>
            <w:r>
              <w:rPr>
                <w:rFonts w:hint="eastAsia" w:ascii="Times New Roman" w:hAnsi="Times New Roman" w:eastAsia="宋体"/>
                <w:color w:val="auto"/>
                <w:szCs w:val="21"/>
              </w:rPr>
              <w:t>dB(A)；夜间：5</w:t>
            </w:r>
            <w:r>
              <w:rPr>
                <w:rFonts w:hint="eastAsia" w:ascii="Times New Roman" w:hAnsi="Times New Roman" w:eastAsia="宋体"/>
                <w:color w:val="auto"/>
                <w:szCs w:val="21"/>
                <w:lang w:val="en-US" w:eastAsia="zh-CN"/>
              </w:rPr>
              <w:t>0</w:t>
            </w:r>
            <w:r>
              <w:rPr>
                <w:rFonts w:hint="eastAsia" w:ascii="Times New Roman" w:hAnsi="Times New Roman" w:eastAsia="宋体"/>
                <w:color w:val="auto"/>
                <w:szCs w:val="21"/>
              </w:rPr>
              <w:t>dB(A)</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4" w:hRule="atLeast"/>
        </w:trPr>
        <w:tc>
          <w:tcPr>
            <w:tcW w:w="339" w:type="dxa"/>
            <w:vMerge w:val="restart"/>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废水</w:t>
            </w:r>
          </w:p>
        </w:tc>
        <w:tc>
          <w:tcPr>
            <w:tcW w:w="945" w:type="dxa"/>
            <w:vMerge w:val="restart"/>
            <w:tcBorders>
              <w:tl2br w:val="nil"/>
              <w:tr2bl w:val="nil"/>
            </w:tcBorders>
            <w:tcMar>
              <w:left w:w="28" w:type="dxa"/>
              <w:right w:w="28" w:type="dxa"/>
            </w:tcMar>
            <w:vAlign w:val="center"/>
          </w:tcPr>
          <w:p>
            <w:pPr>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综合废水</w:t>
            </w:r>
          </w:p>
        </w:tc>
        <w:tc>
          <w:tcPr>
            <w:tcW w:w="1117" w:type="dxa"/>
            <w:gridSpan w:val="2"/>
            <w:vMerge w:val="restart"/>
            <w:tcBorders>
              <w:tl2br w:val="nil"/>
              <w:tr2bl w:val="nil"/>
            </w:tcBorders>
            <w:tcMar>
              <w:left w:w="28" w:type="dxa"/>
              <w:right w:w="28" w:type="dxa"/>
            </w:tcMar>
            <w:vAlign w:val="center"/>
          </w:tcPr>
          <w:p>
            <w:pPr>
              <w:snapToGrid w:val="0"/>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COD、氨氮等</w:t>
            </w:r>
          </w:p>
        </w:tc>
        <w:tc>
          <w:tcPr>
            <w:tcW w:w="2537" w:type="dxa"/>
            <w:vMerge w:val="restart"/>
            <w:tcBorders>
              <w:tl2br w:val="nil"/>
              <w:tr2bl w:val="nil"/>
            </w:tcBorders>
            <w:tcMar>
              <w:left w:w="28" w:type="dxa"/>
              <w:right w:w="28" w:type="dxa"/>
            </w:tcMar>
            <w:vAlign w:val="center"/>
          </w:tcPr>
          <w:p>
            <w:pPr>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rPr>
              <w:t>生活污水先经化粪池处理、食堂废水先经隔油池处理，处理后的废水与养殖废水一同经过</w:t>
            </w:r>
            <w:r>
              <w:rPr>
                <w:rFonts w:hint="eastAsia" w:ascii="Times New Roman" w:hAnsi="Times New Roman" w:eastAsia="宋体"/>
                <w:color w:val="auto"/>
                <w:szCs w:val="21"/>
                <w:lang w:eastAsia="zh-CN"/>
              </w:rPr>
              <w:t>污水处理区</w:t>
            </w:r>
            <w:r>
              <w:rPr>
                <w:rFonts w:hint="eastAsia" w:ascii="Times New Roman" w:hAnsi="Times New Roman" w:eastAsia="宋体"/>
                <w:color w:val="auto"/>
                <w:szCs w:val="21"/>
              </w:rPr>
              <w:t>处理后用于</w:t>
            </w:r>
            <w:r>
              <w:rPr>
                <w:rFonts w:hint="eastAsia" w:ascii="Times New Roman" w:hAnsi="Times New Roman" w:eastAsia="宋体"/>
                <w:color w:val="auto"/>
                <w:szCs w:val="21"/>
                <w:lang w:eastAsia="zh-CN"/>
              </w:rPr>
              <w:t>周边消纳地</w:t>
            </w:r>
            <w:r>
              <w:rPr>
                <w:rFonts w:hint="eastAsia" w:ascii="Times New Roman" w:hAnsi="Times New Roman" w:eastAsia="宋体"/>
                <w:color w:val="auto"/>
                <w:szCs w:val="21"/>
                <w:lang w:val="en-US" w:eastAsia="zh-CN"/>
              </w:rPr>
              <w:t>灌溉</w:t>
            </w:r>
          </w:p>
        </w:tc>
        <w:tc>
          <w:tcPr>
            <w:tcW w:w="1101" w:type="dxa"/>
            <w:tcBorders>
              <w:tl2br w:val="nil"/>
              <w:tr2bl w:val="nil"/>
            </w:tcBorders>
            <w:tcMar>
              <w:left w:w="28" w:type="dxa"/>
              <w:right w:w="28" w:type="dxa"/>
            </w:tcMar>
            <w:vAlign w:val="center"/>
          </w:tcPr>
          <w:p>
            <w:pPr>
              <w:pStyle w:val="98"/>
              <w:jc w:val="center"/>
              <w:rPr>
                <w:rFonts w:hint="default" w:ascii="Times New Roman" w:hAnsi="Times New Roman" w:eastAsia="宋体"/>
                <w:color w:val="auto"/>
                <w:szCs w:val="21"/>
                <w:lang w:val="en-US" w:eastAsia="zh-CN"/>
              </w:rPr>
            </w:pPr>
            <w:r>
              <w:rPr>
                <w:rFonts w:hint="eastAsia" w:ascii="Times New Roman" w:hAnsi="Times New Roman" w:cs="Times New Roman"/>
                <w:b w:val="0"/>
                <w:bCs w:val="0"/>
                <w:color w:val="auto"/>
                <w:szCs w:val="21"/>
                <w:lang w:val="en-US" w:eastAsia="zh-CN"/>
              </w:rPr>
              <w:t>COD</w:t>
            </w:r>
            <w:r>
              <w:rPr>
                <w:rFonts w:hint="eastAsia" w:ascii="Times New Roman" w:hAnsi="Times New Roman" w:cs="Times New Roman"/>
                <w:b w:val="0"/>
                <w:bCs w:val="0"/>
                <w:color w:val="auto"/>
                <w:szCs w:val="21"/>
                <w:vertAlign w:val="subscript"/>
                <w:lang w:val="en-US" w:eastAsia="zh-CN"/>
              </w:rPr>
              <w:t>Cr</w:t>
            </w:r>
            <w:r>
              <w:rPr>
                <w:rFonts w:hint="eastAsia" w:ascii="Times New Roman" w:hAnsi="Times New Roman" w:cs="Times New Roman"/>
                <w:b w:val="0"/>
                <w:bCs w:val="0"/>
                <w:color w:val="auto"/>
                <w:szCs w:val="21"/>
                <w:lang w:val="en-US" w:eastAsia="zh-CN"/>
              </w:rPr>
              <w:t>：188.51</w:t>
            </w:r>
            <w:r>
              <w:rPr>
                <w:rFonts w:hint="eastAsia" w:ascii="Times New Roman" w:hAnsi="Times New Roman" w:cs="Times New Roman"/>
                <w:color w:val="auto"/>
                <w:szCs w:val="21"/>
                <w:lang w:val="en-US" w:eastAsia="zh-CN"/>
              </w:rPr>
              <w:t>mg/L</w:t>
            </w:r>
          </w:p>
        </w:tc>
        <w:tc>
          <w:tcPr>
            <w:tcW w:w="1007" w:type="dxa"/>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w:t>
            </w:r>
          </w:p>
        </w:tc>
        <w:tc>
          <w:tcPr>
            <w:tcW w:w="899" w:type="dxa"/>
            <w:tcBorders>
              <w:tl2br w:val="nil"/>
              <w:tr2bl w:val="nil"/>
            </w:tcBorders>
            <w:tcMar>
              <w:left w:w="28" w:type="dxa"/>
              <w:right w:w="28" w:type="dxa"/>
            </w:tcMar>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4.70</w:t>
            </w:r>
          </w:p>
        </w:tc>
        <w:tc>
          <w:tcPr>
            <w:tcW w:w="995" w:type="dxa"/>
            <w:vMerge w:val="restart"/>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周边消纳地灌溉，不外排</w:t>
            </w:r>
          </w:p>
        </w:tc>
        <w:tc>
          <w:tcPr>
            <w:tcW w:w="804" w:type="dxa"/>
            <w:vMerge w:val="restart"/>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lang w:val="en-US" w:eastAsia="zh-CN"/>
              </w:rPr>
              <w:t>/</w:t>
            </w:r>
          </w:p>
        </w:tc>
        <w:tc>
          <w:tcPr>
            <w:tcW w:w="2658" w:type="dxa"/>
            <w:gridSpan w:val="2"/>
            <w:vMerge w:val="restart"/>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lang w:eastAsia="zh-CN"/>
              </w:rPr>
            </w:pPr>
            <w:r>
              <w:rPr>
                <w:rFonts w:hint="eastAsia"/>
                <w:color w:val="auto"/>
                <w:lang w:val="en-US" w:eastAsia="zh-CN"/>
              </w:rPr>
              <w:t>《农田灌溉水质标准》（GB5084-2021）中旱作标准</w:t>
            </w:r>
          </w:p>
        </w:tc>
        <w:tc>
          <w:tcPr>
            <w:tcW w:w="1675" w:type="dxa"/>
            <w:vMerge w:val="restart"/>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不外排</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4" w:hRule="atLeast"/>
        </w:trPr>
        <w:tc>
          <w:tcPr>
            <w:tcW w:w="339"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945" w:type="dxa"/>
            <w:vMerge w:val="continue"/>
            <w:tcBorders>
              <w:tl2br w:val="nil"/>
              <w:tr2bl w:val="nil"/>
            </w:tcBorders>
            <w:tcMar>
              <w:left w:w="28" w:type="dxa"/>
              <w:right w:w="28" w:type="dxa"/>
            </w:tcMar>
            <w:vAlign w:val="center"/>
          </w:tcPr>
          <w:p>
            <w:pPr>
              <w:snapToGrid w:val="0"/>
              <w:ind w:firstLine="205" w:firstLineChars="98"/>
              <w:jc w:val="center"/>
              <w:rPr>
                <w:rFonts w:ascii="Times New Roman" w:hAnsi="Times New Roman" w:eastAsia="宋体"/>
                <w:color w:val="auto"/>
                <w:szCs w:val="21"/>
              </w:rPr>
            </w:pPr>
          </w:p>
        </w:tc>
        <w:tc>
          <w:tcPr>
            <w:tcW w:w="1117" w:type="dxa"/>
            <w:gridSpan w:val="2"/>
            <w:vMerge w:val="continue"/>
            <w:tcBorders>
              <w:tl2br w:val="nil"/>
              <w:tr2bl w:val="nil"/>
            </w:tcBorders>
            <w:tcMar>
              <w:left w:w="28" w:type="dxa"/>
              <w:right w:w="28" w:type="dxa"/>
            </w:tcMar>
            <w:vAlign w:val="center"/>
          </w:tcPr>
          <w:p>
            <w:pPr>
              <w:snapToGrid w:val="0"/>
              <w:jc w:val="center"/>
              <w:rPr>
                <w:rFonts w:ascii="Times New Roman" w:hAnsi="Times New Roman" w:eastAsia="宋体"/>
                <w:color w:val="auto"/>
                <w:szCs w:val="21"/>
              </w:rPr>
            </w:pPr>
          </w:p>
        </w:tc>
        <w:tc>
          <w:tcPr>
            <w:tcW w:w="2537" w:type="dxa"/>
            <w:vMerge w:val="continue"/>
            <w:tcBorders>
              <w:tl2br w:val="nil"/>
              <w:tr2bl w:val="nil"/>
            </w:tcBorders>
            <w:tcMar>
              <w:left w:w="28" w:type="dxa"/>
              <w:right w:w="28" w:type="dxa"/>
            </w:tcMar>
            <w:vAlign w:val="center"/>
          </w:tcPr>
          <w:p>
            <w:pPr>
              <w:snapToGrid w:val="0"/>
              <w:jc w:val="center"/>
              <w:rPr>
                <w:rFonts w:ascii="Times New Roman" w:hAnsi="Times New Roman" w:eastAsia="宋体"/>
                <w:color w:val="auto"/>
                <w:szCs w:val="21"/>
              </w:rPr>
            </w:pPr>
          </w:p>
        </w:tc>
        <w:tc>
          <w:tcPr>
            <w:tcW w:w="1101" w:type="dxa"/>
            <w:tcBorders>
              <w:tl2br w:val="nil"/>
              <w:tr2bl w:val="nil"/>
            </w:tcBorders>
            <w:tcMar>
              <w:left w:w="28" w:type="dxa"/>
              <w:right w:w="28" w:type="dxa"/>
            </w:tcMar>
            <w:vAlign w:val="center"/>
          </w:tcPr>
          <w:p>
            <w:pPr>
              <w:pStyle w:val="98"/>
              <w:jc w:val="center"/>
              <w:rPr>
                <w:rFonts w:hint="eastAsia" w:ascii="Times New Roman" w:hAnsi="Times New Roman" w:eastAsia="宋体"/>
                <w:color w:val="auto"/>
                <w:szCs w:val="21"/>
                <w:lang w:val="en-US" w:eastAsia="zh-CN"/>
              </w:rPr>
            </w:pPr>
            <w:r>
              <w:rPr>
                <w:rFonts w:hint="eastAsia" w:ascii="Times New Roman" w:hAnsi="Times New Roman" w:cs="Times New Roman"/>
                <w:b w:val="0"/>
                <w:bCs w:val="0"/>
                <w:color w:val="auto"/>
                <w:szCs w:val="21"/>
                <w:lang w:val="en-US" w:eastAsia="zh-CN"/>
              </w:rPr>
              <w:t>BOD</w:t>
            </w:r>
            <w:r>
              <w:rPr>
                <w:rFonts w:hint="eastAsia" w:ascii="Times New Roman" w:hAnsi="Times New Roman" w:cs="Times New Roman"/>
                <w:b w:val="0"/>
                <w:bCs w:val="0"/>
                <w:color w:val="auto"/>
                <w:szCs w:val="21"/>
                <w:vertAlign w:val="subscript"/>
                <w:lang w:val="en-US" w:eastAsia="zh-CN"/>
              </w:rPr>
              <w:t>5</w:t>
            </w:r>
            <w:r>
              <w:rPr>
                <w:rFonts w:hint="eastAsia" w:ascii="Times New Roman" w:hAnsi="Times New Roman" w:cs="Times New Roman"/>
                <w:b w:val="0"/>
                <w:bCs w:val="0"/>
                <w:color w:val="auto"/>
                <w:szCs w:val="21"/>
                <w:vertAlign w:val="baseline"/>
                <w:lang w:val="en-US" w:eastAsia="zh-CN"/>
              </w:rPr>
              <w:t>：</w:t>
            </w:r>
            <w:r>
              <w:rPr>
                <w:rFonts w:hint="eastAsia" w:ascii="Times New Roman" w:hAnsi="Times New Roman" w:cs="Times New Roman"/>
                <w:color w:val="auto"/>
                <w:szCs w:val="21"/>
                <w:lang w:val="en-US" w:eastAsia="zh-CN"/>
              </w:rPr>
              <w:t>15.99</w:t>
            </w:r>
            <w:r>
              <w:rPr>
                <w:rFonts w:hint="eastAsia" w:ascii="Times New Roman" w:hAnsi="Times New Roman" w:eastAsia="宋体"/>
                <w:color w:val="auto"/>
                <w:szCs w:val="21"/>
                <w:lang w:val="en-US" w:eastAsia="zh-CN"/>
              </w:rPr>
              <w:t>mg/L</w:t>
            </w:r>
          </w:p>
        </w:tc>
        <w:tc>
          <w:tcPr>
            <w:tcW w:w="1007" w:type="dxa"/>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w:t>
            </w:r>
          </w:p>
        </w:tc>
        <w:tc>
          <w:tcPr>
            <w:tcW w:w="899" w:type="dxa"/>
            <w:tcBorders>
              <w:tl2br w:val="nil"/>
              <w:tr2bl w:val="nil"/>
            </w:tcBorders>
            <w:tcMar>
              <w:left w:w="28" w:type="dxa"/>
              <w:right w:w="28" w:type="dxa"/>
            </w:tcMar>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0.40</w:t>
            </w:r>
          </w:p>
        </w:tc>
        <w:tc>
          <w:tcPr>
            <w:tcW w:w="995"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804"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2658" w:type="dxa"/>
            <w:gridSpan w:val="2"/>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1675" w:type="dxa"/>
            <w:vMerge w:val="continue"/>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Arial"/>
                <w:color w:val="auto"/>
                <w:szCs w:val="21"/>
                <w:shd w:val="clear" w:color="auto" w:fill="FFFFFF"/>
                <w:lang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4" w:hRule="atLeast"/>
        </w:trPr>
        <w:tc>
          <w:tcPr>
            <w:tcW w:w="339"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945" w:type="dxa"/>
            <w:vMerge w:val="continue"/>
            <w:tcBorders>
              <w:tl2br w:val="nil"/>
              <w:tr2bl w:val="nil"/>
            </w:tcBorders>
            <w:tcMar>
              <w:left w:w="28" w:type="dxa"/>
              <w:right w:w="28" w:type="dxa"/>
            </w:tcMar>
            <w:vAlign w:val="center"/>
          </w:tcPr>
          <w:p>
            <w:pPr>
              <w:snapToGrid w:val="0"/>
              <w:ind w:firstLine="205" w:firstLineChars="98"/>
              <w:jc w:val="center"/>
              <w:rPr>
                <w:rFonts w:ascii="Times New Roman" w:hAnsi="Times New Roman" w:eastAsia="宋体"/>
                <w:color w:val="auto"/>
                <w:szCs w:val="21"/>
              </w:rPr>
            </w:pPr>
          </w:p>
        </w:tc>
        <w:tc>
          <w:tcPr>
            <w:tcW w:w="1117" w:type="dxa"/>
            <w:gridSpan w:val="2"/>
            <w:vMerge w:val="continue"/>
            <w:tcBorders>
              <w:tl2br w:val="nil"/>
              <w:tr2bl w:val="nil"/>
            </w:tcBorders>
            <w:tcMar>
              <w:left w:w="28" w:type="dxa"/>
              <w:right w:w="28" w:type="dxa"/>
            </w:tcMar>
            <w:vAlign w:val="center"/>
          </w:tcPr>
          <w:p>
            <w:pPr>
              <w:snapToGrid w:val="0"/>
              <w:jc w:val="center"/>
              <w:rPr>
                <w:rFonts w:ascii="Times New Roman" w:hAnsi="Times New Roman" w:eastAsia="宋体"/>
                <w:color w:val="auto"/>
                <w:szCs w:val="21"/>
              </w:rPr>
            </w:pPr>
          </w:p>
        </w:tc>
        <w:tc>
          <w:tcPr>
            <w:tcW w:w="2537" w:type="dxa"/>
            <w:vMerge w:val="continue"/>
            <w:tcBorders>
              <w:tl2br w:val="nil"/>
              <w:tr2bl w:val="nil"/>
            </w:tcBorders>
            <w:tcMar>
              <w:left w:w="28" w:type="dxa"/>
              <w:right w:w="28" w:type="dxa"/>
            </w:tcMar>
            <w:vAlign w:val="center"/>
          </w:tcPr>
          <w:p>
            <w:pPr>
              <w:snapToGrid w:val="0"/>
              <w:jc w:val="center"/>
              <w:rPr>
                <w:rFonts w:ascii="Times New Roman" w:hAnsi="Times New Roman" w:eastAsia="宋体"/>
                <w:color w:val="auto"/>
                <w:szCs w:val="21"/>
              </w:rPr>
            </w:pPr>
          </w:p>
        </w:tc>
        <w:tc>
          <w:tcPr>
            <w:tcW w:w="1101" w:type="dxa"/>
            <w:tcBorders>
              <w:tl2br w:val="nil"/>
              <w:tr2bl w:val="nil"/>
            </w:tcBorders>
            <w:tcMar>
              <w:left w:w="28" w:type="dxa"/>
              <w:right w:w="28" w:type="dxa"/>
            </w:tcMar>
            <w:vAlign w:val="center"/>
          </w:tcPr>
          <w:p>
            <w:pPr>
              <w:pStyle w:val="98"/>
              <w:jc w:val="center"/>
              <w:rPr>
                <w:rFonts w:hint="eastAsia" w:ascii="Times New Roman" w:hAnsi="Times New Roman" w:eastAsia="宋体"/>
                <w:color w:val="auto"/>
                <w:szCs w:val="21"/>
                <w:lang w:val="en-US" w:eastAsia="zh-CN"/>
              </w:rPr>
            </w:pPr>
            <w:r>
              <w:rPr>
                <w:rFonts w:hint="eastAsia" w:ascii="Times New Roman" w:hAnsi="Times New Roman" w:cs="Times New Roman"/>
                <w:b w:val="0"/>
                <w:bCs w:val="0"/>
                <w:color w:val="auto"/>
                <w:szCs w:val="21"/>
                <w:lang w:val="en-US" w:eastAsia="zh-CN"/>
              </w:rPr>
              <w:t>SS：</w:t>
            </w:r>
            <w:r>
              <w:rPr>
                <w:rFonts w:hint="eastAsia" w:ascii="Times New Roman" w:hAnsi="Times New Roman" w:cs="Times New Roman"/>
                <w:color w:val="auto"/>
                <w:szCs w:val="21"/>
                <w:lang w:val="en-US" w:eastAsia="zh-CN"/>
              </w:rPr>
              <w:t>5.73</w:t>
            </w:r>
            <w:r>
              <w:rPr>
                <w:rFonts w:hint="eastAsia" w:ascii="Times New Roman" w:hAnsi="Times New Roman" w:eastAsia="宋体"/>
                <w:color w:val="auto"/>
                <w:szCs w:val="21"/>
                <w:lang w:val="en-US" w:eastAsia="zh-CN"/>
              </w:rPr>
              <w:t>mg/L</w:t>
            </w:r>
          </w:p>
        </w:tc>
        <w:tc>
          <w:tcPr>
            <w:tcW w:w="1007" w:type="dxa"/>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w:t>
            </w:r>
          </w:p>
        </w:tc>
        <w:tc>
          <w:tcPr>
            <w:tcW w:w="899" w:type="dxa"/>
            <w:tcBorders>
              <w:tl2br w:val="nil"/>
              <w:tr2bl w:val="nil"/>
            </w:tcBorders>
            <w:tcMar>
              <w:left w:w="28" w:type="dxa"/>
              <w:right w:w="28" w:type="dxa"/>
            </w:tcMar>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0.14</w:t>
            </w:r>
          </w:p>
        </w:tc>
        <w:tc>
          <w:tcPr>
            <w:tcW w:w="995"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804"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2658" w:type="dxa"/>
            <w:gridSpan w:val="2"/>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s="Arial"/>
                <w:color w:val="auto"/>
                <w:szCs w:val="21"/>
                <w:shd w:val="clear" w:color="auto" w:fill="FFFFFF"/>
              </w:rPr>
            </w:pPr>
          </w:p>
        </w:tc>
        <w:tc>
          <w:tcPr>
            <w:tcW w:w="1675"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s="Arial"/>
                <w:color w:val="auto"/>
                <w:szCs w:val="21"/>
                <w:shd w:val="clear" w:color="auto" w:fill="FFFFFF"/>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4" w:hRule="atLeast"/>
        </w:trPr>
        <w:tc>
          <w:tcPr>
            <w:tcW w:w="339"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945" w:type="dxa"/>
            <w:vMerge w:val="continue"/>
            <w:tcBorders>
              <w:tl2br w:val="nil"/>
              <w:tr2bl w:val="nil"/>
            </w:tcBorders>
            <w:tcMar>
              <w:left w:w="28" w:type="dxa"/>
              <w:right w:w="28" w:type="dxa"/>
            </w:tcMar>
            <w:vAlign w:val="center"/>
          </w:tcPr>
          <w:p>
            <w:pPr>
              <w:snapToGrid w:val="0"/>
              <w:ind w:firstLine="205" w:firstLineChars="98"/>
              <w:jc w:val="center"/>
              <w:rPr>
                <w:rFonts w:ascii="Times New Roman" w:hAnsi="Times New Roman" w:eastAsia="宋体"/>
                <w:color w:val="auto"/>
                <w:szCs w:val="21"/>
              </w:rPr>
            </w:pPr>
          </w:p>
        </w:tc>
        <w:tc>
          <w:tcPr>
            <w:tcW w:w="1117" w:type="dxa"/>
            <w:gridSpan w:val="2"/>
            <w:vMerge w:val="continue"/>
            <w:tcBorders>
              <w:tl2br w:val="nil"/>
              <w:tr2bl w:val="nil"/>
            </w:tcBorders>
            <w:tcMar>
              <w:left w:w="28" w:type="dxa"/>
              <w:right w:w="28" w:type="dxa"/>
            </w:tcMar>
            <w:vAlign w:val="center"/>
          </w:tcPr>
          <w:p>
            <w:pPr>
              <w:snapToGrid w:val="0"/>
              <w:jc w:val="center"/>
              <w:rPr>
                <w:rFonts w:ascii="Times New Roman" w:hAnsi="Times New Roman" w:eastAsia="宋体"/>
                <w:color w:val="auto"/>
                <w:szCs w:val="21"/>
              </w:rPr>
            </w:pPr>
          </w:p>
        </w:tc>
        <w:tc>
          <w:tcPr>
            <w:tcW w:w="2537" w:type="dxa"/>
            <w:vMerge w:val="continue"/>
            <w:tcBorders>
              <w:tl2br w:val="nil"/>
              <w:tr2bl w:val="nil"/>
            </w:tcBorders>
            <w:tcMar>
              <w:left w:w="28" w:type="dxa"/>
              <w:right w:w="28" w:type="dxa"/>
            </w:tcMar>
            <w:vAlign w:val="center"/>
          </w:tcPr>
          <w:p>
            <w:pPr>
              <w:snapToGrid w:val="0"/>
              <w:jc w:val="center"/>
              <w:rPr>
                <w:rFonts w:ascii="Times New Roman" w:hAnsi="Times New Roman" w:eastAsia="宋体"/>
                <w:color w:val="auto"/>
                <w:szCs w:val="21"/>
              </w:rPr>
            </w:pPr>
          </w:p>
        </w:tc>
        <w:tc>
          <w:tcPr>
            <w:tcW w:w="1101" w:type="dxa"/>
            <w:tcBorders>
              <w:tl2br w:val="nil"/>
              <w:tr2bl w:val="nil"/>
            </w:tcBorders>
            <w:tcMar>
              <w:left w:w="28" w:type="dxa"/>
              <w:right w:w="28" w:type="dxa"/>
            </w:tcMar>
            <w:vAlign w:val="center"/>
          </w:tcPr>
          <w:p>
            <w:pPr>
              <w:pStyle w:val="98"/>
              <w:jc w:val="center"/>
              <w:rPr>
                <w:rFonts w:hint="eastAsia" w:ascii="Times New Roman" w:hAnsi="Times New Roman" w:eastAsia="宋体"/>
                <w:color w:val="auto"/>
                <w:szCs w:val="21"/>
                <w:lang w:val="en-US" w:eastAsia="zh-CN"/>
              </w:rPr>
            </w:pPr>
            <w:r>
              <w:rPr>
                <w:rFonts w:hint="eastAsia" w:ascii="Times New Roman" w:hAnsi="Times New Roman" w:cs="Times New Roman"/>
                <w:b w:val="0"/>
                <w:bCs w:val="0"/>
                <w:color w:val="auto"/>
                <w:szCs w:val="21"/>
                <w:lang w:val="en-US" w:eastAsia="zh-CN"/>
              </w:rPr>
              <w:t>NH</w:t>
            </w:r>
            <w:r>
              <w:rPr>
                <w:rFonts w:hint="eastAsia" w:ascii="Times New Roman" w:hAnsi="Times New Roman" w:cs="Times New Roman"/>
                <w:b w:val="0"/>
                <w:bCs w:val="0"/>
                <w:color w:val="auto"/>
                <w:szCs w:val="21"/>
                <w:vertAlign w:val="subscript"/>
                <w:lang w:val="en-US" w:eastAsia="zh-CN"/>
              </w:rPr>
              <w:t>3</w:t>
            </w:r>
            <w:r>
              <w:rPr>
                <w:rFonts w:hint="eastAsia" w:ascii="Times New Roman" w:hAnsi="Times New Roman" w:cs="Times New Roman"/>
                <w:b w:val="0"/>
                <w:bCs w:val="0"/>
                <w:color w:val="auto"/>
                <w:szCs w:val="21"/>
                <w:lang w:val="en-US" w:eastAsia="zh-CN"/>
              </w:rPr>
              <w:t>-N：35.10</w:t>
            </w:r>
            <w:r>
              <w:rPr>
                <w:rFonts w:hint="eastAsia" w:ascii="Times New Roman" w:hAnsi="Times New Roman" w:eastAsia="宋体"/>
                <w:color w:val="auto"/>
                <w:szCs w:val="21"/>
                <w:lang w:val="en-US" w:eastAsia="zh-CN"/>
              </w:rPr>
              <w:t>mg/L</w:t>
            </w:r>
          </w:p>
        </w:tc>
        <w:tc>
          <w:tcPr>
            <w:tcW w:w="1007" w:type="dxa"/>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w:t>
            </w:r>
          </w:p>
        </w:tc>
        <w:tc>
          <w:tcPr>
            <w:tcW w:w="899" w:type="dxa"/>
            <w:tcBorders>
              <w:tl2br w:val="nil"/>
              <w:tr2bl w:val="nil"/>
            </w:tcBorders>
            <w:tcMar>
              <w:left w:w="28" w:type="dxa"/>
              <w:right w:w="28" w:type="dxa"/>
            </w:tcMar>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0.88</w:t>
            </w:r>
          </w:p>
        </w:tc>
        <w:tc>
          <w:tcPr>
            <w:tcW w:w="995"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804"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2658" w:type="dxa"/>
            <w:gridSpan w:val="2"/>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s="Arial"/>
                <w:color w:val="auto"/>
                <w:szCs w:val="21"/>
                <w:shd w:val="clear" w:color="auto" w:fill="FFFFFF"/>
              </w:rPr>
            </w:pPr>
          </w:p>
        </w:tc>
        <w:tc>
          <w:tcPr>
            <w:tcW w:w="1675" w:type="dxa"/>
            <w:vMerge w:val="continue"/>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Arial"/>
                <w:color w:val="auto"/>
                <w:szCs w:val="21"/>
                <w:shd w:val="clear" w:color="auto" w:fill="FFFFFF"/>
                <w:lang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4" w:hRule="atLeast"/>
        </w:trPr>
        <w:tc>
          <w:tcPr>
            <w:tcW w:w="339"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945" w:type="dxa"/>
            <w:vMerge w:val="continue"/>
            <w:tcBorders>
              <w:tl2br w:val="nil"/>
              <w:tr2bl w:val="nil"/>
            </w:tcBorders>
            <w:tcMar>
              <w:left w:w="28" w:type="dxa"/>
              <w:right w:w="28" w:type="dxa"/>
            </w:tcMar>
            <w:vAlign w:val="center"/>
          </w:tcPr>
          <w:p>
            <w:pPr>
              <w:snapToGrid w:val="0"/>
              <w:ind w:firstLine="205" w:firstLineChars="98"/>
              <w:jc w:val="center"/>
              <w:rPr>
                <w:rFonts w:ascii="Times New Roman" w:hAnsi="Times New Roman" w:eastAsia="宋体"/>
                <w:color w:val="auto"/>
                <w:szCs w:val="21"/>
              </w:rPr>
            </w:pPr>
          </w:p>
        </w:tc>
        <w:tc>
          <w:tcPr>
            <w:tcW w:w="1117" w:type="dxa"/>
            <w:gridSpan w:val="2"/>
            <w:vMerge w:val="continue"/>
            <w:tcBorders>
              <w:tl2br w:val="nil"/>
              <w:tr2bl w:val="nil"/>
            </w:tcBorders>
            <w:tcMar>
              <w:left w:w="28" w:type="dxa"/>
              <w:right w:w="28" w:type="dxa"/>
            </w:tcMar>
            <w:vAlign w:val="center"/>
          </w:tcPr>
          <w:p>
            <w:pPr>
              <w:snapToGrid w:val="0"/>
              <w:jc w:val="center"/>
              <w:rPr>
                <w:rFonts w:ascii="Times New Roman" w:hAnsi="Times New Roman" w:eastAsia="宋体"/>
                <w:color w:val="auto"/>
                <w:szCs w:val="21"/>
              </w:rPr>
            </w:pPr>
          </w:p>
        </w:tc>
        <w:tc>
          <w:tcPr>
            <w:tcW w:w="2537" w:type="dxa"/>
            <w:vMerge w:val="continue"/>
            <w:tcBorders>
              <w:tl2br w:val="nil"/>
              <w:tr2bl w:val="nil"/>
            </w:tcBorders>
            <w:tcMar>
              <w:left w:w="28" w:type="dxa"/>
              <w:right w:w="28" w:type="dxa"/>
            </w:tcMar>
            <w:vAlign w:val="center"/>
          </w:tcPr>
          <w:p>
            <w:pPr>
              <w:snapToGrid w:val="0"/>
              <w:jc w:val="center"/>
              <w:rPr>
                <w:rFonts w:ascii="Times New Roman" w:hAnsi="Times New Roman" w:eastAsia="宋体"/>
                <w:color w:val="auto"/>
                <w:szCs w:val="21"/>
              </w:rPr>
            </w:pPr>
          </w:p>
        </w:tc>
        <w:tc>
          <w:tcPr>
            <w:tcW w:w="1101" w:type="dxa"/>
            <w:tcBorders>
              <w:tl2br w:val="nil"/>
              <w:tr2bl w:val="nil"/>
            </w:tcBorders>
            <w:tcMar>
              <w:left w:w="28" w:type="dxa"/>
              <w:right w:w="28" w:type="dxa"/>
            </w:tcMar>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TP:</w:t>
            </w:r>
          </w:p>
          <w:p>
            <w:pPr>
              <w:pStyle w:val="98"/>
              <w:jc w:val="center"/>
              <w:rPr>
                <w:rFonts w:hint="eastAsia" w:ascii="Times New Roman" w:hAnsi="Times New Roman" w:cs="Times New Roman"/>
                <w:b w:val="0"/>
                <w:bCs w:val="0"/>
                <w:color w:val="auto"/>
                <w:szCs w:val="21"/>
                <w:lang w:val="en-US" w:eastAsia="zh-CN"/>
              </w:rPr>
            </w:pPr>
            <w:r>
              <w:rPr>
                <w:rFonts w:hint="eastAsia" w:ascii="Times New Roman" w:hAnsi="Times New Roman" w:cs="Times New Roman"/>
                <w:color w:val="auto"/>
                <w:szCs w:val="21"/>
                <w:lang w:val="en-US" w:eastAsia="zh-CN"/>
              </w:rPr>
              <w:t>5.25</w:t>
            </w:r>
            <w:r>
              <w:rPr>
                <w:rFonts w:hint="eastAsia" w:ascii="Times New Roman" w:hAnsi="Times New Roman" w:eastAsia="宋体"/>
                <w:color w:val="auto"/>
                <w:szCs w:val="21"/>
                <w:lang w:val="en-US" w:eastAsia="zh-CN"/>
              </w:rPr>
              <w:t>mg/L</w:t>
            </w:r>
          </w:p>
        </w:tc>
        <w:tc>
          <w:tcPr>
            <w:tcW w:w="1007"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rPr>
            </w:pPr>
            <w:r>
              <w:rPr>
                <w:rFonts w:hint="eastAsia" w:ascii="Times New Roman" w:hAnsi="Times New Roman" w:eastAsia="宋体"/>
                <w:color w:val="auto"/>
                <w:szCs w:val="21"/>
              </w:rPr>
              <w:t>/</w:t>
            </w:r>
          </w:p>
        </w:tc>
        <w:tc>
          <w:tcPr>
            <w:tcW w:w="899" w:type="dxa"/>
            <w:tcBorders>
              <w:tl2br w:val="nil"/>
              <w:tr2bl w:val="nil"/>
            </w:tcBorders>
            <w:tcMar>
              <w:left w:w="28" w:type="dxa"/>
              <w:right w:w="28" w:type="dxa"/>
            </w:tcMar>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0.13</w:t>
            </w:r>
          </w:p>
        </w:tc>
        <w:tc>
          <w:tcPr>
            <w:tcW w:w="995"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804"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2658" w:type="dxa"/>
            <w:gridSpan w:val="2"/>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s="Arial"/>
                <w:color w:val="auto"/>
                <w:szCs w:val="21"/>
                <w:shd w:val="clear" w:color="auto" w:fill="FFFFFF"/>
              </w:rPr>
            </w:pPr>
          </w:p>
        </w:tc>
        <w:tc>
          <w:tcPr>
            <w:tcW w:w="1675" w:type="dxa"/>
            <w:vMerge w:val="continue"/>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Arial"/>
                <w:color w:val="auto"/>
                <w:szCs w:val="21"/>
                <w:shd w:val="clear" w:color="auto" w:fill="FFFFFF"/>
                <w:lang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4" w:hRule="atLeast"/>
        </w:trPr>
        <w:tc>
          <w:tcPr>
            <w:tcW w:w="339"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945" w:type="dxa"/>
            <w:vMerge w:val="continue"/>
            <w:tcBorders>
              <w:tl2br w:val="nil"/>
              <w:tr2bl w:val="nil"/>
            </w:tcBorders>
            <w:tcMar>
              <w:left w:w="28" w:type="dxa"/>
              <w:right w:w="28" w:type="dxa"/>
            </w:tcMar>
            <w:vAlign w:val="center"/>
          </w:tcPr>
          <w:p>
            <w:pPr>
              <w:snapToGrid w:val="0"/>
              <w:ind w:firstLine="205" w:firstLineChars="98"/>
              <w:jc w:val="center"/>
              <w:rPr>
                <w:rFonts w:ascii="Times New Roman" w:hAnsi="Times New Roman" w:eastAsia="宋体"/>
                <w:color w:val="auto"/>
                <w:szCs w:val="21"/>
              </w:rPr>
            </w:pPr>
          </w:p>
        </w:tc>
        <w:tc>
          <w:tcPr>
            <w:tcW w:w="1117" w:type="dxa"/>
            <w:gridSpan w:val="2"/>
            <w:vMerge w:val="continue"/>
            <w:tcBorders>
              <w:tl2br w:val="nil"/>
              <w:tr2bl w:val="nil"/>
            </w:tcBorders>
            <w:tcMar>
              <w:left w:w="28" w:type="dxa"/>
              <w:right w:w="28" w:type="dxa"/>
            </w:tcMar>
            <w:vAlign w:val="center"/>
          </w:tcPr>
          <w:p>
            <w:pPr>
              <w:snapToGrid w:val="0"/>
              <w:jc w:val="center"/>
              <w:rPr>
                <w:rFonts w:ascii="Times New Roman" w:hAnsi="Times New Roman" w:eastAsia="宋体"/>
                <w:color w:val="auto"/>
                <w:szCs w:val="21"/>
              </w:rPr>
            </w:pPr>
          </w:p>
        </w:tc>
        <w:tc>
          <w:tcPr>
            <w:tcW w:w="2537" w:type="dxa"/>
            <w:vMerge w:val="continue"/>
            <w:tcBorders>
              <w:tl2br w:val="nil"/>
              <w:tr2bl w:val="nil"/>
            </w:tcBorders>
            <w:tcMar>
              <w:left w:w="28" w:type="dxa"/>
              <w:right w:w="28" w:type="dxa"/>
            </w:tcMar>
            <w:vAlign w:val="center"/>
          </w:tcPr>
          <w:p>
            <w:pPr>
              <w:snapToGrid w:val="0"/>
              <w:jc w:val="center"/>
              <w:rPr>
                <w:rFonts w:ascii="Times New Roman" w:hAnsi="Times New Roman" w:eastAsia="宋体"/>
                <w:color w:val="auto"/>
                <w:szCs w:val="21"/>
              </w:rPr>
            </w:pPr>
          </w:p>
        </w:tc>
        <w:tc>
          <w:tcPr>
            <w:tcW w:w="1101" w:type="dxa"/>
            <w:tcBorders>
              <w:tl2br w:val="nil"/>
              <w:tr2bl w:val="nil"/>
            </w:tcBorders>
            <w:tcMar>
              <w:left w:w="28" w:type="dxa"/>
              <w:right w:w="28" w:type="dxa"/>
            </w:tcMar>
            <w:vAlign w:val="center"/>
          </w:tcPr>
          <w:p>
            <w:pPr>
              <w:pStyle w:val="98"/>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TN:</w:t>
            </w:r>
          </w:p>
          <w:p>
            <w:pPr>
              <w:pStyle w:val="98"/>
              <w:jc w:val="center"/>
              <w:rPr>
                <w:rFonts w:hint="eastAsia" w:ascii="Times New Roman" w:hAnsi="Times New Roman" w:cs="Times New Roman"/>
                <w:b w:val="0"/>
                <w:bCs w:val="0"/>
                <w:color w:val="auto"/>
                <w:szCs w:val="21"/>
                <w:lang w:val="en-US" w:eastAsia="zh-CN"/>
              </w:rPr>
            </w:pPr>
            <w:r>
              <w:rPr>
                <w:rFonts w:hint="eastAsia" w:ascii="Times New Roman" w:hAnsi="Times New Roman"/>
                <w:color w:val="auto"/>
                <w:szCs w:val="21"/>
                <w:lang w:val="en-US" w:eastAsia="zh-CN"/>
              </w:rPr>
              <w:t>64.05</w:t>
            </w:r>
            <w:r>
              <w:rPr>
                <w:rFonts w:hint="eastAsia" w:ascii="Times New Roman" w:hAnsi="Times New Roman" w:eastAsia="宋体"/>
                <w:color w:val="auto"/>
                <w:szCs w:val="21"/>
                <w:lang w:val="en-US" w:eastAsia="zh-CN"/>
              </w:rPr>
              <w:t>mg/L</w:t>
            </w:r>
          </w:p>
        </w:tc>
        <w:tc>
          <w:tcPr>
            <w:tcW w:w="1007"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rPr>
            </w:pPr>
            <w:r>
              <w:rPr>
                <w:rFonts w:hint="eastAsia" w:ascii="Times New Roman" w:hAnsi="Times New Roman" w:eastAsia="宋体"/>
                <w:color w:val="auto"/>
                <w:szCs w:val="21"/>
              </w:rPr>
              <w:t>/</w:t>
            </w:r>
          </w:p>
        </w:tc>
        <w:tc>
          <w:tcPr>
            <w:tcW w:w="899" w:type="dxa"/>
            <w:tcBorders>
              <w:tl2br w:val="nil"/>
              <w:tr2bl w:val="nil"/>
            </w:tcBorders>
            <w:tcMar>
              <w:left w:w="28" w:type="dxa"/>
              <w:right w:w="28" w:type="dxa"/>
            </w:tcMar>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1.60</w:t>
            </w:r>
          </w:p>
        </w:tc>
        <w:tc>
          <w:tcPr>
            <w:tcW w:w="995"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804"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2658" w:type="dxa"/>
            <w:gridSpan w:val="2"/>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s="Arial"/>
                <w:color w:val="auto"/>
                <w:szCs w:val="21"/>
                <w:shd w:val="clear" w:color="auto" w:fill="FFFFFF"/>
              </w:rPr>
            </w:pPr>
          </w:p>
        </w:tc>
        <w:tc>
          <w:tcPr>
            <w:tcW w:w="1675" w:type="dxa"/>
            <w:vMerge w:val="continue"/>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Arial"/>
                <w:color w:val="auto"/>
                <w:szCs w:val="21"/>
                <w:shd w:val="clear" w:color="auto" w:fill="FFFFFF"/>
                <w:lang w:eastAsia="zh-CN"/>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4" w:hRule="atLeast"/>
        </w:trPr>
        <w:tc>
          <w:tcPr>
            <w:tcW w:w="339"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945" w:type="dxa"/>
            <w:tcBorders>
              <w:tl2br w:val="nil"/>
              <w:tr2bl w:val="nil"/>
            </w:tcBorders>
            <w:tcMar>
              <w:left w:w="28" w:type="dxa"/>
              <w:right w:w="28" w:type="dxa"/>
            </w:tcMar>
            <w:vAlign w:val="center"/>
          </w:tcPr>
          <w:p>
            <w:pPr>
              <w:snapToGrid w:val="0"/>
              <w:ind w:firstLine="205" w:firstLineChars="98"/>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雨水</w:t>
            </w:r>
          </w:p>
        </w:tc>
        <w:tc>
          <w:tcPr>
            <w:tcW w:w="1117" w:type="dxa"/>
            <w:gridSpan w:val="2"/>
            <w:tcBorders>
              <w:tl2br w:val="nil"/>
              <w:tr2bl w:val="nil"/>
            </w:tcBorders>
            <w:tcMar>
              <w:left w:w="28" w:type="dxa"/>
              <w:right w:w="28" w:type="dxa"/>
            </w:tcMar>
            <w:vAlign w:val="center"/>
          </w:tcPr>
          <w:p>
            <w:pPr>
              <w:snapToGrid w:val="0"/>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SS等</w:t>
            </w:r>
          </w:p>
        </w:tc>
        <w:tc>
          <w:tcPr>
            <w:tcW w:w="2537" w:type="dxa"/>
            <w:tcBorders>
              <w:tl2br w:val="nil"/>
              <w:tr2bl w:val="nil"/>
            </w:tcBorders>
            <w:tcMar>
              <w:left w:w="28" w:type="dxa"/>
              <w:right w:w="28" w:type="dxa"/>
            </w:tcMar>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养殖场建立排水系统，周边设置截水沟，实现雨污分流</w:t>
            </w:r>
          </w:p>
        </w:tc>
        <w:tc>
          <w:tcPr>
            <w:tcW w:w="1101" w:type="dxa"/>
            <w:tcBorders>
              <w:tl2br w:val="nil"/>
              <w:tr2bl w:val="nil"/>
            </w:tcBorders>
            <w:tcMar>
              <w:left w:w="28" w:type="dxa"/>
              <w:right w:w="28" w:type="dxa"/>
            </w:tcMar>
            <w:vAlign w:val="center"/>
          </w:tcPr>
          <w:p>
            <w:pPr>
              <w:adjustRightInd w:val="0"/>
              <w:snapToGrid w:val="0"/>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w:t>
            </w:r>
          </w:p>
        </w:tc>
        <w:tc>
          <w:tcPr>
            <w:tcW w:w="1007"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w:t>
            </w:r>
          </w:p>
        </w:tc>
        <w:tc>
          <w:tcPr>
            <w:tcW w:w="899" w:type="dxa"/>
            <w:tcBorders>
              <w:tl2br w:val="nil"/>
              <w:tr2bl w:val="nil"/>
            </w:tcBorders>
            <w:tcMar>
              <w:left w:w="28" w:type="dxa"/>
              <w:right w:w="28" w:type="dxa"/>
            </w:tcMar>
            <w:vAlign w:val="center"/>
          </w:tcPr>
          <w:p>
            <w:pPr>
              <w:snapToGrid w:val="0"/>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w:t>
            </w:r>
          </w:p>
        </w:tc>
        <w:tc>
          <w:tcPr>
            <w:tcW w:w="995"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w:t>
            </w:r>
          </w:p>
        </w:tc>
        <w:tc>
          <w:tcPr>
            <w:tcW w:w="804"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w:t>
            </w:r>
          </w:p>
        </w:tc>
        <w:tc>
          <w:tcPr>
            <w:tcW w:w="2658" w:type="dxa"/>
            <w:gridSpan w:val="2"/>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val="en-US" w:eastAsia="zh-CN"/>
              </w:rPr>
              <w:t>/</w:t>
            </w:r>
          </w:p>
        </w:tc>
        <w:tc>
          <w:tcPr>
            <w:tcW w:w="1675"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4" w:hRule="atLeast"/>
        </w:trPr>
        <w:tc>
          <w:tcPr>
            <w:tcW w:w="339"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风险防范</w:t>
            </w:r>
          </w:p>
        </w:tc>
        <w:tc>
          <w:tcPr>
            <w:tcW w:w="13738" w:type="dxa"/>
            <w:gridSpan w:val="12"/>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Arial"/>
                <w:color w:val="auto"/>
                <w:szCs w:val="21"/>
                <w:shd w:val="clear" w:color="auto" w:fill="FFFFFF"/>
                <w:lang w:eastAsia="zh-CN"/>
              </w:rPr>
            </w:pPr>
            <w:r>
              <w:rPr>
                <w:rFonts w:hint="eastAsia" w:ascii="Times New Roman" w:hAnsi="Times New Roman" w:eastAsia="宋体" w:cs="Arial"/>
                <w:color w:val="auto"/>
                <w:szCs w:val="21"/>
                <w:shd w:val="clear" w:color="auto" w:fill="FFFFFF"/>
              </w:rPr>
              <w:t>厂区应设置一座</w:t>
            </w:r>
            <w:r>
              <w:rPr>
                <w:rFonts w:hint="eastAsia" w:ascii="Times New Roman" w:hAnsi="Times New Roman" w:eastAsia="宋体" w:cs="Arial"/>
                <w:color w:val="auto"/>
                <w:szCs w:val="21"/>
                <w:shd w:val="clear" w:color="auto" w:fill="FFFFFF"/>
                <w:lang w:val="en-US" w:eastAsia="zh-CN"/>
              </w:rPr>
              <w:t>应急</w:t>
            </w:r>
            <w:r>
              <w:rPr>
                <w:rFonts w:hint="eastAsia" w:ascii="Times New Roman" w:hAnsi="Times New Roman" w:eastAsia="宋体" w:cs="Arial"/>
                <w:color w:val="auto"/>
                <w:szCs w:val="21"/>
                <w:shd w:val="clear" w:color="auto" w:fill="FFFFFF"/>
              </w:rPr>
              <w:t>事故池（容积</w:t>
            </w:r>
            <w:r>
              <w:rPr>
                <w:rFonts w:hint="eastAsia" w:ascii="Times New Roman" w:hAnsi="Times New Roman" w:eastAsia="宋体" w:cs="Arial"/>
                <w:color w:val="auto"/>
                <w:szCs w:val="21"/>
                <w:shd w:val="clear" w:color="auto" w:fill="FFFFFF"/>
                <w:lang w:val="en-US" w:eastAsia="zh-CN"/>
              </w:rPr>
              <w:t>2250</w:t>
            </w:r>
            <w:r>
              <w:rPr>
                <w:rFonts w:hint="eastAsia" w:ascii="Times New Roman" w:hAnsi="Times New Roman" w:eastAsia="宋体" w:cs="Arial"/>
                <w:color w:val="auto"/>
                <w:szCs w:val="21"/>
                <w:shd w:val="clear" w:color="auto" w:fill="FFFFFF"/>
              </w:rPr>
              <w:t>m</w:t>
            </w:r>
            <w:r>
              <w:rPr>
                <w:rFonts w:hint="eastAsia" w:ascii="Times New Roman" w:hAnsi="Times New Roman" w:eastAsia="宋体" w:cs="Arial"/>
                <w:color w:val="auto"/>
                <w:szCs w:val="21"/>
                <w:shd w:val="clear" w:color="auto" w:fill="FFFFFF"/>
                <w:vertAlign w:val="superscript"/>
              </w:rPr>
              <w:t>3</w:t>
            </w:r>
            <w:r>
              <w:rPr>
                <w:rFonts w:hint="eastAsia" w:ascii="Times New Roman" w:hAnsi="Times New Roman" w:eastAsia="宋体" w:cs="Arial"/>
                <w:color w:val="auto"/>
                <w:szCs w:val="21"/>
                <w:shd w:val="clear" w:color="auto" w:fill="FFFFFF"/>
              </w:rPr>
              <w:t>），编制应急预案并演练</w:t>
            </w:r>
            <w:r>
              <w:rPr>
                <w:rFonts w:hint="eastAsia" w:ascii="Times New Roman" w:hAnsi="Times New Roman" w:eastAsia="宋体" w:cs="Arial"/>
                <w:color w:val="auto"/>
                <w:szCs w:val="21"/>
                <w:shd w:val="clear" w:color="auto" w:fill="FFFFFF"/>
                <w:lang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4" w:hRule="atLeast"/>
        </w:trPr>
        <w:tc>
          <w:tcPr>
            <w:tcW w:w="339" w:type="dxa"/>
            <w:vMerge w:val="restart"/>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地下水防 渗要求</w:t>
            </w:r>
          </w:p>
        </w:tc>
        <w:tc>
          <w:tcPr>
            <w:tcW w:w="1240" w:type="dxa"/>
            <w:gridSpan w:val="2"/>
            <w:tcBorders>
              <w:tl2br w:val="nil"/>
              <w:tr2bl w:val="nil"/>
            </w:tcBorders>
            <w:tcMar>
              <w:left w:w="28" w:type="dxa"/>
              <w:right w:w="28" w:type="dxa"/>
            </w:tcMar>
            <w:vAlign w:val="center"/>
          </w:tcPr>
          <w:p>
            <w:pPr>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重点防渗区</w:t>
            </w:r>
          </w:p>
        </w:tc>
        <w:tc>
          <w:tcPr>
            <w:tcW w:w="8573" w:type="dxa"/>
            <w:gridSpan w:val="8"/>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lang w:val="en-US" w:eastAsia="zh-CN"/>
              </w:rPr>
              <w:t>猪舍、污水处理区、危废暂存间、发电机房、粪污收集管道、化尸池</w:t>
            </w:r>
            <w:r>
              <w:rPr>
                <w:rFonts w:hint="eastAsia" w:ascii="Times New Roman" w:hAnsi="Times New Roman" w:eastAsia="宋体"/>
                <w:color w:val="auto"/>
                <w:szCs w:val="21"/>
              </w:rPr>
              <w:t>重点防渗</w:t>
            </w:r>
          </w:p>
        </w:tc>
        <w:tc>
          <w:tcPr>
            <w:tcW w:w="3925" w:type="dxa"/>
            <w:gridSpan w:val="2"/>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Arial"/>
                <w:color w:val="auto"/>
                <w:szCs w:val="21"/>
                <w:shd w:val="clear" w:color="auto" w:fill="FFFFFF"/>
              </w:rPr>
            </w:pPr>
            <w:r>
              <w:rPr>
                <w:rFonts w:hint="eastAsia" w:ascii="Times New Roman" w:hAnsi="Times New Roman" w:eastAsia="宋体" w:cs="Arial"/>
                <w:color w:val="auto"/>
                <w:szCs w:val="21"/>
                <w:shd w:val="clear" w:color="auto" w:fill="FFFFFF"/>
              </w:rPr>
              <w:t>等效黏土防渗层 Mb≥6.0m，K≤1×10</w:t>
            </w:r>
            <w:r>
              <w:rPr>
                <w:rFonts w:hint="eastAsia" w:ascii="Times New Roman" w:hAnsi="Times New Roman" w:eastAsia="宋体" w:cs="Arial"/>
                <w:color w:val="auto"/>
                <w:szCs w:val="21"/>
                <w:shd w:val="clear" w:color="auto" w:fill="FFFFFF"/>
                <w:vertAlign w:val="superscript"/>
              </w:rPr>
              <w:t>-7</w:t>
            </w:r>
            <w:r>
              <w:rPr>
                <w:rFonts w:hint="eastAsia" w:ascii="Times New Roman" w:hAnsi="Times New Roman" w:eastAsia="宋体" w:cs="Arial"/>
                <w:color w:val="auto"/>
                <w:szCs w:val="21"/>
                <w:shd w:val="clear" w:color="auto" w:fill="FFFFFF"/>
              </w:rPr>
              <w:t>cm/s；或 参照 GB18598 执行</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4" w:hRule="atLeast"/>
        </w:trPr>
        <w:tc>
          <w:tcPr>
            <w:tcW w:w="339"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1240" w:type="dxa"/>
            <w:gridSpan w:val="2"/>
            <w:tcBorders>
              <w:tl2br w:val="nil"/>
              <w:tr2bl w:val="nil"/>
            </w:tcBorders>
            <w:tcMar>
              <w:left w:w="28" w:type="dxa"/>
              <w:right w:w="28" w:type="dxa"/>
            </w:tcMar>
            <w:vAlign w:val="center"/>
          </w:tcPr>
          <w:p>
            <w:pPr>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一般防渗区</w:t>
            </w:r>
          </w:p>
        </w:tc>
        <w:tc>
          <w:tcPr>
            <w:tcW w:w="8573" w:type="dxa"/>
            <w:gridSpan w:val="8"/>
            <w:tcBorders>
              <w:tl2br w:val="nil"/>
              <w:tr2bl w:val="nil"/>
            </w:tcBorders>
            <w:tcMar>
              <w:left w:w="28" w:type="dxa"/>
              <w:right w:w="28" w:type="dxa"/>
            </w:tcMar>
            <w:vAlign w:val="center"/>
          </w:tcPr>
          <w:p>
            <w:pPr>
              <w:snapToGrid w:val="0"/>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s="Times New Roman"/>
                <w:b w:val="0"/>
                <w:bCs/>
                <w:color w:val="auto"/>
                <w:sz w:val="21"/>
                <w:szCs w:val="21"/>
                <w:lang w:val="en-US" w:eastAsia="zh-CN"/>
              </w:rPr>
              <w:t>猪走道（污道）、固废暂存间</w:t>
            </w:r>
            <w:r>
              <w:rPr>
                <w:rFonts w:hint="eastAsia" w:ascii="Times New Roman" w:hAnsi="Times New Roman" w:eastAsia="宋体" w:cs="Times New Roman"/>
                <w:b w:val="0"/>
                <w:bCs/>
                <w:color w:val="auto"/>
                <w:sz w:val="21"/>
                <w:szCs w:val="21"/>
                <w:lang w:eastAsia="zh-CN"/>
              </w:rPr>
              <w:t>一般防渗</w:t>
            </w:r>
          </w:p>
        </w:tc>
        <w:tc>
          <w:tcPr>
            <w:tcW w:w="3925" w:type="dxa"/>
            <w:gridSpan w:val="2"/>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stheme="minorBidi"/>
                <w:color w:val="auto"/>
                <w:kern w:val="2"/>
                <w:sz w:val="21"/>
                <w:szCs w:val="21"/>
                <w:lang w:val="en-US" w:eastAsia="zh-CN" w:bidi="ar-SA"/>
              </w:rPr>
              <w:t>等效黏土防渗层 Mb≥1.5m，K≤1×10</w:t>
            </w:r>
            <w:r>
              <w:rPr>
                <w:rFonts w:hint="eastAsia" w:ascii="Times New Roman" w:hAnsi="Times New Roman" w:eastAsia="宋体" w:cstheme="minorBidi"/>
                <w:color w:val="auto"/>
                <w:kern w:val="2"/>
                <w:sz w:val="21"/>
                <w:szCs w:val="21"/>
                <w:vertAlign w:val="superscript"/>
                <w:lang w:val="en-US" w:eastAsia="zh-CN" w:bidi="ar-SA"/>
              </w:rPr>
              <w:t>-7</w:t>
            </w:r>
            <w:r>
              <w:rPr>
                <w:rFonts w:hint="eastAsia" w:ascii="Times New Roman" w:hAnsi="Times New Roman" w:eastAsia="宋体" w:cstheme="minorBidi"/>
                <w:color w:val="auto"/>
                <w:kern w:val="2"/>
                <w:sz w:val="21"/>
                <w:szCs w:val="21"/>
                <w:lang w:val="en-US" w:eastAsia="zh-CN" w:bidi="ar-SA"/>
              </w:rPr>
              <w:t>cm/s；或参 照 GB16889 执行</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4" w:hRule="atLeast"/>
        </w:trPr>
        <w:tc>
          <w:tcPr>
            <w:tcW w:w="339"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1240" w:type="dxa"/>
            <w:gridSpan w:val="2"/>
            <w:tcBorders>
              <w:tl2br w:val="nil"/>
              <w:tr2bl w:val="nil"/>
            </w:tcBorders>
            <w:tcMar>
              <w:left w:w="28" w:type="dxa"/>
              <w:right w:w="28" w:type="dxa"/>
            </w:tcMar>
            <w:vAlign w:val="center"/>
          </w:tcPr>
          <w:p>
            <w:pPr>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简单防渗区</w:t>
            </w:r>
          </w:p>
        </w:tc>
        <w:tc>
          <w:tcPr>
            <w:tcW w:w="8573" w:type="dxa"/>
            <w:gridSpan w:val="8"/>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s="Times New Roman"/>
                <w:b w:val="0"/>
                <w:bCs/>
                <w:color w:val="auto"/>
                <w:sz w:val="21"/>
                <w:szCs w:val="21"/>
                <w:lang w:eastAsia="zh-CN"/>
              </w:rPr>
              <w:t>养殖区其余部分等一般路面硬化</w:t>
            </w:r>
          </w:p>
        </w:tc>
        <w:tc>
          <w:tcPr>
            <w:tcW w:w="3925" w:type="dxa"/>
            <w:gridSpan w:val="2"/>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Arial"/>
                <w:color w:val="auto"/>
                <w:szCs w:val="21"/>
                <w:shd w:val="clear" w:color="auto" w:fill="FFFFFF"/>
              </w:rPr>
            </w:pPr>
            <w:r>
              <w:rPr>
                <w:rFonts w:hint="eastAsia" w:ascii="Times New Roman" w:hAnsi="Times New Roman" w:eastAsia="宋体" w:cs="Arial"/>
                <w:color w:val="auto"/>
                <w:szCs w:val="21"/>
                <w:shd w:val="clear" w:color="auto" w:fill="FFFFFF"/>
              </w:rPr>
              <w:t>一般地面硬化</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4" w:hRule="atLeast"/>
        </w:trPr>
        <w:tc>
          <w:tcPr>
            <w:tcW w:w="339" w:type="dxa"/>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生态保护</w:t>
            </w:r>
          </w:p>
        </w:tc>
        <w:tc>
          <w:tcPr>
            <w:tcW w:w="13738" w:type="dxa"/>
            <w:gridSpan w:val="12"/>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Arial"/>
                <w:color w:val="auto"/>
                <w:szCs w:val="21"/>
                <w:shd w:val="clear" w:color="auto" w:fill="FFFFFF"/>
                <w:lang w:eastAsia="zh-CN"/>
              </w:rPr>
            </w:pPr>
            <w:r>
              <w:rPr>
                <w:rFonts w:hint="eastAsia" w:ascii="Times New Roman" w:hAnsi="Times New Roman" w:eastAsia="宋体" w:cs="Arial"/>
                <w:color w:val="auto"/>
                <w:szCs w:val="21"/>
                <w:shd w:val="clear" w:color="auto" w:fill="FFFFFF"/>
              </w:rPr>
              <w:t>厂区周围设置阔叶乔木绿化，猪舍周围种植</w:t>
            </w:r>
            <w:r>
              <w:rPr>
                <w:rFonts w:hint="eastAsia" w:ascii="Times New Roman" w:hAnsi="Times New Roman" w:eastAsia="宋体" w:cs="Arial"/>
                <w:color w:val="auto"/>
                <w:szCs w:val="21"/>
                <w:shd w:val="clear" w:color="auto" w:fill="FFFFFF"/>
                <w:lang w:eastAsia="zh-CN"/>
              </w:rPr>
              <w:t>乔木</w:t>
            </w:r>
            <w:r>
              <w:rPr>
                <w:rFonts w:hint="eastAsia" w:ascii="Times New Roman" w:hAnsi="Times New Roman" w:eastAsia="宋体" w:cs="Arial"/>
                <w:color w:val="auto"/>
                <w:szCs w:val="21"/>
                <w:shd w:val="clear" w:color="auto" w:fill="FFFFFF"/>
              </w:rPr>
              <w:t>绿化，养殖区域的绿化面积为</w:t>
            </w:r>
            <w:r>
              <w:rPr>
                <w:rFonts w:hint="eastAsia" w:ascii="Times New Roman" w:hAnsi="Times New Roman" w:eastAsia="宋体" w:cs="Arial"/>
                <w:color w:val="auto"/>
                <w:szCs w:val="21"/>
                <w:shd w:val="clear" w:color="auto" w:fill="FFFFFF"/>
                <w:lang w:val="en-US" w:eastAsia="zh-CN"/>
              </w:rPr>
              <w:t>15000m</w:t>
            </w:r>
            <w:r>
              <w:rPr>
                <w:rFonts w:hint="eastAsia" w:ascii="Times New Roman" w:hAnsi="Times New Roman" w:eastAsia="宋体" w:cs="Arial"/>
                <w:color w:val="auto"/>
                <w:szCs w:val="21"/>
                <w:shd w:val="clear" w:color="auto" w:fill="FFFFFF"/>
                <w:vertAlign w:val="superscript"/>
                <w:lang w:val="en-US" w:eastAsia="zh-CN"/>
              </w:rPr>
              <w:t>2</w:t>
            </w:r>
            <w:r>
              <w:rPr>
                <w:rFonts w:hint="eastAsia" w:ascii="Times New Roman" w:hAnsi="Times New Roman" w:eastAsia="宋体" w:cs="Arial"/>
                <w:color w:val="auto"/>
                <w:szCs w:val="21"/>
                <w:shd w:val="clear" w:color="auto" w:fill="FFFFFF"/>
              </w:rPr>
              <w:t>左右</w:t>
            </w:r>
            <w:r>
              <w:rPr>
                <w:rFonts w:hint="eastAsia" w:ascii="Times New Roman" w:hAnsi="Times New Roman" w:eastAsia="宋体" w:cs="Arial"/>
                <w:color w:val="auto"/>
                <w:szCs w:val="21"/>
                <w:shd w:val="clear" w:color="auto" w:fill="FFFFFF"/>
                <w:lang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4" w:hRule="atLeast"/>
        </w:trPr>
        <w:tc>
          <w:tcPr>
            <w:tcW w:w="339" w:type="dxa"/>
            <w:vMerge w:val="restart"/>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环境管理</w:t>
            </w:r>
          </w:p>
        </w:tc>
        <w:tc>
          <w:tcPr>
            <w:tcW w:w="13738" w:type="dxa"/>
            <w:gridSpan w:val="12"/>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Arial"/>
                <w:color w:val="auto"/>
                <w:szCs w:val="21"/>
                <w:shd w:val="clear" w:color="auto" w:fill="FFFFFF"/>
                <w:lang w:eastAsia="zh-CN"/>
              </w:rPr>
            </w:pPr>
            <w:r>
              <w:rPr>
                <w:rFonts w:hint="eastAsia" w:ascii="Times New Roman" w:hAnsi="Times New Roman" w:eastAsia="宋体" w:cs="Arial"/>
                <w:color w:val="auto"/>
                <w:szCs w:val="21"/>
                <w:shd w:val="clear" w:color="auto" w:fill="FFFFFF"/>
              </w:rPr>
              <w:t>施工过程中做好防腐、防渗、结构及隐蔽工程监理并做好交接及验收记录</w:t>
            </w:r>
            <w:r>
              <w:rPr>
                <w:rFonts w:hint="eastAsia" w:ascii="Times New Roman" w:hAnsi="Times New Roman" w:eastAsia="宋体" w:cs="Arial"/>
                <w:color w:val="auto"/>
                <w:szCs w:val="21"/>
                <w:shd w:val="clear" w:color="auto" w:fill="FFFFFF"/>
                <w:lang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4" w:hRule="atLeast"/>
        </w:trPr>
        <w:tc>
          <w:tcPr>
            <w:tcW w:w="339" w:type="dxa"/>
            <w:vMerge w:val="continue"/>
            <w:tcBorders>
              <w:tl2br w:val="nil"/>
              <w:tr2bl w:val="nil"/>
            </w:tcBorders>
            <w:tcMar>
              <w:left w:w="28" w:type="dxa"/>
              <w:right w:w="28" w:type="dxa"/>
            </w:tcMar>
            <w:vAlign w:val="center"/>
          </w:tcPr>
          <w:p>
            <w:pPr>
              <w:adjustRightInd w:val="0"/>
              <w:snapToGrid w:val="0"/>
              <w:jc w:val="center"/>
              <w:rPr>
                <w:rFonts w:ascii="Times New Roman" w:hAnsi="Times New Roman" w:eastAsia="宋体"/>
                <w:color w:val="auto"/>
                <w:szCs w:val="21"/>
              </w:rPr>
            </w:pPr>
          </w:p>
        </w:tc>
        <w:tc>
          <w:tcPr>
            <w:tcW w:w="13738" w:type="dxa"/>
            <w:gridSpan w:val="12"/>
            <w:tcBorders>
              <w:tl2br w:val="nil"/>
              <w:tr2bl w:val="nil"/>
            </w:tcBorders>
            <w:tcMar>
              <w:left w:w="28" w:type="dxa"/>
              <w:right w:w="28" w:type="dxa"/>
            </w:tcMar>
            <w:vAlign w:val="center"/>
          </w:tcPr>
          <w:p>
            <w:pPr>
              <w:adjustRightInd w:val="0"/>
              <w:snapToGrid w:val="0"/>
              <w:jc w:val="center"/>
              <w:rPr>
                <w:rFonts w:hint="eastAsia" w:ascii="Times New Roman" w:hAnsi="Times New Roman" w:eastAsia="宋体" w:cs="Arial"/>
                <w:color w:val="auto"/>
                <w:szCs w:val="21"/>
                <w:shd w:val="clear" w:color="auto" w:fill="FFFFFF"/>
                <w:lang w:eastAsia="zh-CN"/>
              </w:rPr>
            </w:pPr>
            <w:r>
              <w:rPr>
                <w:rFonts w:hint="eastAsia" w:ascii="Times New Roman" w:hAnsi="Times New Roman" w:eastAsia="宋体" w:cs="Arial"/>
                <w:color w:val="auto"/>
                <w:szCs w:val="21"/>
                <w:shd w:val="clear" w:color="auto" w:fill="FFFFFF"/>
              </w:rPr>
              <w:t>落实本报告对项目原料、工艺等提出的环保措施；建立完整的监理档案提高管理水平，严防操作事故发生；环境保护措施的设计必须由具有国家认可资质的设计单位设计，材质的选用必须具备相应合格证明；建立一套完整规范的环境管理制度，并落实到具体人员；落实排污口规范化管理</w:t>
            </w:r>
            <w:r>
              <w:rPr>
                <w:rFonts w:hint="eastAsia" w:ascii="Times New Roman" w:hAnsi="Times New Roman" w:eastAsia="宋体" w:cs="Arial"/>
                <w:color w:val="auto"/>
                <w:szCs w:val="21"/>
                <w:shd w:val="clear" w:color="auto" w:fill="FFFFFF"/>
                <w:lang w:eastAsia="zh-CN"/>
              </w:rPr>
              <w:t>。</w:t>
            </w:r>
          </w:p>
        </w:tc>
      </w:tr>
    </w:tbl>
    <w:p>
      <w:pPr>
        <w:snapToGrid w:val="0"/>
        <w:jc w:val="center"/>
        <w:rPr>
          <w:rFonts w:ascii="Times New Roman" w:hAnsi="Times New Roman" w:eastAsia="宋体"/>
          <w:b/>
          <w:color w:val="auto"/>
          <w:szCs w:val="21"/>
        </w:rPr>
        <w:sectPr>
          <w:pgSz w:w="16838" w:h="11906" w:orient="landscape"/>
          <w:pgMar w:top="1451" w:right="1440" w:bottom="1451" w:left="1440" w:header="851" w:footer="992" w:gutter="0"/>
          <w:pgBorders>
            <w:top w:val="none" w:sz="0" w:space="0"/>
            <w:left w:val="none" w:sz="0" w:space="0"/>
            <w:bottom w:val="none" w:sz="0" w:space="0"/>
            <w:right w:val="none" w:sz="0" w:space="0"/>
          </w:pgBorders>
          <w:pgNumType w:fmt="decimal"/>
          <w:cols w:space="0" w:num="1"/>
          <w:rtlGutter w:val="0"/>
          <w:docGrid w:type="lines" w:linePitch="321" w:charSpace="0"/>
        </w:sectPr>
      </w:pPr>
    </w:p>
    <w:p>
      <w:pPr>
        <w:adjustRightInd w:val="0"/>
        <w:snapToGrid w:val="0"/>
        <w:spacing w:line="360" w:lineRule="auto"/>
        <w:outlineLvl w:val="2"/>
        <w:rPr>
          <w:rFonts w:hint="eastAsia" w:ascii="Times New Roman" w:hAnsi="Times New Roman" w:eastAsia="宋体"/>
          <w:b/>
          <w:color w:val="auto"/>
          <w:sz w:val="28"/>
          <w:szCs w:val="28"/>
        </w:rPr>
      </w:pPr>
      <w:bookmarkStart w:id="391" w:name="_Toc1911"/>
      <w:r>
        <w:rPr>
          <w:rFonts w:hint="eastAsia" w:ascii="Times New Roman" w:hAnsi="Times New Roman" w:eastAsia="宋体"/>
          <w:b/>
          <w:color w:val="auto"/>
          <w:sz w:val="28"/>
          <w:szCs w:val="28"/>
        </w:rPr>
        <w:t>8.</w:t>
      </w:r>
      <w:r>
        <w:rPr>
          <w:rFonts w:hint="eastAsia" w:ascii="Times New Roman" w:hAnsi="Times New Roman" w:eastAsia="宋体"/>
          <w:b/>
          <w:color w:val="auto"/>
          <w:sz w:val="28"/>
          <w:szCs w:val="28"/>
          <w:lang w:val="en-US" w:eastAsia="zh-CN"/>
        </w:rPr>
        <w:t>5</w:t>
      </w:r>
      <w:r>
        <w:rPr>
          <w:rFonts w:hint="eastAsia" w:ascii="Times New Roman" w:hAnsi="Times New Roman" w:eastAsia="宋体"/>
          <w:b/>
          <w:color w:val="auto"/>
          <w:sz w:val="28"/>
          <w:szCs w:val="28"/>
        </w:rPr>
        <w:t>.2总量申请指标</w:t>
      </w:r>
      <w:bookmarkEnd w:id="391"/>
    </w:p>
    <w:p>
      <w:pPr>
        <w:pStyle w:val="16"/>
        <w:adjustRightInd w:val="0"/>
        <w:snapToGrid w:val="0"/>
        <w:spacing w:line="360" w:lineRule="auto"/>
        <w:ind w:right="0"/>
        <w:jc w:val="both"/>
        <w:outlineLvl w:val="3"/>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8.5.2.1总量控制原则</w:t>
      </w:r>
    </w:p>
    <w:p>
      <w:pPr>
        <w:pStyle w:val="82"/>
        <w:adjustRightInd w:val="0"/>
        <w:snapToGrid w:val="0"/>
        <w:ind w:firstLine="480" w:firstLineChars="200"/>
        <w:rPr>
          <w:rFonts w:hint="eastAsia" w:ascii="Times New Roman" w:hAnsi="Times New Roman" w:eastAsia="宋体"/>
          <w:color w:val="auto"/>
        </w:rPr>
      </w:pPr>
      <w:r>
        <w:rPr>
          <w:rFonts w:hint="eastAsia" w:ascii="Times New Roman" w:hAnsi="Times New Roman" w:eastAsia="宋体"/>
          <w:color w:val="auto"/>
        </w:rPr>
        <w:t>总量控制是控制污染、实现区域可持续发展的重要措施，环境污染物总量控制的目的是根据环境质量标准，通过调控污染源分布状况和污染排放方式，把污染物负荷总量控制在自然环境的承载能力范围之内。</w:t>
      </w:r>
    </w:p>
    <w:p>
      <w:pPr>
        <w:pStyle w:val="82"/>
        <w:adjustRightInd w:val="0"/>
        <w:snapToGrid w:val="0"/>
        <w:ind w:firstLine="480" w:firstLineChars="200"/>
        <w:rPr>
          <w:rFonts w:hint="eastAsia" w:ascii="Times New Roman" w:hAnsi="Times New Roman" w:eastAsia="宋体"/>
          <w:color w:val="auto"/>
        </w:rPr>
      </w:pPr>
      <w:r>
        <w:rPr>
          <w:rFonts w:hint="eastAsia" w:ascii="Times New Roman" w:hAnsi="Times New Roman" w:eastAsia="宋体"/>
          <w:color w:val="auto"/>
        </w:rPr>
        <w:t>实施污染物排放总量控制是保证实施环境保护目标的需要。我国环境污染已经十分严重，在不少地区污染物排放总量已明显超过环境承载能力。随着经济和人口的增长，污染物排放总量还会增加。为了实现环境保护目标，必须严格控制污染物排放总量。</w:t>
      </w:r>
    </w:p>
    <w:p>
      <w:pPr>
        <w:pStyle w:val="82"/>
        <w:adjustRightInd w:val="0"/>
        <w:snapToGrid w:val="0"/>
        <w:ind w:firstLine="480" w:firstLineChars="200"/>
        <w:rPr>
          <w:rFonts w:hint="eastAsia" w:ascii="Times New Roman" w:hAnsi="Times New Roman" w:eastAsia="宋体"/>
          <w:color w:val="auto"/>
        </w:rPr>
      </w:pPr>
      <w:r>
        <w:rPr>
          <w:rFonts w:hint="eastAsia" w:ascii="Times New Roman" w:hAnsi="Times New Roman" w:eastAsia="宋体"/>
          <w:color w:val="auto"/>
        </w:rPr>
        <w:t>实施污染物排放总量控制是落实两个根本性转变的需要。我国环境污染严重的症结在于经济增长和经营粗放。实施污染物排放总量控制，将促进资源节约、产生结构调整、技术进步和污染治理，推动经济增长方式的转变。</w:t>
      </w:r>
    </w:p>
    <w:p>
      <w:pPr>
        <w:pStyle w:val="82"/>
        <w:adjustRightInd w:val="0"/>
        <w:snapToGrid w:val="0"/>
        <w:ind w:firstLine="480" w:firstLineChars="200"/>
        <w:rPr>
          <w:rFonts w:ascii="Times New Roman" w:hAnsi="Times New Roman" w:eastAsia="宋体"/>
          <w:color w:val="auto"/>
        </w:rPr>
      </w:pPr>
      <w:r>
        <w:rPr>
          <w:rFonts w:hint="eastAsia" w:ascii="Times New Roman" w:hAnsi="Times New Roman" w:eastAsia="宋体"/>
          <w:color w:val="auto"/>
        </w:rPr>
        <w:t>实施污染物总量控制是推行可持续发展战略的需要。实施可持续发展战略已被列为我国未来</w:t>
      </w:r>
      <w:r>
        <w:rPr>
          <w:rFonts w:hint="eastAsia" w:ascii="Times New Roman" w:hAnsi="Times New Roman" w:eastAsia="宋体"/>
          <w:color w:val="auto"/>
          <w:lang w:val="en-US" w:eastAsia="zh-CN"/>
        </w:rPr>
        <w:t>15</w:t>
      </w:r>
      <w:r>
        <w:rPr>
          <w:rFonts w:hint="eastAsia" w:ascii="Times New Roman" w:hAnsi="Times New Roman" w:eastAsia="宋体"/>
          <w:color w:val="auto"/>
        </w:rPr>
        <w:t>年内国民经济和社会发展的重要知道方针。运用环境保护法律和行政手段实施污染物排放总量控制，便于操作和考核，有利于推动可持续发展在我国的实施。</w:t>
      </w:r>
    </w:p>
    <w:p>
      <w:pPr>
        <w:pStyle w:val="16"/>
        <w:adjustRightInd w:val="0"/>
        <w:snapToGrid w:val="0"/>
        <w:spacing w:line="360" w:lineRule="auto"/>
        <w:ind w:right="0"/>
        <w:jc w:val="both"/>
        <w:outlineLvl w:val="3"/>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8.5.2.2总量控制因子</w:t>
      </w:r>
    </w:p>
    <w:p>
      <w:pPr>
        <w:pStyle w:val="82"/>
        <w:adjustRightInd w:val="0"/>
        <w:snapToGrid w:val="0"/>
        <w:ind w:firstLine="480" w:firstLineChars="200"/>
        <w:rPr>
          <w:rFonts w:hint="eastAsia" w:ascii="Times New Roman" w:hAnsi="Times New Roman" w:eastAsia="宋体"/>
          <w:color w:val="auto"/>
          <w:lang w:eastAsia="zh-CN"/>
        </w:rPr>
      </w:pPr>
      <w:r>
        <w:rPr>
          <w:rFonts w:hint="eastAsia" w:ascii="Times New Roman" w:hAnsi="Times New Roman" w:eastAsia="宋体"/>
          <w:color w:val="auto"/>
        </w:rPr>
        <w:t>根据本项工程分析和国家总量控制指标，本项目确定需要进行总量控制的主要污染物为废水：化学需氧量、氨氮。由于本项目废水通过</w:t>
      </w:r>
      <w:r>
        <w:rPr>
          <w:rFonts w:hint="eastAsia" w:ascii="Times New Roman" w:hAnsi="Times New Roman" w:eastAsia="宋体"/>
          <w:color w:val="auto"/>
          <w:lang w:eastAsia="zh-CN"/>
        </w:rPr>
        <w:t>污水处理</w:t>
      </w:r>
      <w:r>
        <w:rPr>
          <w:rFonts w:hint="eastAsia" w:ascii="Times New Roman" w:hAnsi="Times New Roman" w:eastAsia="宋体"/>
          <w:color w:val="auto"/>
        </w:rPr>
        <w:t>系统处理后</w:t>
      </w:r>
      <w:r>
        <w:rPr>
          <w:rFonts w:hint="eastAsia" w:ascii="Times New Roman" w:hAnsi="Times New Roman" w:eastAsia="宋体"/>
          <w:color w:val="auto"/>
          <w:lang w:eastAsia="zh-CN"/>
        </w:rPr>
        <w:t>用于周边农田灌溉</w:t>
      </w:r>
      <w:r>
        <w:rPr>
          <w:rFonts w:hint="eastAsia" w:ascii="Times New Roman" w:hAnsi="Times New Roman" w:eastAsia="宋体"/>
          <w:color w:val="auto"/>
        </w:rPr>
        <w:t>，不外排。</w:t>
      </w:r>
      <w:r>
        <w:rPr>
          <w:rFonts w:hint="eastAsia" w:ascii="Times New Roman" w:hAnsi="Times New Roman" w:eastAsia="宋体"/>
          <w:color w:val="auto"/>
          <w:lang w:eastAsia="zh-CN"/>
        </w:rPr>
        <w:t>本项目干粪及污泥在堆粪间内进行好氧堆肥后还田利用。</w:t>
      </w:r>
    </w:p>
    <w:p>
      <w:pPr>
        <w:pStyle w:val="82"/>
        <w:adjustRightInd w:val="0"/>
        <w:snapToGrid w:val="0"/>
        <w:ind w:firstLine="480" w:firstLineChars="200"/>
        <w:rPr>
          <w:rFonts w:ascii="Times New Roman" w:hAnsi="Times New Roman" w:eastAsia="宋体"/>
          <w:color w:val="auto"/>
        </w:rPr>
      </w:pPr>
      <w:r>
        <w:rPr>
          <w:rFonts w:hint="eastAsia" w:ascii="Times New Roman" w:hAnsi="Times New Roman" w:eastAsia="宋体"/>
          <w:color w:val="auto"/>
        </w:rPr>
        <w:t>因此，本项目化学需氧量、氨氮排放量为 0，不设置总量控制指标。</w:t>
      </w:r>
    </w:p>
    <w:p>
      <w:pPr>
        <w:pStyle w:val="86"/>
        <w:adjustRightInd w:val="0"/>
        <w:snapToGrid w:val="0"/>
        <w:spacing w:beforeLines="0" w:afterLines="0"/>
        <w:rPr>
          <w:rFonts w:hint="eastAsia" w:ascii="Times New Roman" w:hAnsi="Times New Roman" w:eastAsia="宋体"/>
          <w:color w:val="auto"/>
        </w:rPr>
      </w:pPr>
      <w:bookmarkStart w:id="392" w:name="_Toc502454046"/>
      <w:bookmarkStart w:id="393" w:name="_Toc17800"/>
      <w:bookmarkStart w:id="394" w:name="_Toc32748"/>
      <w:r>
        <w:rPr>
          <w:rFonts w:hint="eastAsia" w:ascii="Times New Roman" w:hAnsi="Times New Roman" w:eastAsia="宋体"/>
          <w:color w:val="auto"/>
        </w:rPr>
        <w:t>8.</w:t>
      </w:r>
      <w:r>
        <w:rPr>
          <w:rFonts w:hint="eastAsia" w:ascii="Times New Roman" w:hAnsi="Times New Roman" w:eastAsia="宋体"/>
          <w:color w:val="auto"/>
          <w:lang w:val="en-US" w:eastAsia="zh-CN"/>
        </w:rPr>
        <w:t>6</w:t>
      </w:r>
      <w:r>
        <w:rPr>
          <w:rFonts w:hint="eastAsia" w:ascii="Times New Roman" w:hAnsi="Times New Roman" w:eastAsia="宋体"/>
          <w:color w:val="auto"/>
        </w:rPr>
        <w:t>环保设施“三同时”验收一览表</w:t>
      </w:r>
      <w:bookmarkEnd w:id="374"/>
      <w:bookmarkEnd w:id="375"/>
      <w:bookmarkEnd w:id="376"/>
      <w:bookmarkEnd w:id="377"/>
      <w:bookmarkEnd w:id="378"/>
      <w:bookmarkEnd w:id="379"/>
      <w:bookmarkEnd w:id="389"/>
      <w:bookmarkEnd w:id="392"/>
      <w:bookmarkEnd w:id="393"/>
      <w:bookmarkEnd w:id="394"/>
    </w:p>
    <w:p>
      <w:pPr>
        <w:snapToGrid w:val="0"/>
        <w:spacing w:line="360" w:lineRule="auto"/>
        <w:ind w:firstLine="480" w:firstLineChars="200"/>
        <w:rPr>
          <w:rFonts w:hint="eastAsia" w:ascii="Times New Roman" w:hAnsi="Times New Roman" w:eastAsia="宋体"/>
          <w:color w:val="auto"/>
          <w:sz w:val="24"/>
          <w:highlight w:val="none"/>
          <w:lang w:eastAsia="zh-CN"/>
        </w:rPr>
      </w:pPr>
      <w:r>
        <w:rPr>
          <w:rFonts w:ascii="Times New Roman" w:hAnsi="Times New Roman" w:eastAsia="宋体"/>
          <w:color w:val="auto"/>
          <w:sz w:val="24"/>
          <w:highlight w:val="none"/>
        </w:rPr>
        <w:t>本项目投产后环保设施“三同时”验收内容见</w:t>
      </w:r>
      <w:r>
        <w:rPr>
          <w:rFonts w:hint="eastAsia" w:ascii="Times New Roman" w:hAnsi="Times New Roman" w:eastAsia="宋体"/>
          <w:color w:val="auto"/>
          <w:sz w:val="24"/>
          <w:highlight w:val="none"/>
          <w:lang w:val="en-US" w:eastAsia="zh-CN"/>
        </w:rPr>
        <w:t>下</w:t>
      </w:r>
      <w:r>
        <w:rPr>
          <w:rFonts w:ascii="Times New Roman" w:hAnsi="Times New Roman" w:eastAsia="宋体"/>
          <w:color w:val="auto"/>
          <w:sz w:val="24"/>
          <w:highlight w:val="none"/>
        </w:rPr>
        <w:t>表</w:t>
      </w:r>
      <w:r>
        <w:rPr>
          <w:rFonts w:hint="eastAsia" w:ascii="Times New Roman" w:hAnsi="Times New Roman" w:eastAsia="宋体"/>
          <w:color w:val="auto"/>
          <w:sz w:val="24"/>
          <w:highlight w:val="none"/>
          <w:lang w:eastAsia="zh-CN"/>
        </w:rPr>
        <w:t>：</w:t>
      </w:r>
    </w:p>
    <w:p>
      <w:pPr>
        <w:snapToGrid w:val="0"/>
        <w:jc w:val="center"/>
        <w:rPr>
          <w:rFonts w:ascii="Times New Roman" w:hAnsi="Times New Roman" w:eastAsia="宋体"/>
          <w:b/>
          <w:color w:val="auto"/>
          <w:sz w:val="21"/>
          <w:szCs w:val="21"/>
          <w:highlight w:val="none"/>
        </w:rPr>
      </w:pPr>
      <w:r>
        <w:rPr>
          <w:rFonts w:ascii="Times New Roman" w:hAnsi="Times New Roman" w:eastAsia="宋体"/>
          <w:b/>
          <w:color w:val="auto"/>
          <w:sz w:val="21"/>
          <w:szCs w:val="21"/>
          <w:highlight w:val="none"/>
        </w:rPr>
        <w:t>表</w:t>
      </w:r>
      <w:r>
        <w:rPr>
          <w:rFonts w:hint="eastAsia" w:ascii="Times New Roman" w:hAnsi="Times New Roman" w:eastAsia="宋体"/>
          <w:b/>
          <w:color w:val="auto"/>
          <w:sz w:val="21"/>
          <w:szCs w:val="21"/>
          <w:highlight w:val="none"/>
        </w:rPr>
        <w:t>8</w:t>
      </w:r>
      <w:r>
        <w:rPr>
          <w:rFonts w:ascii="Times New Roman" w:hAnsi="Times New Roman" w:eastAsia="宋体"/>
          <w:b/>
          <w:color w:val="auto"/>
          <w:sz w:val="21"/>
          <w:szCs w:val="21"/>
          <w:highlight w:val="none"/>
        </w:rPr>
        <w:t>.</w:t>
      </w:r>
      <w:r>
        <w:rPr>
          <w:rFonts w:hint="eastAsia" w:ascii="Times New Roman" w:hAnsi="Times New Roman" w:eastAsia="宋体"/>
          <w:b/>
          <w:color w:val="auto"/>
          <w:sz w:val="21"/>
          <w:szCs w:val="21"/>
          <w:highlight w:val="none"/>
          <w:lang w:val="en-US" w:eastAsia="zh-CN"/>
        </w:rPr>
        <w:t>6</w:t>
      </w:r>
      <w:r>
        <w:rPr>
          <w:rFonts w:ascii="Times New Roman" w:hAnsi="Times New Roman" w:eastAsia="宋体"/>
          <w:b/>
          <w:color w:val="auto"/>
          <w:sz w:val="21"/>
          <w:szCs w:val="21"/>
          <w:highlight w:val="none"/>
        </w:rPr>
        <w:t>-1</w:t>
      </w:r>
      <w:r>
        <w:rPr>
          <w:rFonts w:hint="eastAsia" w:ascii="Times New Roman" w:hAnsi="Times New Roman" w:eastAsia="宋体"/>
          <w:b/>
          <w:color w:val="auto"/>
          <w:sz w:val="21"/>
          <w:szCs w:val="21"/>
          <w:highlight w:val="none"/>
          <w:lang w:val="en-US" w:eastAsia="zh-CN"/>
        </w:rPr>
        <w:t xml:space="preserve">  </w:t>
      </w:r>
      <w:r>
        <w:rPr>
          <w:rFonts w:ascii="Times New Roman" w:hAnsi="Times New Roman" w:eastAsia="宋体"/>
          <w:b/>
          <w:color w:val="auto"/>
          <w:sz w:val="21"/>
          <w:szCs w:val="21"/>
          <w:highlight w:val="none"/>
        </w:rPr>
        <w:t>环保设施“三同时”验收一览表</w:t>
      </w:r>
    </w:p>
    <w:tbl>
      <w:tblPr>
        <w:tblStyle w:val="34"/>
        <w:tblW w:w="9118"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638"/>
        <w:gridCol w:w="989"/>
        <w:gridCol w:w="2764"/>
        <w:gridCol w:w="1368"/>
        <w:gridCol w:w="3359"/>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4" w:hRule="atLeast"/>
          <w:tblHeader/>
          <w:jc w:val="center"/>
        </w:trPr>
        <w:tc>
          <w:tcPr>
            <w:tcW w:w="638" w:type="dxa"/>
            <w:tcBorders>
              <w:tl2br w:val="nil"/>
              <w:tr2bl w:val="nil"/>
            </w:tcBorders>
            <w:tcMar>
              <w:left w:w="57" w:type="dxa"/>
              <w:right w:w="57" w:type="dxa"/>
            </w:tcMar>
            <w:vAlign w:val="center"/>
          </w:tcPr>
          <w:p>
            <w:pPr>
              <w:snapToGrid w:val="0"/>
              <w:jc w:val="center"/>
              <w:rPr>
                <w:rFonts w:ascii="Times New Roman" w:hAnsi="Times New Roman" w:eastAsia="宋体"/>
                <w:b/>
                <w:bCs/>
                <w:color w:val="auto"/>
                <w:szCs w:val="21"/>
              </w:rPr>
            </w:pPr>
            <w:r>
              <w:rPr>
                <w:rFonts w:ascii="Times New Roman" w:hAnsi="Times New Roman" w:eastAsia="宋体"/>
                <w:b/>
                <w:bCs/>
                <w:color w:val="auto"/>
                <w:szCs w:val="21"/>
              </w:rPr>
              <w:t>类别</w:t>
            </w:r>
          </w:p>
        </w:tc>
        <w:tc>
          <w:tcPr>
            <w:tcW w:w="989" w:type="dxa"/>
            <w:tcBorders>
              <w:tl2br w:val="nil"/>
              <w:tr2bl w:val="nil"/>
            </w:tcBorders>
            <w:tcMar>
              <w:left w:w="57" w:type="dxa"/>
              <w:right w:w="57" w:type="dxa"/>
            </w:tcMar>
            <w:vAlign w:val="center"/>
          </w:tcPr>
          <w:p>
            <w:pPr>
              <w:snapToGrid w:val="0"/>
              <w:jc w:val="center"/>
              <w:rPr>
                <w:rFonts w:ascii="Times New Roman" w:hAnsi="Times New Roman" w:eastAsia="宋体"/>
                <w:b/>
                <w:bCs/>
                <w:color w:val="auto"/>
                <w:szCs w:val="21"/>
              </w:rPr>
            </w:pPr>
            <w:r>
              <w:rPr>
                <w:rFonts w:ascii="Times New Roman" w:hAnsi="Times New Roman" w:eastAsia="宋体"/>
                <w:b/>
                <w:bCs/>
                <w:color w:val="auto"/>
                <w:szCs w:val="21"/>
              </w:rPr>
              <w:t>治理项目</w:t>
            </w:r>
          </w:p>
        </w:tc>
        <w:tc>
          <w:tcPr>
            <w:tcW w:w="2764" w:type="dxa"/>
            <w:tcBorders>
              <w:tl2br w:val="nil"/>
              <w:tr2bl w:val="nil"/>
            </w:tcBorders>
            <w:tcMar>
              <w:left w:w="57" w:type="dxa"/>
              <w:right w:w="57" w:type="dxa"/>
            </w:tcMar>
            <w:vAlign w:val="center"/>
          </w:tcPr>
          <w:p>
            <w:pPr>
              <w:snapToGrid w:val="0"/>
              <w:jc w:val="center"/>
              <w:rPr>
                <w:rFonts w:ascii="Times New Roman" w:hAnsi="Times New Roman" w:eastAsia="宋体"/>
                <w:b/>
                <w:bCs/>
                <w:color w:val="auto"/>
                <w:szCs w:val="21"/>
              </w:rPr>
            </w:pPr>
            <w:r>
              <w:rPr>
                <w:rFonts w:ascii="Times New Roman" w:hAnsi="Times New Roman" w:eastAsia="宋体"/>
                <w:b/>
                <w:bCs/>
                <w:color w:val="auto"/>
                <w:szCs w:val="21"/>
              </w:rPr>
              <w:t>环保设（措）施</w:t>
            </w:r>
          </w:p>
        </w:tc>
        <w:tc>
          <w:tcPr>
            <w:tcW w:w="1368" w:type="dxa"/>
            <w:tcBorders>
              <w:tl2br w:val="nil"/>
              <w:tr2bl w:val="nil"/>
            </w:tcBorders>
            <w:vAlign w:val="center"/>
          </w:tcPr>
          <w:p>
            <w:pPr>
              <w:snapToGrid w:val="0"/>
              <w:jc w:val="center"/>
              <w:rPr>
                <w:rFonts w:hint="eastAsia" w:ascii="Times New Roman" w:hAnsi="Times New Roman" w:eastAsia="宋体"/>
                <w:b/>
                <w:bCs/>
                <w:color w:val="auto"/>
                <w:szCs w:val="21"/>
                <w:lang w:eastAsia="zh-CN"/>
              </w:rPr>
            </w:pPr>
            <w:r>
              <w:rPr>
                <w:rFonts w:hint="eastAsia" w:ascii="Times New Roman" w:hAnsi="Times New Roman" w:eastAsia="宋体"/>
                <w:b/>
                <w:bCs/>
                <w:color w:val="auto"/>
                <w:szCs w:val="21"/>
                <w:lang w:eastAsia="zh-CN"/>
              </w:rPr>
              <w:t>排放情况</w:t>
            </w:r>
          </w:p>
        </w:tc>
        <w:tc>
          <w:tcPr>
            <w:tcW w:w="3359" w:type="dxa"/>
            <w:tcBorders>
              <w:tl2br w:val="nil"/>
              <w:tr2bl w:val="nil"/>
            </w:tcBorders>
            <w:tcMar>
              <w:left w:w="57" w:type="dxa"/>
              <w:right w:w="57" w:type="dxa"/>
            </w:tcMar>
            <w:vAlign w:val="center"/>
          </w:tcPr>
          <w:p>
            <w:pPr>
              <w:snapToGrid w:val="0"/>
              <w:jc w:val="center"/>
              <w:rPr>
                <w:rFonts w:ascii="Times New Roman" w:hAnsi="Times New Roman" w:eastAsia="宋体"/>
                <w:b/>
                <w:bCs/>
                <w:color w:val="auto"/>
                <w:szCs w:val="21"/>
              </w:rPr>
            </w:pPr>
            <w:r>
              <w:rPr>
                <w:rFonts w:ascii="Times New Roman" w:hAnsi="Times New Roman" w:eastAsia="宋体"/>
                <w:b/>
                <w:bCs/>
                <w:color w:val="auto"/>
                <w:szCs w:val="21"/>
              </w:rPr>
              <w:t>验收标准</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769" w:hRule="atLeast"/>
          <w:jc w:val="center"/>
        </w:trPr>
        <w:tc>
          <w:tcPr>
            <w:tcW w:w="638" w:type="dxa"/>
            <w:vMerge w:val="restart"/>
            <w:tcBorders>
              <w:tl2br w:val="nil"/>
              <w:tr2bl w:val="nil"/>
            </w:tcBorders>
            <w:tcMar>
              <w:left w:w="57" w:type="dxa"/>
              <w:right w:w="57" w:type="dxa"/>
            </w:tcMar>
            <w:vAlign w:val="center"/>
          </w:tcPr>
          <w:p>
            <w:pPr>
              <w:snapToGrid w:val="0"/>
              <w:jc w:val="center"/>
              <w:rPr>
                <w:rFonts w:ascii="Times New Roman" w:hAnsi="Times New Roman" w:eastAsia="宋体"/>
                <w:color w:val="auto"/>
                <w:szCs w:val="21"/>
              </w:rPr>
            </w:pPr>
            <w:r>
              <w:rPr>
                <w:rFonts w:ascii="Times New Roman" w:hAnsi="Times New Roman" w:eastAsia="宋体"/>
                <w:color w:val="auto"/>
                <w:szCs w:val="21"/>
              </w:rPr>
              <w:t>废气</w:t>
            </w:r>
          </w:p>
        </w:tc>
        <w:tc>
          <w:tcPr>
            <w:tcW w:w="989" w:type="dxa"/>
            <w:tcBorders>
              <w:tl2br w:val="nil"/>
              <w:tr2bl w:val="nil"/>
            </w:tcBorders>
            <w:tcMar>
              <w:left w:w="57" w:type="dxa"/>
              <w:right w:w="57" w:type="dxa"/>
            </w:tcMar>
            <w:vAlign w:val="center"/>
          </w:tcPr>
          <w:p>
            <w:pPr>
              <w:snapToGrid w:val="0"/>
              <w:jc w:val="center"/>
              <w:rPr>
                <w:rFonts w:hint="eastAsia" w:ascii="Times New Roman" w:hAnsi="Times New Roman" w:eastAsia="宋体"/>
                <w:color w:val="auto"/>
                <w:kern w:val="0"/>
                <w:szCs w:val="21"/>
                <w:lang w:eastAsia="zh-CN"/>
              </w:rPr>
            </w:pPr>
            <w:r>
              <w:rPr>
                <w:rFonts w:hint="eastAsia" w:ascii="Times New Roman" w:hAnsi="Times New Roman" w:eastAsia="宋体"/>
                <w:color w:val="auto"/>
                <w:kern w:val="0"/>
                <w:szCs w:val="21"/>
                <w:lang w:eastAsia="zh-CN"/>
              </w:rPr>
              <w:t>食堂</w:t>
            </w:r>
          </w:p>
        </w:tc>
        <w:tc>
          <w:tcPr>
            <w:tcW w:w="2764" w:type="dxa"/>
            <w:tcBorders>
              <w:tl2br w:val="nil"/>
              <w:tr2bl w:val="nil"/>
            </w:tcBorders>
            <w:tcMar>
              <w:left w:w="57" w:type="dxa"/>
              <w:right w:w="57" w:type="dxa"/>
            </w:tcMar>
            <w:vAlign w:val="center"/>
          </w:tcPr>
          <w:p>
            <w:pPr>
              <w:autoSpaceDE w:val="0"/>
              <w:autoSpaceDN w:val="0"/>
              <w:adjustRightInd w:val="0"/>
              <w:snapToGrid w:val="0"/>
              <w:jc w:val="left"/>
              <w:rPr>
                <w:rFonts w:hint="default" w:ascii="Times New Roman" w:hAnsi="Times New Roman" w:eastAsia="宋体"/>
                <w:color w:val="auto"/>
                <w:kern w:val="0"/>
                <w:szCs w:val="21"/>
                <w:vertAlign w:val="baseline"/>
                <w:lang w:val="en-US" w:eastAsia="zh-CN"/>
              </w:rPr>
            </w:pPr>
            <w:r>
              <w:rPr>
                <w:rFonts w:hint="eastAsia" w:ascii="Times New Roman" w:hAnsi="Times New Roman" w:eastAsia="宋体"/>
                <w:color w:val="auto"/>
                <w:szCs w:val="21"/>
              </w:rPr>
              <w:t xml:space="preserve">安装处理效率为75%的油烟净化器，风机风量为 </w:t>
            </w:r>
            <w:r>
              <w:rPr>
                <w:rFonts w:hint="eastAsia" w:ascii="Times New Roman" w:hAnsi="Times New Roman" w:eastAsia="宋体"/>
                <w:color w:val="auto"/>
                <w:szCs w:val="21"/>
                <w:lang w:val="en-US" w:eastAsia="zh-CN"/>
              </w:rPr>
              <w:t>2</w:t>
            </w:r>
            <w:r>
              <w:rPr>
                <w:rFonts w:hint="eastAsia" w:ascii="Times New Roman" w:hAnsi="Times New Roman" w:eastAsia="宋体"/>
                <w:color w:val="auto"/>
                <w:szCs w:val="21"/>
              </w:rPr>
              <w:t>000m</w:t>
            </w:r>
            <w:r>
              <w:rPr>
                <w:rFonts w:hint="eastAsia" w:ascii="Times New Roman" w:hAnsi="Times New Roman" w:eastAsia="宋体"/>
                <w:color w:val="auto"/>
                <w:szCs w:val="21"/>
                <w:vertAlign w:val="superscript"/>
              </w:rPr>
              <w:t>3</w:t>
            </w:r>
            <w:r>
              <w:rPr>
                <w:rFonts w:hint="eastAsia" w:ascii="Times New Roman" w:hAnsi="Times New Roman" w:eastAsia="宋体"/>
                <w:color w:val="auto"/>
                <w:szCs w:val="21"/>
                <w:vertAlign w:val="baseline"/>
                <w:lang w:val="en-US" w:eastAsia="zh-CN"/>
              </w:rPr>
              <w:t>/h</w:t>
            </w:r>
          </w:p>
        </w:tc>
        <w:tc>
          <w:tcPr>
            <w:tcW w:w="1368" w:type="dxa"/>
            <w:tcBorders>
              <w:tl2br w:val="nil"/>
              <w:tr2bl w:val="nil"/>
            </w:tcBorders>
            <w:vAlign w:val="center"/>
          </w:tcPr>
          <w:p>
            <w:pPr>
              <w:snapToGrid w:val="0"/>
              <w:jc w:val="center"/>
              <w:rPr>
                <w:rFonts w:ascii="Times New Roman" w:hAnsi="Times New Roman" w:eastAsia="宋体"/>
                <w:color w:val="auto"/>
                <w:szCs w:val="21"/>
                <w:vertAlign w:val="superscript"/>
              </w:rPr>
            </w:pPr>
            <w:r>
              <w:rPr>
                <w:rFonts w:hint="eastAsia" w:ascii="Times New Roman" w:hAnsi="Times New Roman" w:eastAsia="宋体"/>
                <w:color w:val="auto"/>
                <w:szCs w:val="21"/>
              </w:rPr>
              <w:t>&lt;</w:t>
            </w:r>
            <w:r>
              <w:rPr>
                <w:rFonts w:hint="eastAsia" w:ascii="Times New Roman" w:hAnsi="Times New Roman" w:eastAsia="宋体"/>
                <w:color w:val="auto"/>
                <w:szCs w:val="21"/>
                <w:lang w:val="en-US" w:eastAsia="zh-CN"/>
              </w:rPr>
              <w:t>2.0</w:t>
            </w:r>
            <w:r>
              <w:rPr>
                <w:rFonts w:ascii="Times New Roman" w:hAnsi="Times New Roman" w:eastAsia="宋体"/>
                <w:color w:val="auto"/>
                <w:szCs w:val="21"/>
              </w:rPr>
              <w:t>mg/</w:t>
            </w:r>
            <w:r>
              <w:rPr>
                <w:rFonts w:hint="eastAsia" w:ascii="Times New Roman" w:hAnsi="Times New Roman" w:eastAsia="宋体"/>
                <w:color w:val="auto"/>
                <w:szCs w:val="21"/>
              </w:rPr>
              <w:t>m</w:t>
            </w:r>
            <w:r>
              <w:rPr>
                <w:rFonts w:hint="eastAsia" w:ascii="Times New Roman" w:hAnsi="Times New Roman" w:eastAsia="宋体"/>
                <w:color w:val="auto"/>
                <w:szCs w:val="21"/>
                <w:vertAlign w:val="superscript"/>
              </w:rPr>
              <w:t>3</w:t>
            </w:r>
          </w:p>
        </w:tc>
        <w:tc>
          <w:tcPr>
            <w:tcW w:w="3359" w:type="dxa"/>
            <w:tcBorders>
              <w:tl2br w:val="nil"/>
              <w:tr2bl w:val="nil"/>
            </w:tcBorders>
            <w:tcMar>
              <w:left w:w="57" w:type="dxa"/>
              <w:right w:w="57" w:type="dxa"/>
            </w:tcMar>
            <w:vAlign w:val="center"/>
          </w:tcPr>
          <w:p>
            <w:pPr>
              <w:snapToGrid w:val="0"/>
              <w:jc w:val="left"/>
              <w:rPr>
                <w:rFonts w:hint="eastAsia" w:ascii="Times New Roman" w:hAnsi="Times New Roman" w:eastAsia="宋体"/>
                <w:color w:val="auto"/>
                <w:kern w:val="0"/>
                <w:szCs w:val="21"/>
                <w:lang w:val="en-US" w:eastAsia="zh-CN"/>
              </w:rPr>
            </w:pPr>
            <w:r>
              <w:rPr>
                <w:rFonts w:hint="eastAsia" w:ascii="Times New Roman" w:hAnsi="Times New Roman" w:eastAsia="宋体"/>
                <w:color w:val="auto"/>
                <w:szCs w:val="21"/>
              </w:rPr>
              <w:t>油烟执行《饮食业油烟排放标准（试 行）》（GB18483-2001）中相关标准，最高允许排放浓度 2.0mg/m</w:t>
            </w:r>
            <w:r>
              <w:rPr>
                <w:rFonts w:hint="eastAsia" w:ascii="Times New Roman" w:hAnsi="Times New Roman" w:eastAsia="宋体"/>
                <w:color w:val="auto"/>
                <w:szCs w:val="21"/>
                <w:vertAlign w:val="superscript"/>
              </w:rPr>
              <w:t>3</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8" w:hRule="atLeast"/>
          <w:jc w:val="center"/>
        </w:trPr>
        <w:tc>
          <w:tcPr>
            <w:tcW w:w="638" w:type="dxa"/>
            <w:vMerge w:val="continue"/>
            <w:tcBorders>
              <w:tl2br w:val="nil"/>
              <w:tr2bl w:val="nil"/>
            </w:tcBorders>
            <w:tcMar>
              <w:left w:w="57" w:type="dxa"/>
              <w:right w:w="57" w:type="dxa"/>
            </w:tcMar>
            <w:vAlign w:val="center"/>
          </w:tcPr>
          <w:p>
            <w:pPr>
              <w:snapToGrid w:val="0"/>
              <w:jc w:val="center"/>
              <w:rPr>
                <w:rFonts w:ascii="Times New Roman" w:hAnsi="Times New Roman" w:eastAsia="宋体"/>
                <w:color w:val="auto"/>
                <w:szCs w:val="21"/>
              </w:rPr>
            </w:pPr>
          </w:p>
        </w:tc>
        <w:tc>
          <w:tcPr>
            <w:tcW w:w="989" w:type="dxa"/>
            <w:tcBorders>
              <w:tl2br w:val="nil"/>
              <w:tr2bl w:val="nil"/>
            </w:tcBorders>
            <w:tcMar>
              <w:left w:w="57" w:type="dxa"/>
              <w:right w:w="57" w:type="dxa"/>
            </w:tcMar>
            <w:vAlign w:val="center"/>
          </w:tcPr>
          <w:p>
            <w:pPr>
              <w:snapToGrid w:val="0"/>
              <w:jc w:val="center"/>
              <w:rPr>
                <w:rFonts w:hint="eastAsia" w:ascii="Times New Roman" w:hAnsi="Times New Roman" w:eastAsia="宋体"/>
                <w:color w:val="auto"/>
                <w:kern w:val="0"/>
                <w:szCs w:val="21"/>
                <w:lang w:val="en-US" w:eastAsia="zh-CN"/>
              </w:rPr>
            </w:pPr>
            <w:r>
              <w:rPr>
                <w:rFonts w:hint="eastAsia" w:ascii="Times New Roman" w:hAnsi="Times New Roman" w:eastAsia="宋体"/>
                <w:color w:val="auto"/>
                <w:kern w:val="0"/>
                <w:szCs w:val="21"/>
                <w:lang w:val="en-US" w:eastAsia="zh-CN"/>
              </w:rPr>
              <w:t>猪舍</w:t>
            </w:r>
          </w:p>
        </w:tc>
        <w:tc>
          <w:tcPr>
            <w:tcW w:w="2764" w:type="dxa"/>
            <w:tcBorders>
              <w:tl2br w:val="nil"/>
              <w:tr2bl w:val="nil"/>
            </w:tcBorders>
            <w:tcMar>
              <w:left w:w="57" w:type="dxa"/>
              <w:right w:w="57" w:type="dxa"/>
            </w:tcMar>
            <w:vAlign w:val="center"/>
          </w:tcPr>
          <w:p>
            <w:pPr>
              <w:autoSpaceDE w:val="0"/>
              <w:autoSpaceDN w:val="0"/>
              <w:adjustRightInd w:val="0"/>
              <w:snapToGrid w:val="0"/>
              <w:jc w:val="left"/>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猪粪日产日清、加强通风、饲料中添加EM、喷洒除臭剂</w:t>
            </w:r>
          </w:p>
        </w:tc>
        <w:tc>
          <w:tcPr>
            <w:tcW w:w="1368" w:type="dxa"/>
            <w:tcBorders>
              <w:tl2br w:val="nil"/>
              <w:tr2bl w:val="nil"/>
            </w:tcBorders>
            <w:vAlign w:val="center"/>
          </w:tcPr>
          <w:p>
            <w:pPr>
              <w:snapToGrid w:val="0"/>
              <w:jc w:val="both"/>
              <w:rPr>
                <w:rFonts w:hint="eastAsia" w:ascii="Times New Roman" w:hAnsi="Times New Roman" w:eastAsia="宋体"/>
                <w:color w:val="auto"/>
                <w:szCs w:val="21"/>
              </w:rPr>
            </w:pPr>
            <w:r>
              <w:rPr>
                <w:rFonts w:hint="eastAsia" w:ascii="Times New Roman" w:hAnsi="Times New Roman" w:eastAsia="宋体"/>
                <w:color w:val="auto"/>
                <w:szCs w:val="21"/>
              </w:rPr>
              <w:t>&lt;1.5</w:t>
            </w:r>
            <w:r>
              <w:rPr>
                <w:rFonts w:ascii="Times New Roman" w:hAnsi="Times New Roman" w:eastAsia="宋体"/>
                <w:color w:val="auto"/>
                <w:szCs w:val="21"/>
              </w:rPr>
              <w:t>mg/</w:t>
            </w:r>
            <w:r>
              <w:rPr>
                <w:rFonts w:hint="eastAsia" w:ascii="Times New Roman" w:hAnsi="Times New Roman" w:eastAsia="宋体"/>
                <w:color w:val="auto"/>
                <w:szCs w:val="21"/>
              </w:rPr>
              <w:t>m</w:t>
            </w:r>
            <w:r>
              <w:rPr>
                <w:rFonts w:hint="eastAsia" w:ascii="Times New Roman" w:hAnsi="Times New Roman" w:eastAsia="宋体"/>
                <w:color w:val="auto"/>
                <w:szCs w:val="21"/>
                <w:vertAlign w:val="superscript"/>
              </w:rPr>
              <w:t>3</w:t>
            </w:r>
          </w:p>
          <w:p>
            <w:pPr>
              <w:snapToGrid w:val="0"/>
              <w:jc w:val="center"/>
              <w:rPr>
                <w:rFonts w:ascii="Times New Roman" w:hAnsi="Times New Roman" w:eastAsia="宋体"/>
                <w:color w:val="auto"/>
                <w:szCs w:val="21"/>
                <w:vertAlign w:val="superscript"/>
              </w:rPr>
            </w:pPr>
            <w:r>
              <w:rPr>
                <w:rFonts w:hint="eastAsia" w:ascii="Times New Roman" w:hAnsi="Times New Roman" w:eastAsia="宋体"/>
                <w:color w:val="auto"/>
                <w:szCs w:val="21"/>
              </w:rPr>
              <w:t>&lt;0.06</w:t>
            </w:r>
            <w:r>
              <w:rPr>
                <w:rFonts w:ascii="Times New Roman" w:hAnsi="Times New Roman" w:eastAsia="宋体"/>
                <w:color w:val="auto"/>
                <w:szCs w:val="21"/>
              </w:rPr>
              <w:t>mg/</w:t>
            </w:r>
            <w:r>
              <w:rPr>
                <w:rFonts w:hint="eastAsia" w:ascii="Times New Roman" w:hAnsi="Times New Roman" w:eastAsia="宋体"/>
                <w:color w:val="auto"/>
                <w:szCs w:val="21"/>
              </w:rPr>
              <w:t>m</w:t>
            </w:r>
            <w:r>
              <w:rPr>
                <w:rFonts w:hint="eastAsia" w:ascii="Times New Roman" w:hAnsi="Times New Roman" w:eastAsia="宋体"/>
                <w:color w:val="auto"/>
                <w:szCs w:val="21"/>
                <w:vertAlign w:val="superscript"/>
              </w:rPr>
              <w:t>3</w:t>
            </w:r>
          </w:p>
        </w:tc>
        <w:tc>
          <w:tcPr>
            <w:tcW w:w="3359" w:type="dxa"/>
            <w:vMerge w:val="restart"/>
            <w:tcBorders>
              <w:tl2br w:val="nil"/>
              <w:tr2bl w:val="nil"/>
            </w:tcBorders>
            <w:tcMar>
              <w:left w:w="57" w:type="dxa"/>
              <w:right w:w="57" w:type="dxa"/>
            </w:tcMar>
            <w:vAlign w:val="center"/>
          </w:tcPr>
          <w:p>
            <w:pPr>
              <w:snapToGrid w:val="0"/>
              <w:jc w:val="left"/>
              <w:rPr>
                <w:rFonts w:ascii="Times New Roman" w:hAnsi="Times New Roman" w:eastAsia="宋体"/>
                <w:color w:val="auto"/>
                <w:szCs w:val="21"/>
              </w:rPr>
            </w:pPr>
            <w:r>
              <w:rPr>
                <w:rFonts w:hint="eastAsia" w:ascii="Times New Roman" w:hAnsi="Times New Roman" w:eastAsia="宋体"/>
                <w:color w:val="auto"/>
                <w:szCs w:val="21"/>
              </w:rPr>
              <w:t>NH</w:t>
            </w:r>
            <w:r>
              <w:rPr>
                <w:rFonts w:hint="eastAsia" w:ascii="Times New Roman" w:hAnsi="Times New Roman" w:eastAsia="宋体"/>
                <w:color w:val="auto"/>
                <w:szCs w:val="21"/>
                <w:vertAlign w:val="subscript"/>
              </w:rPr>
              <w:t>3</w:t>
            </w:r>
            <w:r>
              <w:rPr>
                <w:rFonts w:hint="eastAsia" w:ascii="Times New Roman" w:hAnsi="Times New Roman" w:eastAsia="宋体"/>
                <w:color w:val="auto"/>
                <w:szCs w:val="21"/>
              </w:rPr>
              <w:t>、H</w:t>
            </w:r>
            <w:r>
              <w:rPr>
                <w:rFonts w:hint="eastAsia" w:ascii="Times New Roman" w:hAnsi="Times New Roman" w:eastAsia="宋体"/>
                <w:color w:val="auto"/>
                <w:szCs w:val="21"/>
                <w:vertAlign w:val="subscript"/>
              </w:rPr>
              <w:t>2</w:t>
            </w:r>
            <w:r>
              <w:rPr>
                <w:rFonts w:hint="eastAsia" w:ascii="Times New Roman" w:hAnsi="Times New Roman" w:eastAsia="宋体"/>
                <w:color w:val="auto"/>
                <w:szCs w:val="21"/>
              </w:rPr>
              <w:t>S 执行《恶臭污染物排放标准》 （GB14554-93）表 1 恶臭污染物厂界标准值的规定；臭气浓度执行《畜禽养殖业污染物排放标准》（GB18596-2001）中表 7 集约化畜禽养殖业恶臭污染物排放标准的规定</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8" w:hRule="atLeast"/>
          <w:jc w:val="center"/>
        </w:trPr>
        <w:tc>
          <w:tcPr>
            <w:tcW w:w="638" w:type="dxa"/>
            <w:vMerge w:val="continue"/>
            <w:tcBorders>
              <w:tl2br w:val="nil"/>
              <w:tr2bl w:val="nil"/>
            </w:tcBorders>
            <w:tcMar>
              <w:left w:w="57" w:type="dxa"/>
              <w:right w:w="57" w:type="dxa"/>
            </w:tcMar>
            <w:vAlign w:val="center"/>
          </w:tcPr>
          <w:p>
            <w:pPr>
              <w:snapToGrid w:val="0"/>
              <w:jc w:val="center"/>
              <w:rPr>
                <w:rFonts w:ascii="Times New Roman" w:hAnsi="Times New Roman" w:eastAsia="宋体"/>
                <w:color w:val="auto"/>
                <w:szCs w:val="21"/>
              </w:rPr>
            </w:pPr>
          </w:p>
        </w:tc>
        <w:tc>
          <w:tcPr>
            <w:tcW w:w="989" w:type="dxa"/>
            <w:tcBorders>
              <w:tl2br w:val="nil"/>
              <w:tr2bl w:val="nil"/>
            </w:tcBorders>
            <w:tcMar>
              <w:left w:w="57" w:type="dxa"/>
              <w:right w:w="57" w:type="dxa"/>
            </w:tcMar>
            <w:vAlign w:val="center"/>
          </w:tcPr>
          <w:p>
            <w:pPr>
              <w:snapToGrid w:val="0"/>
              <w:jc w:val="center"/>
              <w:rPr>
                <w:rFonts w:hint="eastAsia" w:ascii="Times New Roman" w:hAnsi="Times New Roman" w:eastAsia="宋体"/>
                <w:color w:val="auto"/>
                <w:kern w:val="0"/>
                <w:szCs w:val="21"/>
                <w:lang w:val="en-US" w:eastAsia="zh-CN"/>
              </w:rPr>
            </w:pPr>
            <w:r>
              <w:rPr>
                <w:rFonts w:hint="eastAsia" w:ascii="Times New Roman" w:hAnsi="Times New Roman" w:eastAsia="宋体"/>
                <w:color w:val="auto"/>
                <w:kern w:val="0"/>
                <w:szCs w:val="21"/>
                <w:lang w:val="en-US" w:eastAsia="zh-CN"/>
              </w:rPr>
              <w:t>污水处理区</w:t>
            </w:r>
          </w:p>
        </w:tc>
        <w:tc>
          <w:tcPr>
            <w:tcW w:w="2764" w:type="dxa"/>
            <w:tcBorders>
              <w:tl2br w:val="nil"/>
              <w:tr2bl w:val="nil"/>
            </w:tcBorders>
            <w:tcMar>
              <w:left w:w="57" w:type="dxa"/>
              <w:right w:w="57" w:type="dxa"/>
            </w:tcMar>
            <w:vAlign w:val="center"/>
          </w:tcPr>
          <w:p>
            <w:pPr>
              <w:autoSpaceDE w:val="0"/>
              <w:autoSpaceDN w:val="0"/>
              <w:adjustRightInd w:val="0"/>
              <w:snapToGrid w:val="0"/>
              <w:jc w:val="left"/>
              <w:rPr>
                <w:rFonts w:hint="eastAsia" w:ascii="Times New Roman" w:hAnsi="Times New Roman" w:eastAsia="宋体"/>
                <w:color w:val="auto"/>
                <w:szCs w:val="21"/>
                <w:lang w:val="en-US" w:eastAsia="zh-CN"/>
              </w:rPr>
            </w:pPr>
            <w:r>
              <w:rPr>
                <w:rFonts w:hint="eastAsia" w:ascii="Times New Roman" w:hAnsi="Times New Roman" w:cs="Times New Roman"/>
                <w:color w:val="auto"/>
                <w:szCs w:val="21"/>
                <w:lang w:val="en-US" w:eastAsia="zh-CN"/>
              </w:rPr>
              <w:t>定期喷洒除臭剂、周边种植植物吸收</w:t>
            </w:r>
          </w:p>
        </w:tc>
        <w:tc>
          <w:tcPr>
            <w:tcW w:w="1368" w:type="dxa"/>
            <w:tcBorders>
              <w:tl2br w:val="nil"/>
              <w:tr2bl w:val="nil"/>
            </w:tcBorders>
            <w:vAlign w:val="center"/>
          </w:tcPr>
          <w:p>
            <w:pPr>
              <w:snapToGrid w:val="0"/>
              <w:jc w:val="center"/>
              <w:rPr>
                <w:rFonts w:hint="eastAsia" w:ascii="Times New Roman" w:hAnsi="Times New Roman" w:eastAsia="宋体"/>
                <w:color w:val="auto"/>
                <w:szCs w:val="21"/>
              </w:rPr>
            </w:pPr>
          </w:p>
        </w:tc>
        <w:tc>
          <w:tcPr>
            <w:tcW w:w="3359" w:type="dxa"/>
            <w:vMerge w:val="continue"/>
            <w:tcBorders>
              <w:tl2br w:val="nil"/>
              <w:tr2bl w:val="nil"/>
            </w:tcBorders>
            <w:tcMar>
              <w:left w:w="57" w:type="dxa"/>
              <w:right w:w="57" w:type="dxa"/>
            </w:tcMar>
            <w:vAlign w:val="center"/>
          </w:tcPr>
          <w:p>
            <w:pPr>
              <w:snapToGrid w:val="0"/>
              <w:jc w:val="center"/>
              <w:rPr>
                <w:rFonts w:hint="eastAsia" w:ascii="Times New Roman" w:hAnsi="Times New Roman" w:eastAsia="宋体"/>
                <w:color w:val="auto"/>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79" w:hRule="atLeast"/>
          <w:jc w:val="center"/>
        </w:trPr>
        <w:tc>
          <w:tcPr>
            <w:tcW w:w="638" w:type="dxa"/>
            <w:vMerge w:val="continue"/>
            <w:tcBorders>
              <w:tl2br w:val="nil"/>
              <w:tr2bl w:val="nil"/>
            </w:tcBorders>
            <w:tcMar>
              <w:left w:w="57" w:type="dxa"/>
              <w:right w:w="57" w:type="dxa"/>
            </w:tcMar>
            <w:vAlign w:val="center"/>
          </w:tcPr>
          <w:p>
            <w:pPr>
              <w:snapToGrid w:val="0"/>
              <w:jc w:val="center"/>
              <w:rPr>
                <w:rFonts w:ascii="Times New Roman" w:hAnsi="Times New Roman" w:eastAsia="宋体"/>
                <w:color w:val="auto"/>
                <w:szCs w:val="21"/>
              </w:rPr>
            </w:pPr>
          </w:p>
        </w:tc>
        <w:tc>
          <w:tcPr>
            <w:tcW w:w="989" w:type="dxa"/>
            <w:tcBorders>
              <w:tl2br w:val="nil"/>
              <w:tr2bl w:val="nil"/>
            </w:tcBorders>
            <w:tcMar>
              <w:left w:w="57" w:type="dxa"/>
              <w:right w:w="57" w:type="dxa"/>
            </w:tcMar>
            <w:vAlign w:val="center"/>
          </w:tcPr>
          <w:p>
            <w:pPr>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堆粪间</w:t>
            </w:r>
          </w:p>
        </w:tc>
        <w:tc>
          <w:tcPr>
            <w:tcW w:w="2764" w:type="dxa"/>
            <w:vMerge w:val="restart"/>
            <w:tcBorders>
              <w:tl2br w:val="nil"/>
              <w:tr2bl w:val="nil"/>
            </w:tcBorders>
            <w:tcMar>
              <w:left w:w="57" w:type="dxa"/>
              <w:right w:w="57" w:type="dxa"/>
            </w:tcMar>
            <w:vAlign w:val="center"/>
          </w:tcPr>
          <w:p>
            <w:pPr>
              <w:snapToGrid w:val="0"/>
              <w:jc w:val="left"/>
              <w:rPr>
                <w:rFonts w:ascii="Times New Roman" w:hAnsi="Times New Roman" w:eastAsia="宋体" w:cstheme="minorBidi"/>
                <w:color w:val="auto"/>
                <w:kern w:val="2"/>
                <w:sz w:val="21"/>
                <w:szCs w:val="21"/>
                <w:lang w:val="en-US" w:eastAsia="zh-CN" w:bidi="ar-SA"/>
              </w:rPr>
            </w:pPr>
            <w:r>
              <w:rPr>
                <w:rFonts w:hint="eastAsia" w:ascii="Times New Roman" w:hAnsi="Times New Roman" w:cs="Times New Roman"/>
                <w:color w:val="auto"/>
                <w:szCs w:val="21"/>
                <w:lang w:val="en-US" w:eastAsia="zh-CN"/>
              </w:rPr>
              <w:t>进行封闭处理，负压收集废气，收集后经喷淋洗涤吸收塔（风量10000m</w:t>
            </w:r>
            <w:r>
              <w:rPr>
                <w:rFonts w:hint="eastAsia" w:ascii="Times New Roman" w:hAnsi="Times New Roman" w:cs="Times New Roman"/>
                <w:color w:val="auto"/>
                <w:szCs w:val="21"/>
                <w:vertAlign w:val="superscript"/>
                <w:lang w:val="en-US" w:eastAsia="zh-CN"/>
              </w:rPr>
              <w:t>3</w:t>
            </w:r>
            <w:r>
              <w:rPr>
                <w:rFonts w:hint="eastAsia" w:ascii="Times New Roman" w:hAnsi="Times New Roman" w:cs="Times New Roman"/>
                <w:color w:val="auto"/>
                <w:szCs w:val="21"/>
                <w:lang w:val="en-US" w:eastAsia="zh-CN"/>
              </w:rPr>
              <w:t>/h）处理后由15m排气筒排放</w:t>
            </w:r>
          </w:p>
        </w:tc>
        <w:tc>
          <w:tcPr>
            <w:tcW w:w="1368" w:type="dxa"/>
            <w:vMerge w:val="restart"/>
            <w:tcBorders>
              <w:tl2br w:val="nil"/>
              <w:tr2bl w:val="nil"/>
            </w:tcBorders>
            <w:vAlign w:val="center"/>
          </w:tcPr>
          <w:p>
            <w:pPr>
              <w:snapToGrid w:val="0"/>
              <w:jc w:val="both"/>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eastAsia="zh-CN"/>
              </w:rPr>
              <w:t>有组织：</w:t>
            </w:r>
            <w:r>
              <w:rPr>
                <w:rFonts w:hint="eastAsia" w:ascii="Times New Roman" w:hAnsi="Times New Roman" w:eastAsia="宋体"/>
                <w:color w:val="auto"/>
                <w:szCs w:val="21"/>
                <w:lang w:val="en-US" w:eastAsia="zh-CN"/>
              </w:rPr>
              <w:t>NH</w:t>
            </w:r>
            <w:r>
              <w:rPr>
                <w:rFonts w:hint="eastAsia" w:ascii="Times New Roman" w:hAnsi="Times New Roman" w:eastAsia="宋体"/>
                <w:color w:val="auto"/>
                <w:szCs w:val="21"/>
                <w:vertAlign w:val="subscript"/>
                <w:lang w:val="en-US" w:eastAsia="zh-CN"/>
              </w:rPr>
              <w:t>3</w:t>
            </w:r>
            <w:r>
              <w:rPr>
                <w:rFonts w:hint="eastAsia" w:ascii="Times New Roman" w:hAnsi="Times New Roman" w:eastAsia="宋体"/>
                <w:color w:val="auto"/>
                <w:szCs w:val="21"/>
                <w:lang w:val="en-US" w:eastAsia="zh-CN"/>
              </w:rPr>
              <w:t>：4.9kg/hH</w:t>
            </w:r>
            <w:r>
              <w:rPr>
                <w:rFonts w:hint="eastAsia" w:ascii="Times New Roman" w:hAnsi="Times New Roman" w:eastAsia="宋体"/>
                <w:color w:val="auto"/>
                <w:szCs w:val="21"/>
                <w:vertAlign w:val="subscript"/>
                <w:lang w:val="en-US" w:eastAsia="zh-CN"/>
              </w:rPr>
              <w:t>2</w:t>
            </w:r>
            <w:r>
              <w:rPr>
                <w:rFonts w:hint="eastAsia" w:ascii="Times New Roman" w:hAnsi="Times New Roman" w:eastAsia="宋体"/>
                <w:color w:val="auto"/>
                <w:szCs w:val="21"/>
                <w:lang w:val="en-US" w:eastAsia="zh-CN"/>
              </w:rPr>
              <w:t>S：</w:t>
            </w:r>
            <w:r>
              <w:rPr>
                <w:rFonts w:hint="eastAsia" w:ascii="Times New Roman" w:hAnsi="Times New Roman" w:eastAsia="宋体" w:cs="Times New Roman"/>
                <w:color w:val="auto"/>
                <w:szCs w:val="21"/>
                <w:lang w:val="en-US" w:eastAsia="zh-CN"/>
              </w:rPr>
              <w:t>0.33</w:t>
            </w:r>
            <w:r>
              <w:rPr>
                <w:rFonts w:hint="eastAsia" w:ascii="Times New Roman" w:hAnsi="Times New Roman" w:eastAsia="宋体"/>
                <w:color w:val="auto"/>
                <w:szCs w:val="21"/>
                <w:lang w:val="en-US" w:eastAsia="zh-CN"/>
              </w:rPr>
              <w:t>kg/h</w:t>
            </w:r>
          </w:p>
          <w:p>
            <w:pPr>
              <w:snapToGrid w:val="0"/>
              <w:jc w:val="both"/>
              <w:rPr>
                <w:rFonts w:hint="eastAsia" w:ascii="Times New Roman" w:hAnsi="Times New Roman" w:eastAsia="宋体"/>
                <w:color w:val="auto"/>
                <w:szCs w:val="21"/>
              </w:rPr>
            </w:pPr>
            <w:r>
              <w:rPr>
                <w:rFonts w:hint="eastAsia" w:ascii="Times New Roman" w:hAnsi="Times New Roman" w:eastAsia="宋体"/>
                <w:color w:val="auto"/>
                <w:szCs w:val="21"/>
                <w:lang w:val="en-US" w:eastAsia="zh-CN"/>
              </w:rPr>
              <w:t>无组织：NH</w:t>
            </w:r>
            <w:r>
              <w:rPr>
                <w:rFonts w:hint="eastAsia" w:ascii="Times New Roman" w:hAnsi="Times New Roman" w:eastAsia="宋体"/>
                <w:color w:val="auto"/>
                <w:szCs w:val="21"/>
                <w:vertAlign w:val="subscript"/>
                <w:lang w:val="en-US" w:eastAsia="zh-CN"/>
              </w:rPr>
              <w:t>3</w:t>
            </w:r>
            <w:r>
              <w:rPr>
                <w:rFonts w:hint="eastAsia" w:ascii="Times New Roman" w:hAnsi="Times New Roman" w:eastAsia="宋体"/>
                <w:color w:val="auto"/>
                <w:szCs w:val="21"/>
                <w:lang w:val="en-US" w:eastAsia="zh-CN"/>
              </w:rPr>
              <w:t>：</w:t>
            </w:r>
            <w:r>
              <w:rPr>
                <w:rFonts w:hint="eastAsia" w:ascii="Times New Roman" w:hAnsi="Times New Roman" w:eastAsia="宋体"/>
                <w:color w:val="auto"/>
                <w:szCs w:val="21"/>
              </w:rPr>
              <w:t>&lt;1.5</w:t>
            </w:r>
            <w:r>
              <w:rPr>
                <w:rFonts w:ascii="Times New Roman" w:hAnsi="Times New Roman" w:eastAsia="宋体"/>
                <w:color w:val="auto"/>
                <w:szCs w:val="21"/>
              </w:rPr>
              <w:t>mg/</w:t>
            </w:r>
            <w:r>
              <w:rPr>
                <w:rFonts w:hint="eastAsia" w:ascii="Times New Roman" w:hAnsi="Times New Roman" w:eastAsia="宋体"/>
                <w:color w:val="auto"/>
                <w:szCs w:val="21"/>
              </w:rPr>
              <w:t>m</w:t>
            </w:r>
            <w:r>
              <w:rPr>
                <w:rFonts w:hint="eastAsia" w:ascii="Times New Roman" w:hAnsi="Times New Roman" w:eastAsia="宋体"/>
                <w:color w:val="auto"/>
                <w:szCs w:val="21"/>
                <w:vertAlign w:val="superscript"/>
              </w:rPr>
              <w:t>3</w:t>
            </w:r>
          </w:p>
          <w:p>
            <w:pPr>
              <w:snapToGrid w:val="0"/>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H</w:t>
            </w:r>
            <w:r>
              <w:rPr>
                <w:rFonts w:hint="eastAsia" w:ascii="Times New Roman" w:hAnsi="Times New Roman" w:eastAsia="宋体"/>
                <w:color w:val="auto"/>
                <w:szCs w:val="21"/>
                <w:vertAlign w:val="subscript"/>
                <w:lang w:val="en-US" w:eastAsia="zh-CN"/>
              </w:rPr>
              <w:t>2</w:t>
            </w:r>
            <w:r>
              <w:rPr>
                <w:rFonts w:hint="eastAsia" w:ascii="Times New Roman" w:hAnsi="Times New Roman" w:eastAsia="宋体"/>
                <w:color w:val="auto"/>
                <w:szCs w:val="21"/>
                <w:lang w:val="en-US" w:eastAsia="zh-CN"/>
              </w:rPr>
              <w:t>S：</w:t>
            </w:r>
            <w:r>
              <w:rPr>
                <w:rFonts w:hint="eastAsia" w:ascii="Times New Roman" w:hAnsi="Times New Roman" w:eastAsia="宋体"/>
                <w:color w:val="auto"/>
                <w:szCs w:val="21"/>
              </w:rPr>
              <w:t>&lt;0.06</w:t>
            </w:r>
            <w:r>
              <w:rPr>
                <w:rFonts w:ascii="Times New Roman" w:hAnsi="Times New Roman" w:eastAsia="宋体"/>
                <w:color w:val="auto"/>
                <w:szCs w:val="21"/>
              </w:rPr>
              <w:t>mg/</w:t>
            </w:r>
            <w:r>
              <w:rPr>
                <w:rFonts w:hint="eastAsia" w:ascii="Times New Roman" w:hAnsi="Times New Roman" w:eastAsia="宋体"/>
                <w:color w:val="auto"/>
                <w:szCs w:val="21"/>
              </w:rPr>
              <w:t>m</w:t>
            </w:r>
            <w:r>
              <w:rPr>
                <w:rFonts w:hint="eastAsia" w:ascii="Times New Roman" w:hAnsi="Times New Roman" w:eastAsia="宋体"/>
                <w:color w:val="auto"/>
                <w:szCs w:val="21"/>
                <w:vertAlign w:val="superscript"/>
              </w:rPr>
              <w:t>3</w:t>
            </w:r>
          </w:p>
        </w:tc>
        <w:tc>
          <w:tcPr>
            <w:tcW w:w="3359" w:type="dxa"/>
            <w:vMerge w:val="continue"/>
            <w:tcBorders>
              <w:tl2br w:val="nil"/>
              <w:tr2bl w:val="nil"/>
            </w:tcBorders>
            <w:tcMar>
              <w:left w:w="57" w:type="dxa"/>
              <w:right w:w="57" w:type="dxa"/>
            </w:tcMar>
            <w:vAlign w:val="center"/>
          </w:tcPr>
          <w:p>
            <w:pPr>
              <w:autoSpaceDE w:val="0"/>
              <w:autoSpaceDN w:val="0"/>
              <w:adjustRightInd w:val="0"/>
              <w:snapToGrid w:val="0"/>
              <w:jc w:val="center"/>
              <w:rPr>
                <w:rFonts w:ascii="Times New Roman" w:hAnsi="Times New Roman" w:eastAsia="宋体"/>
                <w:color w:val="auto"/>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77" w:hRule="atLeast"/>
          <w:jc w:val="center"/>
        </w:trPr>
        <w:tc>
          <w:tcPr>
            <w:tcW w:w="638" w:type="dxa"/>
            <w:vMerge w:val="restart"/>
            <w:tcBorders>
              <w:tl2br w:val="nil"/>
              <w:tr2bl w:val="nil"/>
            </w:tcBorders>
            <w:tcMar>
              <w:left w:w="57" w:type="dxa"/>
              <w:right w:w="57" w:type="dxa"/>
            </w:tcMar>
            <w:vAlign w:val="center"/>
          </w:tcPr>
          <w:p>
            <w:pPr>
              <w:snapToGrid w:val="0"/>
              <w:jc w:val="center"/>
              <w:rPr>
                <w:rFonts w:ascii="Times New Roman" w:hAnsi="Times New Roman" w:eastAsia="宋体"/>
                <w:color w:val="auto"/>
                <w:szCs w:val="21"/>
              </w:rPr>
            </w:pPr>
            <w:r>
              <w:rPr>
                <w:rFonts w:ascii="Times New Roman" w:hAnsi="Times New Roman" w:eastAsia="宋体"/>
                <w:color w:val="auto"/>
                <w:szCs w:val="21"/>
              </w:rPr>
              <w:t>废水</w:t>
            </w:r>
          </w:p>
        </w:tc>
        <w:tc>
          <w:tcPr>
            <w:tcW w:w="989" w:type="dxa"/>
            <w:tcBorders>
              <w:tl2br w:val="nil"/>
              <w:tr2bl w:val="nil"/>
            </w:tcBorders>
            <w:tcMar>
              <w:left w:w="57" w:type="dxa"/>
              <w:right w:w="57" w:type="dxa"/>
            </w:tcMar>
            <w:vAlign w:val="center"/>
          </w:tcPr>
          <w:p>
            <w:pPr>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rPr>
              <w:t>猪尿、冲洗废水</w:t>
            </w:r>
          </w:p>
        </w:tc>
        <w:tc>
          <w:tcPr>
            <w:tcW w:w="2764" w:type="dxa"/>
            <w:vMerge w:val="restart"/>
            <w:tcBorders>
              <w:tl2br w:val="nil"/>
              <w:tr2bl w:val="nil"/>
            </w:tcBorders>
            <w:tcMar>
              <w:left w:w="57" w:type="dxa"/>
              <w:right w:w="57" w:type="dxa"/>
            </w:tcMar>
            <w:vAlign w:val="center"/>
          </w:tcPr>
          <w:p>
            <w:pPr>
              <w:snapToGrid w:val="0"/>
              <w:jc w:val="left"/>
              <w:rPr>
                <w:rFonts w:hint="eastAsia"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rPr>
              <w:t>生活污水先经化粪池处理、食堂废水先经隔油池处理，处理后的废水与养殖废水一同经过</w:t>
            </w:r>
            <w:r>
              <w:rPr>
                <w:rFonts w:hint="eastAsia" w:ascii="Times New Roman" w:hAnsi="Times New Roman" w:eastAsia="宋体"/>
                <w:color w:val="auto"/>
                <w:szCs w:val="21"/>
                <w:lang w:eastAsia="zh-CN"/>
              </w:rPr>
              <w:t>污水处理区</w:t>
            </w:r>
            <w:r>
              <w:rPr>
                <w:rFonts w:hint="eastAsia" w:ascii="Times New Roman" w:hAnsi="Times New Roman" w:eastAsia="宋体"/>
                <w:color w:val="auto"/>
                <w:szCs w:val="21"/>
              </w:rPr>
              <w:t>处理后用于</w:t>
            </w:r>
            <w:r>
              <w:rPr>
                <w:rFonts w:hint="eastAsia" w:ascii="Times New Roman" w:hAnsi="Times New Roman" w:eastAsia="宋体"/>
                <w:color w:val="auto"/>
                <w:szCs w:val="21"/>
                <w:lang w:eastAsia="zh-CN"/>
              </w:rPr>
              <w:t>周边消纳地灌溉</w:t>
            </w:r>
          </w:p>
        </w:tc>
        <w:tc>
          <w:tcPr>
            <w:tcW w:w="1368" w:type="dxa"/>
            <w:vMerge w:val="restart"/>
            <w:tcBorders>
              <w:tl2br w:val="nil"/>
              <w:tr2bl w:val="nil"/>
            </w:tcBorders>
            <w:vAlign w:val="center"/>
          </w:tcPr>
          <w:p>
            <w:pPr>
              <w:snapToGrid w:val="0"/>
              <w:jc w:val="left"/>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不外排</w:t>
            </w:r>
          </w:p>
        </w:tc>
        <w:tc>
          <w:tcPr>
            <w:tcW w:w="3359" w:type="dxa"/>
            <w:vMerge w:val="restart"/>
            <w:tcBorders>
              <w:tl2br w:val="nil"/>
              <w:tr2bl w:val="nil"/>
            </w:tcBorders>
            <w:tcMar>
              <w:left w:w="57" w:type="dxa"/>
              <w:right w:w="57" w:type="dxa"/>
            </w:tcMar>
            <w:vAlign w:val="center"/>
          </w:tcPr>
          <w:p>
            <w:pPr>
              <w:snapToGrid w:val="0"/>
              <w:jc w:val="center"/>
              <w:rPr>
                <w:rFonts w:ascii="Times New Roman" w:hAnsi="Times New Roman" w:eastAsia="宋体"/>
                <w:color w:val="auto"/>
                <w:kern w:val="0"/>
                <w:szCs w:val="21"/>
              </w:rPr>
            </w:pPr>
            <w:r>
              <w:rPr>
                <w:rFonts w:hint="eastAsia" w:ascii="Times New Roman" w:hAnsi="Times New Roman" w:eastAsia="宋体"/>
                <w:color w:val="auto"/>
                <w:kern w:val="0"/>
                <w:szCs w:val="21"/>
              </w:rPr>
              <w:t>隔油池（1m</w:t>
            </w:r>
            <w:r>
              <w:rPr>
                <w:rFonts w:hint="eastAsia" w:ascii="Times New Roman" w:hAnsi="Times New Roman" w:eastAsia="宋体"/>
                <w:color w:val="auto"/>
                <w:kern w:val="0"/>
                <w:szCs w:val="21"/>
                <w:vertAlign w:val="superscript"/>
              </w:rPr>
              <w:t>3</w:t>
            </w:r>
            <w:r>
              <w:rPr>
                <w:rFonts w:hint="eastAsia" w:ascii="Times New Roman" w:hAnsi="Times New Roman" w:eastAsia="宋体"/>
                <w:color w:val="auto"/>
                <w:kern w:val="0"/>
                <w:szCs w:val="21"/>
              </w:rPr>
              <w:t>）、化粪池 （1</w:t>
            </w:r>
            <w:r>
              <w:rPr>
                <w:rFonts w:hint="eastAsia" w:ascii="Times New Roman" w:hAnsi="Times New Roman" w:eastAsia="宋体"/>
                <w:color w:val="auto"/>
                <w:kern w:val="0"/>
                <w:szCs w:val="21"/>
                <w:lang w:val="en-US" w:eastAsia="zh-CN"/>
              </w:rPr>
              <w:t>5</w:t>
            </w:r>
            <w:r>
              <w:rPr>
                <w:rFonts w:hint="eastAsia" w:ascii="Times New Roman" w:hAnsi="Times New Roman" w:eastAsia="宋体"/>
                <w:color w:val="auto"/>
                <w:kern w:val="0"/>
                <w:szCs w:val="21"/>
              </w:rPr>
              <w:t>m</w:t>
            </w:r>
            <w:r>
              <w:rPr>
                <w:rFonts w:hint="eastAsia" w:ascii="Times New Roman" w:hAnsi="Times New Roman" w:eastAsia="宋体"/>
                <w:color w:val="auto"/>
                <w:kern w:val="0"/>
                <w:szCs w:val="21"/>
                <w:vertAlign w:val="superscript"/>
              </w:rPr>
              <w:t>3</w:t>
            </w:r>
            <w:r>
              <w:rPr>
                <w:rFonts w:hint="eastAsia" w:ascii="Times New Roman" w:hAnsi="Times New Roman" w:eastAsia="宋体"/>
                <w:color w:val="auto"/>
                <w:kern w:val="0"/>
                <w:szCs w:val="21"/>
              </w:rPr>
              <w:t>）、</w:t>
            </w:r>
            <w:r>
              <w:rPr>
                <w:rFonts w:hint="eastAsia" w:ascii="Times New Roman" w:hAnsi="Times New Roman" w:eastAsia="宋体"/>
                <w:color w:val="auto"/>
                <w:kern w:val="0"/>
                <w:szCs w:val="21"/>
                <w:lang w:eastAsia="zh-CN"/>
              </w:rPr>
              <w:t>污水</w:t>
            </w:r>
            <w:r>
              <w:rPr>
                <w:rFonts w:hint="eastAsia" w:ascii="Times New Roman" w:hAnsi="Times New Roman" w:eastAsia="宋体"/>
                <w:color w:val="auto"/>
                <w:kern w:val="0"/>
                <w:szCs w:val="21"/>
              </w:rPr>
              <w:t>处理设施（处理效率</w:t>
            </w:r>
            <w:r>
              <w:rPr>
                <w:rFonts w:hint="eastAsia" w:ascii="Times New Roman" w:hAnsi="Times New Roman" w:eastAsia="宋体"/>
                <w:color w:val="auto"/>
                <w:kern w:val="0"/>
                <w:szCs w:val="21"/>
                <w:lang w:val="en-US" w:eastAsia="zh-CN"/>
              </w:rPr>
              <w:t>150</w:t>
            </w:r>
            <w:r>
              <w:rPr>
                <w:rFonts w:hint="eastAsia" w:ascii="Times New Roman" w:hAnsi="Times New Roman" w:eastAsia="宋体"/>
                <w:color w:val="auto"/>
                <w:kern w:val="0"/>
                <w:szCs w:val="21"/>
              </w:rPr>
              <w:t>m</w:t>
            </w:r>
            <w:r>
              <w:rPr>
                <w:rFonts w:hint="eastAsia" w:ascii="Times New Roman" w:hAnsi="Times New Roman" w:eastAsia="宋体"/>
                <w:color w:val="auto"/>
                <w:kern w:val="0"/>
                <w:szCs w:val="21"/>
                <w:vertAlign w:val="superscript"/>
              </w:rPr>
              <w:t>3</w:t>
            </w:r>
            <w:r>
              <w:rPr>
                <w:rFonts w:hint="eastAsia" w:ascii="Times New Roman" w:hAnsi="Times New Roman" w:eastAsia="宋体"/>
                <w:color w:val="auto"/>
                <w:kern w:val="0"/>
                <w:szCs w:val="21"/>
              </w:rPr>
              <w:t>/d）</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638" w:type="dxa"/>
            <w:vMerge w:val="continue"/>
            <w:tcBorders>
              <w:tl2br w:val="nil"/>
              <w:tr2bl w:val="nil"/>
            </w:tcBorders>
            <w:tcMar>
              <w:left w:w="57" w:type="dxa"/>
              <w:right w:w="57" w:type="dxa"/>
            </w:tcMar>
            <w:vAlign w:val="center"/>
          </w:tcPr>
          <w:p>
            <w:pPr>
              <w:snapToGrid w:val="0"/>
              <w:jc w:val="center"/>
              <w:rPr>
                <w:rFonts w:ascii="Times New Roman" w:hAnsi="Times New Roman" w:eastAsia="宋体"/>
                <w:color w:val="auto"/>
                <w:szCs w:val="21"/>
              </w:rPr>
            </w:pPr>
          </w:p>
        </w:tc>
        <w:tc>
          <w:tcPr>
            <w:tcW w:w="989" w:type="dxa"/>
            <w:tcBorders>
              <w:tl2br w:val="nil"/>
              <w:tr2bl w:val="nil"/>
            </w:tcBorders>
            <w:tcMar>
              <w:left w:w="57" w:type="dxa"/>
              <w:right w:w="57" w:type="dxa"/>
            </w:tcMar>
            <w:vAlign w:val="center"/>
          </w:tcPr>
          <w:p>
            <w:pPr>
              <w:autoSpaceDE w:val="0"/>
              <w:autoSpaceDN w:val="0"/>
              <w:adjustRightInd w:val="0"/>
              <w:snapToGrid w:val="0"/>
              <w:jc w:val="center"/>
              <w:rPr>
                <w:rFonts w:hint="eastAsia" w:ascii="Times New Roman" w:hAnsi="Times New Roman" w:eastAsia="宋体"/>
                <w:color w:val="auto"/>
                <w:kern w:val="0"/>
                <w:szCs w:val="21"/>
                <w:lang w:val="en-US" w:eastAsia="zh-CN"/>
              </w:rPr>
            </w:pPr>
            <w:r>
              <w:rPr>
                <w:rFonts w:hint="eastAsia" w:ascii="Times New Roman" w:hAnsi="Times New Roman" w:eastAsia="宋体"/>
                <w:color w:val="auto"/>
                <w:kern w:val="0"/>
                <w:szCs w:val="21"/>
                <w:lang w:val="en-US" w:eastAsia="zh-CN"/>
              </w:rPr>
              <w:t>食堂废水</w:t>
            </w:r>
          </w:p>
        </w:tc>
        <w:tc>
          <w:tcPr>
            <w:tcW w:w="2764" w:type="dxa"/>
            <w:vMerge w:val="continue"/>
            <w:tcBorders>
              <w:tl2br w:val="nil"/>
              <w:tr2bl w:val="nil"/>
            </w:tcBorders>
            <w:tcMar>
              <w:left w:w="57" w:type="dxa"/>
              <w:right w:w="57" w:type="dxa"/>
            </w:tcMar>
            <w:vAlign w:val="center"/>
          </w:tcPr>
          <w:p>
            <w:pPr>
              <w:snapToGrid w:val="0"/>
              <w:jc w:val="left"/>
              <w:rPr>
                <w:rFonts w:hint="eastAsia" w:ascii="Times New Roman" w:hAnsi="Times New Roman" w:eastAsia="宋体"/>
                <w:color w:val="auto"/>
                <w:szCs w:val="21"/>
                <w:lang w:val="en-US" w:eastAsia="zh-CN"/>
              </w:rPr>
            </w:pPr>
          </w:p>
        </w:tc>
        <w:tc>
          <w:tcPr>
            <w:tcW w:w="1368" w:type="dxa"/>
            <w:vMerge w:val="continue"/>
            <w:tcBorders>
              <w:tl2br w:val="nil"/>
              <w:tr2bl w:val="nil"/>
            </w:tcBorders>
            <w:vAlign w:val="center"/>
          </w:tcPr>
          <w:p>
            <w:pPr>
              <w:snapToGrid w:val="0"/>
              <w:jc w:val="left"/>
              <w:rPr>
                <w:rFonts w:ascii="Times New Roman" w:hAnsi="Times New Roman" w:eastAsia="宋体"/>
                <w:color w:val="auto"/>
                <w:szCs w:val="21"/>
              </w:rPr>
            </w:pPr>
          </w:p>
        </w:tc>
        <w:tc>
          <w:tcPr>
            <w:tcW w:w="3359" w:type="dxa"/>
            <w:vMerge w:val="continue"/>
            <w:tcBorders>
              <w:tl2br w:val="nil"/>
              <w:tr2bl w:val="nil"/>
            </w:tcBorders>
            <w:vAlign w:val="center"/>
          </w:tcPr>
          <w:p>
            <w:pPr>
              <w:snapToGrid w:val="0"/>
              <w:jc w:val="center"/>
              <w:rPr>
                <w:rFonts w:hint="eastAsia" w:ascii="Times New Roman" w:hAnsi="Times New Roman" w:eastAsia="宋体"/>
                <w:color w:val="auto"/>
                <w:kern w:val="0"/>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627" w:hRule="atLeast"/>
          <w:jc w:val="center"/>
        </w:trPr>
        <w:tc>
          <w:tcPr>
            <w:tcW w:w="638" w:type="dxa"/>
            <w:vMerge w:val="continue"/>
            <w:tcBorders>
              <w:tl2br w:val="nil"/>
              <w:tr2bl w:val="nil"/>
            </w:tcBorders>
            <w:tcMar>
              <w:left w:w="57" w:type="dxa"/>
              <w:right w:w="57" w:type="dxa"/>
            </w:tcMar>
            <w:vAlign w:val="center"/>
          </w:tcPr>
          <w:p>
            <w:pPr>
              <w:snapToGrid w:val="0"/>
              <w:jc w:val="center"/>
              <w:rPr>
                <w:rFonts w:ascii="Times New Roman" w:hAnsi="Times New Roman" w:eastAsia="宋体"/>
                <w:color w:val="auto"/>
                <w:szCs w:val="21"/>
              </w:rPr>
            </w:pPr>
          </w:p>
        </w:tc>
        <w:tc>
          <w:tcPr>
            <w:tcW w:w="989" w:type="dxa"/>
            <w:tcBorders>
              <w:bottom w:val="single" w:color="000000" w:sz="2" w:space="0"/>
              <w:tl2br w:val="nil"/>
              <w:tr2bl w:val="nil"/>
            </w:tcBorders>
            <w:tcMar>
              <w:left w:w="57" w:type="dxa"/>
              <w:right w:w="57" w:type="dxa"/>
            </w:tcMar>
            <w:vAlign w:val="center"/>
          </w:tcPr>
          <w:p>
            <w:pPr>
              <w:pStyle w:val="16"/>
              <w:adjustRightInd w:val="0"/>
              <w:snapToGrid w:val="0"/>
              <w:spacing w:line="240" w:lineRule="auto"/>
              <w:ind w:left="0" w:right="0"/>
              <w:rPr>
                <w:rFonts w:ascii="Times New Roman" w:hAnsi="Times New Roman" w:eastAsia="宋体"/>
                <w:b w:val="0"/>
                <w:color w:val="auto"/>
                <w:sz w:val="21"/>
                <w:szCs w:val="21"/>
              </w:rPr>
            </w:pPr>
            <w:r>
              <w:rPr>
                <w:rFonts w:hint="eastAsia" w:ascii="Times New Roman" w:hAnsi="Times New Roman" w:eastAsia="宋体"/>
                <w:b w:val="0"/>
                <w:color w:val="auto"/>
                <w:sz w:val="21"/>
                <w:szCs w:val="21"/>
              </w:rPr>
              <w:t>生活污水</w:t>
            </w:r>
          </w:p>
        </w:tc>
        <w:tc>
          <w:tcPr>
            <w:tcW w:w="2764" w:type="dxa"/>
            <w:vMerge w:val="continue"/>
            <w:tcBorders>
              <w:bottom w:val="single" w:color="000000" w:sz="2" w:space="0"/>
              <w:tl2br w:val="nil"/>
              <w:tr2bl w:val="nil"/>
            </w:tcBorders>
            <w:tcMar>
              <w:left w:w="57" w:type="dxa"/>
              <w:right w:w="57" w:type="dxa"/>
            </w:tcMar>
            <w:vAlign w:val="center"/>
          </w:tcPr>
          <w:p>
            <w:pPr>
              <w:pStyle w:val="16"/>
              <w:adjustRightInd w:val="0"/>
              <w:snapToGrid w:val="0"/>
              <w:spacing w:line="240" w:lineRule="auto"/>
              <w:ind w:left="0" w:right="0"/>
              <w:jc w:val="left"/>
              <w:rPr>
                <w:rFonts w:hint="eastAsia" w:ascii="Times New Roman" w:hAnsi="Times New Roman" w:eastAsia="宋体"/>
                <w:b w:val="0"/>
                <w:color w:val="auto"/>
                <w:sz w:val="21"/>
                <w:szCs w:val="21"/>
                <w:lang w:eastAsia="zh-CN"/>
              </w:rPr>
            </w:pPr>
          </w:p>
        </w:tc>
        <w:tc>
          <w:tcPr>
            <w:tcW w:w="1368" w:type="dxa"/>
            <w:vMerge w:val="continue"/>
            <w:tcBorders>
              <w:bottom w:val="single" w:color="000000" w:sz="2" w:space="0"/>
              <w:tl2br w:val="nil"/>
              <w:tr2bl w:val="nil"/>
            </w:tcBorders>
            <w:tcMar>
              <w:left w:w="57" w:type="dxa"/>
              <w:right w:w="57" w:type="dxa"/>
            </w:tcMar>
            <w:vAlign w:val="center"/>
          </w:tcPr>
          <w:p>
            <w:pPr>
              <w:snapToGrid w:val="0"/>
              <w:jc w:val="left"/>
              <w:rPr>
                <w:rFonts w:hint="eastAsia" w:ascii="Times New Roman" w:hAnsi="Times New Roman" w:eastAsia="宋体"/>
                <w:color w:val="auto"/>
                <w:szCs w:val="21"/>
                <w:lang w:eastAsia="zh-CN"/>
              </w:rPr>
            </w:pPr>
          </w:p>
        </w:tc>
        <w:tc>
          <w:tcPr>
            <w:tcW w:w="3359" w:type="dxa"/>
            <w:vMerge w:val="continue"/>
            <w:tcBorders>
              <w:tl2br w:val="nil"/>
              <w:tr2bl w:val="nil"/>
            </w:tcBorders>
            <w:vAlign w:val="center"/>
          </w:tcPr>
          <w:p>
            <w:pPr>
              <w:snapToGrid w:val="0"/>
              <w:jc w:val="center"/>
              <w:rPr>
                <w:rFonts w:ascii="Times New Roman" w:hAnsi="Times New Roman" w:eastAsia="宋体"/>
                <w:color w:val="auto"/>
                <w:kern w:val="0"/>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4" w:hRule="atLeast"/>
          <w:jc w:val="center"/>
        </w:trPr>
        <w:tc>
          <w:tcPr>
            <w:tcW w:w="638" w:type="dxa"/>
            <w:tcBorders>
              <w:tl2br w:val="nil"/>
              <w:tr2bl w:val="nil"/>
            </w:tcBorders>
            <w:tcMar>
              <w:left w:w="57" w:type="dxa"/>
              <w:right w:w="57" w:type="dxa"/>
            </w:tcMar>
            <w:vAlign w:val="center"/>
          </w:tcPr>
          <w:p>
            <w:pPr>
              <w:snapToGrid w:val="0"/>
              <w:jc w:val="center"/>
              <w:rPr>
                <w:rFonts w:ascii="Times New Roman" w:hAnsi="Times New Roman" w:eastAsia="宋体"/>
                <w:color w:val="auto"/>
                <w:szCs w:val="21"/>
              </w:rPr>
            </w:pPr>
            <w:r>
              <w:rPr>
                <w:rFonts w:ascii="Times New Roman" w:hAnsi="Times New Roman" w:eastAsia="宋体"/>
                <w:color w:val="auto"/>
                <w:szCs w:val="21"/>
              </w:rPr>
              <w:t>噪声</w:t>
            </w:r>
          </w:p>
        </w:tc>
        <w:tc>
          <w:tcPr>
            <w:tcW w:w="989" w:type="dxa"/>
            <w:tcBorders>
              <w:tl2br w:val="nil"/>
              <w:tr2bl w:val="nil"/>
            </w:tcBorders>
            <w:tcMar>
              <w:left w:w="57" w:type="dxa"/>
              <w:right w:w="57" w:type="dxa"/>
            </w:tcMar>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lang w:eastAsia="zh-CN"/>
              </w:rPr>
              <w:t>猪叫声、</w:t>
            </w:r>
            <w:r>
              <w:rPr>
                <w:rFonts w:ascii="Times New Roman" w:hAnsi="Times New Roman" w:eastAsia="宋体"/>
                <w:color w:val="auto"/>
                <w:szCs w:val="21"/>
              </w:rPr>
              <w:t>各种泵类</w:t>
            </w:r>
          </w:p>
          <w:p>
            <w:pPr>
              <w:snapToGrid w:val="0"/>
              <w:jc w:val="center"/>
              <w:rPr>
                <w:rFonts w:ascii="Times New Roman" w:hAnsi="Times New Roman" w:eastAsia="宋体"/>
                <w:color w:val="auto"/>
                <w:szCs w:val="21"/>
              </w:rPr>
            </w:pPr>
            <w:r>
              <w:rPr>
                <w:rFonts w:ascii="Times New Roman" w:hAnsi="Times New Roman" w:eastAsia="宋体"/>
                <w:color w:val="auto"/>
                <w:szCs w:val="21"/>
              </w:rPr>
              <w:t>风机等</w:t>
            </w:r>
          </w:p>
        </w:tc>
        <w:tc>
          <w:tcPr>
            <w:tcW w:w="2764" w:type="dxa"/>
            <w:tcBorders>
              <w:tl2br w:val="nil"/>
              <w:tr2bl w:val="nil"/>
            </w:tcBorders>
            <w:tcMar>
              <w:left w:w="57" w:type="dxa"/>
              <w:right w:w="57" w:type="dxa"/>
            </w:tcMar>
            <w:vAlign w:val="center"/>
          </w:tcPr>
          <w:p>
            <w:pPr>
              <w:snapToGrid w:val="0"/>
              <w:jc w:val="left"/>
              <w:rPr>
                <w:rFonts w:ascii="Times New Roman" w:hAnsi="Times New Roman" w:eastAsia="宋体"/>
                <w:color w:val="auto"/>
                <w:szCs w:val="21"/>
              </w:rPr>
            </w:pPr>
            <w:r>
              <w:rPr>
                <w:rFonts w:hint="eastAsia" w:ascii="Times New Roman" w:hAnsi="Times New Roman" w:eastAsia="宋体"/>
                <w:color w:val="auto"/>
                <w:szCs w:val="21"/>
              </w:rPr>
              <w:t>选用低噪声设备，设备安装减震 垫，加强场区绿化</w:t>
            </w:r>
          </w:p>
        </w:tc>
        <w:tc>
          <w:tcPr>
            <w:tcW w:w="1368" w:type="dxa"/>
            <w:tcBorders>
              <w:tl2br w:val="nil"/>
              <w:tr2bl w:val="nil"/>
            </w:tcBorders>
            <w:tcMar>
              <w:left w:w="57" w:type="dxa"/>
              <w:right w:w="57" w:type="dxa"/>
            </w:tcMar>
            <w:vAlign w:val="center"/>
          </w:tcPr>
          <w:p>
            <w:pPr>
              <w:snapToGrid w:val="0"/>
              <w:jc w:val="left"/>
              <w:rPr>
                <w:rFonts w:hint="eastAsia" w:ascii="Times New Roman" w:hAnsi="Times New Roman" w:eastAsia="宋体"/>
                <w:color w:val="auto"/>
                <w:szCs w:val="21"/>
                <w:lang w:eastAsia="zh-CN"/>
              </w:rPr>
            </w:pPr>
            <w:r>
              <w:rPr>
                <w:rFonts w:hint="eastAsia" w:ascii="Times New Roman" w:hAnsi="Times New Roman" w:eastAsia="宋体"/>
                <w:color w:val="auto"/>
                <w:szCs w:val="21"/>
                <w:lang w:eastAsia="zh-CN"/>
              </w:rPr>
              <w:t>昼间夜间</w:t>
            </w:r>
          </w:p>
        </w:tc>
        <w:tc>
          <w:tcPr>
            <w:tcW w:w="3359" w:type="dxa"/>
            <w:tcBorders>
              <w:tl2br w:val="nil"/>
              <w:tr2bl w:val="nil"/>
            </w:tcBorders>
            <w:tcMar>
              <w:left w:w="57" w:type="dxa"/>
              <w:right w:w="57" w:type="dxa"/>
            </w:tcMar>
            <w:vAlign w:val="center"/>
          </w:tcPr>
          <w:p>
            <w:pPr>
              <w:snapToGrid w:val="0"/>
              <w:jc w:val="center"/>
              <w:rPr>
                <w:rFonts w:ascii="Times New Roman" w:hAnsi="Times New Roman" w:eastAsia="宋体"/>
                <w:color w:val="auto"/>
                <w:szCs w:val="21"/>
              </w:rPr>
            </w:pPr>
            <w:r>
              <w:rPr>
                <w:rFonts w:ascii="Times New Roman" w:hAnsi="Times New Roman" w:eastAsia="宋体"/>
                <w:color w:val="auto"/>
                <w:szCs w:val="21"/>
              </w:rPr>
              <w:t>符合《工业企业厂界环境噪声排放标准》（GB12348-2008）</w:t>
            </w:r>
            <w:r>
              <w:rPr>
                <w:rFonts w:hint="eastAsia" w:ascii="Times New Roman" w:hAnsi="Times New Roman" w:eastAsia="宋体"/>
                <w:color w:val="auto"/>
                <w:szCs w:val="21"/>
                <w:lang w:val="en-US" w:eastAsia="zh-CN"/>
              </w:rPr>
              <w:t>2</w:t>
            </w:r>
            <w:r>
              <w:rPr>
                <w:rFonts w:ascii="Times New Roman" w:hAnsi="Times New Roman" w:eastAsia="宋体"/>
                <w:color w:val="auto"/>
                <w:szCs w:val="21"/>
              </w:rPr>
              <w:t>类标准昼≤6</w:t>
            </w:r>
            <w:r>
              <w:rPr>
                <w:rFonts w:hint="eastAsia" w:ascii="Times New Roman" w:hAnsi="Times New Roman" w:eastAsia="宋体"/>
                <w:color w:val="auto"/>
                <w:szCs w:val="21"/>
                <w:lang w:val="en-US" w:eastAsia="zh-CN"/>
              </w:rPr>
              <w:t>0</w:t>
            </w:r>
            <w:r>
              <w:rPr>
                <w:rFonts w:ascii="Times New Roman" w:hAnsi="Times New Roman" w:eastAsia="宋体"/>
                <w:color w:val="auto"/>
                <w:szCs w:val="21"/>
              </w:rPr>
              <w:t>dB(A)夜≤5</w:t>
            </w:r>
            <w:r>
              <w:rPr>
                <w:rFonts w:hint="eastAsia" w:ascii="Times New Roman" w:hAnsi="Times New Roman" w:eastAsia="宋体"/>
                <w:color w:val="auto"/>
                <w:szCs w:val="21"/>
                <w:lang w:val="en-US" w:eastAsia="zh-CN"/>
              </w:rPr>
              <w:t>0</w:t>
            </w:r>
            <w:r>
              <w:rPr>
                <w:rFonts w:ascii="Times New Roman" w:hAnsi="Times New Roman" w:eastAsia="宋体"/>
                <w:color w:val="auto"/>
                <w:szCs w:val="21"/>
              </w:rPr>
              <w:t>dB(A)</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24" w:hRule="atLeast"/>
          <w:jc w:val="center"/>
        </w:trPr>
        <w:tc>
          <w:tcPr>
            <w:tcW w:w="638" w:type="dxa"/>
            <w:vMerge w:val="restart"/>
            <w:tcBorders>
              <w:tl2br w:val="nil"/>
              <w:tr2bl w:val="nil"/>
            </w:tcBorders>
            <w:tcMar>
              <w:left w:w="57" w:type="dxa"/>
              <w:right w:w="57" w:type="dxa"/>
            </w:tcMar>
            <w:vAlign w:val="center"/>
          </w:tcPr>
          <w:p>
            <w:pPr>
              <w:snapToGrid w:val="0"/>
              <w:jc w:val="center"/>
              <w:rPr>
                <w:rFonts w:ascii="Times New Roman" w:hAnsi="Times New Roman" w:eastAsia="宋体"/>
                <w:color w:val="auto"/>
                <w:szCs w:val="21"/>
              </w:rPr>
            </w:pPr>
            <w:r>
              <w:rPr>
                <w:rFonts w:ascii="Times New Roman" w:hAnsi="Times New Roman" w:eastAsia="宋体"/>
                <w:color w:val="auto"/>
                <w:szCs w:val="21"/>
              </w:rPr>
              <w:t>固体废物</w:t>
            </w:r>
          </w:p>
        </w:tc>
        <w:tc>
          <w:tcPr>
            <w:tcW w:w="989" w:type="dxa"/>
            <w:tcBorders>
              <w:tl2br w:val="nil"/>
              <w:tr2bl w:val="nil"/>
            </w:tcBorders>
            <w:tcMar>
              <w:left w:w="57" w:type="dxa"/>
              <w:right w:w="57" w:type="dxa"/>
            </w:tcMar>
            <w:vAlign w:val="center"/>
          </w:tcPr>
          <w:p>
            <w:pPr>
              <w:pStyle w:val="16"/>
              <w:adjustRightInd w:val="0"/>
              <w:snapToGrid w:val="0"/>
              <w:spacing w:line="240" w:lineRule="auto"/>
              <w:ind w:left="0" w:right="0"/>
              <w:rPr>
                <w:rFonts w:ascii="Times New Roman" w:hAnsi="Times New Roman" w:eastAsia="宋体"/>
                <w:b w:val="0"/>
                <w:color w:val="auto"/>
                <w:sz w:val="21"/>
                <w:szCs w:val="21"/>
              </w:rPr>
            </w:pPr>
            <w:r>
              <w:rPr>
                <w:rFonts w:hint="eastAsia" w:ascii="Times New Roman" w:hAnsi="Times New Roman" w:eastAsia="宋体"/>
                <w:b w:val="0"/>
                <w:color w:val="auto"/>
                <w:sz w:val="21"/>
                <w:szCs w:val="21"/>
              </w:rPr>
              <w:t>生活垃圾</w:t>
            </w:r>
          </w:p>
        </w:tc>
        <w:tc>
          <w:tcPr>
            <w:tcW w:w="4132" w:type="dxa"/>
            <w:gridSpan w:val="2"/>
            <w:tcBorders>
              <w:tl2br w:val="nil"/>
              <w:tr2bl w:val="nil"/>
            </w:tcBorders>
            <w:tcMar>
              <w:left w:w="57" w:type="dxa"/>
              <w:right w:w="57" w:type="dxa"/>
            </w:tcMar>
            <w:vAlign w:val="center"/>
          </w:tcPr>
          <w:p>
            <w:pPr>
              <w:pStyle w:val="16"/>
              <w:adjustRightInd w:val="0"/>
              <w:snapToGrid w:val="0"/>
              <w:spacing w:line="240" w:lineRule="auto"/>
              <w:ind w:left="0" w:right="0"/>
              <w:jc w:val="left"/>
              <w:rPr>
                <w:rFonts w:ascii="Times New Roman" w:hAnsi="Times New Roman" w:eastAsia="宋体"/>
                <w:b w:val="0"/>
                <w:color w:val="auto"/>
                <w:sz w:val="21"/>
                <w:szCs w:val="21"/>
              </w:rPr>
            </w:pPr>
            <w:r>
              <w:rPr>
                <w:rFonts w:hint="eastAsia" w:ascii="Times New Roman" w:hAnsi="Times New Roman" w:eastAsia="宋体"/>
                <w:b w:val="0"/>
                <w:color w:val="auto"/>
                <w:sz w:val="21"/>
                <w:szCs w:val="21"/>
              </w:rPr>
              <w:t>收集后由环卫部门清运</w:t>
            </w:r>
          </w:p>
        </w:tc>
        <w:tc>
          <w:tcPr>
            <w:tcW w:w="3359" w:type="dxa"/>
            <w:tcBorders>
              <w:tl2br w:val="nil"/>
              <w:tr2bl w:val="nil"/>
            </w:tcBorders>
            <w:tcMar>
              <w:left w:w="57" w:type="dxa"/>
              <w:right w:w="57" w:type="dxa"/>
            </w:tcMar>
            <w:vAlign w:val="center"/>
          </w:tcPr>
          <w:p>
            <w:pPr>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4" w:hRule="atLeast"/>
          <w:jc w:val="center"/>
        </w:trPr>
        <w:tc>
          <w:tcPr>
            <w:tcW w:w="638" w:type="dxa"/>
            <w:vMerge w:val="continue"/>
            <w:tcBorders>
              <w:tl2br w:val="nil"/>
              <w:tr2bl w:val="nil"/>
            </w:tcBorders>
            <w:tcMar>
              <w:left w:w="57" w:type="dxa"/>
              <w:right w:w="57" w:type="dxa"/>
            </w:tcMar>
            <w:vAlign w:val="center"/>
          </w:tcPr>
          <w:p>
            <w:pPr>
              <w:snapToGrid w:val="0"/>
              <w:jc w:val="center"/>
              <w:rPr>
                <w:rFonts w:ascii="Times New Roman" w:hAnsi="Times New Roman" w:eastAsia="宋体"/>
                <w:color w:val="auto"/>
                <w:szCs w:val="21"/>
              </w:rPr>
            </w:pPr>
          </w:p>
        </w:tc>
        <w:tc>
          <w:tcPr>
            <w:tcW w:w="989" w:type="dxa"/>
            <w:tcBorders>
              <w:tl2br w:val="nil"/>
              <w:tr2bl w:val="nil"/>
            </w:tcBorders>
            <w:tcMar>
              <w:left w:w="57" w:type="dxa"/>
              <w:right w:w="57" w:type="dxa"/>
            </w:tcMar>
            <w:vAlign w:val="center"/>
          </w:tcPr>
          <w:p>
            <w:pPr>
              <w:pStyle w:val="16"/>
              <w:adjustRightInd w:val="0"/>
              <w:snapToGrid w:val="0"/>
              <w:spacing w:line="240" w:lineRule="auto"/>
              <w:ind w:left="0" w:right="0"/>
              <w:rPr>
                <w:rFonts w:hint="eastAsia" w:ascii="Times New Roman" w:hAnsi="Times New Roman" w:eastAsia="宋体"/>
                <w:b w:val="0"/>
                <w:color w:val="auto"/>
                <w:kern w:val="0"/>
                <w:sz w:val="21"/>
                <w:szCs w:val="21"/>
                <w:lang w:val="en-US" w:eastAsia="zh-CN"/>
              </w:rPr>
            </w:pPr>
            <w:r>
              <w:rPr>
                <w:rFonts w:hint="eastAsia" w:ascii="Times New Roman" w:hAnsi="Times New Roman" w:eastAsia="宋体"/>
                <w:b w:val="0"/>
                <w:color w:val="auto"/>
                <w:kern w:val="0"/>
                <w:sz w:val="21"/>
                <w:szCs w:val="21"/>
                <w:lang w:val="en-US" w:eastAsia="zh-CN"/>
              </w:rPr>
              <w:t>危险废物</w:t>
            </w:r>
          </w:p>
        </w:tc>
        <w:tc>
          <w:tcPr>
            <w:tcW w:w="4132" w:type="dxa"/>
            <w:gridSpan w:val="2"/>
            <w:tcBorders>
              <w:tl2br w:val="nil"/>
              <w:tr2bl w:val="nil"/>
            </w:tcBorders>
            <w:tcMar>
              <w:left w:w="57" w:type="dxa"/>
              <w:right w:w="57" w:type="dxa"/>
            </w:tcMar>
            <w:vAlign w:val="center"/>
          </w:tcPr>
          <w:p>
            <w:pPr>
              <w:pStyle w:val="16"/>
              <w:adjustRightInd w:val="0"/>
              <w:snapToGrid w:val="0"/>
              <w:spacing w:line="240" w:lineRule="auto"/>
              <w:ind w:left="0" w:right="0"/>
              <w:jc w:val="left"/>
              <w:rPr>
                <w:rFonts w:hint="eastAsia" w:ascii="Times New Roman" w:hAnsi="Times New Roman" w:eastAsia="宋体"/>
                <w:b w:val="0"/>
                <w:color w:val="auto"/>
                <w:kern w:val="0"/>
                <w:sz w:val="21"/>
                <w:szCs w:val="21"/>
                <w:lang w:val="en-US" w:eastAsia="zh-CN"/>
              </w:rPr>
            </w:pPr>
            <w:r>
              <w:rPr>
                <w:rFonts w:hint="eastAsia" w:ascii="Times New Roman" w:hAnsi="Times New Roman" w:eastAsia="宋体"/>
                <w:b w:val="0"/>
                <w:color w:val="auto"/>
                <w:sz w:val="21"/>
                <w:szCs w:val="21"/>
                <w:lang w:eastAsia="zh-CN"/>
              </w:rPr>
              <w:t>医疗废物暂存危废暂存间</w:t>
            </w:r>
            <w:r>
              <w:rPr>
                <w:rFonts w:hint="eastAsia" w:ascii="Times New Roman" w:hAnsi="Times New Roman" w:eastAsia="宋体"/>
                <w:b w:val="0"/>
                <w:color w:val="auto"/>
                <w:sz w:val="21"/>
                <w:szCs w:val="21"/>
              </w:rPr>
              <w:t>，</w:t>
            </w:r>
            <w:r>
              <w:rPr>
                <w:rFonts w:hint="eastAsia" w:ascii="Times New Roman" w:hAnsi="Times New Roman" w:eastAsia="宋体"/>
                <w:b w:val="0"/>
                <w:color w:val="auto"/>
                <w:sz w:val="21"/>
                <w:szCs w:val="21"/>
                <w:lang w:val="en-US" w:eastAsia="zh-CN"/>
              </w:rPr>
              <w:t>与有资质的单位签订处理协议，定期交由其处理</w:t>
            </w:r>
          </w:p>
        </w:tc>
        <w:tc>
          <w:tcPr>
            <w:tcW w:w="3359" w:type="dxa"/>
            <w:tcBorders>
              <w:tl2br w:val="nil"/>
              <w:tr2bl w:val="nil"/>
            </w:tcBorders>
            <w:tcMar>
              <w:left w:w="57" w:type="dxa"/>
              <w:right w:w="57" w:type="dxa"/>
            </w:tcMar>
            <w:vAlign w:val="center"/>
          </w:tcPr>
          <w:p>
            <w:pPr>
              <w:snapToGrid w:val="0"/>
              <w:jc w:val="center"/>
              <w:rPr>
                <w:rFonts w:ascii="Times New Roman" w:hAnsi="Times New Roman" w:eastAsia="宋体"/>
                <w:color w:val="auto"/>
                <w:szCs w:val="21"/>
              </w:rPr>
            </w:pPr>
            <w:r>
              <w:rPr>
                <w:rFonts w:ascii="Times New Roman" w:hAnsi="Times New Roman" w:eastAsia="宋体"/>
                <w:color w:val="auto"/>
                <w:szCs w:val="21"/>
              </w:rPr>
              <w:t>《危险废物贮存污染控制标准》（GB18597-2001）及其修改单</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4" w:hRule="atLeast"/>
          <w:jc w:val="center"/>
        </w:trPr>
        <w:tc>
          <w:tcPr>
            <w:tcW w:w="638" w:type="dxa"/>
            <w:vMerge w:val="continue"/>
            <w:tcBorders>
              <w:tl2br w:val="nil"/>
              <w:tr2bl w:val="nil"/>
            </w:tcBorders>
            <w:tcMar>
              <w:left w:w="57" w:type="dxa"/>
              <w:right w:w="57" w:type="dxa"/>
            </w:tcMar>
            <w:vAlign w:val="center"/>
          </w:tcPr>
          <w:p>
            <w:pPr>
              <w:snapToGrid w:val="0"/>
              <w:jc w:val="center"/>
              <w:rPr>
                <w:rFonts w:ascii="Times New Roman" w:hAnsi="Times New Roman" w:eastAsia="宋体"/>
                <w:color w:val="auto"/>
                <w:szCs w:val="21"/>
              </w:rPr>
            </w:pPr>
          </w:p>
        </w:tc>
        <w:tc>
          <w:tcPr>
            <w:tcW w:w="989" w:type="dxa"/>
            <w:tcBorders>
              <w:tl2br w:val="nil"/>
              <w:tr2bl w:val="nil"/>
            </w:tcBorders>
            <w:tcMar>
              <w:left w:w="57" w:type="dxa"/>
              <w:right w:w="57" w:type="dxa"/>
            </w:tcMar>
            <w:vAlign w:val="center"/>
          </w:tcPr>
          <w:p>
            <w:pPr>
              <w:autoSpaceDE w:val="0"/>
              <w:autoSpaceDN w:val="0"/>
              <w:adjustRightInd w:val="0"/>
              <w:snapToGrid w:val="0"/>
              <w:jc w:val="both"/>
              <w:rPr>
                <w:rFonts w:hint="eastAsia" w:ascii="Times New Roman" w:hAnsi="Times New Roman" w:eastAsia="宋体"/>
                <w:color w:val="auto"/>
                <w:kern w:val="0"/>
                <w:szCs w:val="21"/>
                <w:lang w:val="en-US" w:eastAsia="zh-CN"/>
              </w:rPr>
            </w:pPr>
            <w:r>
              <w:rPr>
                <w:rFonts w:hint="eastAsia" w:ascii="Times New Roman" w:hAnsi="Times New Roman" w:eastAsia="宋体"/>
                <w:color w:val="auto"/>
                <w:kern w:val="0"/>
                <w:szCs w:val="21"/>
                <w:lang w:val="en-US" w:eastAsia="zh-CN"/>
              </w:rPr>
              <w:t>一般固废</w:t>
            </w:r>
          </w:p>
        </w:tc>
        <w:tc>
          <w:tcPr>
            <w:tcW w:w="4132" w:type="dxa"/>
            <w:gridSpan w:val="2"/>
            <w:tcBorders>
              <w:tl2br w:val="nil"/>
              <w:tr2bl w:val="nil"/>
            </w:tcBorders>
            <w:tcMar>
              <w:left w:w="57" w:type="dxa"/>
              <w:right w:w="57" w:type="dxa"/>
            </w:tcMar>
            <w:vAlign w:val="center"/>
          </w:tcPr>
          <w:p>
            <w:pPr>
              <w:autoSpaceDE w:val="0"/>
              <w:autoSpaceDN w:val="0"/>
              <w:adjustRightInd w:val="0"/>
              <w:snapToGrid w:val="0"/>
              <w:jc w:val="left"/>
              <w:rPr>
                <w:rFonts w:hint="eastAsia" w:ascii="Times New Roman" w:hAnsi="Times New Roman" w:eastAsia="宋体"/>
                <w:color w:val="auto"/>
                <w:kern w:val="0"/>
                <w:szCs w:val="21"/>
                <w:lang w:eastAsia="zh-CN"/>
              </w:rPr>
            </w:pPr>
            <w:r>
              <w:rPr>
                <w:rFonts w:hint="eastAsia" w:ascii="Times New Roman" w:hAnsi="Times New Roman" w:eastAsia="宋体" w:cs="Times New Roman"/>
                <w:b w:val="0"/>
                <w:bCs/>
                <w:color w:val="auto"/>
                <w:sz w:val="21"/>
                <w:szCs w:val="21"/>
                <w:lang w:eastAsia="zh-CN"/>
              </w:rPr>
              <w:t>生活垃圾收集后，定期清运至垃圾收集点，由环卫部门清运；病死猪</w:t>
            </w:r>
            <w:r>
              <w:rPr>
                <w:rFonts w:hint="eastAsia" w:ascii="Times New Roman" w:hAnsi="Times New Roman" w:eastAsia="宋体" w:cs="Times New Roman"/>
                <w:color w:val="auto"/>
                <w:kern w:val="2"/>
                <w:sz w:val="21"/>
                <w:szCs w:val="21"/>
                <w:highlight w:val="none"/>
                <w:lang w:val="en-US" w:eastAsia="zh-CN" w:bidi="ar-SA"/>
              </w:rPr>
              <w:t>场内化尸池无害化填埋</w:t>
            </w:r>
            <w:r>
              <w:rPr>
                <w:rFonts w:hint="eastAsia" w:ascii="Times New Roman" w:hAnsi="Times New Roman" w:eastAsia="宋体" w:cs="Times New Roman"/>
                <w:b w:val="0"/>
                <w:bCs/>
                <w:color w:val="auto"/>
                <w:sz w:val="21"/>
                <w:szCs w:val="21"/>
                <w:lang w:eastAsia="zh-CN"/>
              </w:rPr>
              <w:t>；废包装材料外售资源回收站回收利用；猪粪、污泥好氧堆肥后还田利用。</w:t>
            </w:r>
          </w:p>
        </w:tc>
        <w:tc>
          <w:tcPr>
            <w:tcW w:w="3359" w:type="dxa"/>
            <w:tcBorders>
              <w:tl2br w:val="nil"/>
              <w:tr2bl w:val="nil"/>
            </w:tcBorders>
            <w:tcMar>
              <w:left w:w="57" w:type="dxa"/>
              <w:right w:w="57" w:type="dxa"/>
            </w:tcMar>
            <w:vAlign w:val="center"/>
          </w:tcPr>
          <w:p>
            <w:pPr>
              <w:snapToGrid w:val="0"/>
              <w:jc w:val="both"/>
              <w:rPr>
                <w:rFonts w:ascii="Times New Roman" w:hAnsi="Times New Roman" w:eastAsia="宋体"/>
                <w:color w:val="auto"/>
                <w:szCs w:val="21"/>
              </w:rPr>
            </w:pPr>
            <w:r>
              <w:rPr>
                <w:rFonts w:hint="eastAsia" w:ascii="Times New Roman" w:hAnsi="Times New Roman" w:eastAsia="宋体"/>
                <w:color w:val="auto"/>
                <w:szCs w:val="21"/>
                <w:lang w:eastAsia="zh-CN"/>
              </w:rPr>
              <w:t>《一般工业固体废物贮存和填埋污染控制标准》（GB 18599-2020）</w:t>
            </w:r>
            <w:r>
              <w:rPr>
                <w:rFonts w:ascii="Times New Roman" w:hAnsi="Times New Roman" w:eastAsia="宋体"/>
                <w:color w:val="auto"/>
                <w:szCs w:val="21"/>
              </w:rPr>
              <w:t>及其修改单</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4" w:hRule="atLeast"/>
          <w:jc w:val="center"/>
        </w:trPr>
        <w:tc>
          <w:tcPr>
            <w:tcW w:w="638" w:type="dxa"/>
            <w:vMerge w:val="restart"/>
            <w:tcBorders>
              <w:tl2br w:val="nil"/>
              <w:tr2bl w:val="nil"/>
            </w:tcBorders>
            <w:tcMar>
              <w:left w:w="57" w:type="dxa"/>
              <w:right w:w="57" w:type="dxa"/>
            </w:tcMar>
            <w:vAlign w:val="center"/>
          </w:tcPr>
          <w:p>
            <w:pPr>
              <w:snapToGrid w:val="0"/>
              <w:jc w:val="center"/>
              <w:rPr>
                <w:rFonts w:ascii="Times New Roman" w:hAnsi="Times New Roman" w:eastAsia="宋体"/>
                <w:color w:val="auto"/>
                <w:szCs w:val="21"/>
              </w:rPr>
            </w:pPr>
            <w:r>
              <w:rPr>
                <w:rFonts w:ascii="Times New Roman" w:hAnsi="Times New Roman" w:eastAsia="宋体"/>
                <w:color w:val="auto"/>
                <w:szCs w:val="21"/>
              </w:rPr>
              <w:t>厂区防渗措施</w:t>
            </w:r>
          </w:p>
        </w:tc>
        <w:tc>
          <w:tcPr>
            <w:tcW w:w="989" w:type="dxa"/>
            <w:tcBorders>
              <w:tl2br w:val="nil"/>
              <w:tr2bl w:val="nil"/>
            </w:tcBorders>
            <w:tcMar>
              <w:left w:w="57" w:type="dxa"/>
              <w:right w:w="57" w:type="dxa"/>
            </w:tcMar>
            <w:vAlign w:val="center"/>
          </w:tcPr>
          <w:p>
            <w:pPr>
              <w:autoSpaceDE w:val="0"/>
              <w:autoSpaceDN w:val="0"/>
              <w:adjustRightInd w:val="0"/>
              <w:snapToGrid w:val="0"/>
              <w:jc w:val="center"/>
              <w:rPr>
                <w:rFonts w:ascii="Times New Roman" w:hAnsi="Times New Roman" w:eastAsia="宋体"/>
                <w:color w:val="auto"/>
                <w:kern w:val="0"/>
                <w:szCs w:val="21"/>
              </w:rPr>
            </w:pPr>
            <w:r>
              <w:rPr>
                <w:rFonts w:ascii="Times New Roman" w:hAnsi="Times New Roman" w:eastAsia="宋体"/>
                <w:color w:val="auto"/>
                <w:kern w:val="0"/>
                <w:szCs w:val="21"/>
              </w:rPr>
              <w:t>重点防渗</w:t>
            </w:r>
          </w:p>
        </w:tc>
        <w:tc>
          <w:tcPr>
            <w:tcW w:w="4132" w:type="dxa"/>
            <w:gridSpan w:val="2"/>
            <w:tcBorders>
              <w:tl2br w:val="nil"/>
              <w:tr2bl w:val="nil"/>
            </w:tcBorders>
            <w:tcMar>
              <w:left w:w="57" w:type="dxa"/>
              <w:right w:w="57" w:type="dxa"/>
            </w:tcMar>
            <w:vAlign w:val="center"/>
          </w:tcPr>
          <w:p>
            <w:pPr>
              <w:autoSpaceDE w:val="0"/>
              <w:autoSpaceDN w:val="0"/>
              <w:adjustRightInd w:val="0"/>
              <w:snapToGrid w:val="0"/>
              <w:jc w:val="left"/>
              <w:rPr>
                <w:rFonts w:hint="eastAsia" w:ascii="Times New Roman" w:hAnsi="Times New Roman" w:eastAsia="宋体"/>
                <w:color w:val="auto"/>
                <w:kern w:val="0"/>
                <w:szCs w:val="21"/>
                <w:lang w:eastAsia="zh-CN"/>
              </w:rPr>
            </w:pPr>
            <w:r>
              <w:rPr>
                <w:rFonts w:hint="eastAsia" w:ascii="Times New Roman" w:hAnsi="Times New Roman" w:eastAsia="宋体"/>
                <w:color w:val="auto"/>
                <w:lang w:val="en-US" w:eastAsia="zh-CN"/>
              </w:rPr>
              <w:t>猪舍、污水处理区、危废暂存间、发电机房、粪污收集管道、化尸池</w:t>
            </w:r>
            <w:r>
              <w:rPr>
                <w:rFonts w:hint="eastAsia" w:ascii="Times New Roman" w:hAnsi="Times New Roman" w:eastAsia="宋体"/>
                <w:color w:val="auto"/>
                <w:szCs w:val="21"/>
              </w:rPr>
              <w:t>重点防渗</w:t>
            </w:r>
            <w:r>
              <w:rPr>
                <w:rFonts w:hint="eastAsia" w:ascii="Times New Roman" w:hAnsi="Times New Roman" w:eastAsia="宋体" w:cs="Times New Roman"/>
                <w:b w:val="0"/>
                <w:bCs/>
                <w:color w:val="auto"/>
                <w:sz w:val="21"/>
                <w:szCs w:val="21"/>
                <w:lang w:eastAsia="zh-CN"/>
              </w:rPr>
              <w:t>重点防渗</w:t>
            </w:r>
          </w:p>
        </w:tc>
        <w:tc>
          <w:tcPr>
            <w:tcW w:w="3359" w:type="dxa"/>
            <w:vMerge w:val="restart"/>
            <w:tcBorders>
              <w:tl2br w:val="nil"/>
              <w:tr2bl w:val="nil"/>
            </w:tcBorders>
            <w:tcMar>
              <w:left w:w="57" w:type="dxa"/>
              <w:right w:w="57" w:type="dxa"/>
            </w:tcMar>
            <w:vAlign w:val="center"/>
          </w:tcPr>
          <w:p>
            <w:pPr>
              <w:snapToGrid w:val="0"/>
              <w:jc w:val="center"/>
              <w:rPr>
                <w:rFonts w:ascii="Times New Roman" w:hAnsi="Times New Roman" w:eastAsia="宋体"/>
                <w:color w:val="auto"/>
                <w:szCs w:val="21"/>
              </w:rPr>
            </w:pPr>
            <w:r>
              <w:rPr>
                <w:rFonts w:ascii="Times New Roman" w:hAnsi="Times New Roman" w:eastAsia="宋体"/>
                <w:color w:val="auto"/>
                <w:szCs w:val="21"/>
              </w:rPr>
              <w:t>防止废水对地下水造成影响</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4" w:hRule="atLeast"/>
          <w:jc w:val="center"/>
        </w:trPr>
        <w:tc>
          <w:tcPr>
            <w:tcW w:w="638" w:type="dxa"/>
            <w:vMerge w:val="continue"/>
            <w:tcBorders>
              <w:tl2br w:val="nil"/>
              <w:tr2bl w:val="nil"/>
            </w:tcBorders>
            <w:tcMar>
              <w:left w:w="57" w:type="dxa"/>
              <w:right w:w="57" w:type="dxa"/>
            </w:tcMar>
            <w:vAlign w:val="center"/>
          </w:tcPr>
          <w:p>
            <w:pPr>
              <w:snapToGrid w:val="0"/>
              <w:jc w:val="center"/>
              <w:rPr>
                <w:rFonts w:ascii="Times New Roman" w:hAnsi="Times New Roman" w:eastAsia="宋体"/>
                <w:color w:val="auto"/>
                <w:szCs w:val="21"/>
              </w:rPr>
            </w:pPr>
          </w:p>
        </w:tc>
        <w:tc>
          <w:tcPr>
            <w:tcW w:w="989" w:type="dxa"/>
            <w:tcBorders>
              <w:tl2br w:val="nil"/>
              <w:tr2bl w:val="nil"/>
            </w:tcBorders>
            <w:tcMar>
              <w:left w:w="57" w:type="dxa"/>
              <w:right w:w="57" w:type="dxa"/>
            </w:tcMar>
            <w:vAlign w:val="center"/>
          </w:tcPr>
          <w:p>
            <w:pPr>
              <w:autoSpaceDE w:val="0"/>
              <w:autoSpaceDN w:val="0"/>
              <w:adjustRightInd w:val="0"/>
              <w:snapToGrid w:val="0"/>
              <w:jc w:val="center"/>
              <w:rPr>
                <w:rFonts w:ascii="Times New Roman" w:hAnsi="Times New Roman" w:eastAsia="宋体"/>
                <w:color w:val="auto"/>
                <w:kern w:val="0"/>
                <w:szCs w:val="21"/>
              </w:rPr>
            </w:pPr>
            <w:r>
              <w:rPr>
                <w:rFonts w:ascii="Times New Roman" w:hAnsi="Times New Roman" w:eastAsia="宋体"/>
                <w:color w:val="auto"/>
                <w:spacing w:val="-4"/>
                <w:szCs w:val="21"/>
              </w:rPr>
              <w:t>一般防渗区</w:t>
            </w:r>
          </w:p>
        </w:tc>
        <w:tc>
          <w:tcPr>
            <w:tcW w:w="4132" w:type="dxa"/>
            <w:gridSpan w:val="2"/>
            <w:tcBorders>
              <w:tl2br w:val="nil"/>
              <w:tr2bl w:val="nil"/>
            </w:tcBorders>
            <w:tcMar>
              <w:left w:w="57" w:type="dxa"/>
              <w:right w:w="57" w:type="dxa"/>
            </w:tcMar>
            <w:vAlign w:val="center"/>
          </w:tcPr>
          <w:p>
            <w:pPr>
              <w:snapToGrid w:val="0"/>
              <w:jc w:val="left"/>
              <w:rPr>
                <w:rFonts w:ascii="Times New Roman" w:hAnsi="Times New Roman" w:eastAsia="宋体"/>
                <w:color w:val="auto"/>
                <w:kern w:val="0"/>
                <w:szCs w:val="21"/>
              </w:rPr>
            </w:pPr>
            <w:r>
              <w:rPr>
                <w:rFonts w:hint="eastAsia" w:ascii="Times New Roman" w:hAnsi="Times New Roman" w:eastAsia="宋体"/>
                <w:color w:val="auto"/>
                <w:szCs w:val="21"/>
                <w:lang w:val="en-US" w:eastAsia="zh-CN"/>
              </w:rPr>
              <w:t>猪走道（污道）、固废暂存间</w:t>
            </w:r>
            <w:r>
              <w:rPr>
                <w:rFonts w:hint="eastAsia" w:ascii="Times New Roman" w:hAnsi="Times New Roman" w:eastAsia="宋体"/>
                <w:color w:val="auto"/>
                <w:szCs w:val="21"/>
              </w:rPr>
              <w:t>采取一般防渗；养殖区其余部分一般路面硬化</w:t>
            </w:r>
          </w:p>
        </w:tc>
        <w:tc>
          <w:tcPr>
            <w:tcW w:w="3359" w:type="dxa"/>
            <w:vMerge w:val="continue"/>
            <w:tcBorders>
              <w:tl2br w:val="nil"/>
              <w:tr2bl w:val="nil"/>
            </w:tcBorders>
            <w:tcMar>
              <w:left w:w="57" w:type="dxa"/>
              <w:right w:w="57" w:type="dxa"/>
            </w:tcMar>
            <w:vAlign w:val="center"/>
          </w:tcPr>
          <w:p>
            <w:pPr>
              <w:snapToGrid w:val="0"/>
              <w:jc w:val="center"/>
              <w:rPr>
                <w:rFonts w:ascii="Times New Roman" w:hAnsi="Times New Roman" w:eastAsia="宋体"/>
                <w:color w:val="auto"/>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4" w:hRule="atLeast"/>
          <w:jc w:val="center"/>
        </w:trPr>
        <w:tc>
          <w:tcPr>
            <w:tcW w:w="1627" w:type="dxa"/>
            <w:gridSpan w:val="2"/>
            <w:tcBorders>
              <w:tl2br w:val="nil"/>
              <w:tr2bl w:val="nil"/>
            </w:tcBorders>
            <w:tcMar>
              <w:left w:w="57" w:type="dxa"/>
              <w:right w:w="57" w:type="dxa"/>
            </w:tcMar>
            <w:vAlign w:val="center"/>
          </w:tcPr>
          <w:p>
            <w:pPr>
              <w:pStyle w:val="16"/>
              <w:adjustRightInd w:val="0"/>
              <w:snapToGrid w:val="0"/>
              <w:spacing w:line="240" w:lineRule="auto"/>
              <w:ind w:left="0" w:right="0"/>
              <w:rPr>
                <w:rFonts w:ascii="Times New Roman" w:hAnsi="Times New Roman" w:eastAsia="宋体"/>
                <w:b w:val="0"/>
                <w:color w:val="auto"/>
                <w:spacing w:val="-4"/>
                <w:sz w:val="21"/>
                <w:szCs w:val="21"/>
              </w:rPr>
            </w:pPr>
            <w:r>
              <w:rPr>
                <w:rFonts w:hint="eastAsia" w:ascii="Times New Roman" w:hAnsi="Times New Roman" w:eastAsia="宋体"/>
                <w:b w:val="0"/>
                <w:color w:val="auto"/>
                <w:sz w:val="21"/>
                <w:szCs w:val="21"/>
              </w:rPr>
              <w:t>环境风险</w:t>
            </w:r>
          </w:p>
        </w:tc>
        <w:tc>
          <w:tcPr>
            <w:tcW w:w="4132" w:type="dxa"/>
            <w:gridSpan w:val="2"/>
            <w:tcBorders>
              <w:tl2br w:val="nil"/>
              <w:tr2bl w:val="nil"/>
            </w:tcBorders>
            <w:tcMar>
              <w:left w:w="57" w:type="dxa"/>
              <w:right w:w="57" w:type="dxa"/>
            </w:tcMar>
            <w:vAlign w:val="center"/>
          </w:tcPr>
          <w:p>
            <w:pPr>
              <w:pStyle w:val="16"/>
              <w:adjustRightInd w:val="0"/>
              <w:snapToGrid w:val="0"/>
              <w:spacing w:line="240" w:lineRule="auto"/>
              <w:ind w:left="0" w:right="0"/>
              <w:jc w:val="left"/>
              <w:rPr>
                <w:rFonts w:ascii="Times New Roman" w:hAnsi="Times New Roman" w:eastAsia="宋体"/>
                <w:b w:val="0"/>
                <w:color w:val="auto"/>
                <w:spacing w:val="-4"/>
                <w:sz w:val="21"/>
                <w:szCs w:val="21"/>
              </w:rPr>
            </w:pPr>
            <w:r>
              <w:rPr>
                <w:rFonts w:hint="eastAsia" w:ascii="Times New Roman" w:hAnsi="Times New Roman" w:eastAsia="宋体" w:cs="Times New Roman"/>
                <w:b w:val="0"/>
                <w:color w:val="auto"/>
                <w:sz w:val="21"/>
                <w:szCs w:val="21"/>
              </w:rPr>
              <w:t>废水的事故排放；医疗废物等危险废物事故排放的风险</w:t>
            </w:r>
          </w:p>
        </w:tc>
        <w:tc>
          <w:tcPr>
            <w:tcW w:w="3359" w:type="dxa"/>
            <w:tcBorders>
              <w:tl2br w:val="nil"/>
              <w:tr2bl w:val="nil"/>
            </w:tcBorders>
            <w:tcMar>
              <w:left w:w="57" w:type="dxa"/>
              <w:right w:w="57" w:type="dxa"/>
            </w:tcMar>
            <w:vAlign w:val="center"/>
          </w:tcPr>
          <w:p>
            <w:pPr>
              <w:pStyle w:val="16"/>
              <w:adjustRightInd w:val="0"/>
              <w:snapToGrid w:val="0"/>
              <w:spacing w:line="240" w:lineRule="auto"/>
              <w:ind w:left="0" w:right="0"/>
              <w:rPr>
                <w:rFonts w:ascii="Times New Roman" w:hAnsi="Times New Roman" w:eastAsia="宋体"/>
                <w:b w:val="0"/>
                <w:color w:val="auto"/>
                <w:sz w:val="21"/>
                <w:szCs w:val="21"/>
              </w:rPr>
            </w:pPr>
            <w:r>
              <w:rPr>
                <w:rFonts w:hint="eastAsia" w:ascii="Times New Roman" w:hAnsi="Times New Roman" w:eastAsia="宋体"/>
                <w:b w:val="0"/>
                <w:color w:val="auto"/>
                <w:sz w:val="21"/>
                <w:szCs w:val="21"/>
              </w:rPr>
              <w:t>利用场区废水暂存池，待设施恢复正常运行再进行后段处理；设置单独危废暂存间；加强管理，避免消毒液与人体接触等</w:t>
            </w:r>
          </w:p>
        </w:tc>
      </w:tr>
      <w:bookmarkEnd w:id="313"/>
    </w:tbl>
    <w:p>
      <w:pPr>
        <w:adjustRightInd w:val="0"/>
        <w:snapToGrid w:val="0"/>
        <w:spacing w:line="360" w:lineRule="auto"/>
        <w:ind w:firstLine="480"/>
        <w:rPr>
          <w:rFonts w:ascii="Times New Roman" w:hAnsi="Times New Roman" w:eastAsia="宋体"/>
          <w:color w:val="auto"/>
          <w:sz w:val="24"/>
          <w:szCs w:val="24"/>
        </w:rPr>
        <w:sectPr>
          <w:pgSz w:w="11906" w:h="16838"/>
          <w:pgMar w:top="1440" w:right="1451" w:bottom="1440" w:left="1451" w:header="851" w:footer="992" w:gutter="0"/>
          <w:pgBorders>
            <w:top w:val="none" w:sz="0" w:space="0"/>
            <w:left w:val="none" w:sz="0" w:space="0"/>
            <w:bottom w:val="none" w:sz="0" w:space="0"/>
            <w:right w:val="none" w:sz="0" w:space="0"/>
          </w:pgBorders>
          <w:pgNumType w:fmt="decimal"/>
          <w:cols w:space="0" w:num="1"/>
          <w:rtlGutter w:val="0"/>
          <w:docGrid w:type="lines" w:linePitch="321" w:charSpace="0"/>
        </w:sectPr>
      </w:pPr>
      <w:bookmarkStart w:id="395" w:name="_Toc459118529"/>
      <w:bookmarkStart w:id="396" w:name="_Toc29563"/>
    </w:p>
    <w:p>
      <w:pPr>
        <w:pStyle w:val="4"/>
        <w:adjustRightInd w:val="0"/>
        <w:snapToGrid w:val="0"/>
        <w:spacing w:line="360" w:lineRule="auto"/>
        <w:jc w:val="center"/>
        <w:rPr>
          <w:rFonts w:ascii="Times New Roman" w:hAnsi="Times New Roman" w:eastAsia="宋体" w:cs="Times New Roman"/>
          <w:color w:val="auto"/>
          <w:sz w:val="32"/>
          <w:szCs w:val="32"/>
        </w:rPr>
      </w:pPr>
      <w:bookmarkStart w:id="397" w:name="_Toc11890"/>
      <w:r>
        <w:rPr>
          <w:rFonts w:hint="eastAsia" w:ascii="Times New Roman" w:hAnsi="Times New Roman" w:eastAsia="宋体" w:cs="Times New Roman"/>
          <w:color w:val="auto"/>
          <w:sz w:val="32"/>
          <w:szCs w:val="32"/>
        </w:rPr>
        <w:t>9</w:t>
      </w:r>
      <w:r>
        <w:rPr>
          <w:rFonts w:ascii="Times New Roman" w:hAnsi="Times New Roman" w:eastAsia="宋体" w:cs="Times New Roman"/>
          <w:color w:val="auto"/>
          <w:sz w:val="32"/>
          <w:szCs w:val="32"/>
        </w:rPr>
        <w:t>结论</w:t>
      </w:r>
      <w:bookmarkEnd w:id="395"/>
      <w:bookmarkEnd w:id="396"/>
      <w:bookmarkEnd w:id="397"/>
    </w:p>
    <w:p>
      <w:pPr>
        <w:adjustRightInd w:val="0"/>
        <w:snapToGrid w:val="0"/>
        <w:spacing w:line="360" w:lineRule="auto"/>
        <w:outlineLvl w:val="1"/>
        <w:rPr>
          <w:rFonts w:ascii="Times New Roman" w:hAnsi="Times New Roman" w:eastAsia="宋体" w:cs="Times New Roman"/>
          <w:b/>
          <w:bCs/>
          <w:color w:val="auto"/>
          <w:sz w:val="30"/>
          <w:szCs w:val="30"/>
        </w:rPr>
      </w:pPr>
      <w:bookmarkStart w:id="398" w:name="_Toc32461"/>
      <w:bookmarkStart w:id="399" w:name="_Toc1192"/>
      <w:r>
        <w:rPr>
          <w:rFonts w:hint="eastAsia" w:ascii="Times New Roman" w:hAnsi="Times New Roman" w:eastAsia="宋体" w:cs="Times New Roman"/>
          <w:b/>
          <w:bCs/>
          <w:color w:val="auto"/>
          <w:sz w:val="30"/>
          <w:szCs w:val="30"/>
        </w:rPr>
        <w:t>9.1</w:t>
      </w:r>
      <w:bookmarkEnd w:id="398"/>
      <w:r>
        <w:rPr>
          <w:rFonts w:hint="eastAsia" w:ascii="Times New Roman" w:hAnsi="Times New Roman" w:eastAsia="宋体" w:cs="Times New Roman"/>
          <w:b/>
          <w:bCs/>
          <w:color w:val="auto"/>
          <w:sz w:val="30"/>
          <w:szCs w:val="30"/>
        </w:rPr>
        <w:t>结论</w:t>
      </w:r>
      <w:bookmarkEnd w:id="399"/>
    </w:p>
    <w:p>
      <w:pPr>
        <w:pStyle w:val="16"/>
        <w:adjustRightInd w:val="0"/>
        <w:snapToGrid w:val="0"/>
        <w:spacing w:line="360" w:lineRule="auto"/>
        <w:ind w:left="0" w:right="0"/>
        <w:jc w:val="both"/>
        <w:outlineLvl w:val="2"/>
        <w:rPr>
          <w:rFonts w:ascii="Times New Roman" w:hAnsi="Times New Roman" w:eastAsia="宋体"/>
          <w:color w:val="auto"/>
          <w:sz w:val="28"/>
          <w:szCs w:val="28"/>
        </w:rPr>
      </w:pPr>
      <w:r>
        <w:rPr>
          <w:rFonts w:hint="eastAsia" w:ascii="Times New Roman" w:hAnsi="Times New Roman" w:eastAsia="宋体" w:cs="Times New Roman"/>
          <w:bCs/>
          <w:color w:val="auto"/>
          <w:sz w:val="28"/>
          <w:szCs w:val="28"/>
        </w:rPr>
        <w:t>9.1.1项目概况</w:t>
      </w:r>
    </w:p>
    <w:p>
      <w:pPr>
        <w:pageBreakBefore w:val="0"/>
        <w:widowControl w:val="0"/>
        <w:kinsoku/>
        <w:wordWrap/>
        <w:overflowPunct/>
        <w:topLinePunct w:val="0"/>
        <w:autoSpaceDE/>
        <w:autoSpaceDN/>
        <w:bidi w:val="0"/>
        <w:snapToGrid w:val="0"/>
        <w:spacing w:line="360" w:lineRule="auto"/>
        <w:ind w:firstLine="480" w:firstLineChars="200"/>
        <w:jc w:val="both"/>
        <w:textAlignment w:val="auto"/>
        <w:rPr>
          <w:rFonts w:ascii="Times New Roman" w:hAnsi="Times New Roman" w:eastAsia="宋体" w:cs="Times New Roman"/>
          <w:color w:val="auto"/>
          <w:sz w:val="24"/>
          <w:szCs w:val="24"/>
        </w:rPr>
      </w:pPr>
      <w:bookmarkStart w:id="400" w:name="_Toc27099"/>
      <w:bookmarkStart w:id="401" w:name="_Toc459118530"/>
      <w:r>
        <w:rPr>
          <w:rFonts w:hint="eastAsia" w:ascii="Times New Roman" w:hAnsi="Times New Roman" w:eastAsia="宋体" w:cs="Times New Roman"/>
          <w:color w:val="auto"/>
          <w:sz w:val="24"/>
          <w:szCs w:val="24"/>
          <w:lang w:eastAsia="zh-CN"/>
        </w:rPr>
        <w:t>四川省丹橙现代果业有限公司</w:t>
      </w:r>
      <w:r>
        <w:rPr>
          <w:rFonts w:hint="eastAsia" w:ascii="Times New Roman" w:hAnsi="Times New Roman" w:eastAsia="宋体" w:cs="Times New Roman"/>
          <w:color w:val="auto"/>
          <w:sz w:val="24"/>
          <w:szCs w:val="24"/>
        </w:rPr>
        <w:t>投资</w:t>
      </w:r>
      <w:r>
        <w:rPr>
          <w:rFonts w:hint="eastAsia" w:ascii="Times New Roman" w:hAnsi="Times New Roman" w:eastAsia="宋体" w:cs="Times New Roman"/>
          <w:color w:val="auto"/>
          <w:sz w:val="24"/>
          <w:szCs w:val="24"/>
          <w:lang w:val="en-US" w:eastAsia="zh-CN"/>
        </w:rPr>
        <w:t>12000万元</w:t>
      </w:r>
      <w:r>
        <w:rPr>
          <w:rFonts w:hint="eastAsia" w:ascii="Times New Roman" w:hAnsi="Times New Roman" w:eastAsia="宋体" w:cs="Times New Roman"/>
          <w:color w:val="auto"/>
          <w:sz w:val="24"/>
          <w:szCs w:val="24"/>
        </w:rPr>
        <w:t>，在</w:t>
      </w:r>
      <w:r>
        <w:rPr>
          <w:rFonts w:hint="eastAsia" w:ascii="Times New Roman" w:hAnsi="Times New Roman" w:eastAsia="宋体" w:cs="Times New Roman"/>
          <w:color w:val="auto"/>
          <w:sz w:val="24"/>
          <w:szCs w:val="24"/>
          <w:lang w:eastAsia="zh-CN"/>
        </w:rPr>
        <w:t>眉山市丹棱县仁美镇雄义村5组</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东经</w:t>
      </w:r>
      <w:r>
        <w:rPr>
          <w:rFonts w:hint="eastAsia" w:ascii="Times New Roman" w:hAnsi="Times New Roman" w:eastAsia="宋体" w:cs="Times New Roman"/>
          <w:color w:val="auto"/>
          <w:sz w:val="24"/>
          <w:szCs w:val="24"/>
          <w:lang w:eastAsia="zh-CN"/>
        </w:rPr>
        <w:t>103.444013</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，北纬</w:t>
      </w:r>
      <w:r>
        <w:rPr>
          <w:rFonts w:hint="eastAsia" w:ascii="Times New Roman" w:hAnsi="Times New Roman" w:eastAsia="宋体" w:cs="Times New Roman"/>
          <w:color w:val="auto"/>
          <w:sz w:val="24"/>
          <w:szCs w:val="24"/>
          <w:lang w:val="en-US" w:eastAsia="zh-CN"/>
        </w:rPr>
        <w:t>29.991998</w:t>
      </w:r>
      <w:r>
        <w:rPr>
          <w:rFonts w:hint="eastAsia" w:ascii="Times New Roman" w:hAnsi="Times New Roman" w:eastAsia="宋体" w:cs="Times New Roman"/>
          <w:color w:val="auto"/>
          <w:sz w:val="24"/>
          <w:szCs w:val="24"/>
        </w:rPr>
        <w:t>°），项目计划用地</w:t>
      </w:r>
      <w:r>
        <w:rPr>
          <w:rFonts w:hint="eastAsia" w:ascii="Times New Roman" w:hAnsi="Times New Roman" w:eastAsia="宋体" w:cs="Times New Roman"/>
          <w:color w:val="auto"/>
          <w:sz w:val="24"/>
          <w:szCs w:val="24"/>
          <w:lang w:val="en-US" w:eastAsia="zh-CN"/>
        </w:rPr>
        <w:t>90亩</w:t>
      </w:r>
      <w:r>
        <w:rPr>
          <w:rFonts w:hint="eastAsia" w:ascii="Times New Roman" w:hAnsi="Times New Roman" w:eastAsia="宋体" w:cs="Times New Roman"/>
          <w:color w:val="auto"/>
          <w:sz w:val="24"/>
          <w:szCs w:val="24"/>
        </w:rPr>
        <w:t>，主要建设</w:t>
      </w:r>
      <w:r>
        <w:rPr>
          <w:rFonts w:hint="eastAsia" w:ascii="Times New Roman" w:hAnsi="Times New Roman" w:eastAsia="宋体" w:cs="Times New Roman"/>
          <w:color w:val="auto"/>
          <w:sz w:val="24"/>
          <w:szCs w:val="24"/>
          <w:lang w:eastAsia="zh-CN"/>
        </w:rPr>
        <w:t>丹棱县生猪种养循环工程建设项目</w:t>
      </w:r>
      <w:r>
        <w:rPr>
          <w:rFonts w:hint="eastAsia" w:ascii="Times New Roman" w:hAnsi="Times New Roman" w:eastAsia="宋体" w:cs="Times New Roman"/>
          <w:color w:val="auto"/>
          <w:sz w:val="24"/>
          <w:szCs w:val="24"/>
        </w:rPr>
        <w:t>及相关附属设施，</w:t>
      </w:r>
      <w:r>
        <w:rPr>
          <w:rFonts w:hint="eastAsia" w:ascii="Times New Roman" w:hAnsi="Times New Roman" w:eastAsia="宋体" w:cs="宋体"/>
          <w:bCs/>
          <w:color w:val="auto"/>
          <w:sz w:val="24"/>
          <w:szCs w:val="24"/>
          <w:lang w:val="en-US" w:eastAsia="zh-CN"/>
        </w:rPr>
        <w:t>年存栏优质生猪15000头，年出栏生猪3万头</w:t>
      </w:r>
      <w:r>
        <w:rPr>
          <w:rFonts w:hint="eastAsia" w:ascii="Times New Roman" w:hAnsi="Times New Roman" w:eastAsia="宋体" w:cs="Times New Roman"/>
          <w:color w:val="auto"/>
          <w:sz w:val="24"/>
          <w:szCs w:val="24"/>
        </w:rPr>
        <w:t>。</w:t>
      </w:r>
    </w:p>
    <w:p>
      <w:pPr>
        <w:pStyle w:val="16"/>
        <w:adjustRightInd w:val="0"/>
        <w:snapToGrid w:val="0"/>
        <w:spacing w:line="360" w:lineRule="auto"/>
        <w:ind w:left="0" w:right="0"/>
        <w:jc w:val="both"/>
        <w:outlineLvl w:val="2"/>
        <w:rPr>
          <w:rFonts w:ascii="Times New Roman" w:hAnsi="Times New Roman" w:eastAsia="宋体" w:cs="Times New Roman"/>
          <w:bCs/>
          <w:color w:val="auto"/>
          <w:sz w:val="28"/>
          <w:szCs w:val="28"/>
        </w:rPr>
      </w:pPr>
      <w:r>
        <w:rPr>
          <w:rFonts w:hint="eastAsia" w:ascii="Times New Roman" w:hAnsi="Times New Roman" w:eastAsia="宋体" w:cs="Times New Roman"/>
          <w:bCs/>
          <w:color w:val="auto"/>
          <w:sz w:val="28"/>
          <w:szCs w:val="28"/>
        </w:rPr>
        <w:t>9.1.2产业政策符合性</w:t>
      </w:r>
      <w:bookmarkEnd w:id="400"/>
      <w:bookmarkEnd w:id="401"/>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rPr>
      </w:pPr>
      <w:bookmarkStart w:id="402" w:name="_Toc24595"/>
      <w:bookmarkStart w:id="403" w:name="_Toc459118531"/>
      <w:r>
        <w:rPr>
          <w:rFonts w:hint="eastAsia" w:ascii="Times New Roman" w:hAnsi="Times New Roman" w:eastAsia="宋体" w:cs="Times New Roman"/>
          <w:color w:val="auto"/>
          <w:sz w:val="24"/>
          <w:szCs w:val="24"/>
        </w:rPr>
        <w:t>本项目为畜禽养殖业，本项目属于鼓励类“一、农林业”中“4、畜禽标准化规模养殖技术开发与应用”项目。同时</w:t>
      </w:r>
      <w:r>
        <w:rPr>
          <w:rFonts w:hint="eastAsia" w:ascii="Times New Roman" w:hAnsi="Times New Roman" w:eastAsia="宋体" w:cs="Times New Roman"/>
          <w:color w:val="auto"/>
          <w:sz w:val="24"/>
          <w:szCs w:val="24"/>
          <w:lang w:eastAsia="zh-CN"/>
        </w:rPr>
        <w:t>丹棱县发展和改革局《关于同意变更丹棱县生猪种养循环工程建设项目可行性研究（代立项）内容的批复》（丹棱发改[2020]185号）</w:t>
      </w:r>
      <w:r>
        <w:rPr>
          <w:rFonts w:hint="eastAsia" w:ascii="Times New Roman" w:hAnsi="Times New Roman" w:eastAsia="宋体" w:cs="Times New Roman"/>
          <w:color w:val="auto"/>
          <w:sz w:val="24"/>
          <w:szCs w:val="24"/>
        </w:rPr>
        <w:t>文件对本项目予以</w:t>
      </w:r>
      <w:r>
        <w:rPr>
          <w:rFonts w:hint="eastAsia" w:ascii="Times New Roman" w:hAnsi="Times New Roman" w:eastAsia="宋体" w:cs="Times New Roman"/>
          <w:color w:val="auto"/>
          <w:sz w:val="24"/>
          <w:szCs w:val="24"/>
          <w:lang w:eastAsia="zh-CN"/>
        </w:rPr>
        <w:t>立项</w:t>
      </w:r>
      <w:r>
        <w:rPr>
          <w:rFonts w:hint="eastAsia" w:ascii="Times New Roman" w:hAnsi="Times New Roman" w:eastAsia="宋体" w:cs="Times New Roman"/>
          <w:color w:val="auto"/>
          <w:sz w:val="24"/>
          <w:szCs w:val="24"/>
        </w:rPr>
        <w:t>。</w:t>
      </w:r>
    </w:p>
    <w:p>
      <w:pPr>
        <w:adjustRightInd w:val="0"/>
        <w:snapToGrid w:val="0"/>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因此</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rPr>
        <w:t>项目符合国家现行产业政策。</w:t>
      </w:r>
    </w:p>
    <w:p>
      <w:pPr>
        <w:pStyle w:val="16"/>
        <w:adjustRightInd w:val="0"/>
        <w:snapToGrid w:val="0"/>
        <w:spacing w:line="360" w:lineRule="auto"/>
        <w:ind w:left="0" w:right="0"/>
        <w:jc w:val="both"/>
        <w:outlineLvl w:val="2"/>
        <w:rPr>
          <w:rFonts w:ascii="Times New Roman" w:hAnsi="Times New Roman" w:eastAsia="宋体" w:cs="Times New Roman"/>
          <w:bCs/>
          <w:color w:val="auto"/>
          <w:sz w:val="28"/>
          <w:szCs w:val="28"/>
        </w:rPr>
      </w:pPr>
      <w:r>
        <w:rPr>
          <w:rFonts w:hint="eastAsia" w:ascii="Times New Roman" w:hAnsi="Times New Roman" w:eastAsia="宋体" w:cs="Times New Roman"/>
          <w:bCs/>
          <w:color w:val="auto"/>
          <w:sz w:val="28"/>
          <w:szCs w:val="28"/>
        </w:rPr>
        <w:t>9.1.3规划符合性</w:t>
      </w:r>
      <w:bookmarkEnd w:id="402"/>
      <w:r>
        <w:rPr>
          <w:rFonts w:hint="eastAsia" w:ascii="Times New Roman" w:hAnsi="Times New Roman" w:eastAsia="宋体" w:cs="Times New Roman"/>
          <w:bCs/>
          <w:color w:val="auto"/>
          <w:sz w:val="28"/>
          <w:szCs w:val="28"/>
        </w:rPr>
        <w:t>与政策符合性</w:t>
      </w:r>
    </w:p>
    <w:p>
      <w:pPr>
        <w:adjustRightInd w:val="0"/>
        <w:snapToGrid w:val="0"/>
        <w:spacing w:line="360" w:lineRule="auto"/>
        <w:ind w:firstLine="480" w:firstLineChars="200"/>
        <w:rPr>
          <w:rFonts w:hint="eastAsia" w:ascii="Times New Roman" w:hAnsi="Times New Roman" w:eastAsia="宋体"/>
          <w:color w:val="auto"/>
          <w:sz w:val="24"/>
          <w:szCs w:val="24"/>
        </w:rPr>
      </w:pPr>
      <w:bookmarkStart w:id="404" w:name="_Toc31734"/>
      <w:r>
        <w:rPr>
          <w:rFonts w:hint="eastAsia" w:ascii="Times New Roman" w:hAnsi="Times New Roman" w:eastAsia="宋体"/>
          <w:color w:val="auto"/>
          <w:sz w:val="24"/>
          <w:szCs w:val="24"/>
        </w:rPr>
        <w:t>项目位于</w:t>
      </w:r>
      <w:r>
        <w:rPr>
          <w:rFonts w:hint="eastAsia" w:ascii="Times New Roman" w:hAnsi="Times New Roman" w:eastAsia="宋体"/>
          <w:color w:val="auto"/>
          <w:sz w:val="24"/>
          <w:szCs w:val="24"/>
          <w:lang w:eastAsia="zh-CN"/>
        </w:rPr>
        <w:t>眉山市丹棱县仁美镇雄义村5组</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丹棱县农业农村局</w:t>
      </w:r>
      <w:r>
        <w:rPr>
          <w:rFonts w:hint="eastAsia" w:ascii="Times New Roman" w:hAnsi="Times New Roman" w:eastAsia="宋体"/>
          <w:color w:val="auto"/>
          <w:sz w:val="24"/>
          <w:szCs w:val="24"/>
        </w:rPr>
        <w:t>出具了项目不在禁养和限养区域（见附件），项目选址符合场镇规划。项目的建设符合《眉山市畜牧业发展“十三五”规划》（2016-2020 年）、《全国农业现代化规划》（2016-2020 年）等相关内容。</w:t>
      </w:r>
    </w:p>
    <w:p>
      <w:pPr>
        <w:adjustRightInd w:val="0"/>
        <w:snapToGrid w:val="0"/>
        <w:spacing w:line="360" w:lineRule="auto"/>
        <w:ind w:firstLine="480" w:firstLineChars="200"/>
        <w:rPr>
          <w:rFonts w:ascii="Times New Roman" w:hAnsi="Times New Roman" w:eastAsia="宋体" w:cs="Times New Roman"/>
          <w:color w:val="auto"/>
          <w:kern w:val="1"/>
          <w:sz w:val="24"/>
          <w:szCs w:val="24"/>
        </w:rPr>
      </w:pPr>
      <w:r>
        <w:rPr>
          <w:rFonts w:hint="eastAsia" w:ascii="Times New Roman" w:hAnsi="Times New Roman" w:eastAsia="宋体"/>
          <w:color w:val="auto"/>
          <w:sz w:val="24"/>
          <w:szCs w:val="24"/>
        </w:rPr>
        <w:t>因此，本项目符合相关规划要求。</w:t>
      </w:r>
    </w:p>
    <w:bookmarkEnd w:id="403"/>
    <w:bookmarkEnd w:id="404"/>
    <w:p>
      <w:pPr>
        <w:pStyle w:val="16"/>
        <w:adjustRightInd w:val="0"/>
        <w:snapToGrid w:val="0"/>
        <w:spacing w:line="360" w:lineRule="auto"/>
        <w:ind w:left="0" w:right="0"/>
        <w:jc w:val="both"/>
        <w:outlineLvl w:val="2"/>
        <w:rPr>
          <w:rFonts w:ascii="Times New Roman" w:hAnsi="Times New Roman" w:eastAsia="宋体" w:cs="Times New Roman"/>
          <w:bCs/>
          <w:color w:val="auto"/>
          <w:sz w:val="28"/>
          <w:szCs w:val="28"/>
        </w:rPr>
      </w:pPr>
      <w:bookmarkStart w:id="405" w:name="_Toc459118532"/>
      <w:bookmarkStart w:id="406" w:name="_Toc32410"/>
      <w:r>
        <w:rPr>
          <w:rFonts w:hint="eastAsia" w:ascii="Times New Roman" w:hAnsi="Times New Roman" w:eastAsia="宋体" w:cs="Times New Roman"/>
          <w:bCs/>
          <w:color w:val="auto"/>
          <w:sz w:val="28"/>
          <w:szCs w:val="28"/>
        </w:rPr>
        <w:t>9.1.</w:t>
      </w:r>
      <w:r>
        <w:rPr>
          <w:rFonts w:hint="eastAsia" w:ascii="Times New Roman" w:hAnsi="Times New Roman" w:eastAsia="宋体" w:cs="Times New Roman"/>
          <w:bCs/>
          <w:color w:val="auto"/>
          <w:sz w:val="28"/>
          <w:szCs w:val="28"/>
          <w:lang w:val="en-US" w:eastAsia="zh-CN"/>
        </w:rPr>
        <w:t>4</w:t>
      </w:r>
      <w:r>
        <w:rPr>
          <w:rFonts w:hint="eastAsia" w:ascii="Times New Roman" w:hAnsi="Times New Roman" w:eastAsia="宋体" w:cs="Times New Roman"/>
          <w:bCs/>
          <w:color w:val="auto"/>
          <w:sz w:val="28"/>
          <w:szCs w:val="28"/>
        </w:rPr>
        <w:t>环境质量现状</w:t>
      </w:r>
      <w:bookmarkEnd w:id="405"/>
      <w:bookmarkEnd w:id="406"/>
    </w:p>
    <w:p>
      <w:pPr>
        <w:adjustRightInd w:val="0"/>
        <w:snapToGrid w:val="0"/>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olor w:val="auto"/>
          <w:kern w:val="0"/>
          <w:sz w:val="24"/>
          <w:szCs w:val="24"/>
        </w:rPr>
        <w:t>根据区域现状监测表明：评价区域内 NO</w:t>
      </w:r>
      <w:r>
        <w:rPr>
          <w:rFonts w:hint="eastAsia" w:ascii="Times New Roman" w:hAnsi="Times New Roman" w:eastAsia="宋体"/>
          <w:color w:val="auto"/>
          <w:kern w:val="0"/>
          <w:sz w:val="24"/>
          <w:szCs w:val="24"/>
          <w:vertAlign w:val="subscript"/>
        </w:rPr>
        <w:t>2</w:t>
      </w:r>
      <w:r>
        <w:rPr>
          <w:rFonts w:hint="eastAsia" w:ascii="Times New Roman" w:hAnsi="Times New Roman" w:eastAsia="宋体"/>
          <w:color w:val="auto"/>
          <w:kern w:val="0"/>
          <w:sz w:val="24"/>
          <w:szCs w:val="24"/>
        </w:rPr>
        <w:t>、PM</w:t>
      </w:r>
      <w:r>
        <w:rPr>
          <w:rFonts w:hint="eastAsia" w:ascii="Times New Roman" w:hAnsi="Times New Roman" w:eastAsia="宋体"/>
          <w:color w:val="auto"/>
          <w:kern w:val="0"/>
          <w:sz w:val="24"/>
          <w:szCs w:val="24"/>
          <w:vertAlign w:val="subscript"/>
        </w:rPr>
        <w:t>10</w:t>
      </w:r>
      <w:r>
        <w:rPr>
          <w:rFonts w:hint="eastAsia" w:ascii="Times New Roman" w:hAnsi="Times New Roman" w:eastAsia="宋体"/>
          <w:color w:val="auto"/>
          <w:kern w:val="0"/>
          <w:sz w:val="24"/>
          <w:szCs w:val="24"/>
        </w:rPr>
        <w:t>、PM</w:t>
      </w:r>
      <w:r>
        <w:rPr>
          <w:rFonts w:hint="eastAsia" w:ascii="Times New Roman" w:hAnsi="Times New Roman" w:eastAsia="宋体"/>
          <w:color w:val="auto"/>
          <w:kern w:val="0"/>
          <w:sz w:val="24"/>
          <w:szCs w:val="24"/>
          <w:vertAlign w:val="subscript"/>
        </w:rPr>
        <w:t>2.5</w:t>
      </w:r>
      <w:r>
        <w:rPr>
          <w:rFonts w:hint="eastAsia" w:ascii="Times New Roman" w:hAnsi="Times New Roman" w:eastAsia="宋体"/>
          <w:color w:val="auto"/>
          <w:kern w:val="0"/>
          <w:sz w:val="24"/>
          <w:szCs w:val="24"/>
        </w:rPr>
        <w:t>、O</w:t>
      </w:r>
      <w:r>
        <w:rPr>
          <w:rFonts w:hint="eastAsia" w:ascii="Times New Roman" w:hAnsi="Times New Roman" w:eastAsia="宋体"/>
          <w:color w:val="auto"/>
          <w:kern w:val="0"/>
          <w:sz w:val="24"/>
          <w:szCs w:val="24"/>
          <w:vertAlign w:val="subscript"/>
        </w:rPr>
        <w:t>3</w:t>
      </w:r>
      <w:r>
        <w:rPr>
          <w:rFonts w:hint="eastAsia" w:ascii="Times New Roman" w:hAnsi="Times New Roman" w:eastAsia="宋体"/>
          <w:color w:val="auto"/>
          <w:kern w:val="0"/>
          <w:sz w:val="24"/>
          <w:szCs w:val="24"/>
          <w:vertAlign w:val="baseline"/>
          <w:lang w:eastAsia="zh-CN"/>
        </w:rPr>
        <w:t>、</w:t>
      </w:r>
      <w:r>
        <w:rPr>
          <w:rFonts w:hint="eastAsia" w:ascii="Times New Roman" w:hAnsi="Times New Roman" w:eastAsia="宋体"/>
          <w:color w:val="auto"/>
          <w:kern w:val="0"/>
          <w:sz w:val="24"/>
          <w:szCs w:val="24"/>
        </w:rPr>
        <w:t>SO</w:t>
      </w:r>
      <w:r>
        <w:rPr>
          <w:rFonts w:hint="eastAsia" w:ascii="Times New Roman" w:hAnsi="Times New Roman" w:eastAsia="宋体"/>
          <w:color w:val="auto"/>
          <w:kern w:val="0"/>
          <w:sz w:val="24"/>
          <w:szCs w:val="24"/>
          <w:vertAlign w:val="subscript"/>
        </w:rPr>
        <w:t>2</w:t>
      </w:r>
      <w:r>
        <w:rPr>
          <w:rFonts w:hint="eastAsia" w:ascii="Times New Roman" w:hAnsi="Times New Roman" w:eastAsia="宋体"/>
          <w:color w:val="auto"/>
          <w:kern w:val="0"/>
          <w:sz w:val="24"/>
          <w:szCs w:val="24"/>
        </w:rPr>
        <w:t xml:space="preserve">、CO </w:t>
      </w:r>
      <w:r>
        <w:rPr>
          <w:rFonts w:hint="eastAsia" w:ascii="Times New Roman" w:hAnsi="Times New Roman" w:eastAsia="宋体"/>
          <w:color w:val="auto"/>
          <w:kern w:val="0"/>
          <w:sz w:val="24"/>
          <w:szCs w:val="24"/>
          <w:lang w:eastAsia="zh-CN"/>
        </w:rPr>
        <w:t>均</w:t>
      </w:r>
      <w:r>
        <w:rPr>
          <w:rFonts w:hint="eastAsia" w:ascii="Times New Roman" w:hAnsi="Times New Roman" w:eastAsia="宋体"/>
          <w:color w:val="auto"/>
          <w:kern w:val="0"/>
          <w:sz w:val="24"/>
          <w:szCs w:val="24"/>
        </w:rPr>
        <w:t>满足《环境空气质量标准》（GB3095-2012）中二级标准限值；监测期间特征因子 H</w:t>
      </w:r>
      <w:r>
        <w:rPr>
          <w:rFonts w:hint="eastAsia" w:ascii="Times New Roman" w:hAnsi="Times New Roman" w:eastAsia="宋体"/>
          <w:color w:val="auto"/>
          <w:kern w:val="0"/>
          <w:sz w:val="24"/>
          <w:szCs w:val="24"/>
          <w:vertAlign w:val="subscript"/>
        </w:rPr>
        <w:t>2</w:t>
      </w:r>
      <w:r>
        <w:rPr>
          <w:rFonts w:hint="eastAsia" w:ascii="Times New Roman" w:hAnsi="Times New Roman" w:eastAsia="宋体"/>
          <w:color w:val="auto"/>
          <w:kern w:val="0"/>
          <w:sz w:val="24"/>
          <w:szCs w:val="24"/>
        </w:rPr>
        <w:t>S、NH</w:t>
      </w:r>
      <w:r>
        <w:rPr>
          <w:rFonts w:hint="eastAsia" w:ascii="Times New Roman" w:hAnsi="Times New Roman" w:eastAsia="宋体"/>
          <w:color w:val="auto"/>
          <w:kern w:val="0"/>
          <w:sz w:val="24"/>
          <w:szCs w:val="24"/>
          <w:vertAlign w:val="subscript"/>
        </w:rPr>
        <w:t>3</w:t>
      </w:r>
      <w:r>
        <w:rPr>
          <w:rFonts w:hint="eastAsia" w:ascii="Times New Roman" w:hAnsi="Times New Roman" w:eastAsia="宋体"/>
          <w:color w:val="auto"/>
          <w:kern w:val="0"/>
          <w:sz w:val="24"/>
          <w:szCs w:val="24"/>
        </w:rPr>
        <w:t xml:space="preserve"> 均满足《环境影响评价技术导则</w:t>
      </w:r>
      <w:r>
        <w:rPr>
          <w:rFonts w:hint="eastAsia" w:ascii="Times New Roman" w:hAnsi="Times New Roman" w:eastAsia="宋体"/>
          <w:color w:val="auto"/>
          <w:kern w:val="0"/>
          <w:sz w:val="24"/>
          <w:szCs w:val="24"/>
          <w:lang w:eastAsia="zh-CN"/>
        </w:rPr>
        <w:t>—</w:t>
      </w:r>
      <w:r>
        <w:rPr>
          <w:rFonts w:hint="eastAsia" w:ascii="Times New Roman" w:hAnsi="Times New Roman" w:eastAsia="宋体"/>
          <w:color w:val="auto"/>
          <w:kern w:val="0"/>
          <w:sz w:val="24"/>
          <w:szCs w:val="24"/>
        </w:rPr>
        <w:t>大气环境》（HJ2.2-2018）附录 D 其他污染物空气质量浓度参考限值，故项目区域属于环境空气达标区；</w:t>
      </w:r>
      <w:r>
        <w:rPr>
          <w:rFonts w:hint="eastAsia" w:ascii="Times New Roman" w:hAnsi="Times New Roman" w:eastAsia="宋体"/>
          <w:color w:val="auto"/>
          <w:kern w:val="0"/>
          <w:sz w:val="24"/>
          <w:szCs w:val="24"/>
          <w:lang w:eastAsia="zh-CN"/>
        </w:rPr>
        <w:t>区域地下水</w:t>
      </w:r>
      <w:r>
        <w:rPr>
          <w:rFonts w:hint="eastAsia" w:ascii="Times New Roman" w:hAnsi="Times New Roman" w:eastAsia="宋体" w:cs="Times New Roman"/>
          <w:color w:val="auto"/>
          <w:sz w:val="24"/>
          <w:lang w:eastAsia="zh-CN"/>
        </w:rPr>
        <w:t>各检测指标均满足《地下水质量标准》（GB/T1484-2017）中的Ⅲ类标准限值</w:t>
      </w:r>
      <w:r>
        <w:rPr>
          <w:rFonts w:hint="eastAsia" w:ascii="Times New Roman" w:hAnsi="Times New Roman" w:eastAsia="宋体"/>
          <w:color w:val="auto"/>
          <w:kern w:val="0"/>
          <w:sz w:val="24"/>
          <w:szCs w:val="24"/>
        </w:rPr>
        <w:t>，地下水环境质量状况较好；项目周围各监测点位的昼间、夜间监测值均满足《声环境质量标准》（GB3096-2008）中的 2 类标准限值要求；根据监测报告得知，各项监测因子均能达到《土壤环境质量标准建设用地土壤污染风险管控标准》（试行）（GB36600-2018）中风险筛选值“第二类用地”限值要求，说明土壤污染风险低，土壤环境质量现状良好。</w:t>
      </w:r>
    </w:p>
    <w:p>
      <w:pPr>
        <w:pStyle w:val="16"/>
        <w:adjustRightInd w:val="0"/>
        <w:snapToGrid w:val="0"/>
        <w:spacing w:line="360" w:lineRule="auto"/>
        <w:ind w:left="0" w:right="0"/>
        <w:jc w:val="both"/>
        <w:outlineLvl w:val="2"/>
        <w:rPr>
          <w:rFonts w:ascii="Times New Roman" w:hAnsi="Times New Roman" w:eastAsia="宋体" w:cs="Times New Roman"/>
          <w:bCs/>
          <w:color w:val="auto"/>
          <w:sz w:val="28"/>
          <w:szCs w:val="28"/>
        </w:rPr>
      </w:pPr>
      <w:bookmarkStart w:id="407" w:name="_Toc459118533"/>
      <w:bookmarkStart w:id="408" w:name="_Toc15862"/>
      <w:r>
        <w:rPr>
          <w:rFonts w:hint="eastAsia" w:ascii="Times New Roman" w:hAnsi="Times New Roman" w:eastAsia="宋体" w:cs="Times New Roman"/>
          <w:bCs/>
          <w:color w:val="auto"/>
          <w:sz w:val="28"/>
          <w:szCs w:val="28"/>
        </w:rPr>
        <w:t>9.1.</w:t>
      </w:r>
      <w:r>
        <w:rPr>
          <w:rFonts w:hint="eastAsia" w:ascii="Times New Roman" w:hAnsi="Times New Roman" w:eastAsia="宋体" w:cs="Times New Roman"/>
          <w:bCs/>
          <w:color w:val="auto"/>
          <w:sz w:val="28"/>
          <w:szCs w:val="28"/>
          <w:lang w:val="en-US" w:eastAsia="zh-CN"/>
        </w:rPr>
        <w:t>5</w:t>
      </w:r>
      <w:r>
        <w:rPr>
          <w:rFonts w:hint="eastAsia" w:ascii="Times New Roman" w:hAnsi="Times New Roman" w:eastAsia="宋体" w:cs="Times New Roman"/>
          <w:bCs/>
          <w:color w:val="auto"/>
          <w:sz w:val="28"/>
          <w:szCs w:val="28"/>
        </w:rPr>
        <w:t>环境影响评价结论</w:t>
      </w:r>
      <w:bookmarkEnd w:id="407"/>
      <w:bookmarkEnd w:id="408"/>
    </w:p>
    <w:p>
      <w:pPr>
        <w:pStyle w:val="16"/>
        <w:adjustRightInd w:val="0"/>
        <w:snapToGrid w:val="0"/>
        <w:spacing w:line="360" w:lineRule="auto"/>
        <w:ind w:right="0"/>
        <w:jc w:val="both"/>
        <w:outlineLvl w:val="3"/>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9.1.5.1施工期环境影响评价结论</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1、对大气环境的影响</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在采取洒水降尘；保持沿线道路清洁、控制车速；施工场地设置2.5m高施工围挡；加强施工期施工场地管理；各类堆场做覆盖处理；施工机械使用优质燃料的前提下，施工期产生的扬尘和废气对周边大气环境影响较小。</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2、对水环境的影响</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施工生产废水经隔油沉淀后回用于场地洒水降尘和进出施工场地道路洒水降尘，不外排；施工期少量生活污水进入场地内临时化粪池，经收集处理后用于农田施肥，不外排，施工期废水对周围地表水环境影响很小。</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3、对声环境的影响</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经预测，施工机械噪声昼间在距施工场地 40m 处满足《建筑施工场界环境噪声排放标准》（GB12523-2011）标准要求。本项目仅在白天施工，且项目场界周围 40m 范围内无居民等敏感点，因此，施工期噪声对周围居民影响不大。环评要求合理布设固定源机械（如空压机），尽量布置于远离居民点，在场地四周设置施工围挡，加强施工期环境管理，在此条件下施工噪声不会对周围声环境敏感点带来不利影响，不会改变施工场地周边声功能区划。材料运输安排在白天进行，在经过村庄时采取限速、禁鸣等措施，在此前提下，运输车辆产生的噪声不会改变沿线声功能区划。</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4、固体废物的影响</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本项目施工期固体废物主要来自施工人员的生活垃圾及弃土。</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生活垃圾：施工期产生的生活垃圾约 20kg/d，施工场内设垃圾收集点，送至村垃圾集中收集点，由环卫部门统一清运处理。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弃土弃渣：项目在施工过程中存在施工弃土，需进行专门处理。根据主体工程设计资料项目挖方量8.60万 m</w:t>
      </w:r>
      <w:r>
        <w:rPr>
          <w:rFonts w:hint="eastAsia" w:ascii="Times New Roman" w:hAnsi="Times New Roman" w:eastAsia="宋体" w:cs="Times New Roman"/>
          <w:color w:val="auto"/>
          <w:sz w:val="24"/>
          <w:szCs w:val="24"/>
          <w:vertAlign w:val="superscript"/>
          <w:lang w:val="en-US" w:eastAsia="zh-CN"/>
        </w:rPr>
        <w:t>3</w:t>
      </w:r>
      <w:r>
        <w:rPr>
          <w:rFonts w:hint="eastAsia" w:ascii="Times New Roman" w:hAnsi="Times New Roman" w:eastAsia="宋体" w:cs="Times New Roman"/>
          <w:color w:val="auto"/>
          <w:sz w:val="24"/>
          <w:szCs w:val="24"/>
          <w:lang w:val="en-US" w:eastAsia="zh-CN"/>
        </w:rPr>
        <w:t>，填方量8.60万 m</w:t>
      </w:r>
      <w:r>
        <w:rPr>
          <w:rFonts w:hint="eastAsia" w:ascii="Times New Roman" w:hAnsi="Times New Roman" w:eastAsia="宋体" w:cs="Times New Roman"/>
          <w:color w:val="auto"/>
          <w:sz w:val="24"/>
          <w:szCs w:val="24"/>
          <w:vertAlign w:val="superscript"/>
          <w:lang w:val="en-US" w:eastAsia="zh-CN"/>
        </w:rPr>
        <w:t>3</w:t>
      </w:r>
      <w:r>
        <w:rPr>
          <w:rFonts w:hint="eastAsia" w:ascii="Times New Roman" w:hAnsi="Times New Roman" w:eastAsia="宋体" w:cs="Times New Roman"/>
          <w:color w:val="auto"/>
          <w:sz w:val="24"/>
          <w:szCs w:val="24"/>
          <w:lang w:val="en-US" w:eastAsia="zh-CN"/>
        </w:rPr>
        <w:t>，项目建设过程中不存在弃方。因此，上述废弃物合理处置后不会对周围环境产生较大影响。</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建筑垃圾：项目在建设过程中会产生一部分的建筑垃圾，建筑垃圾统一收集以后交由环外部门进行收集处理。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5、生态环境的影响</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评价区生态系统受到本项目影响相对较小，在严格采取环评规定的生态保护措施情况下，其生态特征不会从根本上发生改变，体系仍然维持原有的稳定性和生态承载能力。项目在对周围生态环境产生不利影响的同时，其有机肥有效施用于土壤，既增加了土壤肥力，又减少了化肥的使用，提高了农作物的产量和质量，可见，本工程的建设对周围农业环境有很大的有益作用。</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从总体上看，项目运营期对生态环境的影响较小，评价要求对废水、废气、固废各种污染物按照处理措施严格执行，并加大场区及其周围地区的绿化面积，这样才能保证生态环境不会受到破坏，并能够对受到影响的场地及时补救。</w:t>
      </w:r>
    </w:p>
    <w:p>
      <w:pPr>
        <w:pStyle w:val="16"/>
        <w:adjustRightInd w:val="0"/>
        <w:snapToGrid w:val="0"/>
        <w:spacing w:line="360" w:lineRule="auto"/>
        <w:ind w:right="0"/>
        <w:jc w:val="both"/>
        <w:outlineLvl w:val="3"/>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9.1.5.2运营期环境影响评价结论</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1、对大气环境的影响</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根据预测结果，猪舍无组织和集粪池、堆粪间有组织和无组织排放的氨、硫化氢最大落地浓度是满足《环境影响评价技术导则--大气环境》（HJ2.2-2018）附录 D 其他污染物空气质量浓度参考限值规定的氨、硫化氢居住区大气中有害物质的最高允许浓度，全场场界 H</w:t>
      </w:r>
      <w:r>
        <w:rPr>
          <w:rFonts w:hint="eastAsia" w:ascii="Times New Roman" w:hAnsi="Times New Roman" w:eastAsia="宋体" w:cs="Times New Roman"/>
          <w:color w:val="auto"/>
          <w:sz w:val="24"/>
          <w:szCs w:val="24"/>
          <w:vertAlign w:val="subscript"/>
          <w:lang w:val="en-US" w:eastAsia="zh-CN"/>
        </w:rPr>
        <w:t>2</w:t>
      </w:r>
      <w:r>
        <w:rPr>
          <w:rFonts w:hint="eastAsia" w:ascii="Times New Roman" w:hAnsi="Times New Roman" w:eastAsia="宋体" w:cs="Times New Roman"/>
          <w:color w:val="auto"/>
          <w:sz w:val="24"/>
          <w:szCs w:val="24"/>
          <w:lang w:val="en-US" w:eastAsia="zh-CN"/>
        </w:rPr>
        <w:t>S、NH</w:t>
      </w:r>
      <w:r>
        <w:rPr>
          <w:rFonts w:hint="eastAsia" w:ascii="Times New Roman" w:hAnsi="Times New Roman" w:eastAsia="宋体" w:cs="Times New Roman"/>
          <w:color w:val="auto"/>
          <w:sz w:val="24"/>
          <w:szCs w:val="24"/>
          <w:vertAlign w:val="subscript"/>
          <w:lang w:val="en-US" w:eastAsia="zh-CN"/>
        </w:rPr>
        <w:t>3</w:t>
      </w:r>
      <w:r>
        <w:rPr>
          <w:rFonts w:hint="eastAsia" w:ascii="Times New Roman" w:hAnsi="Times New Roman" w:eastAsia="宋体" w:cs="Times New Roman"/>
          <w:color w:val="auto"/>
          <w:sz w:val="24"/>
          <w:szCs w:val="24"/>
          <w:lang w:val="en-US" w:eastAsia="zh-CN"/>
        </w:rPr>
        <w:t>的预测排放浓度均能满足《恶臭污染物排放标准》（GB14554-93）表 1 中二级标准要求。因此，本项目在采取本环评提出的措施后，对环境空气影响很小。</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据计算，本项目</w:t>
      </w:r>
      <w:r>
        <w:rPr>
          <w:rFonts w:hint="eastAsia" w:ascii="Times New Roman" w:hAnsi="Times New Roman" w:eastAsia="宋体" w:cs="Times New Roman"/>
          <w:b w:val="0"/>
          <w:bCs/>
          <w:color w:val="auto"/>
          <w:sz w:val="24"/>
          <w:szCs w:val="24"/>
          <w:highlight w:val="none"/>
        </w:rPr>
        <w:t>以猪舍、</w:t>
      </w:r>
      <w:r>
        <w:rPr>
          <w:rFonts w:hint="eastAsia" w:ascii="Times New Roman" w:hAnsi="Times New Roman" w:eastAsia="宋体" w:cs="Times New Roman"/>
          <w:b w:val="0"/>
          <w:bCs/>
          <w:color w:val="auto"/>
          <w:sz w:val="24"/>
          <w:szCs w:val="24"/>
          <w:highlight w:val="none"/>
          <w:lang w:eastAsia="zh-CN"/>
        </w:rPr>
        <w:t>污水处理区、堆粪间</w:t>
      </w:r>
      <w:r>
        <w:rPr>
          <w:rFonts w:hint="eastAsia" w:ascii="Times New Roman" w:hAnsi="Times New Roman" w:eastAsia="宋体" w:cs="Times New Roman"/>
          <w:b w:val="0"/>
          <w:bCs/>
          <w:color w:val="auto"/>
          <w:sz w:val="24"/>
          <w:szCs w:val="24"/>
          <w:highlight w:val="none"/>
        </w:rPr>
        <w:t>为中心设置200m</w:t>
      </w:r>
      <w:r>
        <w:rPr>
          <w:rFonts w:hint="eastAsia" w:ascii="Times New Roman" w:hAnsi="Times New Roman" w:eastAsia="宋体" w:cs="Times New Roman"/>
          <w:b w:val="0"/>
          <w:bCs/>
          <w:color w:val="auto"/>
          <w:sz w:val="24"/>
          <w:szCs w:val="24"/>
          <w:highlight w:val="none"/>
          <w:lang w:val="en-US" w:eastAsia="zh-CN"/>
        </w:rPr>
        <w:t>卫生防护距离</w:t>
      </w:r>
      <w:r>
        <w:rPr>
          <w:rFonts w:hint="eastAsia" w:ascii="Times New Roman" w:hAnsi="Times New Roman" w:eastAsia="宋体" w:cs="Times New Roman"/>
          <w:color w:val="auto"/>
          <w:sz w:val="24"/>
          <w:szCs w:val="24"/>
          <w:lang w:val="en-US" w:eastAsia="zh-CN"/>
        </w:rPr>
        <w:t>。本项目卫生防护距离内无居民，无敏感点目标，因此，项目外环境满足本项目卫生防护距离要求。</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 xml:space="preserve">本环评要求当地政府规划部门在划定的卫生防护距离范围内不得建设和规划居住用房、文教、医院及对环境质量要求较高的医药、食品企业等与项目不相容的敏感设施。 </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食堂油烟经油烟净化装置处理后能满足《饮食业油烟排放标准》 （GB18483-2001）中相关标准要求；柴油发电机尾气经过自带尾气处理装置处理后引至屋顶排放。车辆运输尾气通过加强管理、控制车速等措施减弱对外环境的影响。</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综上，营运期废气对区域大气环境影响较小。</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2、对水环境影响</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本项目产生的养殖废水主要为生产废水（猪尿液、冲洗废水）和职工生活污水，其中养殖废水中猪尿液一同进入污水处理区处理后，用作周边消纳地灌溉，不外排，项目对地表水环境影响较小。</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建设单位做好项目猪舍、污水处理区、危废暂存间、发电机房、粪污收集管道、化尸池重点防渗重点防渗；猪走道（污道）、固废暂存间等一般防渗；养殖区其余部分一般路面硬化，定期对地下水进行监测，项目对地下水环境影响较小。</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3、对声环境影响</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项目运营期对周围声环境的影响主要来自于猪叫声、风机、水泵等，针对声源特征，评价提出以下措施：选择低噪声的设备；对机械传动部件动态不平衡处认真进行平整调整；对设备进行定期检修，加强润滑作用，保持设备良好的运转状态，尽量降低噪声；要求给风机水泵等产噪设备安装减震垫。采取以上措施后，经预测项目厂界噪声值满足《工业企业厂界环境噪声排放标准》（GB12348-2008） 2 类标准，敏感点噪声满足《声环境质量标准》（GB3096-2008）中的 2 类标准限值要求。</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4、固体废物对环境影响</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本项目营运期产生的固体废物主要为猪粪、病死猪、办公区生活垃圾、废包装材料、少量医疗废物、污水处理区产生的污泥等。</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猪粪、污泥好氧堆肥还田利用资源化利用；病死猪在场内化尸池无害化填埋；医疗废物暂存于危废暂存间，定期交由具有危险废物处理资质单位处置，严禁与生活垃圾混淆一起处理；办公和生活垃圾袋装收集后暂存于生活垃圾暂存间，并及时运往垃圾中转站，由环卫部门统一清运；本项目废包装材料收集后全部外售资源回收站回收利用。</w:t>
      </w:r>
    </w:p>
    <w:p>
      <w:pPr>
        <w:adjustRightInd w:val="0"/>
        <w:snapToGrid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综上所述，本项目对所排放的污染物采取满足《畜禽养殖业污染防治技术规范》（HJ/T81—2001）及《畜禽养殖业污染治理工程技术规范》（HJ497-2009）要求的有效污染控制措施后，污染物可达标排放，对环境影响较小，基本不会改变项目所在地环境功能。</w:t>
      </w:r>
    </w:p>
    <w:p>
      <w:pPr>
        <w:pStyle w:val="16"/>
        <w:adjustRightInd w:val="0"/>
        <w:snapToGrid w:val="0"/>
        <w:spacing w:line="360" w:lineRule="auto"/>
        <w:ind w:left="0" w:right="0"/>
        <w:jc w:val="both"/>
        <w:outlineLvl w:val="2"/>
        <w:rPr>
          <w:rFonts w:ascii="Times New Roman" w:hAnsi="Times New Roman" w:eastAsia="宋体" w:cs="Times New Roman"/>
          <w:bCs/>
          <w:color w:val="auto"/>
          <w:sz w:val="28"/>
          <w:szCs w:val="28"/>
        </w:rPr>
      </w:pPr>
      <w:bookmarkStart w:id="409" w:name="_Toc459118534"/>
      <w:bookmarkStart w:id="410" w:name="_Toc2934"/>
      <w:r>
        <w:rPr>
          <w:rFonts w:hint="eastAsia" w:ascii="Times New Roman" w:hAnsi="Times New Roman" w:eastAsia="宋体" w:cs="Times New Roman"/>
          <w:bCs/>
          <w:color w:val="auto"/>
          <w:sz w:val="28"/>
          <w:szCs w:val="28"/>
        </w:rPr>
        <w:t>9.1.</w:t>
      </w:r>
      <w:r>
        <w:rPr>
          <w:rFonts w:hint="eastAsia" w:ascii="Times New Roman" w:hAnsi="Times New Roman" w:eastAsia="宋体" w:cs="Times New Roman"/>
          <w:bCs/>
          <w:color w:val="auto"/>
          <w:sz w:val="28"/>
          <w:szCs w:val="28"/>
          <w:lang w:val="en-US" w:eastAsia="zh-CN"/>
        </w:rPr>
        <w:t>6</w:t>
      </w:r>
      <w:bookmarkEnd w:id="409"/>
      <w:bookmarkEnd w:id="410"/>
      <w:r>
        <w:rPr>
          <w:rFonts w:hint="eastAsia" w:ascii="Times New Roman" w:hAnsi="Times New Roman" w:eastAsia="宋体" w:cs="Times New Roman"/>
          <w:bCs/>
          <w:color w:val="auto"/>
          <w:sz w:val="28"/>
          <w:szCs w:val="28"/>
        </w:rPr>
        <w:t>对生态环境的影响</w:t>
      </w:r>
    </w:p>
    <w:p>
      <w:pPr>
        <w:adjustRightInd w:val="0"/>
        <w:snapToGrid w:val="0"/>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本项目养殖区占地</w:t>
      </w:r>
      <w:r>
        <w:rPr>
          <w:rFonts w:hint="eastAsia" w:ascii="Times New Roman" w:hAnsi="Times New Roman" w:eastAsia="宋体"/>
          <w:color w:val="auto"/>
          <w:sz w:val="24"/>
          <w:szCs w:val="24"/>
          <w:lang w:val="en-US" w:eastAsia="zh-CN"/>
        </w:rPr>
        <w:t>90亩</w:t>
      </w:r>
      <w:r>
        <w:rPr>
          <w:rFonts w:hint="eastAsia" w:ascii="Times New Roman" w:hAnsi="Times New Roman" w:eastAsia="宋体"/>
          <w:color w:val="auto"/>
          <w:sz w:val="24"/>
          <w:szCs w:val="24"/>
        </w:rPr>
        <w:t>，主要用地类型为</w:t>
      </w:r>
      <w:r>
        <w:rPr>
          <w:rFonts w:hint="eastAsia" w:ascii="Times New Roman" w:hAnsi="Times New Roman" w:eastAsia="宋体"/>
          <w:color w:val="auto"/>
          <w:sz w:val="24"/>
          <w:szCs w:val="24"/>
          <w:lang w:eastAsia="zh-CN"/>
        </w:rPr>
        <w:t>林地</w:t>
      </w:r>
      <w:r>
        <w:rPr>
          <w:rFonts w:hint="eastAsia" w:ascii="Times New Roman" w:hAnsi="Times New Roman" w:eastAsia="宋体"/>
          <w:color w:val="auto"/>
          <w:sz w:val="24"/>
          <w:szCs w:val="24"/>
          <w:lang w:val="en-US" w:eastAsia="zh-CN"/>
        </w:rPr>
        <w:t>及耕地</w:t>
      </w:r>
      <w:r>
        <w:rPr>
          <w:rFonts w:hint="eastAsia" w:ascii="Times New Roman" w:hAnsi="Times New Roman" w:eastAsia="宋体"/>
          <w:color w:val="auto"/>
          <w:sz w:val="24"/>
          <w:szCs w:val="24"/>
        </w:rPr>
        <w:t>，区域内无珍稀濒危野生动植物，在做好施工期生态保护，运营期生态恢复与绿化的前提下，项目实施对生态环境的影响不大。</w:t>
      </w:r>
    </w:p>
    <w:p>
      <w:pPr>
        <w:pStyle w:val="16"/>
        <w:adjustRightInd w:val="0"/>
        <w:snapToGrid w:val="0"/>
        <w:spacing w:line="360" w:lineRule="auto"/>
        <w:ind w:left="0" w:right="0"/>
        <w:jc w:val="both"/>
        <w:outlineLvl w:val="2"/>
        <w:rPr>
          <w:rFonts w:hint="eastAsia" w:ascii="Times New Roman" w:hAnsi="Times New Roman" w:eastAsia="宋体" w:cs="Times New Roman"/>
          <w:bCs/>
          <w:color w:val="auto"/>
          <w:sz w:val="28"/>
          <w:szCs w:val="28"/>
          <w:lang w:eastAsia="zh-CN"/>
        </w:rPr>
      </w:pPr>
      <w:r>
        <w:rPr>
          <w:rFonts w:hint="eastAsia" w:ascii="Times New Roman" w:hAnsi="Times New Roman" w:eastAsia="宋体" w:cs="Times New Roman"/>
          <w:bCs/>
          <w:color w:val="auto"/>
          <w:sz w:val="28"/>
          <w:szCs w:val="28"/>
        </w:rPr>
        <w:t>9.1.</w:t>
      </w:r>
      <w:r>
        <w:rPr>
          <w:rFonts w:hint="eastAsia" w:ascii="Times New Roman" w:hAnsi="Times New Roman" w:eastAsia="宋体" w:cs="Times New Roman"/>
          <w:bCs/>
          <w:color w:val="auto"/>
          <w:sz w:val="28"/>
          <w:szCs w:val="28"/>
          <w:lang w:val="en-US" w:eastAsia="zh-CN"/>
        </w:rPr>
        <w:t>7</w:t>
      </w:r>
      <w:r>
        <w:rPr>
          <w:rFonts w:hint="eastAsia" w:ascii="Times New Roman" w:hAnsi="Times New Roman" w:eastAsia="宋体" w:cs="Times New Roman"/>
          <w:bCs/>
          <w:color w:val="auto"/>
          <w:sz w:val="28"/>
          <w:szCs w:val="28"/>
          <w:lang w:eastAsia="zh-CN"/>
        </w:rPr>
        <w:t>环境风险分析</w:t>
      </w:r>
    </w:p>
    <w:p>
      <w:pPr>
        <w:pStyle w:val="82"/>
        <w:adjustRightInd w:val="0"/>
        <w:snapToGrid w:val="0"/>
        <w:ind w:firstLine="480" w:firstLineChars="200"/>
        <w:rPr>
          <w:rFonts w:hint="eastAsia"/>
          <w:color w:val="auto"/>
        </w:rPr>
      </w:pPr>
      <w:r>
        <w:rPr>
          <w:rFonts w:hint="eastAsia"/>
          <w:color w:val="auto"/>
        </w:rPr>
        <w:t>本项目环境风险主要表现在项目运营期养殖疫情的发生，以及污染处理设施运行过程风险和卫生风险。</w:t>
      </w:r>
    </w:p>
    <w:p>
      <w:pPr>
        <w:pStyle w:val="82"/>
        <w:adjustRightInd w:val="0"/>
        <w:snapToGrid w:val="0"/>
        <w:ind w:firstLine="480" w:firstLineChars="200"/>
        <w:rPr>
          <w:rFonts w:hint="eastAsia"/>
          <w:color w:val="auto"/>
        </w:rPr>
      </w:pPr>
      <w:r>
        <w:rPr>
          <w:rFonts w:hint="eastAsia"/>
          <w:color w:val="auto"/>
        </w:rPr>
        <w:t>在严格落实本环评提出的各项风险防范措施和事故应急预案后，该项目发生风险事故的可能性进一步降低，其潜在的环境风险是可以接受的。</w:t>
      </w:r>
    </w:p>
    <w:p>
      <w:pPr>
        <w:pStyle w:val="16"/>
        <w:adjustRightInd w:val="0"/>
        <w:snapToGrid w:val="0"/>
        <w:spacing w:line="360" w:lineRule="auto"/>
        <w:ind w:left="0" w:right="0"/>
        <w:jc w:val="both"/>
        <w:outlineLvl w:val="2"/>
        <w:rPr>
          <w:rFonts w:ascii="Times New Roman" w:hAnsi="Times New Roman" w:eastAsia="宋体" w:cs="Times New Roman"/>
          <w:bCs/>
          <w:color w:val="auto"/>
          <w:sz w:val="28"/>
          <w:szCs w:val="28"/>
        </w:rPr>
      </w:pPr>
      <w:r>
        <w:rPr>
          <w:rFonts w:hint="eastAsia" w:ascii="Times New Roman" w:hAnsi="Times New Roman" w:eastAsia="宋体" w:cs="Times New Roman"/>
          <w:bCs/>
          <w:color w:val="auto"/>
          <w:sz w:val="28"/>
          <w:szCs w:val="28"/>
        </w:rPr>
        <w:t>9.1.8符合清洁生产和循环经济理念</w:t>
      </w:r>
    </w:p>
    <w:p>
      <w:pPr>
        <w:pStyle w:val="82"/>
        <w:adjustRightInd w:val="0"/>
        <w:snapToGrid w:val="0"/>
        <w:ind w:firstLine="480" w:firstLineChars="200"/>
        <w:rPr>
          <w:rFonts w:hint="eastAsia"/>
          <w:color w:val="auto"/>
        </w:rPr>
      </w:pPr>
      <w:r>
        <w:rPr>
          <w:rFonts w:hint="eastAsia"/>
          <w:color w:val="auto"/>
        </w:rPr>
        <w:t>本项目采取资源优化配置，在生产工艺和设备、产品指标、资源能源利用及污染物产生水平等方面都有了一定的优化，同时实行污染全过程控制，大幅度减少了污染，符合清洁生产及循环经济的相关要求。</w:t>
      </w:r>
    </w:p>
    <w:p>
      <w:pPr>
        <w:pStyle w:val="16"/>
        <w:adjustRightInd w:val="0"/>
        <w:snapToGrid w:val="0"/>
        <w:spacing w:line="360" w:lineRule="auto"/>
        <w:ind w:left="0" w:right="0"/>
        <w:jc w:val="both"/>
        <w:outlineLvl w:val="2"/>
        <w:rPr>
          <w:rFonts w:ascii="Times New Roman" w:hAnsi="Times New Roman" w:eastAsia="宋体" w:cs="Times New Roman"/>
          <w:bCs/>
          <w:color w:val="auto"/>
          <w:sz w:val="28"/>
          <w:szCs w:val="28"/>
        </w:rPr>
      </w:pPr>
      <w:bookmarkStart w:id="411" w:name="_Toc459118535"/>
      <w:bookmarkStart w:id="412" w:name="_Toc7148"/>
      <w:r>
        <w:rPr>
          <w:rFonts w:hint="eastAsia" w:ascii="Times New Roman" w:hAnsi="Times New Roman" w:eastAsia="宋体" w:cs="Times New Roman"/>
          <w:bCs/>
          <w:color w:val="auto"/>
          <w:sz w:val="28"/>
          <w:szCs w:val="28"/>
        </w:rPr>
        <w:t>9.</w:t>
      </w:r>
      <w:bookmarkEnd w:id="411"/>
      <w:bookmarkStart w:id="413" w:name="_Toc459118536"/>
      <w:r>
        <w:rPr>
          <w:rFonts w:hint="eastAsia" w:ascii="Times New Roman" w:hAnsi="Times New Roman" w:eastAsia="宋体" w:cs="Times New Roman"/>
          <w:bCs/>
          <w:color w:val="auto"/>
          <w:sz w:val="28"/>
          <w:szCs w:val="28"/>
        </w:rPr>
        <w:t>1.</w:t>
      </w:r>
      <w:r>
        <w:rPr>
          <w:rFonts w:hint="eastAsia" w:ascii="Times New Roman" w:hAnsi="Times New Roman" w:eastAsia="宋体" w:cs="Times New Roman"/>
          <w:bCs/>
          <w:color w:val="auto"/>
          <w:sz w:val="28"/>
          <w:szCs w:val="28"/>
          <w:lang w:val="en-US" w:eastAsia="zh-CN"/>
        </w:rPr>
        <w:t>9</w:t>
      </w:r>
      <w:r>
        <w:rPr>
          <w:rFonts w:hint="eastAsia" w:ascii="Times New Roman" w:hAnsi="Times New Roman" w:eastAsia="宋体" w:cs="Times New Roman"/>
          <w:bCs/>
          <w:color w:val="auto"/>
          <w:sz w:val="28"/>
          <w:szCs w:val="28"/>
        </w:rPr>
        <w:t>总量控制</w:t>
      </w:r>
      <w:bookmarkEnd w:id="412"/>
      <w:bookmarkEnd w:id="413"/>
    </w:p>
    <w:p>
      <w:pPr>
        <w:pStyle w:val="82"/>
        <w:adjustRightInd w:val="0"/>
        <w:snapToGrid w:val="0"/>
        <w:ind w:firstLine="480" w:firstLineChars="200"/>
        <w:rPr>
          <w:rFonts w:hint="eastAsia" w:ascii="Times New Roman" w:hAnsi="Times New Roman" w:eastAsia="宋体"/>
          <w:color w:val="auto"/>
          <w:lang w:eastAsia="zh-CN"/>
        </w:rPr>
      </w:pPr>
      <w:bookmarkStart w:id="414" w:name="_Toc27801"/>
      <w:bookmarkStart w:id="415" w:name="_Toc459118537"/>
      <w:r>
        <w:rPr>
          <w:rFonts w:hint="eastAsia" w:ascii="Times New Roman" w:hAnsi="Times New Roman" w:eastAsia="宋体"/>
          <w:color w:val="auto"/>
        </w:rPr>
        <w:t>根据建设项目环境影响评价制度，要求对建设项目进行总量控制，本项目</w:t>
      </w:r>
      <w:r>
        <w:rPr>
          <w:rFonts w:hint="eastAsia" w:ascii="Times New Roman" w:hAnsi="Times New Roman" w:eastAsia="宋体"/>
          <w:color w:val="auto"/>
          <w:lang w:eastAsia="zh-CN"/>
        </w:rPr>
        <w:t>不设置总量控制指标。</w:t>
      </w:r>
    </w:p>
    <w:p>
      <w:pPr>
        <w:pStyle w:val="16"/>
        <w:adjustRightInd w:val="0"/>
        <w:snapToGrid w:val="0"/>
        <w:spacing w:line="360" w:lineRule="auto"/>
        <w:ind w:left="0" w:right="0"/>
        <w:jc w:val="both"/>
        <w:outlineLvl w:val="2"/>
        <w:rPr>
          <w:rFonts w:ascii="Times New Roman" w:hAnsi="Times New Roman" w:eastAsia="宋体" w:cs="Times New Roman"/>
          <w:bCs/>
          <w:color w:val="auto"/>
          <w:sz w:val="28"/>
          <w:szCs w:val="28"/>
        </w:rPr>
      </w:pPr>
      <w:r>
        <w:rPr>
          <w:rFonts w:hint="eastAsia" w:ascii="Times New Roman" w:hAnsi="Times New Roman" w:eastAsia="宋体" w:cs="Times New Roman"/>
          <w:bCs/>
          <w:color w:val="auto"/>
          <w:sz w:val="28"/>
          <w:szCs w:val="28"/>
        </w:rPr>
        <w:t>9.</w:t>
      </w:r>
      <w:bookmarkStart w:id="416" w:name="_Toc505029076"/>
      <w:r>
        <w:rPr>
          <w:rFonts w:hint="eastAsia" w:ascii="Times New Roman" w:hAnsi="Times New Roman" w:eastAsia="宋体" w:cs="Times New Roman"/>
          <w:bCs/>
          <w:color w:val="auto"/>
          <w:sz w:val="28"/>
          <w:szCs w:val="28"/>
        </w:rPr>
        <w:t>1.</w:t>
      </w:r>
      <w:r>
        <w:rPr>
          <w:rFonts w:hint="eastAsia" w:ascii="Times New Roman" w:hAnsi="Times New Roman" w:eastAsia="宋体" w:cs="Times New Roman"/>
          <w:bCs/>
          <w:color w:val="auto"/>
          <w:sz w:val="28"/>
          <w:szCs w:val="28"/>
          <w:lang w:val="en-US" w:eastAsia="zh-CN"/>
        </w:rPr>
        <w:t>10</w:t>
      </w:r>
      <w:r>
        <w:rPr>
          <w:rFonts w:hint="eastAsia" w:ascii="Times New Roman" w:hAnsi="Times New Roman" w:eastAsia="宋体" w:cs="Times New Roman"/>
          <w:bCs/>
          <w:color w:val="auto"/>
          <w:sz w:val="28"/>
          <w:szCs w:val="28"/>
        </w:rPr>
        <w:t>环境影响经济损益分析</w:t>
      </w:r>
      <w:bookmarkEnd w:id="414"/>
      <w:bookmarkEnd w:id="416"/>
    </w:p>
    <w:p>
      <w:pPr>
        <w:adjustRightInd w:val="0"/>
        <w:snapToGrid w:val="0"/>
        <w:spacing w:line="360" w:lineRule="auto"/>
        <w:ind w:firstLine="480" w:firstLineChars="200"/>
        <w:rPr>
          <w:rFonts w:ascii="Times New Roman" w:hAnsi="Times New Roman" w:eastAsia="宋体"/>
          <w:color w:val="auto"/>
          <w:sz w:val="24"/>
          <w:szCs w:val="24"/>
        </w:rPr>
      </w:pPr>
      <w:bookmarkStart w:id="417" w:name="_Toc28060"/>
      <w:bookmarkStart w:id="418" w:name="_Toc505029077"/>
      <w:r>
        <w:rPr>
          <w:rFonts w:hint="eastAsia" w:ascii="Times New Roman" w:hAnsi="Times New Roman" w:eastAsia="宋体"/>
          <w:color w:val="auto"/>
          <w:sz w:val="24"/>
          <w:szCs w:val="24"/>
        </w:rPr>
        <w:t>本项目采取的污染防治措施和生态保护措施，技术上成熟可靠，治理效果较好，所获得的环境效益、经济效益和社会效益较好。只要建设单位在今后的生产运行中强化环境保护管理工作，本项目所采取的环境保护措施在经济、技术上均可行。</w:t>
      </w:r>
    </w:p>
    <w:p>
      <w:pPr>
        <w:pStyle w:val="16"/>
        <w:adjustRightInd w:val="0"/>
        <w:snapToGrid w:val="0"/>
        <w:spacing w:line="360" w:lineRule="auto"/>
        <w:ind w:left="0" w:right="0"/>
        <w:jc w:val="both"/>
        <w:outlineLvl w:val="2"/>
        <w:rPr>
          <w:rFonts w:ascii="Times New Roman" w:hAnsi="Times New Roman" w:eastAsia="宋体" w:cs="Times New Roman"/>
          <w:bCs/>
          <w:color w:val="auto"/>
          <w:sz w:val="28"/>
          <w:szCs w:val="28"/>
        </w:rPr>
      </w:pPr>
      <w:r>
        <w:rPr>
          <w:rFonts w:hint="eastAsia" w:ascii="Times New Roman" w:hAnsi="Times New Roman" w:eastAsia="宋体" w:cs="Times New Roman"/>
          <w:bCs/>
          <w:color w:val="auto"/>
          <w:sz w:val="28"/>
          <w:szCs w:val="28"/>
        </w:rPr>
        <w:t>9.1.1</w:t>
      </w:r>
      <w:r>
        <w:rPr>
          <w:rFonts w:hint="eastAsia" w:ascii="Times New Roman" w:hAnsi="Times New Roman" w:eastAsia="宋体" w:cs="Times New Roman"/>
          <w:bCs/>
          <w:color w:val="auto"/>
          <w:sz w:val="28"/>
          <w:szCs w:val="28"/>
          <w:lang w:val="en-US" w:eastAsia="zh-CN"/>
        </w:rPr>
        <w:t>1</w:t>
      </w:r>
      <w:r>
        <w:rPr>
          <w:rFonts w:hint="eastAsia" w:ascii="Times New Roman" w:hAnsi="Times New Roman" w:eastAsia="宋体" w:cs="Times New Roman"/>
          <w:bCs/>
          <w:color w:val="auto"/>
          <w:sz w:val="28"/>
          <w:szCs w:val="28"/>
        </w:rPr>
        <w:t>环境管理与监测计划</w:t>
      </w:r>
      <w:bookmarkEnd w:id="417"/>
      <w:bookmarkEnd w:id="418"/>
    </w:p>
    <w:p>
      <w:pPr>
        <w:adjustRightInd w:val="0"/>
        <w:snapToGrid w:val="0"/>
        <w:spacing w:line="360" w:lineRule="auto"/>
        <w:ind w:firstLine="480" w:firstLineChars="200"/>
        <w:rPr>
          <w:rFonts w:ascii="Times New Roman" w:hAnsi="Times New Roman" w:eastAsia="宋体"/>
          <w:color w:val="auto"/>
          <w:sz w:val="24"/>
          <w:szCs w:val="24"/>
        </w:rPr>
      </w:pPr>
      <w:bookmarkStart w:id="419" w:name="_Toc19912"/>
      <w:r>
        <w:rPr>
          <w:rFonts w:hint="eastAsia" w:ascii="Times New Roman" w:hAnsi="Times New Roman" w:eastAsia="宋体"/>
          <w:color w:val="auto"/>
          <w:sz w:val="24"/>
          <w:szCs w:val="24"/>
        </w:rPr>
        <w:t>建设单位根据工程不同的工作阶段，制定有关的环境管理计划并严格实施；项目施工期、运营期提供资金和设备保障，保证项目污染源监测计划的执行。</w:t>
      </w:r>
    </w:p>
    <w:p>
      <w:pPr>
        <w:pStyle w:val="16"/>
        <w:adjustRightInd w:val="0"/>
        <w:snapToGrid w:val="0"/>
        <w:spacing w:line="360" w:lineRule="auto"/>
        <w:ind w:left="0" w:right="0"/>
        <w:jc w:val="both"/>
        <w:outlineLvl w:val="2"/>
        <w:rPr>
          <w:rFonts w:ascii="Times New Roman" w:hAnsi="Times New Roman" w:eastAsia="宋体" w:cs="Times New Roman"/>
          <w:bCs/>
          <w:color w:val="auto"/>
          <w:sz w:val="28"/>
          <w:szCs w:val="28"/>
        </w:rPr>
      </w:pPr>
      <w:r>
        <w:rPr>
          <w:rFonts w:hint="eastAsia" w:ascii="Times New Roman" w:hAnsi="Times New Roman" w:eastAsia="宋体" w:cs="Times New Roman"/>
          <w:bCs/>
          <w:color w:val="auto"/>
          <w:sz w:val="28"/>
          <w:szCs w:val="28"/>
        </w:rPr>
        <w:t>9.1.1</w:t>
      </w:r>
      <w:r>
        <w:rPr>
          <w:rFonts w:hint="eastAsia" w:ascii="Times New Roman" w:hAnsi="Times New Roman" w:eastAsia="宋体" w:cs="Times New Roman"/>
          <w:bCs/>
          <w:color w:val="auto"/>
          <w:sz w:val="28"/>
          <w:szCs w:val="28"/>
          <w:lang w:val="en-US" w:eastAsia="zh-CN"/>
        </w:rPr>
        <w:t>2</w:t>
      </w:r>
      <w:r>
        <w:rPr>
          <w:rFonts w:hint="eastAsia" w:ascii="Times New Roman" w:hAnsi="Times New Roman" w:eastAsia="宋体" w:cs="Times New Roman"/>
          <w:bCs/>
          <w:color w:val="auto"/>
          <w:sz w:val="28"/>
          <w:szCs w:val="28"/>
        </w:rPr>
        <w:t>公众参与调查</w:t>
      </w:r>
      <w:bookmarkEnd w:id="415"/>
      <w:bookmarkEnd w:id="419"/>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本项目环评信息公开、张贴公示及汇总统计均由</w:t>
      </w:r>
      <w:r>
        <w:rPr>
          <w:rFonts w:hint="eastAsia" w:ascii="Times New Roman" w:hAnsi="Times New Roman" w:eastAsia="宋体" w:cs="Times New Roman"/>
          <w:color w:val="auto"/>
          <w:sz w:val="24"/>
          <w:szCs w:val="24"/>
          <w:lang w:eastAsia="zh-CN"/>
        </w:rPr>
        <w:t>四川省丹橙现代果业有限公司</w:t>
      </w:r>
      <w:r>
        <w:rPr>
          <w:rFonts w:hint="eastAsia" w:ascii="Times New Roman" w:hAnsi="Times New Roman" w:eastAsia="宋体" w:cs="Times New Roman"/>
          <w:color w:val="auto"/>
          <w:sz w:val="24"/>
          <w:szCs w:val="24"/>
        </w:rPr>
        <w:t>，其中，首次信息公开在</w:t>
      </w:r>
      <w:r>
        <w:rPr>
          <w:rFonts w:hint="eastAsia" w:ascii="Times New Roman" w:hAnsi="Times New Roman" w:eastAsia="宋体" w:cs="Times New Roman"/>
          <w:color w:val="auto"/>
          <w:sz w:val="24"/>
          <w:szCs w:val="24"/>
          <w:lang w:eastAsia="zh-CN"/>
        </w:rPr>
        <w:t>麻辣社区</w:t>
      </w:r>
      <w:r>
        <w:rPr>
          <w:rFonts w:hint="eastAsia" w:ascii="Times New Roman" w:hAnsi="Times New Roman" w:eastAsia="宋体" w:cs="Times New Roman"/>
          <w:color w:val="auto"/>
          <w:sz w:val="24"/>
          <w:szCs w:val="24"/>
        </w:rPr>
        <w:t>，为期</w:t>
      </w:r>
      <w:r>
        <w:rPr>
          <w:rFonts w:hint="eastAsia" w:ascii="Times New Roman" w:hAnsi="Times New Roman" w:eastAsia="宋体" w:cs="Times New Roman"/>
          <w:color w:val="auto"/>
          <w:sz w:val="24"/>
          <w:szCs w:val="24"/>
          <w:lang w:val="en-US" w:eastAsia="zh-CN"/>
        </w:rPr>
        <w:t>10</w:t>
      </w:r>
      <w:r>
        <w:rPr>
          <w:rFonts w:hint="eastAsia" w:ascii="Times New Roman" w:hAnsi="Times New Roman" w:eastAsia="宋体" w:cs="Times New Roman"/>
          <w:color w:val="auto"/>
          <w:sz w:val="24"/>
          <w:szCs w:val="24"/>
        </w:rPr>
        <w:t>个工作日，征求意见稿公示在</w:t>
      </w:r>
      <w:r>
        <w:rPr>
          <w:rFonts w:hint="eastAsia" w:ascii="Times New Roman" w:hAnsi="Times New Roman" w:eastAsia="宋体" w:cs="Times New Roman"/>
          <w:color w:val="auto"/>
          <w:sz w:val="24"/>
          <w:szCs w:val="24"/>
          <w:lang w:val="en-US" w:eastAsia="zh-CN"/>
        </w:rPr>
        <w:t>我公司</w:t>
      </w:r>
      <w:r>
        <w:rPr>
          <w:rFonts w:hint="eastAsia" w:ascii="Times New Roman" w:hAnsi="Times New Roman" w:eastAsia="宋体" w:cs="Times New Roman"/>
          <w:color w:val="auto"/>
          <w:sz w:val="24"/>
          <w:szCs w:val="24"/>
          <w:lang w:eastAsia="zh-CN"/>
        </w:rPr>
        <w:t>网站</w:t>
      </w:r>
      <w:r>
        <w:rPr>
          <w:rFonts w:hint="eastAsia" w:ascii="Times New Roman" w:hAnsi="Times New Roman" w:eastAsia="宋体" w:cs="Times New Roman"/>
          <w:color w:val="auto"/>
          <w:sz w:val="24"/>
          <w:szCs w:val="24"/>
        </w:rPr>
        <w:t>上进行</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rPr>
        <w:t>为期 10 个工作日。在四川</w:t>
      </w:r>
      <w:r>
        <w:rPr>
          <w:rFonts w:hint="eastAsia" w:ascii="Times New Roman" w:hAnsi="Times New Roman" w:eastAsia="宋体" w:cs="Times New Roman"/>
          <w:color w:val="auto"/>
          <w:sz w:val="24"/>
          <w:szCs w:val="24"/>
          <w:lang w:eastAsia="zh-CN"/>
        </w:rPr>
        <w:t>科技</w:t>
      </w:r>
      <w:r>
        <w:rPr>
          <w:rFonts w:hint="eastAsia" w:ascii="Times New Roman" w:hAnsi="Times New Roman" w:eastAsia="宋体" w:cs="Times New Roman"/>
          <w:color w:val="auto"/>
          <w:sz w:val="24"/>
          <w:szCs w:val="24"/>
        </w:rPr>
        <w:t>报登报公示期间，未收到反馈意见。在</w:t>
      </w:r>
      <w:r>
        <w:rPr>
          <w:rFonts w:hint="eastAsia" w:ascii="Times New Roman" w:hAnsi="Times New Roman" w:eastAsia="宋体" w:cs="Times New Roman"/>
          <w:color w:val="auto"/>
          <w:sz w:val="24"/>
          <w:szCs w:val="24"/>
          <w:lang w:eastAsia="zh-CN"/>
        </w:rPr>
        <w:t xml:space="preserve"> </w:t>
      </w:r>
      <w:r>
        <w:rPr>
          <w:rFonts w:hint="eastAsia" w:ascii="Times New Roman" w:hAnsi="Times New Roman" w:eastAsia="宋体" w:cs="Times New Roman"/>
          <w:color w:val="auto"/>
          <w:sz w:val="24"/>
          <w:szCs w:val="24"/>
        </w:rPr>
        <w:t>村委会张贴公示期间，未收到反馈意见。100%调查人员支持项目的建设，0 人反对。本项目公众调查反应是良好的，项目的建设得到当地群众的理解和支持。</w:t>
      </w:r>
    </w:p>
    <w:p>
      <w:pPr>
        <w:pStyle w:val="16"/>
        <w:adjustRightInd w:val="0"/>
        <w:snapToGrid w:val="0"/>
        <w:spacing w:line="360" w:lineRule="auto"/>
        <w:ind w:left="0" w:right="0"/>
        <w:jc w:val="both"/>
        <w:outlineLvl w:val="2"/>
        <w:rPr>
          <w:rFonts w:ascii="Times New Roman" w:hAnsi="Times New Roman" w:eastAsia="宋体" w:cs="Times New Roman"/>
          <w:bCs/>
          <w:color w:val="auto"/>
          <w:sz w:val="28"/>
          <w:szCs w:val="28"/>
        </w:rPr>
      </w:pPr>
      <w:bookmarkStart w:id="420" w:name="_Toc459118538"/>
      <w:bookmarkStart w:id="421" w:name="_Toc7123"/>
      <w:r>
        <w:rPr>
          <w:rFonts w:hint="eastAsia" w:ascii="Times New Roman" w:hAnsi="Times New Roman" w:eastAsia="宋体" w:cs="Times New Roman"/>
          <w:bCs/>
          <w:color w:val="auto"/>
          <w:sz w:val="28"/>
          <w:szCs w:val="28"/>
        </w:rPr>
        <w:t>9.1.1</w:t>
      </w:r>
      <w:r>
        <w:rPr>
          <w:rFonts w:hint="eastAsia" w:ascii="Times New Roman" w:hAnsi="Times New Roman" w:eastAsia="宋体" w:cs="Times New Roman"/>
          <w:bCs/>
          <w:color w:val="auto"/>
          <w:sz w:val="28"/>
          <w:szCs w:val="28"/>
          <w:lang w:val="en-US" w:eastAsia="zh-CN"/>
        </w:rPr>
        <w:t>3</w:t>
      </w:r>
      <w:r>
        <w:rPr>
          <w:rFonts w:hint="eastAsia" w:ascii="Times New Roman" w:hAnsi="Times New Roman" w:eastAsia="宋体" w:cs="Times New Roman"/>
          <w:bCs/>
          <w:color w:val="auto"/>
          <w:sz w:val="28"/>
          <w:szCs w:val="28"/>
        </w:rPr>
        <w:t>总结论</w:t>
      </w:r>
      <w:bookmarkEnd w:id="420"/>
      <w:bookmarkEnd w:id="421"/>
    </w:p>
    <w:p>
      <w:pPr>
        <w:adjustRightInd w:val="0"/>
        <w:snapToGrid w:val="0"/>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丹棱县生猪种养循环工程建设项目</w:t>
      </w:r>
      <w:r>
        <w:rPr>
          <w:rFonts w:hint="eastAsia" w:ascii="Times New Roman" w:hAnsi="Times New Roman" w:eastAsia="宋体" w:cs="Times New Roman"/>
          <w:color w:val="auto"/>
          <w:sz w:val="24"/>
          <w:szCs w:val="24"/>
        </w:rPr>
        <w:t>符合国家产业政策，符合国家、地方相关规划，选址合理；项目建设得到当地多数公众的支持；区域环境质量符合国家标准。评价认为，建设单位认真落实本报告提出的各项措施及管理要求，项目建设及营运产生的废水、废气、噪声能够达标排放，固体废物得到合理有效处置，不会对周围环境产生明显影响，重点污染物排放符合总量控制要求，环境风险可控。从环境保护角度分析，项目建设是可行的。</w:t>
      </w:r>
    </w:p>
    <w:p>
      <w:pPr>
        <w:pStyle w:val="5"/>
        <w:adjustRightInd w:val="0"/>
        <w:snapToGrid w:val="0"/>
        <w:spacing w:before="0" w:after="0" w:line="360" w:lineRule="auto"/>
        <w:rPr>
          <w:rFonts w:ascii="Times New Roman" w:hAnsi="Times New Roman" w:eastAsia="宋体"/>
          <w:color w:val="auto"/>
          <w:kern w:val="0"/>
          <w:sz w:val="30"/>
          <w:szCs w:val="30"/>
        </w:rPr>
      </w:pPr>
      <w:bookmarkStart w:id="422" w:name="_Toc311815699"/>
      <w:bookmarkStart w:id="423" w:name="_Toc16666"/>
      <w:bookmarkStart w:id="424" w:name="_Toc18046"/>
      <w:bookmarkStart w:id="425" w:name="_Toc5404"/>
      <w:r>
        <w:rPr>
          <w:rFonts w:hint="eastAsia" w:ascii="Times New Roman" w:hAnsi="Times New Roman" w:eastAsia="宋体"/>
          <w:color w:val="auto"/>
          <w:kern w:val="0"/>
          <w:sz w:val="30"/>
          <w:szCs w:val="30"/>
        </w:rPr>
        <w:t>9.2建议</w:t>
      </w:r>
      <w:bookmarkEnd w:id="422"/>
      <w:bookmarkEnd w:id="423"/>
      <w:bookmarkEnd w:id="424"/>
      <w:bookmarkEnd w:id="425"/>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（1）企业在生产过程中应严格控制风险，加强管理，确保严格将环境影响评价报告及其批复、各级环保部门要求的各项污染治理措施落到实处，加强环保管理，保证生产中各污染物稳定达标排放。</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（2）企业应切实落实环保投资，按照环评报告和批复实施“三同时”。</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（3）提高全厂环保意识，建立和健全环保管理网络及环保运行台帐，加强对各项环保设施的日常维修管理。</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（4）进一步优化养殖工艺，从源头削减污染物的产生量。</w:t>
      </w:r>
    </w:p>
    <w:p>
      <w:pPr>
        <w:adjustRightInd w:val="0"/>
        <w:snapToGrid w:val="0"/>
        <w:spacing w:line="360" w:lineRule="auto"/>
        <w:ind w:firstLine="480" w:firstLineChars="200"/>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5）加强企业体系管理，开展清洁生产审核，提高员工的素质和能力，提高企业的管理水平和清洁生产水平。应注意对职工环境保护的宣传教育工作，提高全体员工的环保意识，做到环境保护，人人有责，积极探索进一步提高清洁生产水平。</w:t>
      </w:r>
    </w:p>
    <w:p>
      <w:pPr>
        <w:pStyle w:val="16"/>
        <w:adjustRightInd w:val="0"/>
        <w:snapToGrid w:val="0"/>
        <w:spacing w:line="360" w:lineRule="auto"/>
        <w:ind w:left="0" w:right="0" w:firstLine="482" w:firstLineChars="200"/>
        <w:rPr>
          <w:rFonts w:ascii="Times New Roman" w:hAnsi="Times New Roman" w:eastAsia="宋体" w:cs="Times New Roman"/>
          <w:color w:val="auto"/>
          <w:sz w:val="24"/>
          <w:szCs w:val="24"/>
        </w:rPr>
      </w:pPr>
    </w:p>
    <w:sectPr>
      <w:footerReference r:id="rId15" w:type="default"/>
      <w:pgSz w:w="11906" w:h="16838"/>
      <w:pgMar w:top="1440" w:right="1451" w:bottom="1440" w:left="1451" w:header="851" w:footer="992" w:gutter="0"/>
      <w:pgBorders>
        <w:top w:val="none" w:sz="0" w:space="0"/>
        <w:left w:val="none" w:sz="0" w:space="0"/>
        <w:bottom w:val="none" w:sz="0" w:space="0"/>
        <w:right w:val="none" w:sz="0" w:space="0"/>
      </w:pgBorders>
      <w:pgNumType w:fmt="decimal"/>
      <w:cols w:space="0" w:num="1"/>
      <w:rtlGutter w:val="0"/>
      <w:docGrid w:type="lines" w:linePitch="32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PMingLiU">
    <w:altName w:val="PMingLiU-ExtB"/>
    <w:panose1 w:val="02020500000000000000"/>
    <w:charset w:val="88"/>
    <w:family w:val="auto"/>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等线">
    <w:panose1 w:val="02010600030101010101"/>
    <w:charset w:val="86"/>
    <w:family w:val="auto"/>
    <w:pitch w:val="default"/>
    <w:sig w:usb0="A00002BF" w:usb1="38CF7CFA" w:usb2="00000016" w:usb3="00000000" w:csb0="0004000F" w:csb1="00000000"/>
  </w:font>
  <w:font w:name="Wingdings 2">
    <w:panose1 w:val="05020102010507070707"/>
    <w:charset w:val="02"/>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44"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3"/>
                            <w:rPr>
                              <w:rFonts w:hint="eastAsia" w:eastAsiaTheme="minorEastAsia"/>
                              <w:lang w:eastAsia="zh-CN"/>
                            </w:rPr>
                          </w:pPr>
                        </w:p>
                      </w:txbxContent>
                    </wps:txbx>
                    <wps:bodyPr wrap="none" lIns="0" tIns="0" rIns="0" bIns="0" upright="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KOBznsoBAACaAwAADgAAAAAAAAABACAAAAAeAQAAZHJzL2Uyb0Rv&#10;Yy54bWxQSwUGAAAAAAYABgBZAQAAWgUAAAAA&#10;">
              <v:fill on="f" focussize="0,0"/>
              <v:stroke on="f"/>
              <v:imagedata o:title=""/>
              <o:lock v:ext="edit" aspectratio="f"/>
              <v:textbox inset="0mm,0mm,0mm,0mm" style="mso-fit-shape-to-text:t;">
                <w:txbxContent>
                  <w:p>
                    <w:pPr>
                      <w:pStyle w:val="23"/>
                      <w:rPr>
                        <w:rFonts w:hint="eastAsia" w:eastAsiaTheme="minorEastAsia"/>
                        <w:lang w:eastAsia="zh-CN"/>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top w:val="single" w:color="000000" w:sz="4" w:space="0"/>
      </w:pBdr>
    </w:pPr>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ascii="Times New Roman" w:hAnsi="Times New Roman" w:eastAsia="宋体" w:cs="Times New Roman"/>
        <w:color w:val="000000" w:themeColor="text1"/>
        <w:sz w:val="21"/>
        <w:szCs w:val="21"/>
        <w:lang w:eastAsia="zh-CN"/>
        <w14:textFill>
          <w14:solidFill>
            <w14:schemeClr w14:val="tx1"/>
          </w14:solidFill>
        </w14:textFill>
      </w:rPr>
      <w:t>眉山宏德环境技术有限公司</w:t>
    </w: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2" name="文本框 20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snapToGrid w:val="0"/>
                            <w:rPr>
                              <w:sz w:val="18"/>
                            </w:rPr>
                          </w:pPr>
                        </w:p>
                      </w:txbxContent>
                    </wps:txbx>
                    <wps:bodyPr wrap="none" lIns="0" tIns="0" rIns="0" bIns="0" upright="0">
                      <a:spAutoFit/>
                    </wps:bodyPr>
                  </wps:wsp>
                </a:graphicData>
              </a:graphic>
            </wp:anchor>
          </w:drawing>
        </mc:Choice>
        <mc:Fallback>
          <w:pict>
            <v:shape id="文本框 2053"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M6pebnPAAAABQEAAA8AAAAAAAAAAQAgAAAA&#10;IgAAAGRycy9kb3ducmV2LnhtbFBLAQIUABQAAAAIAIdO4kBH6kvW2wEAALQDAAAOAAAAAAAAAAEA&#10;IAAAAB4BAABkcnMvZTJvRG9jLnhtbFBLBQYAAAAABgAGAFkBAABrBQAAAAA=&#10;">
              <v:fill on="f" focussize="0,0"/>
              <v:stroke on="f"/>
              <v:imagedata o:title=""/>
              <o:lock v:ext="edit" aspectratio="f"/>
              <v:textbox inset="0mm,0mm,0mm,0mm" style="mso-fit-shape-to-text:t;">
                <w:txbxContent>
                  <w:p>
                    <w:pPr>
                      <w:snapToGrid w:val="0"/>
                      <w:rPr>
                        <w:sz w:val="18"/>
                      </w:rPr>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top w:val="single" w:color="000000" w:sz="4" w:space="0"/>
      </w:pBd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ascii="Times New Roman" w:hAnsi="Times New Roman" w:eastAsia="宋体" w:cs="Times New Roman"/>
        <w:color w:val="000000" w:themeColor="text1"/>
        <w:sz w:val="21"/>
        <w:szCs w:val="21"/>
        <w:lang w:eastAsia="zh-CN"/>
        <w14:textFill>
          <w14:solidFill>
            <w14:schemeClr w14:val="tx1"/>
          </w14:solidFill>
        </w14:textFill>
      </w:rPr>
      <w:t>眉山宏德环境技术有限公司</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top w:val="single" w:color="000000" w:sz="4" w:space="0"/>
      </w:pBdr>
    </w:pPr>
    <w:r>
      <w:rPr>
        <w:sz w:val="21"/>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ascii="Times New Roman" w:hAnsi="Times New Roman" w:eastAsia="宋体" w:cs="Times New Roman"/>
        <w:color w:val="000000" w:themeColor="text1"/>
        <w:sz w:val="21"/>
        <w:szCs w:val="21"/>
        <w:lang w:eastAsia="zh-CN"/>
        <w14:textFill>
          <w14:solidFill>
            <w14:schemeClr w14:val="tx1"/>
          </w14:solidFill>
        </w14:textFill>
      </w:rPr>
      <w:t>眉山宏德环境技术有限公司</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top w:val="single" w:color="000000" w:sz="4" w:space="0"/>
      </w:pBd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8</w:t>
                    </w:r>
                    <w:r>
                      <w:fldChar w:fldCharType="end"/>
                    </w:r>
                  </w:p>
                </w:txbxContent>
              </v:textbox>
            </v:shape>
          </w:pict>
        </mc:Fallback>
      </mc:AlternateContent>
    </w:r>
    <w:r>
      <w:rPr>
        <w:rFonts w:hint="eastAsia" w:ascii="Times New Roman" w:hAnsi="Times New Roman" w:eastAsia="宋体" w:cs="Times New Roman"/>
        <w:color w:val="000000" w:themeColor="text1"/>
        <w:sz w:val="21"/>
        <w:szCs w:val="21"/>
        <w:lang w:eastAsia="zh-CN"/>
        <w14:textFill>
          <w14:solidFill>
            <w14:schemeClr w14:val="tx1"/>
          </w14:solidFill>
        </w14:textFill>
      </w:rPr>
      <w:t>眉山宏德环境技术有限公司</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top w:val="single" w:color="000000" w:sz="4" w:space="0"/>
      </w:pBdr>
    </w:pPr>
    <w:r>
      <w:rPr>
        <w:sz w:val="21"/>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87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yswE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xyswEzAgAAYwQAAA4AAAAAAAAAAQAgAAAAHwEAAGRycy9lMm9Eb2MueG1sUEsF&#10;BgAAAAAGAAYAWQEAAMQFA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87</w:t>
                    </w:r>
                    <w:r>
                      <w:fldChar w:fldCharType="end"/>
                    </w:r>
                  </w:p>
                </w:txbxContent>
              </v:textbox>
            </v:shape>
          </w:pict>
        </mc:Fallback>
      </mc:AlternateContent>
    </w:r>
    <w:r>
      <w:rPr>
        <w:rFonts w:hint="eastAsia" w:ascii="Times New Roman" w:hAnsi="Times New Roman" w:eastAsia="宋体" w:cs="Times New Roman"/>
        <w:color w:val="000000" w:themeColor="text1"/>
        <w:sz w:val="21"/>
        <w:szCs w:val="21"/>
        <w:lang w:eastAsia="zh-CN"/>
        <w14:textFill>
          <w14:solidFill>
            <w14:schemeClr w14:val="tx1"/>
          </w14:solidFill>
        </w14:textFill>
      </w:rPr>
      <w:t>眉山宏德环境技术有限公司</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top w:val="single" w:color="000000" w:sz="4" w:space="0"/>
        <w:between w:val="single" w:color="000000" w:sz="4" w:space="0"/>
      </w:pBdr>
      <w:rPr>
        <w:sz w:val="11"/>
        <w:szCs w:val="11"/>
      </w:rPr>
    </w:pPr>
    <w:r>
      <w:rPr>
        <w:sz w:val="21"/>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193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Meuo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m4x66j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193</w:t>
                    </w:r>
                    <w:r>
                      <w:fldChar w:fldCharType="end"/>
                    </w:r>
                  </w:p>
                </w:txbxContent>
              </v:textbox>
            </v:shape>
          </w:pict>
        </mc:Fallback>
      </mc:AlternateContent>
    </w:r>
    <w:r>
      <w:rPr>
        <w:rFonts w:hint="eastAsia" w:ascii="Times New Roman" w:hAnsi="Times New Roman" w:eastAsia="宋体" w:cs="Times New Roman"/>
        <w:color w:val="000000" w:themeColor="text1"/>
        <w:sz w:val="21"/>
        <w:szCs w:val="21"/>
        <w:lang w:eastAsia="zh-CN"/>
        <w14:textFill>
          <w14:solidFill>
            <w14:schemeClr w14:val="tx1"/>
          </w14:solidFill>
        </w14:textFill>
      </w:rPr>
      <w:t>眉山宏德环境技术有限公司</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rPr>
        <w:rFonts w:hint="eastAsia"/>
        <w:sz w:val="21"/>
        <w:szCs w:val="21"/>
        <w:lang w:eastAsia="zh-CN"/>
      </w:rPr>
      <w:t>丹棱县生猪种养循环工程建设项目</w:t>
    </w:r>
    <w:r>
      <w:rPr>
        <w:rFonts w:hint="eastAsia"/>
        <w:sz w:val="21"/>
        <w:szCs w:val="21"/>
      </w:rPr>
      <w:t>环境影响报告书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rPr>
        <w:rFonts w:hint="eastAsia"/>
        <w:sz w:val="21"/>
        <w:szCs w:val="21"/>
        <w:lang w:eastAsia="zh-CN"/>
      </w:rPr>
      <w:t>丹棱县生猪种养循环工程建设项目</w:t>
    </w:r>
    <w:r>
      <w:rPr>
        <w:rFonts w:hint="eastAsia"/>
        <w:sz w:val="21"/>
        <w:szCs w:val="21"/>
      </w:rPr>
      <w:t>环境影响报告书</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rPr>
        <w:rFonts w:hint="eastAsia"/>
        <w:sz w:val="21"/>
        <w:szCs w:val="21"/>
        <w:lang w:eastAsia="zh-CN"/>
      </w:rPr>
      <w:t>丹棱县生猪种养循环工程建设项目</w:t>
    </w:r>
    <w:r>
      <w:rPr>
        <w:rFonts w:hint="eastAsia"/>
        <w:sz w:val="21"/>
        <w:szCs w:val="21"/>
      </w:rPr>
      <w:t>环境影响报告书</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rPr>
        <w:rFonts w:hint="eastAsia"/>
        <w:sz w:val="21"/>
        <w:szCs w:val="21"/>
        <w:lang w:eastAsia="zh-CN"/>
      </w:rPr>
      <w:t>丹棱县生猪种养循环工程建设项目</w:t>
    </w:r>
    <w:r>
      <w:rPr>
        <w:rFonts w:hint="eastAsia"/>
        <w:sz w:val="21"/>
        <w:szCs w:val="21"/>
      </w:rPr>
      <w:t>环境影响报告书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39D5B9"/>
    <w:multiLevelType w:val="singleLevel"/>
    <w:tmpl w:val="8039D5B9"/>
    <w:lvl w:ilvl="0" w:tentative="0">
      <w:start w:val="1"/>
      <w:numFmt w:val="decimal"/>
      <w:suff w:val="nothing"/>
      <w:lvlText w:val="%1、"/>
      <w:lvlJc w:val="left"/>
    </w:lvl>
  </w:abstractNum>
  <w:abstractNum w:abstractNumId="1">
    <w:nsid w:val="8267E07B"/>
    <w:multiLevelType w:val="singleLevel"/>
    <w:tmpl w:val="8267E07B"/>
    <w:lvl w:ilvl="0" w:tentative="0">
      <w:start w:val="1"/>
      <w:numFmt w:val="decimal"/>
      <w:suff w:val="nothing"/>
      <w:lvlText w:val="%1、"/>
      <w:lvlJc w:val="left"/>
    </w:lvl>
  </w:abstractNum>
  <w:abstractNum w:abstractNumId="2">
    <w:nsid w:val="82C0AECF"/>
    <w:multiLevelType w:val="singleLevel"/>
    <w:tmpl w:val="82C0AECF"/>
    <w:lvl w:ilvl="0" w:tentative="0">
      <w:start w:val="1"/>
      <w:numFmt w:val="decimal"/>
      <w:suff w:val="nothing"/>
      <w:lvlText w:val="（%1）"/>
      <w:lvlJc w:val="left"/>
    </w:lvl>
  </w:abstractNum>
  <w:abstractNum w:abstractNumId="3">
    <w:nsid w:val="86F9FAFC"/>
    <w:multiLevelType w:val="singleLevel"/>
    <w:tmpl w:val="86F9FAFC"/>
    <w:lvl w:ilvl="0" w:tentative="0">
      <w:start w:val="1"/>
      <w:numFmt w:val="decimal"/>
      <w:suff w:val="nothing"/>
      <w:lvlText w:val="（%1）"/>
      <w:lvlJc w:val="left"/>
    </w:lvl>
  </w:abstractNum>
  <w:abstractNum w:abstractNumId="4">
    <w:nsid w:val="8BAA0248"/>
    <w:multiLevelType w:val="singleLevel"/>
    <w:tmpl w:val="8BAA0248"/>
    <w:lvl w:ilvl="0" w:tentative="0">
      <w:start w:val="1"/>
      <w:numFmt w:val="decimal"/>
      <w:suff w:val="nothing"/>
      <w:lvlText w:val="%1）"/>
      <w:lvlJc w:val="left"/>
    </w:lvl>
  </w:abstractNum>
  <w:abstractNum w:abstractNumId="5">
    <w:nsid w:val="8F6CEDCA"/>
    <w:multiLevelType w:val="singleLevel"/>
    <w:tmpl w:val="8F6CEDCA"/>
    <w:lvl w:ilvl="0" w:tentative="0">
      <w:start w:val="1"/>
      <w:numFmt w:val="decimal"/>
      <w:suff w:val="nothing"/>
      <w:lvlText w:val="（%1）"/>
      <w:lvlJc w:val="left"/>
    </w:lvl>
  </w:abstractNum>
  <w:abstractNum w:abstractNumId="6">
    <w:nsid w:val="936DB2CC"/>
    <w:multiLevelType w:val="singleLevel"/>
    <w:tmpl w:val="936DB2CC"/>
    <w:lvl w:ilvl="0" w:tentative="0">
      <w:start w:val="1"/>
      <w:numFmt w:val="decimal"/>
      <w:suff w:val="nothing"/>
      <w:lvlText w:val="（%1）"/>
      <w:lvlJc w:val="left"/>
    </w:lvl>
  </w:abstractNum>
  <w:abstractNum w:abstractNumId="7">
    <w:nsid w:val="93FFD6FC"/>
    <w:multiLevelType w:val="singleLevel"/>
    <w:tmpl w:val="93FFD6FC"/>
    <w:lvl w:ilvl="0" w:tentative="0">
      <w:start w:val="1"/>
      <w:numFmt w:val="decimal"/>
      <w:suff w:val="nothing"/>
      <w:lvlText w:val="（%1）"/>
      <w:lvlJc w:val="left"/>
    </w:lvl>
  </w:abstractNum>
  <w:abstractNum w:abstractNumId="8">
    <w:nsid w:val="97610FBD"/>
    <w:multiLevelType w:val="singleLevel"/>
    <w:tmpl w:val="97610FBD"/>
    <w:lvl w:ilvl="0" w:tentative="0">
      <w:start w:val="1"/>
      <w:numFmt w:val="decimal"/>
      <w:suff w:val="nothing"/>
      <w:lvlText w:val="（%1）"/>
      <w:lvlJc w:val="left"/>
    </w:lvl>
  </w:abstractNum>
  <w:abstractNum w:abstractNumId="9">
    <w:nsid w:val="994D5AC9"/>
    <w:multiLevelType w:val="singleLevel"/>
    <w:tmpl w:val="994D5AC9"/>
    <w:lvl w:ilvl="0" w:tentative="0">
      <w:start w:val="1"/>
      <w:numFmt w:val="decimal"/>
      <w:suff w:val="nothing"/>
      <w:lvlText w:val="（%1）"/>
      <w:lvlJc w:val="left"/>
    </w:lvl>
  </w:abstractNum>
  <w:abstractNum w:abstractNumId="10">
    <w:nsid w:val="A9A200DF"/>
    <w:multiLevelType w:val="singleLevel"/>
    <w:tmpl w:val="A9A200DF"/>
    <w:lvl w:ilvl="0" w:tentative="0">
      <w:start w:val="1"/>
      <w:numFmt w:val="decimal"/>
      <w:suff w:val="nothing"/>
      <w:lvlText w:val="（%1）"/>
      <w:lvlJc w:val="left"/>
    </w:lvl>
  </w:abstractNum>
  <w:abstractNum w:abstractNumId="11">
    <w:nsid w:val="AB6B7B0D"/>
    <w:multiLevelType w:val="singleLevel"/>
    <w:tmpl w:val="AB6B7B0D"/>
    <w:lvl w:ilvl="0" w:tentative="0">
      <w:start w:val="1"/>
      <w:numFmt w:val="decimal"/>
      <w:suff w:val="nothing"/>
      <w:lvlText w:val="（%1）"/>
      <w:lvlJc w:val="left"/>
    </w:lvl>
  </w:abstractNum>
  <w:abstractNum w:abstractNumId="12">
    <w:nsid w:val="B3146416"/>
    <w:multiLevelType w:val="singleLevel"/>
    <w:tmpl w:val="B3146416"/>
    <w:lvl w:ilvl="0" w:tentative="0">
      <w:start w:val="2"/>
      <w:numFmt w:val="decimal"/>
      <w:suff w:val="nothing"/>
      <w:lvlText w:val="（%1）"/>
      <w:lvlJc w:val="left"/>
    </w:lvl>
  </w:abstractNum>
  <w:abstractNum w:abstractNumId="13">
    <w:nsid w:val="BDD38036"/>
    <w:multiLevelType w:val="singleLevel"/>
    <w:tmpl w:val="BDD38036"/>
    <w:lvl w:ilvl="0" w:tentative="0">
      <w:start w:val="1"/>
      <w:numFmt w:val="decimal"/>
      <w:suff w:val="nothing"/>
      <w:lvlText w:val="（%1）"/>
      <w:lvlJc w:val="left"/>
    </w:lvl>
  </w:abstractNum>
  <w:abstractNum w:abstractNumId="14">
    <w:nsid w:val="BE659854"/>
    <w:multiLevelType w:val="singleLevel"/>
    <w:tmpl w:val="BE659854"/>
    <w:lvl w:ilvl="0" w:tentative="0">
      <w:start w:val="1"/>
      <w:numFmt w:val="upperLetter"/>
      <w:suff w:val="nothing"/>
      <w:lvlText w:val="%1、"/>
      <w:lvlJc w:val="left"/>
    </w:lvl>
  </w:abstractNum>
  <w:abstractNum w:abstractNumId="15">
    <w:nsid w:val="C2D98C44"/>
    <w:multiLevelType w:val="singleLevel"/>
    <w:tmpl w:val="C2D98C44"/>
    <w:lvl w:ilvl="0" w:tentative="0">
      <w:start w:val="1"/>
      <w:numFmt w:val="decimal"/>
      <w:suff w:val="nothing"/>
      <w:lvlText w:val="（%1）"/>
      <w:lvlJc w:val="left"/>
    </w:lvl>
  </w:abstractNum>
  <w:abstractNum w:abstractNumId="16">
    <w:nsid w:val="D5CC5F14"/>
    <w:multiLevelType w:val="singleLevel"/>
    <w:tmpl w:val="D5CC5F14"/>
    <w:lvl w:ilvl="0" w:tentative="0">
      <w:start w:val="1"/>
      <w:numFmt w:val="decimal"/>
      <w:suff w:val="nothing"/>
      <w:lvlText w:val="（%1）"/>
      <w:lvlJc w:val="left"/>
    </w:lvl>
  </w:abstractNum>
  <w:abstractNum w:abstractNumId="17">
    <w:nsid w:val="D9303F0F"/>
    <w:multiLevelType w:val="singleLevel"/>
    <w:tmpl w:val="D9303F0F"/>
    <w:lvl w:ilvl="0" w:tentative="0">
      <w:start w:val="1"/>
      <w:numFmt w:val="decimal"/>
      <w:suff w:val="nothing"/>
      <w:lvlText w:val="（%1）"/>
      <w:lvlJc w:val="left"/>
    </w:lvl>
  </w:abstractNum>
  <w:abstractNum w:abstractNumId="18">
    <w:nsid w:val="E800E703"/>
    <w:multiLevelType w:val="singleLevel"/>
    <w:tmpl w:val="E800E703"/>
    <w:lvl w:ilvl="0" w:tentative="0">
      <w:start w:val="1"/>
      <w:numFmt w:val="decimal"/>
      <w:suff w:val="nothing"/>
      <w:lvlText w:val="%1、"/>
      <w:lvlJc w:val="left"/>
    </w:lvl>
  </w:abstractNum>
  <w:abstractNum w:abstractNumId="19">
    <w:nsid w:val="EFB0117B"/>
    <w:multiLevelType w:val="singleLevel"/>
    <w:tmpl w:val="EFB0117B"/>
    <w:lvl w:ilvl="0" w:tentative="0">
      <w:start w:val="1"/>
      <w:numFmt w:val="decimal"/>
      <w:suff w:val="nothing"/>
      <w:lvlText w:val="（%1）"/>
      <w:lvlJc w:val="left"/>
    </w:lvl>
  </w:abstractNum>
  <w:abstractNum w:abstractNumId="20">
    <w:nsid w:val="F30A57FC"/>
    <w:multiLevelType w:val="singleLevel"/>
    <w:tmpl w:val="F30A57FC"/>
    <w:lvl w:ilvl="0" w:tentative="0">
      <w:start w:val="1"/>
      <w:numFmt w:val="decimal"/>
      <w:suff w:val="nothing"/>
      <w:lvlText w:val="（%1）"/>
      <w:lvlJc w:val="left"/>
    </w:lvl>
  </w:abstractNum>
  <w:abstractNum w:abstractNumId="21">
    <w:nsid w:val="F7DB8A2B"/>
    <w:multiLevelType w:val="singleLevel"/>
    <w:tmpl w:val="F7DB8A2B"/>
    <w:lvl w:ilvl="0" w:tentative="0">
      <w:start w:val="1"/>
      <w:numFmt w:val="decimal"/>
      <w:suff w:val="nothing"/>
      <w:lvlText w:val="（%1）"/>
      <w:lvlJc w:val="left"/>
    </w:lvl>
  </w:abstractNum>
  <w:abstractNum w:abstractNumId="22">
    <w:nsid w:val="FDDBCD0C"/>
    <w:multiLevelType w:val="singleLevel"/>
    <w:tmpl w:val="FDDBCD0C"/>
    <w:lvl w:ilvl="0" w:tentative="0">
      <w:start w:val="1"/>
      <w:numFmt w:val="decimal"/>
      <w:suff w:val="nothing"/>
      <w:lvlText w:val="（%1）"/>
      <w:lvlJc w:val="left"/>
    </w:lvl>
  </w:abstractNum>
  <w:abstractNum w:abstractNumId="23">
    <w:nsid w:val="FF7F7EFA"/>
    <w:multiLevelType w:val="singleLevel"/>
    <w:tmpl w:val="FF7F7EFA"/>
    <w:lvl w:ilvl="0" w:tentative="0">
      <w:start w:val="1"/>
      <w:numFmt w:val="decimal"/>
      <w:suff w:val="nothing"/>
      <w:lvlText w:val="（%1）"/>
      <w:lvlJc w:val="left"/>
    </w:lvl>
  </w:abstractNum>
  <w:abstractNum w:abstractNumId="24">
    <w:nsid w:val="01A5D4C4"/>
    <w:multiLevelType w:val="singleLevel"/>
    <w:tmpl w:val="01A5D4C4"/>
    <w:lvl w:ilvl="0" w:tentative="0">
      <w:start w:val="1"/>
      <w:numFmt w:val="decimal"/>
      <w:suff w:val="nothing"/>
      <w:lvlText w:val="%1、"/>
      <w:lvlJc w:val="left"/>
    </w:lvl>
  </w:abstractNum>
  <w:abstractNum w:abstractNumId="25">
    <w:nsid w:val="0368117B"/>
    <w:multiLevelType w:val="singleLevel"/>
    <w:tmpl w:val="0368117B"/>
    <w:lvl w:ilvl="0" w:tentative="0">
      <w:start w:val="1"/>
      <w:numFmt w:val="decimal"/>
      <w:suff w:val="nothing"/>
      <w:lvlText w:val="（%1）"/>
      <w:lvlJc w:val="left"/>
    </w:lvl>
  </w:abstractNum>
  <w:abstractNum w:abstractNumId="26">
    <w:nsid w:val="06E65894"/>
    <w:multiLevelType w:val="singleLevel"/>
    <w:tmpl w:val="06E65894"/>
    <w:lvl w:ilvl="0" w:tentative="0">
      <w:start w:val="1"/>
      <w:numFmt w:val="decimal"/>
      <w:suff w:val="nothing"/>
      <w:lvlText w:val="（%1）"/>
      <w:lvlJc w:val="left"/>
    </w:lvl>
  </w:abstractNum>
  <w:abstractNum w:abstractNumId="27">
    <w:nsid w:val="0807F04E"/>
    <w:multiLevelType w:val="singleLevel"/>
    <w:tmpl w:val="0807F04E"/>
    <w:lvl w:ilvl="0" w:tentative="0">
      <w:start w:val="1"/>
      <w:numFmt w:val="decimal"/>
      <w:suff w:val="nothing"/>
      <w:lvlText w:val="（%1）"/>
      <w:lvlJc w:val="left"/>
    </w:lvl>
  </w:abstractNum>
  <w:abstractNum w:abstractNumId="28">
    <w:nsid w:val="1502F92D"/>
    <w:multiLevelType w:val="singleLevel"/>
    <w:tmpl w:val="1502F92D"/>
    <w:lvl w:ilvl="0" w:tentative="0">
      <w:start w:val="1"/>
      <w:numFmt w:val="upperLetter"/>
      <w:lvlText w:val="%1."/>
      <w:lvlJc w:val="left"/>
      <w:pPr>
        <w:tabs>
          <w:tab w:val="left" w:pos="312"/>
        </w:tabs>
      </w:pPr>
    </w:lvl>
  </w:abstractNum>
  <w:abstractNum w:abstractNumId="29">
    <w:nsid w:val="189474B6"/>
    <w:multiLevelType w:val="singleLevel"/>
    <w:tmpl w:val="189474B6"/>
    <w:lvl w:ilvl="0" w:tentative="0">
      <w:start w:val="1"/>
      <w:numFmt w:val="decimal"/>
      <w:suff w:val="nothing"/>
      <w:lvlText w:val="（%1）"/>
      <w:lvlJc w:val="left"/>
    </w:lvl>
  </w:abstractNum>
  <w:abstractNum w:abstractNumId="30">
    <w:nsid w:val="1B22A708"/>
    <w:multiLevelType w:val="singleLevel"/>
    <w:tmpl w:val="1B22A708"/>
    <w:lvl w:ilvl="0" w:tentative="0">
      <w:start w:val="1"/>
      <w:numFmt w:val="decimal"/>
      <w:suff w:val="nothing"/>
      <w:lvlText w:val="%1、"/>
      <w:lvlJc w:val="left"/>
    </w:lvl>
  </w:abstractNum>
  <w:abstractNum w:abstractNumId="31">
    <w:nsid w:val="1DE528A5"/>
    <w:multiLevelType w:val="singleLevel"/>
    <w:tmpl w:val="1DE528A5"/>
    <w:lvl w:ilvl="0" w:tentative="0">
      <w:start w:val="1"/>
      <w:numFmt w:val="decimal"/>
      <w:suff w:val="nothing"/>
      <w:lvlText w:val="（%1）"/>
      <w:lvlJc w:val="left"/>
    </w:lvl>
  </w:abstractNum>
  <w:abstractNum w:abstractNumId="32">
    <w:nsid w:val="25403FC8"/>
    <w:multiLevelType w:val="singleLevel"/>
    <w:tmpl w:val="25403FC8"/>
    <w:lvl w:ilvl="0" w:tentative="0">
      <w:start w:val="1"/>
      <w:numFmt w:val="decimal"/>
      <w:suff w:val="nothing"/>
      <w:lvlText w:val="（%1）"/>
      <w:lvlJc w:val="left"/>
    </w:lvl>
  </w:abstractNum>
  <w:abstractNum w:abstractNumId="33">
    <w:nsid w:val="260F7AC5"/>
    <w:multiLevelType w:val="singleLevel"/>
    <w:tmpl w:val="260F7AC5"/>
    <w:lvl w:ilvl="0" w:tentative="0">
      <w:start w:val="1"/>
      <w:numFmt w:val="upperLetter"/>
      <w:suff w:val="nothing"/>
      <w:lvlText w:val="%1、"/>
      <w:lvlJc w:val="left"/>
    </w:lvl>
  </w:abstractNum>
  <w:abstractNum w:abstractNumId="34">
    <w:nsid w:val="261363DA"/>
    <w:multiLevelType w:val="singleLevel"/>
    <w:tmpl w:val="261363DA"/>
    <w:lvl w:ilvl="0" w:tentative="0">
      <w:start w:val="1"/>
      <w:numFmt w:val="decimal"/>
      <w:suff w:val="nothing"/>
      <w:lvlText w:val="（%1）"/>
      <w:lvlJc w:val="left"/>
    </w:lvl>
  </w:abstractNum>
  <w:abstractNum w:abstractNumId="35">
    <w:nsid w:val="291BF87E"/>
    <w:multiLevelType w:val="singleLevel"/>
    <w:tmpl w:val="291BF87E"/>
    <w:lvl w:ilvl="0" w:tentative="0">
      <w:start w:val="1"/>
      <w:numFmt w:val="decimal"/>
      <w:suff w:val="nothing"/>
      <w:lvlText w:val="%1）"/>
      <w:lvlJc w:val="left"/>
    </w:lvl>
  </w:abstractNum>
  <w:abstractNum w:abstractNumId="36">
    <w:nsid w:val="4482C3EC"/>
    <w:multiLevelType w:val="singleLevel"/>
    <w:tmpl w:val="4482C3EC"/>
    <w:lvl w:ilvl="0" w:tentative="0">
      <w:start w:val="1"/>
      <w:numFmt w:val="decimal"/>
      <w:suff w:val="nothing"/>
      <w:lvlText w:val="（%1）"/>
      <w:lvlJc w:val="left"/>
    </w:lvl>
  </w:abstractNum>
  <w:abstractNum w:abstractNumId="37">
    <w:nsid w:val="480DC7CF"/>
    <w:multiLevelType w:val="singleLevel"/>
    <w:tmpl w:val="480DC7CF"/>
    <w:lvl w:ilvl="0" w:tentative="0">
      <w:start w:val="1"/>
      <w:numFmt w:val="decimal"/>
      <w:suff w:val="nothing"/>
      <w:lvlText w:val="（%1）"/>
      <w:lvlJc w:val="left"/>
    </w:lvl>
  </w:abstractNum>
  <w:abstractNum w:abstractNumId="38">
    <w:nsid w:val="4C7FB873"/>
    <w:multiLevelType w:val="singleLevel"/>
    <w:tmpl w:val="4C7FB873"/>
    <w:lvl w:ilvl="0" w:tentative="0">
      <w:start w:val="1"/>
      <w:numFmt w:val="decimal"/>
      <w:suff w:val="nothing"/>
      <w:lvlText w:val="%1、"/>
      <w:lvlJc w:val="left"/>
    </w:lvl>
  </w:abstractNum>
  <w:abstractNum w:abstractNumId="39">
    <w:nsid w:val="50F2327F"/>
    <w:multiLevelType w:val="singleLevel"/>
    <w:tmpl w:val="50F2327F"/>
    <w:lvl w:ilvl="0" w:tentative="0">
      <w:start w:val="1"/>
      <w:numFmt w:val="decimal"/>
      <w:suff w:val="nothing"/>
      <w:lvlText w:val="（%1）"/>
      <w:lvlJc w:val="left"/>
    </w:lvl>
  </w:abstractNum>
  <w:abstractNum w:abstractNumId="40">
    <w:nsid w:val="57B1CAD8"/>
    <w:multiLevelType w:val="singleLevel"/>
    <w:tmpl w:val="57B1CAD8"/>
    <w:lvl w:ilvl="0" w:tentative="0">
      <w:start w:val="1"/>
      <w:numFmt w:val="decimal"/>
      <w:suff w:val="nothing"/>
      <w:lvlText w:val="%1、"/>
      <w:lvlJc w:val="left"/>
    </w:lvl>
  </w:abstractNum>
  <w:abstractNum w:abstractNumId="41">
    <w:nsid w:val="5860ACCF"/>
    <w:multiLevelType w:val="singleLevel"/>
    <w:tmpl w:val="5860ACCF"/>
    <w:lvl w:ilvl="0" w:tentative="0">
      <w:start w:val="2"/>
      <w:numFmt w:val="decimal"/>
      <w:suff w:val="nothing"/>
      <w:lvlText w:val="（%1）"/>
      <w:lvlJc w:val="left"/>
    </w:lvl>
  </w:abstractNum>
  <w:abstractNum w:abstractNumId="42">
    <w:nsid w:val="587DA387"/>
    <w:multiLevelType w:val="singleLevel"/>
    <w:tmpl w:val="587DA387"/>
    <w:lvl w:ilvl="0" w:tentative="0">
      <w:start w:val="1"/>
      <w:numFmt w:val="decimal"/>
      <w:suff w:val="nothing"/>
      <w:lvlText w:val="（%1）"/>
      <w:lvlJc w:val="left"/>
    </w:lvl>
  </w:abstractNum>
  <w:abstractNum w:abstractNumId="43">
    <w:nsid w:val="58F9E9C2"/>
    <w:multiLevelType w:val="singleLevel"/>
    <w:tmpl w:val="58F9E9C2"/>
    <w:lvl w:ilvl="0" w:tentative="0">
      <w:start w:val="1"/>
      <w:numFmt w:val="decimal"/>
      <w:suff w:val="nothing"/>
      <w:lvlText w:val="（%1）"/>
      <w:lvlJc w:val="left"/>
    </w:lvl>
  </w:abstractNum>
  <w:abstractNum w:abstractNumId="44">
    <w:nsid w:val="5E11E0A6"/>
    <w:multiLevelType w:val="singleLevel"/>
    <w:tmpl w:val="5E11E0A6"/>
    <w:lvl w:ilvl="0" w:tentative="0">
      <w:start w:val="1"/>
      <w:numFmt w:val="decimal"/>
      <w:suff w:val="nothing"/>
      <w:lvlText w:val="（%1）"/>
      <w:lvlJc w:val="left"/>
    </w:lvl>
  </w:abstractNum>
  <w:abstractNum w:abstractNumId="45">
    <w:nsid w:val="5EE52D06"/>
    <w:multiLevelType w:val="singleLevel"/>
    <w:tmpl w:val="5EE52D06"/>
    <w:lvl w:ilvl="0" w:tentative="0">
      <w:start w:val="1"/>
      <w:numFmt w:val="decimal"/>
      <w:suff w:val="nothing"/>
      <w:lvlText w:val="（%1）"/>
      <w:lvlJc w:val="left"/>
    </w:lvl>
  </w:abstractNum>
  <w:abstractNum w:abstractNumId="46">
    <w:nsid w:val="67951FAC"/>
    <w:multiLevelType w:val="singleLevel"/>
    <w:tmpl w:val="67951FAC"/>
    <w:lvl w:ilvl="0" w:tentative="0">
      <w:start w:val="1"/>
      <w:numFmt w:val="decimal"/>
      <w:suff w:val="nothing"/>
      <w:lvlText w:val="（%1）"/>
      <w:lvlJc w:val="left"/>
    </w:lvl>
  </w:abstractNum>
  <w:abstractNum w:abstractNumId="47">
    <w:nsid w:val="754E9A28"/>
    <w:multiLevelType w:val="singleLevel"/>
    <w:tmpl w:val="754E9A28"/>
    <w:lvl w:ilvl="0" w:tentative="0">
      <w:start w:val="1"/>
      <w:numFmt w:val="decimal"/>
      <w:suff w:val="nothing"/>
      <w:lvlText w:val="%1、"/>
      <w:lvlJc w:val="left"/>
    </w:lvl>
  </w:abstractNum>
  <w:num w:numId="1">
    <w:abstractNumId w:val="12"/>
  </w:num>
  <w:num w:numId="2">
    <w:abstractNumId w:val="32"/>
  </w:num>
  <w:num w:numId="3">
    <w:abstractNumId w:val="16"/>
  </w:num>
  <w:num w:numId="4">
    <w:abstractNumId w:val="27"/>
  </w:num>
  <w:num w:numId="5">
    <w:abstractNumId w:val="30"/>
  </w:num>
  <w:num w:numId="6">
    <w:abstractNumId w:val="8"/>
  </w:num>
  <w:num w:numId="7">
    <w:abstractNumId w:val="41"/>
  </w:num>
  <w:num w:numId="8">
    <w:abstractNumId w:val="40"/>
  </w:num>
  <w:num w:numId="9">
    <w:abstractNumId w:val="25"/>
  </w:num>
  <w:num w:numId="10">
    <w:abstractNumId w:val="28"/>
  </w:num>
  <w:num w:numId="11">
    <w:abstractNumId w:val="4"/>
  </w:num>
  <w:num w:numId="12">
    <w:abstractNumId w:val="45"/>
  </w:num>
  <w:num w:numId="13">
    <w:abstractNumId w:val="5"/>
  </w:num>
  <w:num w:numId="14">
    <w:abstractNumId w:val="35"/>
  </w:num>
  <w:num w:numId="15">
    <w:abstractNumId w:val="14"/>
  </w:num>
  <w:num w:numId="16">
    <w:abstractNumId w:val="2"/>
  </w:num>
  <w:num w:numId="17">
    <w:abstractNumId w:val="29"/>
  </w:num>
  <w:num w:numId="18">
    <w:abstractNumId w:val="9"/>
  </w:num>
  <w:num w:numId="19">
    <w:abstractNumId w:val="15"/>
  </w:num>
  <w:num w:numId="20">
    <w:abstractNumId w:val="42"/>
  </w:num>
  <w:num w:numId="21">
    <w:abstractNumId w:val="3"/>
  </w:num>
  <w:num w:numId="22">
    <w:abstractNumId w:val="17"/>
  </w:num>
  <w:num w:numId="23">
    <w:abstractNumId w:val="13"/>
  </w:num>
  <w:num w:numId="24">
    <w:abstractNumId w:val="6"/>
  </w:num>
  <w:num w:numId="25">
    <w:abstractNumId w:val="26"/>
  </w:num>
  <w:num w:numId="26">
    <w:abstractNumId w:val="21"/>
  </w:num>
  <w:num w:numId="27">
    <w:abstractNumId w:val="24"/>
  </w:num>
  <w:num w:numId="28">
    <w:abstractNumId w:val="39"/>
  </w:num>
  <w:num w:numId="29">
    <w:abstractNumId w:val="23"/>
  </w:num>
  <w:num w:numId="30">
    <w:abstractNumId w:val="37"/>
  </w:num>
  <w:num w:numId="31">
    <w:abstractNumId w:val="22"/>
  </w:num>
  <w:num w:numId="32">
    <w:abstractNumId w:val="36"/>
  </w:num>
  <w:num w:numId="33">
    <w:abstractNumId w:val="43"/>
  </w:num>
  <w:num w:numId="34">
    <w:abstractNumId w:val="46"/>
  </w:num>
  <w:num w:numId="35">
    <w:abstractNumId w:val="34"/>
  </w:num>
  <w:num w:numId="36">
    <w:abstractNumId w:val="44"/>
  </w:num>
  <w:num w:numId="37">
    <w:abstractNumId w:val="31"/>
  </w:num>
  <w:num w:numId="38">
    <w:abstractNumId w:val="38"/>
  </w:num>
  <w:num w:numId="39">
    <w:abstractNumId w:val="33"/>
  </w:num>
  <w:num w:numId="40">
    <w:abstractNumId w:val="19"/>
  </w:num>
  <w:num w:numId="41">
    <w:abstractNumId w:val="11"/>
  </w:num>
  <w:num w:numId="42">
    <w:abstractNumId w:val="20"/>
  </w:num>
  <w:num w:numId="43">
    <w:abstractNumId w:val="7"/>
  </w:num>
  <w:num w:numId="44">
    <w:abstractNumId w:val="10"/>
  </w:num>
  <w:num w:numId="45">
    <w:abstractNumId w:val="18"/>
  </w:num>
  <w:num w:numId="46">
    <w:abstractNumId w:val="0"/>
  </w:num>
  <w:num w:numId="47">
    <w:abstractNumId w:val="47"/>
  </w:num>
  <w:num w:numId="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hideSpellingErrors/>
  <w:documentProtection w:enforcement="0"/>
  <w:defaultTabStop w:val="420"/>
  <w:drawingGridHorizontalSpacing w:val="210"/>
  <w:drawingGridVerticalSpacing w:val="160"/>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980"/>
    <w:rsid w:val="000022F2"/>
    <w:rsid w:val="00003BFC"/>
    <w:rsid w:val="00004F55"/>
    <w:rsid w:val="00010B92"/>
    <w:rsid w:val="0001772B"/>
    <w:rsid w:val="00030AB2"/>
    <w:rsid w:val="000379BA"/>
    <w:rsid w:val="00043C35"/>
    <w:rsid w:val="00050B11"/>
    <w:rsid w:val="000549B3"/>
    <w:rsid w:val="000571F9"/>
    <w:rsid w:val="00057E27"/>
    <w:rsid w:val="00060A21"/>
    <w:rsid w:val="000723F9"/>
    <w:rsid w:val="00075FFD"/>
    <w:rsid w:val="00080B2E"/>
    <w:rsid w:val="00081720"/>
    <w:rsid w:val="000866F1"/>
    <w:rsid w:val="00095496"/>
    <w:rsid w:val="000A2757"/>
    <w:rsid w:val="000A7AF1"/>
    <w:rsid w:val="000B6CFB"/>
    <w:rsid w:val="000D07BF"/>
    <w:rsid w:val="000D38EB"/>
    <w:rsid w:val="000E2BCC"/>
    <w:rsid w:val="000E340F"/>
    <w:rsid w:val="000E3A35"/>
    <w:rsid w:val="000F41CB"/>
    <w:rsid w:val="001001C3"/>
    <w:rsid w:val="00107B3A"/>
    <w:rsid w:val="00112EDD"/>
    <w:rsid w:val="00115EA8"/>
    <w:rsid w:val="00125208"/>
    <w:rsid w:val="001339A5"/>
    <w:rsid w:val="001359BE"/>
    <w:rsid w:val="00146135"/>
    <w:rsid w:val="0015540F"/>
    <w:rsid w:val="001618B7"/>
    <w:rsid w:val="0016724D"/>
    <w:rsid w:val="00172A27"/>
    <w:rsid w:val="00193287"/>
    <w:rsid w:val="001B2A9C"/>
    <w:rsid w:val="001C0069"/>
    <w:rsid w:val="001C106D"/>
    <w:rsid w:val="001C116E"/>
    <w:rsid w:val="001C1BB9"/>
    <w:rsid w:val="001C3095"/>
    <w:rsid w:val="001C6DB6"/>
    <w:rsid w:val="001C6DCC"/>
    <w:rsid w:val="001D075F"/>
    <w:rsid w:val="001D1F52"/>
    <w:rsid w:val="001D3ECD"/>
    <w:rsid w:val="001D4D08"/>
    <w:rsid w:val="001D5AE2"/>
    <w:rsid w:val="001D7DCE"/>
    <w:rsid w:val="001F15BA"/>
    <w:rsid w:val="001F3E60"/>
    <w:rsid w:val="001F725E"/>
    <w:rsid w:val="00207334"/>
    <w:rsid w:val="00213550"/>
    <w:rsid w:val="0021592C"/>
    <w:rsid w:val="00217547"/>
    <w:rsid w:val="00220FCE"/>
    <w:rsid w:val="00241F88"/>
    <w:rsid w:val="002448B0"/>
    <w:rsid w:val="0024584F"/>
    <w:rsid w:val="00250083"/>
    <w:rsid w:val="00251636"/>
    <w:rsid w:val="00256DEC"/>
    <w:rsid w:val="00257452"/>
    <w:rsid w:val="00262D7D"/>
    <w:rsid w:val="00264F9B"/>
    <w:rsid w:val="002732DA"/>
    <w:rsid w:val="00295EC5"/>
    <w:rsid w:val="002A1562"/>
    <w:rsid w:val="002A6207"/>
    <w:rsid w:val="002B36C2"/>
    <w:rsid w:val="002B48E1"/>
    <w:rsid w:val="002B6937"/>
    <w:rsid w:val="002C09AC"/>
    <w:rsid w:val="002C12C6"/>
    <w:rsid w:val="002C6EF9"/>
    <w:rsid w:val="002D6028"/>
    <w:rsid w:val="002D7924"/>
    <w:rsid w:val="002F2511"/>
    <w:rsid w:val="00300ABB"/>
    <w:rsid w:val="00302A54"/>
    <w:rsid w:val="00314B84"/>
    <w:rsid w:val="003244C3"/>
    <w:rsid w:val="00327A70"/>
    <w:rsid w:val="0033259B"/>
    <w:rsid w:val="00342EE1"/>
    <w:rsid w:val="00344DFB"/>
    <w:rsid w:val="00350B64"/>
    <w:rsid w:val="0035253D"/>
    <w:rsid w:val="0035540F"/>
    <w:rsid w:val="00355C98"/>
    <w:rsid w:val="003757B8"/>
    <w:rsid w:val="00376D24"/>
    <w:rsid w:val="003839CC"/>
    <w:rsid w:val="00396E8B"/>
    <w:rsid w:val="003A1BCB"/>
    <w:rsid w:val="003A4030"/>
    <w:rsid w:val="003A47DC"/>
    <w:rsid w:val="003B125E"/>
    <w:rsid w:val="003B17D8"/>
    <w:rsid w:val="003B4017"/>
    <w:rsid w:val="003B6393"/>
    <w:rsid w:val="003C01E1"/>
    <w:rsid w:val="003C07BD"/>
    <w:rsid w:val="003C1592"/>
    <w:rsid w:val="003C18AB"/>
    <w:rsid w:val="003C6BAF"/>
    <w:rsid w:val="003C77BA"/>
    <w:rsid w:val="003E0776"/>
    <w:rsid w:val="003E3379"/>
    <w:rsid w:val="003E3A04"/>
    <w:rsid w:val="003E6B31"/>
    <w:rsid w:val="003F676C"/>
    <w:rsid w:val="003F6878"/>
    <w:rsid w:val="003F79E3"/>
    <w:rsid w:val="00410200"/>
    <w:rsid w:val="004108C9"/>
    <w:rsid w:val="0041271C"/>
    <w:rsid w:val="0041434E"/>
    <w:rsid w:val="00414727"/>
    <w:rsid w:val="004153E7"/>
    <w:rsid w:val="00415C1F"/>
    <w:rsid w:val="00416786"/>
    <w:rsid w:val="00424152"/>
    <w:rsid w:val="004265D1"/>
    <w:rsid w:val="00430A66"/>
    <w:rsid w:val="004355DF"/>
    <w:rsid w:val="00445DF8"/>
    <w:rsid w:val="0045020D"/>
    <w:rsid w:val="00453AA0"/>
    <w:rsid w:val="00454D6B"/>
    <w:rsid w:val="004553BB"/>
    <w:rsid w:val="00457828"/>
    <w:rsid w:val="00461ADC"/>
    <w:rsid w:val="00472F3B"/>
    <w:rsid w:val="00474957"/>
    <w:rsid w:val="00474D6C"/>
    <w:rsid w:val="00475DDB"/>
    <w:rsid w:val="0049429C"/>
    <w:rsid w:val="00495675"/>
    <w:rsid w:val="004A05E4"/>
    <w:rsid w:val="004A24D8"/>
    <w:rsid w:val="004A3D61"/>
    <w:rsid w:val="004A4F45"/>
    <w:rsid w:val="004B74C7"/>
    <w:rsid w:val="004C1827"/>
    <w:rsid w:val="004C78AC"/>
    <w:rsid w:val="004D211D"/>
    <w:rsid w:val="004D6B85"/>
    <w:rsid w:val="004D748A"/>
    <w:rsid w:val="004E2E63"/>
    <w:rsid w:val="004E4E60"/>
    <w:rsid w:val="004E5252"/>
    <w:rsid w:val="004F5A0F"/>
    <w:rsid w:val="004F747F"/>
    <w:rsid w:val="004F7B2C"/>
    <w:rsid w:val="005011E6"/>
    <w:rsid w:val="0051382F"/>
    <w:rsid w:val="00514930"/>
    <w:rsid w:val="00515163"/>
    <w:rsid w:val="005263FA"/>
    <w:rsid w:val="00527471"/>
    <w:rsid w:val="00540E17"/>
    <w:rsid w:val="00540ED8"/>
    <w:rsid w:val="00547725"/>
    <w:rsid w:val="00550CE6"/>
    <w:rsid w:val="0055233B"/>
    <w:rsid w:val="00552672"/>
    <w:rsid w:val="00556C1A"/>
    <w:rsid w:val="005660F3"/>
    <w:rsid w:val="00566DCF"/>
    <w:rsid w:val="005801B5"/>
    <w:rsid w:val="00590302"/>
    <w:rsid w:val="0059067F"/>
    <w:rsid w:val="00592846"/>
    <w:rsid w:val="00594BED"/>
    <w:rsid w:val="00596878"/>
    <w:rsid w:val="005A0EF3"/>
    <w:rsid w:val="005A22D8"/>
    <w:rsid w:val="005A5997"/>
    <w:rsid w:val="005B2CC5"/>
    <w:rsid w:val="005C33C3"/>
    <w:rsid w:val="005C3816"/>
    <w:rsid w:val="005D4889"/>
    <w:rsid w:val="005D7F4C"/>
    <w:rsid w:val="005E1B03"/>
    <w:rsid w:val="005E5CA3"/>
    <w:rsid w:val="005F061E"/>
    <w:rsid w:val="005F3FFF"/>
    <w:rsid w:val="005F7456"/>
    <w:rsid w:val="006012F0"/>
    <w:rsid w:val="00602DA9"/>
    <w:rsid w:val="00607675"/>
    <w:rsid w:val="00611033"/>
    <w:rsid w:val="00621382"/>
    <w:rsid w:val="00636533"/>
    <w:rsid w:val="006454C8"/>
    <w:rsid w:val="00671ED1"/>
    <w:rsid w:val="00674DF5"/>
    <w:rsid w:val="00675A34"/>
    <w:rsid w:val="006767BC"/>
    <w:rsid w:val="00681D1E"/>
    <w:rsid w:val="00682CB4"/>
    <w:rsid w:val="0068336D"/>
    <w:rsid w:val="00687F44"/>
    <w:rsid w:val="00692FBE"/>
    <w:rsid w:val="0069743E"/>
    <w:rsid w:val="006A00D8"/>
    <w:rsid w:val="006A0F15"/>
    <w:rsid w:val="006A3702"/>
    <w:rsid w:val="006B2EA7"/>
    <w:rsid w:val="006C4AC4"/>
    <w:rsid w:val="006D068F"/>
    <w:rsid w:val="006D3461"/>
    <w:rsid w:val="006E33CD"/>
    <w:rsid w:val="006E63DC"/>
    <w:rsid w:val="006E79A2"/>
    <w:rsid w:val="006F6F99"/>
    <w:rsid w:val="00704D47"/>
    <w:rsid w:val="007121F2"/>
    <w:rsid w:val="00722D0A"/>
    <w:rsid w:val="00727BBC"/>
    <w:rsid w:val="00732603"/>
    <w:rsid w:val="007409D5"/>
    <w:rsid w:val="00751A3D"/>
    <w:rsid w:val="00751B2F"/>
    <w:rsid w:val="00760BA2"/>
    <w:rsid w:val="00761790"/>
    <w:rsid w:val="007628DF"/>
    <w:rsid w:val="00763B49"/>
    <w:rsid w:val="00765920"/>
    <w:rsid w:val="007733BE"/>
    <w:rsid w:val="00773F33"/>
    <w:rsid w:val="007839E3"/>
    <w:rsid w:val="00791B02"/>
    <w:rsid w:val="007959C6"/>
    <w:rsid w:val="00796856"/>
    <w:rsid w:val="007A05C5"/>
    <w:rsid w:val="007A6D1C"/>
    <w:rsid w:val="007C40E2"/>
    <w:rsid w:val="007C7B7A"/>
    <w:rsid w:val="007D3540"/>
    <w:rsid w:val="007E1F6A"/>
    <w:rsid w:val="007F5D42"/>
    <w:rsid w:val="008062A6"/>
    <w:rsid w:val="00810B25"/>
    <w:rsid w:val="00814E29"/>
    <w:rsid w:val="00824BA2"/>
    <w:rsid w:val="0082687F"/>
    <w:rsid w:val="0083030F"/>
    <w:rsid w:val="008320D1"/>
    <w:rsid w:val="0085014E"/>
    <w:rsid w:val="00850855"/>
    <w:rsid w:val="00852609"/>
    <w:rsid w:val="008536D1"/>
    <w:rsid w:val="0086294D"/>
    <w:rsid w:val="008647A1"/>
    <w:rsid w:val="00864C83"/>
    <w:rsid w:val="008728A9"/>
    <w:rsid w:val="008967EE"/>
    <w:rsid w:val="00896EED"/>
    <w:rsid w:val="00897AAA"/>
    <w:rsid w:val="008A3247"/>
    <w:rsid w:val="008A3868"/>
    <w:rsid w:val="008A3E3D"/>
    <w:rsid w:val="008A76D4"/>
    <w:rsid w:val="008B0B87"/>
    <w:rsid w:val="008B3520"/>
    <w:rsid w:val="008B7B90"/>
    <w:rsid w:val="008C48DB"/>
    <w:rsid w:val="008D3D32"/>
    <w:rsid w:val="008D687C"/>
    <w:rsid w:val="008D7CC5"/>
    <w:rsid w:val="008E1E65"/>
    <w:rsid w:val="008E25B0"/>
    <w:rsid w:val="008E3BEE"/>
    <w:rsid w:val="008E3CB7"/>
    <w:rsid w:val="008F464A"/>
    <w:rsid w:val="008F52F3"/>
    <w:rsid w:val="00901C3A"/>
    <w:rsid w:val="00905EB3"/>
    <w:rsid w:val="0091336A"/>
    <w:rsid w:val="00926B78"/>
    <w:rsid w:val="009337C2"/>
    <w:rsid w:val="0093447E"/>
    <w:rsid w:val="00936709"/>
    <w:rsid w:val="00937364"/>
    <w:rsid w:val="00942582"/>
    <w:rsid w:val="00944D60"/>
    <w:rsid w:val="00946743"/>
    <w:rsid w:val="009507D2"/>
    <w:rsid w:val="009546E2"/>
    <w:rsid w:val="00955D29"/>
    <w:rsid w:val="00970D47"/>
    <w:rsid w:val="009804E8"/>
    <w:rsid w:val="00986264"/>
    <w:rsid w:val="00990EA8"/>
    <w:rsid w:val="00992180"/>
    <w:rsid w:val="009937E8"/>
    <w:rsid w:val="00993F1A"/>
    <w:rsid w:val="00994D23"/>
    <w:rsid w:val="00995D47"/>
    <w:rsid w:val="00995F64"/>
    <w:rsid w:val="00997126"/>
    <w:rsid w:val="009975F3"/>
    <w:rsid w:val="00997792"/>
    <w:rsid w:val="009A18E2"/>
    <w:rsid w:val="009A25F9"/>
    <w:rsid w:val="009A4D5C"/>
    <w:rsid w:val="009A7888"/>
    <w:rsid w:val="009A7B70"/>
    <w:rsid w:val="009B620B"/>
    <w:rsid w:val="009B7668"/>
    <w:rsid w:val="009C1289"/>
    <w:rsid w:val="009D0D83"/>
    <w:rsid w:val="009D5BD0"/>
    <w:rsid w:val="009E3E6F"/>
    <w:rsid w:val="009E48BB"/>
    <w:rsid w:val="009E5A94"/>
    <w:rsid w:val="009F5918"/>
    <w:rsid w:val="00A01387"/>
    <w:rsid w:val="00A07321"/>
    <w:rsid w:val="00A07709"/>
    <w:rsid w:val="00A14E2C"/>
    <w:rsid w:val="00A2073F"/>
    <w:rsid w:val="00A231A9"/>
    <w:rsid w:val="00A2336A"/>
    <w:rsid w:val="00A27112"/>
    <w:rsid w:val="00A32FB9"/>
    <w:rsid w:val="00A33551"/>
    <w:rsid w:val="00A35F27"/>
    <w:rsid w:val="00A437B5"/>
    <w:rsid w:val="00A60A7F"/>
    <w:rsid w:val="00A6115A"/>
    <w:rsid w:val="00A623B2"/>
    <w:rsid w:val="00A64731"/>
    <w:rsid w:val="00A73099"/>
    <w:rsid w:val="00A74CDD"/>
    <w:rsid w:val="00A7555B"/>
    <w:rsid w:val="00A7645A"/>
    <w:rsid w:val="00A9604C"/>
    <w:rsid w:val="00AA2775"/>
    <w:rsid w:val="00AA55C4"/>
    <w:rsid w:val="00AC15A6"/>
    <w:rsid w:val="00AC456C"/>
    <w:rsid w:val="00AD166C"/>
    <w:rsid w:val="00AD1916"/>
    <w:rsid w:val="00AD2F85"/>
    <w:rsid w:val="00AD513B"/>
    <w:rsid w:val="00AE010D"/>
    <w:rsid w:val="00AE178B"/>
    <w:rsid w:val="00AF2503"/>
    <w:rsid w:val="00AF6F04"/>
    <w:rsid w:val="00B009E1"/>
    <w:rsid w:val="00B01D8A"/>
    <w:rsid w:val="00B051A0"/>
    <w:rsid w:val="00B0531E"/>
    <w:rsid w:val="00B218E3"/>
    <w:rsid w:val="00B227D9"/>
    <w:rsid w:val="00B24524"/>
    <w:rsid w:val="00B245ED"/>
    <w:rsid w:val="00B26A83"/>
    <w:rsid w:val="00B27047"/>
    <w:rsid w:val="00B32596"/>
    <w:rsid w:val="00B40B71"/>
    <w:rsid w:val="00B50E7C"/>
    <w:rsid w:val="00B53A31"/>
    <w:rsid w:val="00B620A1"/>
    <w:rsid w:val="00B65F0B"/>
    <w:rsid w:val="00B71CF2"/>
    <w:rsid w:val="00B73FBE"/>
    <w:rsid w:val="00B82714"/>
    <w:rsid w:val="00B839AE"/>
    <w:rsid w:val="00B92EA0"/>
    <w:rsid w:val="00B933FE"/>
    <w:rsid w:val="00B93FF3"/>
    <w:rsid w:val="00BA239B"/>
    <w:rsid w:val="00BA362C"/>
    <w:rsid w:val="00BA3E0A"/>
    <w:rsid w:val="00BA6F6A"/>
    <w:rsid w:val="00BB2011"/>
    <w:rsid w:val="00BB2245"/>
    <w:rsid w:val="00BB4BEB"/>
    <w:rsid w:val="00BB6453"/>
    <w:rsid w:val="00BB7CCD"/>
    <w:rsid w:val="00BC0290"/>
    <w:rsid w:val="00BC31CA"/>
    <w:rsid w:val="00BD25C8"/>
    <w:rsid w:val="00BE27D2"/>
    <w:rsid w:val="00BE52FB"/>
    <w:rsid w:val="00BE6AA4"/>
    <w:rsid w:val="00BF0DAC"/>
    <w:rsid w:val="00BF1D30"/>
    <w:rsid w:val="00BF5F5A"/>
    <w:rsid w:val="00C15755"/>
    <w:rsid w:val="00C20D42"/>
    <w:rsid w:val="00C31DEA"/>
    <w:rsid w:val="00C34D29"/>
    <w:rsid w:val="00C37E82"/>
    <w:rsid w:val="00C472E0"/>
    <w:rsid w:val="00C5637E"/>
    <w:rsid w:val="00C63EF3"/>
    <w:rsid w:val="00C6713C"/>
    <w:rsid w:val="00C67EA0"/>
    <w:rsid w:val="00C82542"/>
    <w:rsid w:val="00C83161"/>
    <w:rsid w:val="00C85D8F"/>
    <w:rsid w:val="00C95C81"/>
    <w:rsid w:val="00CA50AF"/>
    <w:rsid w:val="00CA6B9A"/>
    <w:rsid w:val="00CB581A"/>
    <w:rsid w:val="00CB6616"/>
    <w:rsid w:val="00CC4634"/>
    <w:rsid w:val="00CC64F5"/>
    <w:rsid w:val="00CD399A"/>
    <w:rsid w:val="00CD5C47"/>
    <w:rsid w:val="00CE0CCE"/>
    <w:rsid w:val="00CF22CA"/>
    <w:rsid w:val="00CF3B93"/>
    <w:rsid w:val="00CF62EF"/>
    <w:rsid w:val="00D01500"/>
    <w:rsid w:val="00D0213C"/>
    <w:rsid w:val="00D06665"/>
    <w:rsid w:val="00D31C0D"/>
    <w:rsid w:val="00D42057"/>
    <w:rsid w:val="00D42439"/>
    <w:rsid w:val="00D45C24"/>
    <w:rsid w:val="00D56638"/>
    <w:rsid w:val="00D606BD"/>
    <w:rsid w:val="00D64EF3"/>
    <w:rsid w:val="00D67EE0"/>
    <w:rsid w:val="00D7469F"/>
    <w:rsid w:val="00D74A37"/>
    <w:rsid w:val="00D7546A"/>
    <w:rsid w:val="00D772AB"/>
    <w:rsid w:val="00D848B4"/>
    <w:rsid w:val="00D94218"/>
    <w:rsid w:val="00D95C62"/>
    <w:rsid w:val="00D9668B"/>
    <w:rsid w:val="00D97940"/>
    <w:rsid w:val="00DA0F4F"/>
    <w:rsid w:val="00DA31C5"/>
    <w:rsid w:val="00DA3729"/>
    <w:rsid w:val="00DB0232"/>
    <w:rsid w:val="00DB4433"/>
    <w:rsid w:val="00DC1178"/>
    <w:rsid w:val="00DC2E79"/>
    <w:rsid w:val="00DC69CC"/>
    <w:rsid w:val="00DD020C"/>
    <w:rsid w:val="00DD1518"/>
    <w:rsid w:val="00DE0F76"/>
    <w:rsid w:val="00DE1231"/>
    <w:rsid w:val="00DE7162"/>
    <w:rsid w:val="00DF0001"/>
    <w:rsid w:val="00DF4F87"/>
    <w:rsid w:val="00DF549C"/>
    <w:rsid w:val="00DF68B4"/>
    <w:rsid w:val="00E0066D"/>
    <w:rsid w:val="00E02EA6"/>
    <w:rsid w:val="00E066CB"/>
    <w:rsid w:val="00E177A6"/>
    <w:rsid w:val="00E3255C"/>
    <w:rsid w:val="00E53733"/>
    <w:rsid w:val="00E62E0C"/>
    <w:rsid w:val="00E71A60"/>
    <w:rsid w:val="00E770D4"/>
    <w:rsid w:val="00E81153"/>
    <w:rsid w:val="00E81D20"/>
    <w:rsid w:val="00E83DEB"/>
    <w:rsid w:val="00EB3701"/>
    <w:rsid w:val="00EB3B32"/>
    <w:rsid w:val="00EB4438"/>
    <w:rsid w:val="00EB5A7C"/>
    <w:rsid w:val="00EB6A0E"/>
    <w:rsid w:val="00EC034B"/>
    <w:rsid w:val="00EC1D95"/>
    <w:rsid w:val="00EC405F"/>
    <w:rsid w:val="00EC49A4"/>
    <w:rsid w:val="00ED72B4"/>
    <w:rsid w:val="00EE5055"/>
    <w:rsid w:val="00EE5F9E"/>
    <w:rsid w:val="00EE7E25"/>
    <w:rsid w:val="00F07BE1"/>
    <w:rsid w:val="00F11A1D"/>
    <w:rsid w:val="00F12F0D"/>
    <w:rsid w:val="00F2199D"/>
    <w:rsid w:val="00F2538F"/>
    <w:rsid w:val="00F2590A"/>
    <w:rsid w:val="00F26BC2"/>
    <w:rsid w:val="00F319C2"/>
    <w:rsid w:val="00F33855"/>
    <w:rsid w:val="00F34B29"/>
    <w:rsid w:val="00F34E0A"/>
    <w:rsid w:val="00F37296"/>
    <w:rsid w:val="00F5281B"/>
    <w:rsid w:val="00F62C9B"/>
    <w:rsid w:val="00F62E69"/>
    <w:rsid w:val="00F64377"/>
    <w:rsid w:val="00F71F3D"/>
    <w:rsid w:val="00F8085F"/>
    <w:rsid w:val="00F828A3"/>
    <w:rsid w:val="00F84AA5"/>
    <w:rsid w:val="00F84BB3"/>
    <w:rsid w:val="00F852CE"/>
    <w:rsid w:val="00F9097D"/>
    <w:rsid w:val="00F917C0"/>
    <w:rsid w:val="00F9775A"/>
    <w:rsid w:val="00FA1D03"/>
    <w:rsid w:val="00FA3A08"/>
    <w:rsid w:val="00FA595D"/>
    <w:rsid w:val="00FA6F81"/>
    <w:rsid w:val="00FB4326"/>
    <w:rsid w:val="00FD4BE4"/>
    <w:rsid w:val="00FD6E96"/>
    <w:rsid w:val="00FE4AC3"/>
    <w:rsid w:val="00FE575A"/>
    <w:rsid w:val="00FF1E8F"/>
    <w:rsid w:val="01090133"/>
    <w:rsid w:val="010B2077"/>
    <w:rsid w:val="011464C1"/>
    <w:rsid w:val="011F3A3F"/>
    <w:rsid w:val="01274F1F"/>
    <w:rsid w:val="01280ED4"/>
    <w:rsid w:val="01360201"/>
    <w:rsid w:val="015240D2"/>
    <w:rsid w:val="01661239"/>
    <w:rsid w:val="01692BCB"/>
    <w:rsid w:val="01694E0E"/>
    <w:rsid w:val="01720EE4"/>
    <w:rsid w:val="018A24F4"/>
    <w:rsid w:val="019415C6"/>
    <w:rsid w:val="01A00A4A"/>
    <w:rsid w:val="01B661CE"/>
    <w:rsid w:val="01BA43F6"/>
    <w:rsid w:val="01E266ED"/>
    <w:rsid w:val="01EC1006"/>
    <w:rsid w:val="020171AB"/>
    <w:rsid w:val="02056FE1"/>
    <w:rsid w:val="02294095"/>
    <w:rsid w:val="022F653E"/>
    <w:rsid w:val="02454F84"/>
    <w:rsid w:val="026B3354"/>
    <w:rsid w:val="02726A06"/>
    <w:rsid w:val="028043D3"/>
    <w:rsid w:val="028A26B2"/>
    <w:rsid w:val="02C16A4C"/>
    <w:rsid w:val="02E2621B"/>
    <w:rsid w:val="02EA7728"/>
    <w:rsid w:val="02EE7DA3"/>
    <w:rsid w:val="02F255C3"/>
    <w:rsid w:val="03134D1D"/>
    <w:rsid w:val="031F2F96"/>
    <w:rsid w:val="03442109"/>
    <w:rsid w:val="034D7C6C"/>
    <w:rsid w:val="035850B2"/>
    <w:rsid w:val="035F7A25"/>
    <w:rsid w:val="037061C7"/>
    <w:rsid w:val="037539F8"/>
    <w:rsid w:val="037B0FC8"/>
    <w:rsid w:val="037E0777"/>
    <w:rsid w:val="03875467"/>
    <w:rsid w:val="038F03F5"/>
    <w:rsid w:val="0393523F"/>
    <w:rsid w:val="03950B1A"/>
    <w:rsid w:val="03BA7BF8"/>
    <w:rsid w:val="03C129B8"/>
    <w:rsid w:val="03C85C50"/>
    <w:rsid w:val="03FA00DE"/>
    <w:rsid w:val="040E48B9"/>
    <w:rsid w:val="042915DE"/>
    <w:rsid w:val="042D76BF"/>
    <w:rsid w:val="04320849"/>
    <w:rsid w:val="044442FF"/>
    <w:rsid w:val="04581E31"/>
    <w:rsid w:val="047102C6"/>
    <w:rsid w:val="0472002D"/>
    <w:rsid w:val="04744364"/>
    <w:rsid w:val="047A6F93"/>
    <w:rsid w:val="047C4806"/>
    <w:rsid w:val="047D6CD4"/>
    <w:rsid w:val="048224AC"/>
    <w:rsid w:val="04A0169D"/>
    <w:rsid w:val="04A527BC"/>
    <w:rsid w:val="04A8568E"/>
    <w:rsid w:val="04AB7949"/>
    <w:rsid w:val="04AD7452"/>
    <w:rsid w:val="04CC4150"/>
    <w:rsid w:val="050F32B7"/>
    <w:rsid w:val="051775F9"/>
    <w:rsid w:val="0532421C"/>
    <w:rsid w:val="05414C63"/>
    <w:rsid w:val="054D0ACC"/>
    <w:rsid w:val="055C2D5C"/>
    <w:rsid w:val="055D7EDC"/>
    <w:rsid w:val="05685C16"/>
    <w:rsid w:val="056C189E"/>
    <w:rsid w:val="056C31AC"/>
    <w:rsid w:val="05791428"/>
    <w:rsid w:val="05823215"/>
    <w:rsid w:val="05A9706C"/>
    <w:rsid w:val="05BA0B85"/>
    <w:rsid w:val="05E20A2D"/>
    <w:rsid w:val="05E85DA5"/>
    <w:rsid w:val="05EE09C0"/>
    <w:rsid w:val="060E11DF"/>
    <w:rsid w:val="060F0284"/>
    <w:rsid w:val="06126B09"/>
    <w:rsid w:val="061A3402"/>
    <w:rsid w:val="06272E4D"/>
    <w:rsid w:val="06284ECB"/>
    <w:rsid w:val="062877D0"/>
    <w:rsid w:val="063014CA"/>
    <w:rsid w:val="06570ED9"/>
    <w:rsid w:val="06624712"/>
    <w:rsid w:val="066E3515"/>
    <w:rsid w:val="0678035A"/>
    <w:rsid w:val="06854443"/>
    <w:rsid w:val="06864F8D"/>
    <w:rsid w:val="0692500C"/>
    <w:rsid w:val="06BD123D"/>
    <w:rsid w:val="06FE31BD"/>
    <w:rsid w:val="07036DF7"/>
    <w:rsid w:val="07103E71"/>
    <w:rsid w:val="07157AD6"/>
    <w:rsid w:val="07182B4D"/>
    <w:rsid w:val="071A33D0"/>
    <w:rsid w:val="07226F6E"/>
    <w:rsid w:val="072B0E65"/>
    <w:rsid w:val="07332ACD"/>
    <w:rsid w:val="073F2769"/>
    <w:rsid w:val="07446F35"/>
    <w:rsid w:val="07595BA8"/>
    <w:rsid w:val="075A5B7A"/>
    <w:rsid w:val="075A7AE6"/>
    <w:rsid w:val="075C6916"/>
    <w:rsid w:val="076878B9"/>
    <w:rsid w:val="076B127F"/>
    <w:rsid w:val="077E30CD"/>
    <w:rsid w:val="078B141A"/>
    <w:rsid w:val="079677DF"/>
    <w:rsid w:val="07A74A32"/>
    <w:rsid w:val="07A97061"/>
    <w:rsid w:val="07B463FB"/>
    <w:rsid w:val="07B70E5B"/>
    <w:rsid w:val="07CD6F3C"/>
    <w:rsid w:val="07D461BF"/>
    <w:rsid w:val="07DF72CB"/>
    <w:rsid w:val="07E948C7"/>
    <w:rsid w:val="080242B8"/>
    <w:rsid w:val="08160DDC"/>
    <w:rsid w:val="081B3F66"/>
    <w:rsid w:val="081D5465"/>
    <w:rsid w:val="082F4D6B"/>
    <w:rsid w:val="085476FD"/>
    <w:rsid w:val="085E5716"/>
    <w:rsid w:val="08682081"/>
    <w:rsid w:val="0884277F"/>
    <w:rsid w:val="08850A98"/>
    <w:rsid w:val="08871555"/>
    <w:rsid w:val="08876261"/>
    <w:rsid w:val="088B3597"/>
    <w:rsid w:val="08B70BFE"/>
    <w:rsid w:val="08BC4B60"/>
    <w:rsid w:val="08BC5F71"/>
    <w:rsid w:val="08C66409"/>
    <w:rsid w:val="08C95CC0"/>
    <w:rsid w:val="08D30A39"/>
    <w:rsid w:val="08DE58A8"/>
    <w:rsid w:val="08E315D9"/>
    <w:rsid w:val="08ED14D6"/>
    <w:rsid w:val="08FC2F08"/>
    <w:rsid w:val="090D1768"/>
    <w:rsid w:val="091056FF"/>
    <w:rsid w:val="096E66F9"/>
    <w:rsid w:val="09777E2A"/>
    <w:rsid w:val="09791150"/>
    <w:rsid w:val="09C53B0A"/>
    <w:rsid w:val="0A05005C"/>
    <w:rsid w:val="0A0A7530"/>
    <w:rsid w:val="0A1E5FE9"/>
    <w:rsid w:val="0A2147F1"/>
    <w:rsid w:val="0A243078"/>
    <w:rsid w:val="0A281202"/>
    <w:rsid w:val="0A463436"/>
    <w:rsid w:val="0A495330"/>
    <w:rsid w:val="0A933638"/>
    <w:rsid w:val="0A9675F9"/>
    <w:rsid w:val="0AAD31C6"/>
    <w:rsid w:val="0AB562B5"/>
    <w:rsid w:val="0AB87DA2"/>
    <w:rsid w:val="0B010EA7"/>
    <w:rsid w:val="0B0638DD"/>
    <w:rsid w:val="0B0C4908"/>
    <w:rsid w:val="0B0D52EE"/>
    <w:rsid w:val="0B180737"/>
    <w:rsid w:val="0B2C34F7"/>
    <w:rsid w:val="0B3B3DAE"/>
    <w:rsid w:val="0B4F154F"/>
    <w:rsid w:val="0B5E313B"/>
    <w:rsid w:val="0B7647E1"/>
    <w:rsid w:val="0B830A82"/>
    <w:rsid w:val="0B930C3D"/>
    <w:rsid w:val="0B9853BF"/>
    <w:rsid w:val="0BA061DE"/>
    <w:rsid w:val="0BA6611E"/>
    <w:rsid w:val="0BDF081D"/>
    <w:rsid w:val="0BE977CA"/>
    <w:rsid w:val="0C0B63B0"/>
    <w:rsid w:val="0C105887"/>
    <w:rsid w:val="0C241805"/>
    <w:rsid w:val="0C2F66F7"/>
    <w:rsid w:val="0C42408D"/>
    <w:rsid w:val="0C6C4D3F"/>
    <w:rsid w:val="0C8822CB"/>
    <w:rsid w:val="0CAE5AFD"/>
    <w:rsid w:val="0CB45EB1"/>
    <w:rsid w:val="0CBA083A"/>
    <w:rsid w:val="0CBB7DC8"/>
    <w:rsid w:val="0CBF1F88"/>
    <w:rsid w:val="0CC570DB"/>
    <w:rsid w:val="0CD36D95"/>
    <w:rsid w:val="0CE42A1B"/>
    <w:rsid w:val="0CFC7B94"/>
    <w:rsid w:val="0D1E3E83"/>
    <w:rsid w:val="0D3749D5"/>
    <w:rsid w:val="0D4758A5"/>
    <w:rsid w:val="0D5B4529"/>
    <w:rsid w:val="0D5F2C5A"/>
    <w:rsid w:val="0D6D006C"/>
    <w:rsid w:val="0D8E063D"/>
    <w:rsid w:val="0DA22408"/>
    <w:rsid w:val="0DA61EFD"/>
    <w:rsid w:val="0DA77FB8"/>
    <w:rsid w:val="0DA81637"/>
    <w:rsid w:val="0DAC4129"/>
    <w:rsid w:val="0DBC1E54"/>
    <w:rsid w:val="0DCC28A0"/>
    <w:rsid w:val="0DCE1938"/>
    <w:rsid w:val="0DCE36E7"/>
    <w:rsid w:val="0DD75251"/>
    <w:rsid w:val="0DD87F36"/>
    <w:rsid w:val="0DDF7504"/>
    <w:rsid w:val="0DE77CCE"/>
    <w:rsid w:val="0DED3BFF"/>
    <w:rsid w:val="0E1D2CB3"/>
    <w:rsid w:val="0E203A4A"/>
    <w:rsid w:val="0E20533F"/>
    <w:rsid w:val="0E216D1B"/>
    <w:rsid w:val="0E233374"/>
    <w:rsid w:val="0E424A57"/>
    <w:rsid w:val="0E6761D6"/>
    <w:rsid w:val="0E6A066F"/>
    <w:rsid w:val="0E6A5C97"/>
    <w:rsid w:val="0E751CF1"/>
    <w:rsid w:val="0E773866"/>
    <w:rsid w:val="0E775DF8"/>
    <w:rsid w:val="0E843226"/>
    <w:rsid w:val="0E8A5167"/>
    <w:rsid w:val="0EA24C94"/>
    <w:rsid w:val="0EA44514"/>
    <w:rsid w:val="0EAB5909"/>
    <w:rsid w:val="0EB876BD"/>
    <w:rsid w:val="0ECC5B81"/>
    <w:rsid w:val="0ECD765C"/>
    <w:rsid w:val="0ED3470A"/>
    <w:rsid w:val="0EDF1DD1"/>
    <w:rsid w:val="0EE222A5"/>
    <w:rsid w:val="0EE90C31"/>
    <w:rsid w:val="0EEB4200"/>
    <w:rsid w:val="0EEE3750"/>
    <w:rsid w:val="0EFA64F3"/>
    <w:rsid w:val="0EFB0772"/>
    <w:rsid w:val="0F070A5F"/>
    <w:rsid w:val="0F3A69BB"/>
    <w:rsid w:val="0F3D69A8"/>
    <w:rsid w:val="0F492525"/>
    <w:rsid w:val="0F5772D6"/>
    <w:rsid w:val="0F620E10"/>
    <w:rsid w:val="0F653200"/>
    <w:rsid w:val="0F7C1FC5"/>
    <w:rsid w:val="0F827FDB"/>
    <w:rsid w:val="0F881449"/>
    <w:rsid w:val="0F8B715E"/>
    <w:rsid w:val="0F8C781F"/>
    <w:rsid w:val="0FDE46B9"/>
    <w:rsid w:val="0FE01B36"/>
    <w:rsid w:val="0FFE3DCE"/>
    <w:rsid w:val="0FFF6DE6"/>
    <w:rsid w:val="10010C77"/>
    <w:rsid w:val="1006380F"/>
    <w:rsid w:val="100C0D7E"/>
    <w:rsid w:val="101534B4"/>
    <w:rsid w:val="10177788"/>
    <w:rsid w:val="10353E6D"/>
    <w:rsid w:val="105F4257"/>
    <w:rsid w:val="10697F46"/>
    <w:rsid w:val="1076695F"/>
    <w:rsid w:val="107866FF"/>
    <w:rsid w:val="10962912"/>
    <w:rsid w:val="10BA4A27"/>
    <w:rsid w:val="10D330DA"/>
    <w:rsid w:val="10D34E2B"/>
    <w:rsid w:val="10D44803"/>
    <w:rsid w:val="10F022BD"/>
    <w:rsid w:val="10FA696B"/>
    <w:rsid w:val="110C664D"/>
    <w:rsid w:val="1116185F"/>
    <w:rsid w:val="11215C89"/>
    <w:rsid w:val="11225469"/>
    <w:rsid w:val="11281176"/>
    <w:rsid w:val="11283EF6"/>
    <w:rsid w:val="112C5A17"/>
    <w:rsid w:val="114E163F"/>
    <w:rsid w:val="11513E35"/>
    <w:rsid w:val="115758E6"/>
    <w:rsid w:val="1158208F"/>
    <w:rsid w:val="116D7F5D"/>
    <w:rsid w:val="11824FEE"/>
    <w:rsid w:val="11922555"/>
    <w:rsid w:val="119D7D6D"/>
    <w:rsid w:val="11B162D6"/>
    <w:rsid w:val="11B44180"/>
    <w:rsid w:val="11F7632E"/>
    <w:rsid w:val="11F9774A"/>
    <w:rsid w:val="12106888"/>
    <w:rsid w:val="1222425B"/>
    <w:rsid w:val="12276C68"/>
    <w:rsid w:val="122E2FEF"/>
    <w:rsid w:val="124271D4"/>
    <w:rsid w:val="12575ECF"/>
    <w:rsid w:val="12585250"/>
    <w:rsid w:val="126B4488"/>
    <w:rsid w:val="127F0590"/>
    <w:rsid w:val="12850D28"/>
    <w:rsid w:val="12905E2B"/>
    <w:rsid w:val="12A94D78"/>
    <w:rsid w:val="12B81D46"/>
    <w:rsid w:val="12BD09B5"/>
    <w:rsid w:val="12C92711"/>
    <w:rsid w:val="12D254D0"/>
    <w:rsid w:val="1305788D"/>
    <w:rsid w:val="1319273E"/>
    <w:rsid w:val="131F1219"/>
    <w:rsid w:val="13296323"/>
    <w:rsid w:val="136165F9"/>
    <w:rsid w:val="13636D4A"/>
    <w:rsid w:val="1370513D"/>
    <w:rsid w:val="137126F0"/>
    <w:rsid w:val="13862905"/>
    <w:rsid w:val="138C2830"/>
    <w:rsid w:val="13913A64"/>
    <w:rsid w:val="13AA4B99"/>
    <w:rsid w:val="13B3318A"/>
    <w:rsid w:val="13B95B05"/>
    <w:rsid w:val="13C06118"/>
    <w:rsid w:val="13C446FB"/>
    <w:rsid w:val="13DB4B5F"/>
    <w:rsid w:val="13E369A4"/>
    <w:rsid w:val="13F65DA2"/>
    <w:rsid w:val="1420498E"/>
    <w:rsid w:val="14466C59"/>
    <w:rsid w:val="14754087"/>
    <w:rsid w:val="147F76D3"/>
    <w:rsid w:val="149B255D"/>
    <w:rsid w:val="14CF4477"/>
    <w:rsid w:val="14D51FDD"/>
    <w:rsid w:val="14DA47B3"/>
    <w:rsid w:val="14DD4DD9"/>
    <w:rsid w:val="150003FC"/>
    <w:rsid w:val="15005FEE"/>
    <w:rsid w:val="151A1A56"/>
    <w:rsid w:val="15210EE0"/>
    <w:rsid w:val="152C1DA6"/>
    <w:rsid w:val="155076D4"/>
    <w:rsid w:val="155C6450"/>
    <w:rsid w:val="15677234"/>
    <w:rsid w:val="158F7502"/>
    <w:rsid w:val="159F3D50"/>
    <w:rsid w:val="15AC1A21"/>
    <w:rsid w:val="15B64EDB"/>
    <w:rsid w:val="15DD635F"/>
    <w:rsid w:val="161857D0"/>
    <w:rsid w:val="162578D4"/>
    <w:rsid w:val="16392363"/>
    <w:rsid w:val="16477D80"/>
    <w:rsid w:val="165A6763"/>
    <w:rsid w:val="165C1196"/>
    <w:rsid w:val="165D6E3D"/>
    <w:rsid w:val="1668425E"/>
    <w:rsid w:val="166C2B13"/>
    <w:rsid w:val="167376BF"/>
    <w:rsid w:val="167C3C9D"/>
    <w:rsid w:val="16812745"/>
    <w:rsid w:val="168348F2"/>
    <w:rsid w:val="16880D7F"/>
    <w:rsid w:val="169A0067"/>
    <w:rsid w:val="16C31FF4"/>
    <w:rsid w:val="16C93558"/>
    <w:rsid w:val="16D4069C"/>
    <w:rsid w:val="16D55BFF"/>
    <w:rsid w:val="16EC0D78"/>
    <w:rsid w:val="16F13223"/>
    <w:rsid w:val="16F7512F"/>
    <w:rsid w:val="17053048"/>
    <w:rsid w:val="170E5F8C"/>
    <w:rsid w:val="171174BE"/>
    <w:rsid w:val="172031C8"/>
    <w:rsid w:val="172655BF"/>
    <w:rsid w:val="172E1D1E"/>
    <w:rsid w:val="1740540E"/>
    <w:rsid w:val="17434FEA"/>
    <w:rsid w:val="17442EAD"/>
    <w:rsid w:val="17503079"/>
    <w:rsid w:val="177C26DD"/>
    <w:rsid w:val="17A1004C"/>
    <w:rsid w:val="17C77A33"/>
    <w:rsid w:val="17C93DF9"/>
    <w:rsid w:val="17CE136B"/>
    <w:rsid w:val="17F639F4"/>
    <w:rsid w:val="180411D8"/>
    <w:rsid w:val="180A3AE2"/>
    <w:rsid w:val="181B428D"/>
    <w:rsid w:val="1823104F"/>
    <w:rsid w:val="184A4B49"/>
    <w:rsid w:val="18515669"/>
    <w:rsid w:val="186208F3"/>
    <w:rsid w:val="18643512"/>
    <w:rsid w:val="18735661"/>
    <w:rsid w:val="18765113"/>
    <w:rsid w:val="18815FA4"/>
    <w:rsid w:val="188B720A"/>
    <w:rsid w:val="189F68FB"/>
    <w:rsid w:val="18B85611"/>
    <w:rsid w:val="18C26A12"/>
    <w:rsid w:val="18C434D3"/>
    <w:rsid w:val="18DB4BD4"/>
    <w:rsid w:val="18E539B2"/>
    <w:rsid w:val="18F66AD4"/>
    <w:rsid w:val="19053CD7"/>
    <w:rsid w:val="19071A01"/>
    <w:rsid w:val="19084BF6"/>
    <w:rsid w:val="190F13DF"/>
    <w:rsid w:val="19267D3E"/>
    <w:rsid w:val="192B71CF"/>
    <w:rsid w:val="193500D9"/>
    <w:rsid w:val="193F3977"/>
    <w:rsid w:val="19515C6A"/>
    <w:rsid w:val="19581C2E"/>
    <w:rsid w:val="19606BE0"/>
    <w:rsid w:val="1968273F"/>
    <w:rsid w:val="19736770"/>
    <w:rsid w:val="197E72C0"/>
    <w:rsid w:val="199940B7"/>
    <w:rsid w:val="19A77A65"/>
    <w:rsid w:val="19B12BF7"/>
    <w:rsid w:val="19E6087B"/>
    <w:rsid w:val="19EE5800"/>
    <w:rsid w:val="19FB27AC"/>
    <w:rsid w:val="1A1C7B49"/>
    <w:rsid w:val="1A2363FD"/>
    <w:rsid w:val="1A2761C3"/>
    <w:rsid w:val="1A670904"/>
    <w:rsid w:val="1A6E1C32"/>
    <w:rsid w:val="1A86631D"/>
    <w:rsid w:val="1A8D4A22"/>
    <w:rsid w:val="1AB02551"/>
    <w:rsid w:val="1AFE027F"/>
    <w:rsid w:val="1B0A1516"/>
    <w:rsid w:val="1B260075"/>
    <w:rsid w:val="1B2A4E37"/>
    <w:rsid w:val="1B4810AB"/>
    <w:rsid w:val="1B507759"/>
    <w:rsid w:val="1B597185"/>
    <w:rsid w:val="1B762CE2"/>
    <w:rsid w:val="1B7A1138"/>
    <w:rsid w:val="1B807DBD"/>
    <w:rsid w:val="1B823586"/>
    <w:rsid w:val="1BA901B1"/>
    <w:rsid w:val="1BB26DB9"/>
    <w:rsid w:val="1BB70F6D"/>
    <w:rsid w:val="1BB92535"/>
    <w:rsid w:val="1BBB72DE"/>
    <w:rsid w:val="1BBD3381"/>
    <w:rsid w:val="1BC8617D"/>
    <w:rsid w:val="1BE22574"/>
    <w:rsid w:val="1BEE2F8B"/>
    <w:rsid w:val="1BFC37E4"/>
    <w:rsid w:val="1C0047C9"/>
    <w:rsid w:val="1C171AE2"/>
    <w:rsid w:val="1C186398"/>
    <w:rsid w:val="1C2316D5"/>
    <w:rsid w:val="1C265C92"/>
    <w:rsid w:val="1C2E7DAC"/>
    <w:rsid w:val="1C340DD3"/>
    <w:rsid w:val="1C3906F0"/>
    <w:rsid w:val="1C4F57F1"/>
    <w:rsid w:val="1C565ED2"/>
    <w:rsid w:val="1C7E3148"/>
    <w:rsid w:val="1C8519A3"/>
    <w:rsid w:val="1CBB5F23"/>
    <w:rsid w:val="1CE0262E"/>
    <w:rsid w:val="1CE31F76"/>
    <w:rsid w:val="1CFD3B1F"/>
    <w:rsid w:val="1D015B2E"/>
    <w:rsid w:val="1D2709AF"/>
    <w:rsid w:val="1D446355"/>
    <w:rsid w:val="1D4B4CE4"/>
    <w:rsid w:val="1D55251E"/>
    <w:rsid w:val="1D5D2746"/>
    <w:rsid w:val="1D6A5E41"/>
    <w:rsid w:val="1D6B3DFC"/>
    <w:rsid w:val="1D8E1BE0"/>
    <w:rsid w:val="1D907315"/>
    <w:rsid w:val="1DA8346C"/>
    <w:rsid w:val="1DA90EE1"/>
    <w:rsid w:val="1DAC5E21"/>
    <w:rsid w:val="1DC50C06"/>
    <w:rsid w:val="1DC927F7"/>
    <w:rsid w:val="1DCA1E4A"/>
    <w:rsid w:val="1DD46F2F"/>
    <w:rsid w:val="1DE45857"/>
    <w:rsid w:val="1E015E9E"/>
    <w:rsid w:val="1E095665"/>
    <w:rsid w:val="1E3D7ACD"/>
    <w:rsid w:val="1E480675"/>
    <w:rsid w:val="1E590A3C"/>
    <w:rsid w:val="1E6E7423"/>
    <w:rsid w:val="1E765425"/>
    <w:rsid w:val="1E8D34F7"/>
    <w:rsid w:val="1ED46F93"/>
    <w:rsid w:val="1F25629C"/>
    <w:rsid w:val="1F2B23C7"/>
    <w:rsid w:val="1F2B3BB9"/>
    <w:rsid w:val="1F3811B5"/>
    <w:rsid w:val="1F410418"/>
    <w:rsid w:val="1F5314CB"/>
    <w:rsid w:val="1F545D03"/>
    <w:rsid w:val="1F8E71E6"/>
    <w:rsid w:val="1FA955D4"/>
    <w:rsid w:val="1FAA3709"/>
    <w:rsid w:val="1FF43295"/>
    <w:rsid w:val="1FF545C9"/>
    <w:rsid w:val="1FFE066D"/>
    <w:rsid w:val="2024428C"/>
    <w:rsid w:val="204072FF"/>
    <w:rsid w:val="20421EEB"/>
    <w:rsid w:val="20446F81"/>
    <w:rsid w:val="20452520"/>
    <w:rsid w:val="205E0CB5"/>
    <w:rsid w:val="2069723A"/>
    <w:rsid w:val="207829B8"/>
    <w:rsid w:val="209B09BA"/>
    <w:rsid w:val="20A9720E"/>
    <w:rsid w:val="20AF285B"/>
    <w:rsid w:val="20C9506B"/>
    <w:rsid w:val="20D01CA7"/>
    <w:rsid w:val="20EA3D26"/>
    <w:rsid w:val="20EB6096"/>
    <w:rsid w:val="21000D18"/>
    <w:rsid w:val="21032675"/>
    <w:rsid w:val="210C5010"/>
    <w:rsid w:val="21181F1E"/>
    <w:rsid w:val="21231A9B"/>
    <w:rsid w:val="212A2513"/>
    <w:rsid w:val="21854BDD"/>
    <w:rsid w:val="218A1CFD"/>
    <w:rsid w:val="21916A7F"/>
    <w:rsid w:val="21A72D70"/>
    <w:rsid w:val="21BA21F8"/>
    <w:rsid w:val="21C62E97"/>
    <w:rsid w:val="21C771D9"/>
    <w:rsid w:val="21D4755A"/>
    <w:rsid w:val="21E5347C"/>
    <w:rsid w:val="21FA4151"/>
    <w:rsid w:val="21FC3E3D"/>
    <w:rsid w:val="220C0E84"/>
    <w:rsid w:val="220E74F4"/>
    <w:rsid w:val="22112B91"/>
    <w:rsid w:val="2220004E"/>
    <w:rsid w:val="22307681"/>
    <w:rsid w:val="223B53EB"/>
    <w:rsid w:val="224D4EA5"/>
    <w:rsid w:val="227029AC"/>
    <w:rsid w:val="22737ED1"/>
    <w:rsid w:val="22855D2A"/>
    <w:rsid w:val="22980212"/>
    <w:rsid w:val="22B00440"/>
    <w:rsid w:val="22B1314F"/>
    <w:rsid w:val="22CB6B8E"/>
    <w:rsid w:val="22CF4AFE"/>
    <w:rsid w:val="22E16C7B"/>
    <w:rsid w:val="22EB6D49"/>
    <w:rsid w:val="22F14378"/>
    <w:rsid w:val="22F30066"/>
    <w:rsid w:val="230606BA"/>
    <w:rsid w:val="23145185"/>
    <w:rsid w:val="23181D0B"/>
    <w:rsid w:val="231870E6"/>
    <w:rsid w:val="232843F1"/>
    <w:rsid w:val="23603FE9"/>
    <w:rsid w:val="23654918"/>
    <w:rsid w:val="236D0355"/>
    <w:rsid w:val="2372561D"/>
    <w:rsid w:val="238B51E5"/>
    <w:rsid w:val="23961DD5"/>
    <w:rsid w:val="2396651C"/>
    <w:rsid w:val="23A122B0"/>
    <w:rsid w:val="23A613E5"/>
    <w:rsid w:val="23A92B5D"/>
    <w:rsid w:val="23AD4112"/>
    <w:rsid w:val="23AF7223"/>
    <w:rsid w:val="23B460B3"/>
    <w:rsid w:val="23B91859"/>
    <w:rsid w:val="23E05BA7"/>
    <w:rsid w:val="23E80145"/>
    <w:rsid w:val="23F15BFE"/>
    <w:rsid w:val="23F205C4"/>
    <w:rsid w:val="23F91237"/>
    <w:rsid w:val="240F6210"/>
    <w:rsid w:val="241F2B1E"/>
    <w:rsid w:val="24247C0B"/>
    <w:rsid w:val="244A0F1D"/>
    <w:rsid w:val="247344C4"/>
    <w:rsid w:val="24783AE1"/>
    <w:rsid w:val="24891ECD"/>
    <w:rsid w:val="24E41EEB"/>
    <w:rsid w:val="24F20ED0"/>
    <w:rsid w:val="2516661E"/>
    <w:rsid w:val="251A32AE"/>
    <w:rsid w:val="252E4765"/>
    <w:rsid w:val="25303562"/>
    <w:rsid w:val="25383810"/>
    <w:rsid w:val="25386077"/>
    <w:rsid w:val="25397384"/>
    <w:rsid w:val="254404EC"/>
    <w:rsid w:val="25705735"/>
    <w:rsid w:val="25867265"/>
    <w:rsid w:val="25BE75EC"/>
    <w:rsid w:val="25C7042D"/>
    <w:rsid w:val="25CE347C"/>
    <w:rsid w:val="25DA191B"/>
    <w:rsid w:val="25DE2F5B"/>
    <w:rsid w:val="25E53A11"/>
    <w:rsid w:val="25EC2AC5"/>
    <w:rsid w:val="26003366"/>
    <w:rsid w:val="2609122F"/>
    <w:rsid w:val="262718BF"/>
    <w:rsid w:val="262B2929"/>
    <w:rsid w:val="26301CEE"/>
    <w:rsid w:val="2630704A"/>
    <w:rsid w:val="263E6526"/>
    <w:rsid w:val="26407654"/>
    <w:rsid w:val="26467379"/>
    <w:rsid w:val="264E30B1"/>
    <w:rsid w:val="26954DA6"/>
    <w:rsid w:val="26B9365A"/>
    <w:rsid w:val="26C74CC6"/>
    <w:rsid w:val="26D64CED"/>
    <w:rsid w:val="26DE4E39"/>
    <w:rsid w:val="26EF7E54"/>
    <w:rsid w:val="27122BDE"/>
    <w:rsid w:val="272C1428"/>
    <w:rsid w:val="27325712"/>
    <w:rsid w:val="27340CA3"/>
    <w:rsid w:val="27371765"/>
    <w:rsid w:val="27706E14"/>
    <w:rsid w:val="27815570"/>
    <w:rsid w:val="27892CDD"/>
    <w:rsid w:val="27896CD0"/>
    <w:rsid w:val="278B44D7"/>
    <w:rsid w:val="278F5461"/>
    <w:rsid w:val="27AB51A6"/>
    <w:rsid w:val="27B81D08"/>
    <w:rsid w:val="27C30221"/>
    <w:rsid w:val="27CE623A"/>
    <w:rsid w:val="27D069F8"/>
    <w:rsid w:val="27E438B0"/>
    <w:rsid w:val="27E4791D"/>
    <w:rsid w:val="27E54C01"/>
    <w:rsid w:val="27F920A2"/>
    <w:rsid w:val="282006AE"/>
    <w:rsid w:val="28230244"/>
    <w:rsid w:val="28237357"/>
    <w:rsid w:val="282E58D3"/>
    <w:rsid w:val="28505370"/>
    <w:rsid w:val="28517C2E"/>
    <w:rsid w:val="28614048"/>
    <w:rsid w:val="286D12E0"/>
    <w:rsid w:val="28963ABE"/>
    <w:rsid w:val="28A450B3"/>
    <w:rsid w:val="28AE5F6E"/>
    <w:rsid w:val="28B3683A"/>
    <w:rsid w:val="28BF1224"/>
    <w:rsid w:val="28C01776"/>
    <w:rsid w:val="28C4221E"/>
    <w:rsid w:val="28C5143A"/>
    <w:rsid w:val="29041F25"/>
    <w:rsid w:val="29106B84"/>
    <w:rsid w:val="293D54D6"/>
    <w:rsid w:val="29405C61"/>
    <w:rsid w:val="294522E7"/>
    <w:rsid w:val="29476BFC"/>
    <w:rsid w:val="296329A1"/>
    <w:rsid w:val="29641F51"/>
    <w:rsid w:val="296A2F76"/>
    <w:rsid w:val="29A81197"/>
    <w:rsid w:val="29AB7718"/>
    <w:rsid w:val="29AE6A08"/>
    <w:rsid w:val="29B13A04"/>
    <w:rsid w:val="29B16ACC"/>
    <w:rsid w:val="29B858C5"/>
    <w:rsid w:val="29BA4456"/>
    <w:rsid w:val="29BD58A0"/>
    <w:rsid w:val="29BE4962"/>
    <w:rsid w:val="29E10AB3"/>
    <w:rsid w:val="29F83AD6"/>
    <w:rsid w:val="2A0523AD"/>
    <w:rsid w:val="2A0D774C"/>
    <w:rsid w:val="2A145E1C"/>
    <w:rsid w:val="2A5E667C"/>
    <w:rsid w:val="2A7A6D42"/>
    <w:rsid w:val="2A8767EC"/>
    <w:rsid w:val="2A8A2482"/>
    <w:rsid w:val="2AA71D82"/>
    <w:rsid w:val="2AA7272C"/>
    <w:rsid w:val="2ACF0D45"/>
    <w:rsid w:val="2AFB37EB"/>
    <w:rsid w:val="2B1D2222"/>
    <w:rsid w:val="2B1E6F59"/>
    <w:rsid w:val="2B3B56BD"/>
    <w:rsid w:val="2B4832EA"/>
    <w:rsid w:val="2B5F2298"/>
    <w:rsid w:val="2B60634B"/>
    <w:rsid w:val="2B625ACB"/>
    <w:rsid w:val="2B632B2A"/>
    <w:rsid w:val="2B6B1F10"/>
    <w:rsid w:val="2B6E6DB4"/>
    <w:rsid w:val="2B9371D0"/>
    <w:rsid w:val="2BA34112"/>
    <w:rsid w:val="2BAC4972"/>
    <w:rsid w:val="2BB614DD"/>
    <w:rsid w:val="2BC62CFA"/>
    <w:rsid w:val="2BC64228"/>
    <w:rsid w:val="2BCA59F6"/>
    <w:rsid w:val="2BF70597"/>
    <w:rsid w:val="2BF96F95"/>
    <w:rsid w:val="2C0A359B"/>
    <w:rsid w:val="2C56205A"/>
    <w:rsid w:val="2C60388C"/>
    <w:rsid w:val="2C664C1A"/>
    <w:rsid w:val="2C9047B3"/>
    <w:rsid w:val="2C913C04"/>
    <w:rsid w:val="2CA8314D"/>
    <w:rsid w:val="2CAE3D60"/>
    <w:rsid w:val="2CB17B10"/>
    <w:rsid w:val="2CB30875"/>
    <w:rsid w:val="2CBC7F3B"/>
    <w:rsid w:val="2CBF043B"/>
    <w:rsid w:val="2CBF5C9D"/>
    <w:rsid w:val="2CEA09D8"/>
    <w:rsid w:val="2CF221F9"/>
    <w:rsid w:val="2D04458A"/>
    <w:rsid w:val="2D053958"/>
    <w:rsid w:val="2D0E122E"/>
    <w:rsid w:val="2D151D4C"/>
    <w:rsid w:val="2D173BB2"/>
    <w:rsid w:val="2D196B6E"/>
    <w:rsid w:val="2D1B3FC5"/>
    <w:rsid w:val="2D201DC4"/>
    <w:rsid w:val="2D357FF8"/>
    <w:rsid w:val="2D3D18E2"/>
    <w:rsid w:val="2D4437D8"/>
    <w:rsid w:val="2D617EAA"/>
    <w:rsid w:val="2D6B3284"/>
    <w:rsid w:val="2D6F1E2F"/>
    <w:rsid w:val="2D766CA6"/>
    <w:rsid w:val="2D77068E"/>
    <w:rsid w:val="2D771882"/>
    <w:rsid w:val="2D7F1F16"/>
    <w:rsid w:val="2D8B2078"/>
    <w:rsid w:val="2D923DA4"/>
    <w:rsid w:val="2D9E1894"/>
    <w:rsid w:val="2DA804C2"/>
    <w:rsid w:val="2DC80B28"/>
    <w:rsid w:val="2DCD7C8E"/>
    <w:rsid w:val="2DD345EE"/>
    <w:rsid w:val="2DE25646"/>
    <w:rsid w:val="2DEB5E5B"/>
    <w:rsid w:val="2E0C4740"/>
    <w:rsid w:val="2E2C1465"/>
    <w:rsid w:val="2E2D5A5E"/>
    <w:rsid w:val="2E346ED4"/>
    <w:rsid w:val="2E351423"/>
    <w:rsid w:val="2E4A2D22"/>
    <w:rsid w:val="2E60183F"/>
    <w:rsid w:val="2E6E268A"/>
    <w:rsid w:val="2E6E7610"/>
    <w:rsid w:val="2E703DE0"/>
    <w:rsid w:val="2E732B33"/>
    <w:rsid w:val="2E8B2F9F"/>
    <w:rsid w:val="2E9D15D2"/>
    <w:rsid w:val="2E9D7367"/>
    <w:rsid w:val="2EA21342"/>
    <w:rsid w:val="2EAE41CD"/>
    <w:rsid w:val="2EB51DED"/>
    <w:rsid w:val="2EBF60AD"/>
    <w:rsid w:val="2EC15E2F"/>
    <w:rsid w:val="2ECC7686"/>
    <w:rsid w:val="2EE904FE"/>
    <w:rsid w:val="2EF01921"/>
    <w:rsid w:val="2F0B727B"/>
    <w:rsid w:val="2F0C4C58"/>
    <w:rsid w:val="2F1C69A8"/>
    <w:rsid w:val="2F323397"/>
    <w:rsid w:val="2F436112"/>
    <w:rsid w:val="2F48229B"/>
    <w:rsid w:val="2F4A30E4"/>
    <w:rsid w:val="2F5E5109"/>
    <w:rsid w:val="2F811102"/>
    <w:rsid w:val="2F986A42"/>
    <w:rsid w:val="2FA93FB3"/>
    <w:rsid w:val="2FB64233"/>
    <w:rsid w:val="2FC2102A"/>
    <w:rsid w:val="2FD70ADB"/>
    <w:rsid w:val="2FDA0166"/>
    <w:rsid w:val="2FFA1C3B"/>
    <w:rsid w:val="300E20BC"/>
    <w:rsid w:val="301D4A9E"/>
    <w:rsid w:val="302C5D97"/>
    <w:rsid w:val="302F6154"/>
    <w:rsid w:val="30395778"/>
    <w:rsid w:val="304C0946"/>
    <w:rsid w:val="305B0068"/>
    <w:rsid w:val="307965D2"/>
    <w:rsid w:val="308C6CB8"/>
    <w:rsid w:val="308F333B"/>
    <w:rsid w:val="30A0140C"/>
    <w:rsid w:val="30A317D7"/>
    <w:rsid w:val="30B01D74"/>
    <w:rsid w:val="30CA52C2"/>
    <w:rsid w:val="30D44184"/>
    <w:rsid w:val="30E5180D"/>
    <w:rsid w:val="30E90411"/>
    <w:rsid w:val="310E062A"/>
    <w:rsid w:val="31175F7E"/>
    <w:rsid w:val="311A75EB"/>
    <w:rsid w:val="311D62A7"/>
    <w:rsid w:val="31326497"/>
    <w:rsid w:val="31460C48"/>
    <w:rsid w:val="31584E45"/>
    <w:rsid w:val="315D5C2D"/>
    <w:rsid w:val="316C278F"/>
    <w:rsid w:val="316D469C"/>
    <w:rsid w:val="318529FC"/>
    <w:rsid w:val="318E024B"/>
    <w:rsid w:val="31922EFA"/>
    <w:rsid w:val="319C6420"/>
    <w:rsid w:val="31A835D4"/>
    <w:rsid w:val="31C32539"/>
    <w:rsid w:val="31D05DDD"/>
    <w:rsid w:val="3209716F"/>
    <w:rsid w:val="3211678B"/>
    <w:rsid w:val="322D6EA8"/>
    <w:rsid w:val="323368A0"/>
    <w:rsid w:val="323D3A9D"/>
    <w:rsid w:val="324B40E1"/>
    <w:rsid w:val="326028F8"/>
    <w:rsid w:val="327004B7"/>
    <w:rsid w:val="32842886"/>
    <w:rsid w:val="32945A92"/>
    <w:rsid w:val="329F1278"/>
    <w:rsid w:val="32A05E91"/>
    <w:rsid w:val="32AD4AC8"/>
    <w:rsid w:val="32BB65BD"/>
    <w:rsid w:val="32BD0FFD"/>
    <w:rsid w:val="32C26582"/>
    <w:rsid w:val="32CC3544"/>
    <w:rsid w:val="32CF7337"/>
    <w:rsid w:val="32FF35AB"/>
    <w:rsid w:val="330E367D"/>
    <w:rsid w:val="331B2767"/>
    <w:rsid w:val="33202F9F"/>
    <w:rsid w:val="33235637"/>
    <w:rsid w:val="3332346C"/>
    <w:rsid w:val="33362203"/>
    <w:rsid w:val="33403439"/>
    <w:rsid w:val="335326E6"/>
    <w:rsid w:val="336362C1"/>
    <w:rsid w:val="338550C7"/>
    <w:rsid w:val="33972817"/>
    <w:rsid w:val="33B43E67"/>
    <w:rsid w:val="33F1337A"/>
    <w:rsid w:val="34076D8D"/>
    <w:rsid w:val="340B6ACF"/>
    <w:rsid w:val="341844D4"/>
    <w:rsid w:val="342516D0"/>
    <w:rsid w:val="3425746A"/>
    <w:rsid w:val="34277647"/>
    <w:rsid w:val="345A40AA"/>
    <w:rsid w:val="346C0067"/>
    <w:rsid w:val="34704B51"/>
    <w:rsid w:val="34904B94"/>
    <w:rsid w:val="34AC3BB5"/>
    <w:rsid w:val="34AD597B"/>
    <w:rsid w:val="34C23F37"/>
    <w:rsid w:val="34CB40E1"/>
    <w:rsid w:val="34E97028"/>
    <w:rsid w:val="34FC61DA"/>
    <w:rsid w:val="3535126E"/>
    <w:rsid w:val="3536705A"/>
    <w:rsid w:val="35434AAB"/>
    <w:rsid w:val="356C2EA7"/>
    <w:rsid w:val="35735E00"/>
    <w:rsid w:val="358904CA"/>
    <w:rsid w:val="359B6A1B"/>
    <w:rsid w:val="359E5E6E"/>
    <w:rsid w:val="35B664E9"/>
    <w:rsid w:val="35C76FEC"/>
    <w:rsid w:val="35CF3F10"/>
    <w:rsid w:val="35D85DF6"/>
    <w:rsid w:val="35ED50CB"/>
    <w:rsid w:val="35ED5BB7"/>
    <w:rsid w:val="35F73D17"/>
    <w:rsid w:val="35FD5126"/>
    <w:rsid w:val="360641BD"/>
    <w:rsid w:val="36145194"/>
    <w:rsid w:val="361744FC"/>
    <w:rsid w:val="362C2022"/>
    <w:rsid w:val="36370182"/>
    <w:rsid w:val="364A7B43"/>
    <w:rsid w:val="365732EB"/>
    <w:rsid w:val="365C2F2A"/>
    <w:rsid w:val="36657BC9"/>
    <w:rsid w:val="36956D16"/>
    <w:rsid w:val="369B0EA6"/>
    <w:rsid w:val="369F4535"/>
    <w:rsid w:val="36A66842"/>
    <w:rsid w:val="36B24E69"/>
    <w:rsid w:val="36C03A50"/>
    <w:rsid w:val="36FB7BA9"/>
    <w:rsid w:val="372073E6"/>
    <w:rsid w:val="373B1367"/>
    <w:rsid w:val="37430CF7"/>
    <w:rsid w:val="3744794E"/>
    <w:rsid w:val="375317C7"/>
    <w:rsid w:val="376955AA"/>
    <w:rsid w:val="378447FA"/>
    <w:rsid w:val="37A64DB7"/>
    <w:rsid w:val="37B86CCC"/>
    <w:rsid w:val="37C71521"/>
    <w:rsid w:val="37CB7C46"/>
    <w:rsid w:val="38025633"/>
    <w:rsid w:val="38057E86"/>
    <w:rsid w:val="38093520"/>
    <w:rsid w:val="380A27FA"/>
    <w:rsid w:val="381A237A"/>
    <w:rsid w:val="382E00BD"/>
    <w:rsid w:val="383C1E27"/>
    <w:rsid w:val="384F5E03"/>
    <w:rsid w:val="385066FA"/>
    <w:rsid w:val="38684508"/>
    <w:rsid w:val="3888012D"/>
    <w:rsid w:val="38917F09"/>
    <w:rsid w:val="38930B18"/>
    <w:rsid w:val="38B5155B"/>
    <w:rsid w:val="38B82C55"/>
    <w:rsid w:val="38BE0BDC"/>
    <w:rsid w:val="38D950E9"/>
    <w:rsid w:val="38E246B0"/>
    <w:rsid w:val="39076E8A"/>
    <w:rsid w:val="390D176B"/>
    <w:rsid w:val="391235EA"/>
    <w:rsid w:val="391D1206"/>
    <w:rsid w:val="393B63C0"/>
    <w:rsid w:val="39445F27"/>
    <w:rsid w:val="39471FA1"/>
    <w:rsid w:val="3952037B"/>
    <w:rsid w:val="396769A6"/>
    <w:rsid w:val="39690DD1"/>
    <w:rsid w:val="39697738"/>
    <w:rsid w:val="3973356D"/>
    <w:rsid w:val="39791930"/>
    <w:rsid w:val="397B2F9D"/>
    <w:rsid w:val="39A56076"/>
    <w:rsid w:val="39B02C4F"/>
    <w:rsid w:val="39BF641E"/>
    <w:rsid w:val="39CB3504"/>
    <w:rsid w:val="39DC13EA"/>
    <w:rsid w:val="39E61A46"/>
    <w:rsid w:val="39FB22AD"/>
    <w:rsid w:val="3A0C2223"/>
    <w:rsid w:val="3A287D52"/>
    <w:rsid w:val="3A2C5F41"/>
    <w:rsid w:val="3A361DB9"/>
    <w:rsid w:val="3A366814"/>
    <w:rsid w:val="3A380716"/>
    <w:rsid w:val="3A4C2897"/>
    <w:rsid w:val="3A504DC2"/>
    <w:rsid w:val="3A577B57"/>
    <w:rsid w:val="3A68352E"/>
    <w:rsid w:val="3A6A5C47"/>
    <w:rsid w:val="3A757717"/>
    <w:rsid w:val="3A8C6305"/>
    <w:rsid w:val="3A9C3DD8"/>
    <w:rsid w:val="3AAE1290"/>
    <w:rsid w:val="3AD5410E"/>
    <w:rsid w:val="3AE85A64"/>
    <w:rsid w:val="3AF35CF9"/>
    <w:rsid w:val="3AFA5B74"/>
    <w:rsid w:val="3B005963"/>
    <w:rsid w:val="3B024041"/>
    <w:rsid w:val="3B0854CB"/>
    <w:rsid w:val="3B1D2AA6"/>
    <w:rsid w:val="3B455154"/>
    <w:rsid w:val="3B4556AE"/>
    <w:rsid w:val="3B4C01BF"/>
    <w:rsid w:val="3B867582"/>
    <w:rsid w:val="3BAC214A"/>
    <w:rsid w:val="3BB45C55"/>
    <w:rsid w:val="3BD22DFA"/>
    <w:rsid w:val="3BD24567"/>
    <w:rsid w:val="3BDA1D84"/>
    <w:rsid w:val="3BE44C03"/>
    <w:rsid w:val="3BEA7812"/>
    <w:rsid w:val="3C121293"/>
    <w:rsid w:val="3C1A58FE"/>
    <w:rsid w:val="3C3812AA"/>
    <w:rsid w:val="3C456A1E"/>
    <w:rsid w:val="3C60452F"/>
    <w:rsid w:val="3C6D640F"/>
    <w:rsid w:val="3C9402CF"/>
    <w:rsid w:val="3C940DC1"/>
    <w:rsid w:val="3C9516AB"/>
    <w:rsid w:val="3C9D49A2"/>
    <w:rsid w:val="3C9F363B"/>
    <w:rsid w:val="3CAB3BB5"/>
    <w:rsid w:val="3CB34634"/>
    <w:rsid w:val="3CC90344"/>
    <w:rsid w:val="3CD81E0F"/>
    <w:rsid w:val="3CD85915"/>
    <w:rsid w:val="3CDB6725"/>
    <w:rsid w:val="3D013A04"/>
    <w:rsid w:val="3D130AEA"/>
    <w:rsid w:val="3D157E44"/>
    <w:rsid w:val="3D195D8C"/>
    <w:rsid w:val="3D1F71A6"/>
    <w:rsid w:val="3D2A11C5"/>
    <w:rsid w:val="3D305433"/>
    <w:rsid w:val="3D356DB9"/>
    <w:rsid w:val="3D55001C"/>
    <w:rsid w:val="3D565E30"/>
    <w:rsid w:val="3D5A2877"/>
    <w:rsid w:val="3D6002EA"/>
    <w:rsid w:val="3D681D3F"/>
    <w:rsid w:val="3D68428D"/>
    <w:rsid w:val="3D6C4C0E"/>
    <w:rsid w:val="3D6D7B0B"/>
    <w:rsid w:val="3DA62651"/>
    <w:rsid w:val="3DAD51A8"/>
    <w:rsid w:val="3DC50BB9"/>
    <w:rsid w:val="3DC869B2"/>
    <w:rsid w:val="3DD02879"/>
    <w:rsid w:val="3DD832E1"/>
    <w:rsid w:val="3DDA4092"/>
    <w:rsid w:val="3DE31954"/>
    <w:rsid w:val="3DF9654E"/>
    <w:rsid w:val="3E0E764C"/>
    <w:rsid w:val="3E2A3215"/>
    <w:rsid w:val="3E310C82"/>
    <w:rsid w:val="3E374178"/>
    <w:rsid w:val="3E4807DF"/>
    <w:rsid w:val="3E4E697F"/>
    <w:rsid w:val="3E4F3C2A"/>
    <w:rsid w:val="3E5070CB"/>
    <w:rsid w:val="3E6024EA"/>
    <w:rsid w:val="3E907CD3"/>
    <w:rsid w:val="3EBC457B"/>
    <w:rsid w:val="3EC75ED6"/>
    <w:rsid w:val="3ED22F04"/>
    <w:rsid w:val="3F2B37B9"/>
    <w:rsid w:val="3F3936E9"/>
    <w:rsid w:val="3F427068"/>
    <w:rsid w:val="3F497F0D"/>
    <w:rsid w:val="3F4A63E4"/>
    <w:rsid w:val="3F520CDA"/>
    <w:rsid w:val="3F694643"/>
    <w:rsid w:val="3F6A5497"/>
    <w:rsid w:val="3F6D29E9"/>
    <w:rsid w:val="3FA40DE6"/>
    <w:rsid w:val="3FBD6B7F"/>
    <w:rsid w:val="3FC66905"/>
    <w:rsid w:val="3FC96C40"/>
    <w:rsid w:val="3FCC5248"/>
    <w:rsid w:val="3FF24FB6"/>
    <w:rsid w:val="3FF46A70"/>
    <w:rsid w:val="402142C7"/>
    <w:rsid w:val="40230C5F"/>
    <w:rsid w:val="404C4A22"/>
    <w:rsid w:val="40792F44"/>
    <w:rsid w:val="408F6517"/>
    <w:rsid w:val="40982597"/>
    <w:rsid w:val="409C2A55"/>
    <w:rsid w:val="409D45DC"/>
    <w:rsid w:val="40A91488"/>
    <w:rsid w:val="40AA7C2E"/>
    <w:rsid w:val="40AB3B95"/>
    <w:rsid w:val="40B172B6"/>
    <w:rsid w:val="40BD73F8"/>
    <w:rsid w:val="40C02D87"/>
    <w:rsid w:val="40CA05B9"/>
    <w:rsid w:val="40D12650"/>
    <w:rsid w:val="40E61C3B"/>
    <w:rsid w:val="40E904A0"/>
    <w:rsid w:val="40F50B2F"/>
    <w:rsid w:val="41007A07"/>
    <w:rsid w:val="41075BAB"/>
    <w:rsid w:val="410C0ACF"/>
    <w:rsid w:val="410E5C0F"/>
    <w:rsid w:val="41152739"/>
    <w:rsid w:val="411F7E76"/>
    <w:rsid w:val="41381959"/>
    <w:rsid w:val="41621761"/>
    <w:rsid w:val="4177349D"/>
    <w:rsid w:val="417F6071"/>
    <w:rsid w:val="41930496"/>
    <w:rsid w:val="41B94340"/>
    <w:rsid w:val="41BB2DEE"/>
    <w:rsid w:val="41BD302D"/>
    <w:rsid w:val="41E81214"/>
    <w:rsid w:val="41F77429"/>
    <w:rsid w:val="42287E4B"/>
    <w:rsid w:val="423E27E9"/>
    <w:rsid w:val="42510A5E"/>
    <w:rsid w:val="4252441E"/>
    <w:rsid w:val="42612769"/>
    <w:rsid w:val="427159E5"/>
    <w:rsid w:val="427813BC"/>
    <w:rsid w:val="42845BFE"/>
    <w:rsid w:val="42924641"/>
    <w:rsid w:val="42C15E23"/>
    <w:rsid w:val="42C81BEA"/>
    <w:rsid w:val="42C97851"/>
    <w:rsid w:val="42CC2FDA"/>
    <w:rsid w:val="42D519F0"/>
    <w:rsid w:val="42D532DE"/>
    <w:rsid w:val="42DE5E07"/>
    <w:rsid w:val="42EE6076"/>
    <w:rsid w:val="42F730AD"/>
    <w:rsid w:val="430A6865"/>
    <w:rsid w:val="432229E7"/>
    <w:rsid w:val="43231880"/>
    <w:rsid w:val="43322961"/>
    <w:rsid w:val="43397931"/>
    <w:rsid w:val="434060B2"/>
    <w:rsid w:val="435319CF"/>
    <w:rsid w:val="437400FB"/>
    <w:rsid w:val="438C1F98"/>
    <w:rsid w:val="43902592"/>
    <w:rsid w:val="43BC767D"/>
    <w:rsid w:val="43D74D8C"/>
    <w:rsid w:val="43DE3F46"/>
    <w:rsid w:val="43EA3B1E"/>
    <w:rsid w:val="43F227FA"/>
    <w:rsid w:val="44177413"/>
    <w:rsid w:val="44190A9C"/>
    <w:rsid w:val="44263D3E"/>
    <w:rsid w:val="445F1191"/>
    <w:rsid w:val="44653D07"/>
    <w:rsid w:val="447B78CF"/>
    <w:rsid w:val="449041F1"/>
    <w:rsid w:val="44944221"/>
    <w:rsid w:val="449E1F91"/>
    <w:rsid w:val="44B77395"/>
    <w:rsid w:val="44D9626C"/>
    <w:rsid w:val="44DF0344"/>
    <w:rsid w:val="44EA085E"/>
    <w:rsid w:val="44F34D28"/>
    <w:rsid w:val="44F76A1B"/>
    <w:rsid w:val="45093904"/>
    <w:rsid w:val="451111A1"/>
    <w:rsid w:val="45174219"/>
    <w:rsid w:val="45262239"/>
    <w:rsid w:val="452777BB"/>
    <w:rsid w:val="453437E6"/>
    <w:rsid w:val="45472EF6"/>
    <w:rsid w:val="454F3969"/>
    <w:rsid w:val="45595CA5"/>
    <w:rsid w:val="45722D4C"/>
    <w:rsid w:val="45737A94"/>
    <w:rsid w:val="45882BA8"/>
    <w:rsid w:val="459730C4"/>
    <w:rsid w:val="45B115CA"/>
    <w:rsid w:val="45B8562E"/>
    <w:rsid w:val="45BD6B8B"/>
    <w:rsid w:val="45D061DE"/>
    <w:rsid w:val="45D55675"/>
    <w:rsid w:val="45DC273A"/>
    <w:rsid w:val="45E0548C"/>
    <w:rsid w:val="45FE30DD"/>
    <w:rsid w:val="4604060E"/>
    <w:rsid w:val="46224736"/>
    <w:rsid w:val="4626497D"/>
    <w:rsid w:val="462A1CF6"/>
    <w:rsid w:val="462A47E9"/>
    <w:rsid w:val="46462230"/>
    <w:rsid w:val="464C4A6E"/>
    <w:rsid w:val="46591D8B"/>
    <w:rsid w:val="46597E5B"/>
    <w:rsid w:val="46833C2D"/>
    <w:rsid w:val="4697368F"/>
    <w:rsid w:val="46A41EC7"/>
    <w:rsid w:val="46A4393B"/>
    <w:rsid w:val="46B73252"/>
    <w:rsid w:val="46BB670C"/>
    <w:rsid w:val="46CA4D19"/>
    <w:rsid w:val="46D22929"/>
    <w:rsid w:val="46DF4C02"/>
    <w:rsid w:val="46E13D28"/>
    <w:rsid w:val="46FD0144"/>
    <w:rsid w:val="471A183D"/>
    <w:rsid w:val="47221A66"/>
    <w:rsid w:val="47296C61"/>
    <w:rsid w:val="472A1FDA"/>
    <w:rsid w:val="473A09A5"/>
    <w:rsid w:val="473C7E0A"/>
    <w:rsid w:val="476640E8"/>
    <w:rsid w:val="477F0958"/>
    <w:rsid w:val="478E3A8A"/>
    <w:rsid w:val="47956C1D"/>
    <w:rsid w:val="479E67ED"/>
    <w:rsid w:val="47AE0B72"/>
    <w:rsid w:val="47B52254"/>
    <w:rsid w:val="47D066E0"/>
    <w:rsid w:val="47DA5D6A"/>
    <w:rsid w:val="47F64362"/>
    <w:rsid w:val="47FC221A"/>
    <w:rsid w:val="47FD5F37"/>
    <w:rsid w:val="4803298A"/>
    <w:rsid w:val="481C085F"/>
    <w:rsid w:val="482D6A9E"/>
    <w:rsid w:val="48404C59"/>
    <w:rsid w:val="484C0472"/>
    <w:rsid w:val="485423D2"/>
    <w:rsid w:val="485F5881"/>
    <w:rsid w:val="486D496F"/>
    <w:rsid w:val="48831AA0"/>
    <w:rsid w:val="488467E0"/>
    <w:rsid w:val="48A66B88"/>
    <w:rsid w:val="48B14C41"/>
    <w:rsid w:val="48B65E18"/>
    <w:rsid w:val="48BD1ED1"/>
    <w:rsid w:val="48C01857"/>
    <w:rsid w:val="48CC3138"/>
    <w:rsid w:val="48D336E4"/>
    <w:rsid w:val="48D57432"/>
    <w:rsid w:val="48DA52D3"/>
    <w:rsid w:val="490E1689"/>
    <w:rsid w:val="49122D2E"/>
    <w:rsid w:val="491A3ED4"/>
    <w:rsid w:val="4925002C"/>
    <w:rsid w:val="49390ED4"/>
    <w:rsid w:val="494234B1"/>
    <w:rsid w:val="49573C76"/>
    <w:rsid w:val="49680B58"/>
    <w:rsid w:val="497A21B3"/>
    <w:rsid w:val="498410B0"/>
    <w:rsid w:val="49A65607"/>
    <w:rsid w:val="49BE0CA5"/>
    <w:rsid w:val="49BF7D5B"/>
    <w:rsid w:val="49C94980"/>
    <w:rsid w:val="49D773E7"/>
    <w:rsid w:val="49DF3102"/>
    <w:rsid w:val="49E11066"/>
    <w:rsid w:val="49E35CE4"/>
    <w:rsid w:val="49E55302"/>
    <w:rsid w:val="49ED0396"/>
    <w:rsid w:val="49F30AF3"/>
    <w:rsid w:val="4A015FD9"/>
    <w:rsid w:val="4A080F80"/>
    <w:rsid w:val="4A096B3D"/>
    <w:rsid w:val="4A24141B"/>
    <w:rsid w:val="4A406AEB"/>
    <w:rsid w:val="4A565C78"/>
    <w:rsid w:val="4A5B7320"/>
    <w:rsid w:val="4A5D7533"/>
    <w:rsid w:val="4A832608"/>
    <w:rsid w:val="4A9F036B"/>
    <w:rsid w:val="4AA459E8"/>
    <w:rsid w:val="4ACF5CA3"/>
    <w:rsid w:val="4AD55049"/>
    <w:rsid w:val="4AE8649F"/>
    <w:rsid w:val="4AEC1AD2"/>
    <w:rsid w:val="4AF673E4"/>
    <w:rsid w:val="4B0A368A"/>
    <w:rsid w:val="4B156846"/>
    <w:rsid w:val="4B2152D0"/>
    <w:rsid w:val="4B383450"/>
    <w:rsid w:val="4B471D64"/>
    <w:rsid w:val="4B482761"/>
    <w:rsid w:val="4B6D1EA4"/>
    <w:rsid w:val="4B706AF6"/>
    <w:rsid w:val="4B7621AE"/>
    <w:rsid w:val="4B772B4D"/>
    <w:rsid w:val="4B7B4683"/>
    <w:rsid w:val="4B85144B"/>
    <w:rsid w:val="4B94219E"/>
    <w:rsid w:val="4BA13CE1"/>
    <w:rsid w:val="4BA7508C"/>
    <w:rsid w:val="4BB627C3"/>
    <w:rsid w:val="4BC35BD6"/>
    <w:rsid w:val="4BCA5136"/>
    <w:rsid w:val="4BD11368"/>
    <w:rsid w:val="4BE06E8F"/>
    <w:rsid w:val="4C020A04"/>
    <w:rsid w:val="4C0D6FB3"/>
    <w:rsid w:val="4C1A2369"/>
    <w:rsid w:val="4C357A4F"/>
    <w:rsid w:val="4C3D1895"/>
    <w:rsid w:val="4C5F4DDD"/>
    <w:rsid w:val="4C6C5282"/>
    <w:rsid w:val="4C7042AA"/>
    <w:rsid w:val="4C757769"/>
    <w:rsid w:val="4C8A3BD7"/>
    <w:rsid w:val="4C8B1C7F"/>
    <w:rsid w:val="4C951158"/>
    <w:rsid w:val="4C975D20"/>
    <w:rsid w:val="4C9E10BF"/>
    <w:rsid w:val="4CAE15E1"/>
    <w:rsid w:val="4CB56612"/>
    <w:rsid w:val="4CCA0B13"/>
    <w:rsid w:val="4CF302DB"/>
    <w:rsid w:val="4D0451E6"/>
    <w:rsid w:val="4D0C1A7A"/>
    <w:rsid w:val="4D127085"/>
    <w:rsid w:val="4D1D646B"/>
    <w:rsid w:val="4D3F582E"/>
    <w:rsid w:val="4D494A34"/>
    <w:rsid w:val="4D5121CB"/>
    <w:rsid w:val="4D5206B9"/>
    <w:rsid w:val="4D5B4229"/>
    <w:rsid w:val="4D775869"/>
    <w:rsid w:val="4DA65C93"/>
    <w:rsid w:val="4DAD60F3"/>
    <w:rsid w:val="4DCD015A"/>
    <w:rsid w:val="4DE22E33"/>
    <w:rsid w:val="4DFF0B8B"/>
    <w:rsid w:val="4E0B77FD"/>
    <w:rsid w:val="4E0C51F9"/>
    <w:rsid w:val="4E0F2607"/>
    <w:rsid w:val="4E116A3F"/>
    <w:rsid w:val="4E193982"/>
    <w:rsid w:val="4E5D1892"/>
    <w:rsid w:val="4E8223BA"/>
    <w:rsid w:val="4E9F6AAF"/>
    <w:rsid w:val="4EA50388"/>
    <w:rsid w:val="4ED0471A"/>
    <w:rsid w:val="4EDB56FC"/>
    <w:rsid w:val="4EE44BC9"/>
    <w:rsid w:val="4EF9602B"/>
    <w:rsid w:val="4EFD55E2"/>
    <w:rsid w:val="4F1C796D"/>
    <w:rsid w:val="4F381C3F"/>
    <w:rsid w:val="4F3D6C69"/>
    <w:rsid w:val="4F432666"/>
    <w:rsid w:val="4F47178C"/>
    <w:rsid w:val="4F5863DD"/>
    <w:rsid w:val="4F5D041B"/>
    <w:rsid w:val="4F5E378A"/>
    <w:rsid w:val="4F665239"/>
    <w:rsid w:val="4FAE4025"/>
    <w:rsid w:val="4FB90FB2"/>
    <w:rsid w:val="4FC056F2"/>
    <w:rsid w:val="4FDB2D3A"/>
    <w:rsid w:val="4FEB56C3"/>
    <w:rsid w:val="4FF81C8C"/>
    <w:rsid w:val="500D3D4C"/>
    <w:rsid w:val="503E4CF0"/>
    <w:rsid w:val="50515C71"/>
    <w:rsid w:val="506868B0"/>
    <w:rsid w:val="5089655F"/>
    <w:rsid w:val="50A21D92"/>
    <w:rsid w:val="50C31CE2"/>
    <w:rsid w:val="50E37038"/>
    <w:rsid w:val="50E836F5"/>
    <w:rsid w:val="511D4A36"/>
    <w:rsid w:val="51295557"/>
    <w:rsid w:val="512A6795"/>
    <w:rsid w:val="513D4BD1"/>
    <w:rsid w:val="51485876"/>
    <w:rsid w:val="514F7349"/>
    <w:rsid w:val="51844E37"/>
    <w:rsid w:val="51993D77"/>
    <w:rsid w:val="51AA7366"/>
    <w:rsid w:val="51B23BAF"/>
    <w:rsid w:val="51B43676"/>
    <w:rsid w:val="51DF56E8"/>
    <w:rsid w:val="51F60353"/>
    <w:rsid w:val="51FA0AA5"/>
    <w:rsid w:val="51FD06F5"/>
    <w:rsid w:val="52064A80"/>
    <w:rsid w:val="52185D47"/>
    <w:rsid w:val="52311D8D"/>
    <w:rsid w:val="52313A58"/>
    <w:rsid w:val="523728DA"/>
    <w:rsid w:val="525A1CB5"/>
    <w:rsid w:val="52667E63"/>
    <w:rsid w:val="52763635"/>
    <w:rsid w:val="529F051D"/>
    <w:rsid w:val="52A7707F"/>
    <w:rsid w:val="52AD20AB"/>
    <w:rsid w:val="52B2348F"/>
    <w:rsid w:val="52C16641"/>
    <w:rsid w:val="52CD3E19"/>
    <w:rsid w:val="52DB4C74"/>
    <w:rsid w:val="52E361C7"/>
    <w:rsid w:val="52E63D10"/>
    <w:rsid w:val="52F13865"/>
    <w:rsid w:val="530E18FF"/>
    <w:rsid w:val="531D3E6A"/>
    <w:rsid w:val="532237A9"/>
    <w:rsid w:val="532C63D6"/>
    <w:rsid w:val="533B09CE"/>
    <w:rsid w:val="534B27F7"/>
    <w:rsid w:val="53815072"/>
    <w:rsid w:val="5384660C"/>
    <w:rsid w:val="5385070F"/>
    <w:rsid w:val="539759B1"/>
    <w:rsid w:val="539F6982"/>
    <w:rsid w:val="53A61AA8"/>
    <w:rsid w:val="53CC6C8F"/>
    <w:rsid w:val="53D863A7"/>
    <w:rsid w:val="53E250DB"/>
    <w:rsid w:val="53F40E66"/>
    <w:rsid w:val="53F65388"/>
    <w:rsid w:val="541B7F41"/>
    <w:rsid w:val="542C241D"/>
    <w:rsid w:val="54490DA3"/>
    <w:rsid w:val="54686FD5"/>
    <w:rsid w:val="54712916"/>
    <w:rsid w:val="548523F3"/>
    <w:rsid w:val="5485302E"/>
    <w:rsid w:val="54944AE1"/>
    <w:rsid w:val="54A92E7F"/>
    <w:rsid w:val="54CE74BA"/>
    <w:rsid w:val="54DF79FD"/>
    <w:rsid w:val="54E9733E"/>
    <w:rsid w:val="550A2FF4"/>
    <w:rsid w:val="550F4FC4"/>
    <w:rsid w:val="552C018C"/>
    <w:rsid w:val="552E1681"/>
    <w:rsid w:val="555A34C2"/>
    <w:rsid w:val="555A4CD6"/>
    <w:rsid w:val="556028CA"/>
    <w:rsid w:val="5568588F"/>
    <w:rsid w:val="556F0521"/>
    <w:rsid w:val="55910F3F"/>
    <w:rsid w:val="55A613AF"/>
    <w:rsid w:val="55AB5329"/>
    <w:rsid w:val="55BD29F0"/>
    <w:rsid w:val="55C17829"/>
    <w:rsid w:val="55D42EBB"/>
    <w:rsid w:val="55F55F9F"/>
    <w:rsid w:val="55F92A71"/>
    <w:rsid w:val="55FC6807"/>
    <w:rsid w:val="560446F7"/>
    <w:rsid w:val="562C7B1D"/>
    <w:rsid w:val="563018FC"/>
    <w:rsid w:val="56321F39"/>
    <w:rsid w:val="563628B7"/>
    <w:rsid w:val="563720D9"/>
    <w:rsid w:val="563942AE"/>
    <w:rsid w:val="563D44A9"/>
    <w:rsid w:val="563E205F"/>
    <w:rsid w:val="564145DE"/>
    <w:rsid w:val="5647636B"/>
    <w:rsid w:val="566C6133"/>
    <w:rsid w:val="567B4C26"/>
    <w:rsid w:val="569700C4"/>
    <w:rsid w:val="569C1F89"/>
    <w:rsid w:val="56A83956"/>
    <w:rsid w:val="56A90EED"/>
    <w:rsid w:val="56BD2F71"/>
    <w:rsid w:val="56D91C58"/>
    <w:rsid w:val="56FB4342"/>
    <w:rsid w:val="56FF31A2"/>
    <w:rsid w:val="570F0413"/>
    <w:rsid w:val="571C4E42"/>
    <w:rsid w:val="572B65B1"/>
    <w:rsid w:val="5736074B"/>
    <w:rsid w:val="573E35B0"/>
    <w:rsid w:val="575F6937"/>
    <w:rsid w:val="57640320"/>
    <w:rsid w:val="578D4409"/>
    <w:rsid w:val="57963DB3"/>
    <w:rsid w:val="57AD5C21"/>
    <w:rsid w:val="57B51A8B"/>
    <w:rsid w:val="57BA76A5"/>
    <w:rsid w:val="57C30277"/>
    <w:rsid w:val="57D05851"/>
    <w:rsid w:val="57DE1527"/>
    <w:rsid w:val="57DE27D5"/>
    <w:rsid w:val="57F85741"/>
    <w:rsid w:val="580B10BC"/>
    <w:rsid w:val="5810578F"/>
    <w:rsid w:val="5819215C"/>
    <w:rsid w:val="582115D8"/>
    <w:rsid w:val="5829475E"/>
    <w:rsid w:val="58317B5B"/>
    <w:rsid w:val="586D0BC1"/>
    <w:rsid w:val="58724591"/>
    <w:rsid w:val="58A260F5"/>
    <w:rsid w:val="58B11AF4"/>
    <w:rsid w:val="58C73A2B"/>
    <w:rsid w:val="58E14AE0"/>
    <w:rsid w:val="58E561C3"/>
    <w:rsid w:val="58EB71CB"/>
    <w:rsid w:val="58F2683B"/>
    <w:rsid w:val="590459E7"/>
    <w:rsid w:val="591C2FE2"/>
    <w:rsid w:val="591E15BF"/>
    <w:rsid w:val="592C3166"/>
    <w:rsid w:val="592D4DFD"/>
    <w:rsid w:val="593D778D"/>
    <w:rsid w:val="594679B8"/>
    <w:rsid w:val="594D021A"/>
    <w:rsid w:val="596251FA"/>
    <w:rsid w:val="59810A04"/>
    <w:rsid w:val="599D4BEE"/>
    <w:rsid w:val="59AA20F1"/>
    <w:rsid w:val="59BF4993"/>
    <w:rsid w:val="59C42072"/>
    <w:rsid w:val="59C60352"/>
    <w:rsid w:val="59CB509F"/>
    <w:rsid w:val="59D831E0"/>
    <w:rsid w:val="59EB54C8"/>
    <w:rsid w:val="5A1E287D"/>
    <w:rsid w:val="5A241A7B"/>
    <w:rsid w:val="5A261B81"/>
    <w:rsid w:val="5A3913B6"/>
    <w:rsid w:val="5A6262DF"/>
    <w:rsid w:val="5A6B7CDD"/>
    <w:rsid w:val="5A792F57"/>
    <w:rsid w:val="5A817FA6"/>
    <w:rsid w:val="5A8A3174"/>
    <w:rsid w:val="5AA11FAD"/>
    <w:rsid w:val="5AA53570"/>
    <w:rsid w:val="5ACE218D"/>
    <w:rsid w:val="5AD86583"/>
    <w:rsid w:val="5AE51932"/>
    <w:rsid w:val="5AF06D84"/>
    <w:rsid w:val="5AFA7EE8"/>
    <w:rsid w:val="5B022B17"/>
    <w:rsid w:val="5B0307BF"/>
    <w:rsid w:val="5B0A541C"/>
    <w:rsid w:val="5B0C63F0"/>
    <w:rsid w:val="5B2B4AE3"/>
    <w:rsid w:val="5B300CE2"/>
    <w:rsid w:val="5B3F089C"/>
    <w:rsid w:val="5B4545C1"/>
    <w:rsid w:val="5B4A4DD6"/>
    <w:rsid w:val="5B6D1BE1"/>
    <w:rsid w:val="5B7F33E1"/>
    <w:rsid w:val="5B81153F"/>
    <w:rsid w:val="5B8B07F5"/>
    <w:rsid w:val="5B9C7BF4"/>
    <w:rsid w:val="5BCB0D62"/>
    <w:rsid w:val="5BDB3F09"/>
    <w:rsid w:val="5BFF24AA"/>
    <w:rsid w:val="5C005D86"/>
    <w:rsid w:val="5C14135F"/>
    <w:rsid w:val="5C3510CE"/>
    <w:rsid w:val="5C3A0FFB"/>
    <w:rsid w:val="5C4D1F62"/>
    <w:rsid w:val="5C5F7A67"/>
    <w:rsid w:val="5C664675"/>
    <w:rsid w:val="5C684DF8"/>
    <w:rsid w:val="5C6E66F0"/>
    <w:rsid w:val="5C740545"/>
    <w:rsid w:val="5C7620B9"/>
    <w:rsid w:val="5C821342"/>
    <w:rsid w:val="5C8C65AA"/>
    <w:rsid w:val="5C8F0D4E"/>
    <w:rsid w:val="5C9913DB"/>
    <w:rsid w:val="5C9E180E"/>
    <w:rsid w:val="5CDB44CB"/>
    <w:rsid w:val="5CDD391B"/>
    <w:rsid w:val="5D0176A6"/>
    <w:rsid w:val="5D0673B1"/>
    <w:rsid w:val="5D3C2C50"/>
    <w:rsid w:val="5D3F34BA"/>
    <w:rsid w:val="5D4372E7"/>
    <w:rsid w:val="5D5C5E13"/>
    <w:rsid w:val="5D6B3305"/>
    <w:rsid w:val="5D6C60CA"/>
    <w:rsid w:val="5D6D4446"/>
    <w:rsid w:val="5D7341D9"/>
    <w:rsid w:val="5D836D31"/>
    <w:rsid w:val="5D91453E"/>
    <w:rsid w:val="5DA15D54"/>
    <w:rsid w:val="5DA349DA"/>
    <w:rsid w:val="5DAB3A8B"/>
    <w:rsid w:val="5DB11974"/>
    <w:rsid w:val="5DDA22A2"/>
    <w:rsid w:val="5E341B09"/>
    <w:rsid w:val="5E3F543D"/>
    <w:rsid w:val="5E542B9C"/>
    <w:rsid w:val="5E857FA9"/>
    <w:rsid w:val="5E8D5C74"/>
    <w:rsid w:val="5E9447DF"/>
    <w:rsid w:val="5E9C5057"/>
    <w:rsid w:val="5EA90EFA"/>
    <w:rsid w:val="5EB13C46"/>
    <w:rsid w:val="5EC012A3"/>
    <w:rsid w:val="5EC6051A"/>
    <w:rsid w:val="5ECB622E"/>
    <w:rsid w:val="5F18194E"/>
    <w:rsid w:val="5F1B695B"/>
    <w:rsid w:val="5F206391"/>
    <w:rsid w:val="5F2A63EC"/>
    <w:rsid w:val="5F4479D1"/>
    <w:rsid w:val="5F4F1FF0"/>
    <w:rsid w:val="5F5E5C32"/>
    <w:rsid w:val="5F786CA8"/>
    <w:rsid w:val="5F790828"/>
    <w:rsid w:val="5F7B3540"/>
    <w:rsid w:val="5F995C9B"/>
    <w:rsid w:val="5FA271FE"/>
    <w:rsid w:val="5FCC3C91"/>
    <w:rsid w:val="5FE370EE"/>
    <w:rsid w:val="5FEF2F62"/>
    <w:rsid w:val="5FFE0608"/>
    <w:rsid w:val="603402C1"/>
    <w:rsid w:val="60376EC7"/>
    <w:rsid w:val="6041030C"/>
    <w:rsid w:val="60426215"/>
    <w:rsid w:val="605332D0"/>
    <w:rsid w:val="605C6FDD"/>
    <w:rsid w:val="608C3D56"/>
    <w:rsid w:val="60AC25BF"/>
    <w:rsid w:val="60AE4B97"/>
    <w:rsid w:val="60AE5C20"/>
    <w:rsid w:val="60B42C18"/>
    <w:rsid w:val="60D56F1E"/>
    <w:rsid w:val="60E64F59"/>
    <w:rsid w:val="60E95F51"/>
    <w:rsid w:val="60FE7FFB"/>
    <w:rsid w:val="612C6689"/>
    <w:rsid w:val="612F275D"/>
    <w:rsid w:val="614A6860"/>
    <w:rsid w:val="618B78CC"/>
    <w:rsid w:val="61950967"/>
    <w:rsid w:val="6196526B"/>
    <w:rsid w:val="61BD1E67"/>
    <w:rsid w:val="61C05E75"/>
    <w:rsid w:val="61C46155"/>
    <w:rsid w:val="61C55425"/>
    <w:rsid w:val="61CB2809"/>
    <w:rsid w:val="61E5559D"/>
    <w:rsid w:val="61EB5677"/>
    <w:rsid w:val="61FE732D"/>
    <w:rsid w:val="62035A57"/>
    <w:rsid w:val="62044031"/>
    <w:rsid w:val="620446B6"/>
    <w:rsid w:val="62116B35"/>
    <w:rsid w:val="621B3550"/>
    <w:rsid w:val="62272A14"/>
    <w:rsid w:val="623D2397"/>
    <w:rsid w:val="625A5A9E"/>
    <w:rsid w:val="62613618"/>
    <w:rsid w:val="626677DC"/>
    <w:rsid w:val="62690725"/>
    <w:rsid w:val="62727F6A"/>
    <w:rsid w:val="627B39AD"/>
    <w:rsid w:val="628345B2"/>
    <w:rsid w:val="628A6B61"/>
    <w:rsid w:val="62A06DBE"/>
    <w:rsid w:val="62AA69E2"/>
    <w:rsid w:val="62AC3906"/>
    <w:rsid w:val="62B96C8A"/>
    <w:rsid w:val="62D96A13"/>
    <w:rsid w:val="62DB74A0"/>
    <w:rsid w:val="62F4571F"/>
    <w:rsid w:val="62FF297B"/>
    <w:rsid w:val="62FF3177"/>
    <w:rsid w:val="63267F0C"/>
    <w:rsid w:val="63296C23"/>
    <w:rsid w:val="63356DF6"/>
    <w:rsid w:val="634160AE"/>
    <w:rsid w:val="63457B01"/>
    <w:rsid w:val="635D45A9"/>
    <w:rsid w:val="637F5F0E"/>
    <w:rsid w:val="63A158D6"/>
    <w:rsid w:val="63A759A1"/>
    <w:rsid w:val="63C8745E"/>
    <w:rsid w:val="640172F4"/>
    <w:rsid w:val="64045FB4"/>
    <w:rsid w:val="64187E55"/>
    <w:rsid w:val="64231852"/>
    <w:rsid w:val="6430137B"/>
    <w:rsid w:val="643C14EE"/>
    <w:rsid w:val="64574A94"/>
    <w:rsid w:val="647E4741"/>
    <w:rsid w:val="6489316D"/>
    <w:rsid w:val="64951564"/>
    <w:rsid w:val="6497085A"/>
    <w:rsid w:val="64A234A3"/>
    <w:rsid w:val="64AF66B4"/>
    <w:rsid w:val="64B17684"/>
    <w:rsid w:val="64B82EC6"/>
    <w:rsid w:val="64B96679"/>
    <w:rsid w:val="64BF642C"/>
    <w:rsid w:val="64F17DDF"/>
    <w:rsid w:val="64F42617"/>
    <w:rsid w:val="64F87041"/>
    <w:rsid w:val="64F97D90"/>
    <w:rsid w:val="6508424E"/>
    <w:rsid w:val="6524033C"/>
    <w:rsid w:val="652B41B3"/>
    <w:rsid w:val="652C3294"/>
    <w:rsid w:val="65300ACC"/>
    <w:rsid w:val="653220CB"/>
    <w:rsid w:val="653723A9"/>
    <w:rsid w:val="65391DEC"/>
    <w:rsid w:val="653B5C30"/>
    <w:rsid w:val="65510457"/>
    <w:rsid w:val="656F325E"/>
    <w:rsid w:val="659E2EEB"/>
    <w:rsid w:val="65A10A9D"/>
    <w:rsid w:val="65D05AF0"/>
    <w:rsid w:val="65F053F7"/>
    <w:rsid w:val="66001EA0"/>
    <w:rsid w:val="66003FF1"/>
    <w:rsid w:val="66046113"/>
    <w:rsid w:val="663602BA"/>
    <w:rsid w:val="66425185"/>
    <w:rsid w:val="666F74C0"/>
    <w:rsid w:val="668423CE"/>
    <w:rsid w:val="668B69F6"/>
    <w:rsid w:val="66913D49"/>
    <w:rsid w:val="66AE7ECC"/>
    <w:rsid w:val="66C12A3F"/>
    <w:rsid w:val="66C32821"/>
    <w:rsid w:val="66CA40CF"/>
    <w:rsid w:val="66D55AA9"/>
    <w:rsid w:val="66D73528"/>
    <w:rsid w:val="66EA0454"/>
    <w:rsid w:val="66EE4CE0"/>
    <w:rsid w:val="66FE6C2D"/>
    <w:rsid w:val="67013792"/>
    <w:rsid w:val="67043C4D"/>
    <w:rsid w:val="670713FC"/>
    <w:rsid w:val="6718529F"/>
    <w:rsid w:val="671D366B"/>
    <w:rsid w:val="67423AAE"/>
    <w:rsid w:val="674F0496"/>
    <w:rsid w:val="67552FF3"/>
    <w:rsid w:val="675A69A2"/>
    <w:rsid w:val="675C45A6"/>
    <w:rsid w:val="67702096"/>
    <w:rsid w:val="6775730B"/>
    <w:rsid w:val="67B43AE1"/>
    <w:rsid w:val="67BF5C25"/>
    <w:rsid w:val="67C115F9"/>
    <w:rsid w:val="67C86DB0"/>
    <w:rsid w:val="67D04CCB"/>
    <w:rsid w:val="67D63667"/>
    <w:rsid w:val="67E308F1"/>
    <w:rsid w:val="67E63330"/>
    <w:rsid w:val="67EA137C"/>
    <w:rsid w:val="680448A6"/>
    <w:rsid w:val="68111ACB"/>
    <w:rsid w:val="68137FB8"/>
    <w:rsid w:val="683E70A3"/>
    <w:rsid w:val="683F3974"/>
    <w:rsid w:val="68465D84"/>
    <w:rsid w:val="684E1854"/>
    <w:rsid w:val="684E372B"/>
    <w:rsid w:val="685256E8"/>
    <w:rsid w:val="6856105E"/>
    <w:rsid w:val="685F4064"/>
    <w:rsid w:val="68733E4B"/>
    <w:rsid w:val="68742903"/>
    <w:rsid w:val="687A13A5"/>
    <w:rsid w:val="687C03B2"/>
    <w:rsid w:val="687D53A6"/>
    <w:rsid w:val="687E385F"/>
    <w:rsid w:val="687F43DB"/>
    <w:rsid w:val="688A2400"/>
    <w:rsid w:val="6892693E"/>
    <w:rsid w:val="689E1841"/>
    <w:rsid w:val="68A07766"/>
    <w:rsid w:val="68E74DF2"/>
    <w:rsid w:val="68EC6F3F"/>
    <w:rsid w:val="6904106B"/>
    <w:rsid w:val="691A259B"/>
    <w:rsid w:val="691F14DA"/>
    <w:rsid w:val="69406302"/>
    <w:rsid w:val="69415E8C"/>
    <w:rsid w:val="694278AB"/>
    <w:rsid w:val="69515E7D"/>
    <w:rsid w:val="69585712"/>
    <w:rsid w:val="696253FD"/>
    <w:rsid w:val="699C26E4"/>
    <w:rsid w:val="699E30E3"/>
    <w:rsid w:val="69B4314E"/>
    <w:rsid w:val="69B70945"/>
    <w:rsid w:val="69BB1975"/>
    <w:rsid w:val="69BF0B88"/>
    <w:rsid w:val="69CE00D5"/>
    <w:rsid w:val="69D56838"/>
    <w:rsid w:val="69E70F6E"/>
    <w:rsid w:val="69FA330F"/>
    <w:rsid w:val="6A0D3ED1"/>
    <w:rsid w:val="6A2D5D05"/>
    <w:rsid w:val="6A310EC4"/>
    <w:rsid w:val="6A381CA9"/>
    <w:rsid w:val="6A565CA2"/>
    <w:rsid w:val="6A714A56"/>
    <w:rsid w:val="6A7F7844"/>
    <w:rsid w:val="6A806FE8"/>
    <w:rsid w:val="6AC21944"/>
    <w:rsid w:val="6AD63114"/>
    <w:rsid w:val="6AEF0F4E"/>
    <w:rsid w:val="6AF05710"/>
    <w:rsid w:val="6AF05DF2"/>
    <w:rsid w:val="6AF52A28"/>
    <w:rsid w:val="6AFF3F80"/>
    <w:rsid w:val="6B024380"/>
    <w:rsid w:val="6B2510F9"/>
    <w:rsid w:val="6B2B4440"/>
    <w:rsid w:val="6B2F2C46"/>
    <w:rsid w:val="6B4F05F0"/>
    <w:rsid w:val="6B66031B"/>
    <w:rsid w:val="6B79551F"/>
    <w:rsid w:val="6B8F76D2"/>
    <w:rsid w:val="6BDB5132"/>
    <w:rsid w:val="6BED07E7"/>
    <w:rsid w:val="6C0479E9"/>
    <w:rsid w:val="6C0513E8"/>
    <w:rsid w:val="6C116D6A"/>
    <w:rsid w:val="6C1D38D5"/>
    <w:rsid w:val="6C1F11D3"/>
    <w:rsid w:val="6C2823FF"/>
    <w:rsid w:val="6C301EB9"/>
    <w:rsid w:val="6C304FE0"/>
    <w:rsid w:val="6C3410E0"/>
    <w:rsid w:val="6C364734"/>
    <w:rsid w:val="6C395950"/>
    <w:rsid w:val="6C504672"/>
    <w:rsid w:val="6C6E011D"/>
    <w:rsid w:val="6C760861"/>
    <w:rsid w:val="6C8A69C4"/>
    <w:rsid w:val="6C98414B"/>
    <w:rsid w:val="6C9E238F"/>
    <w:rsid w:val="6C9F194C"/>
    <w:rsid w:val="6CA83CF8"/>
    <w:rsid w:val="6CB6350C"/>
    <w:rsid w:val="6CD44AA7"/>
    <w:rsid w:val="6CDC26FD"/>
    <w:rsid w:val="6CE069DD"/>
    <w:rsid w:val="6CF351AD"/>
    <w:rsid w:val="6D0329A0"/>
    <w:rsid w:val="6D034CFF"/>
    <w:rsid w:val="6D1A2AE7"/>
    <w:rsid w:val="6D1E19A4"/>
    <w:rsid w:val="6D2E6749"/>
    <w:rsid w:val="6D3A677A"/>
    <w:rsid w:val="6D646848"/>
    <w:rsid w:val="6D7A13E4"/>
    <w:rsid w:val="6D81345D"/>
    <w:rsid w:val="6D845D33"/>
    <w:rsid w:val="6D8475D7"/>
    <w:rsid w:val="6DA91C3A"/>
    <w:rsid w:val="6DBA3A55"/>
    <w:rsid w:val="6DBF3849"/>
    <w:rsid w:val="6DC218DE"/>
    <w:rsid w:val="6DC25EED"/>
    <w:rsid w:val="6DC921FF"/>
    <w:rsid w:val="6DD46C96"/>
    <w:rsid w:val="6DFD357C"/>
    <w:rsid w:val="6E0269CE"/>
    <w:rsid w:val="6E0A16D6"/>
    <w:rsid w:val="6E0C5EC3"/>
    <w:rsid w:val="6E2378CC"/>
    <w:rsid w:val="6E3E3D4C"/>
    <w:rsid w:val="6E427A53"/>
    <w:rsid w:val="6E5B2821"/>
    <w:rsid w:val="6E7739BA"/>
    <w:rsid w:val="6E7D686E"/>
    <w:rsid w:val="6E7E0648"/>
    <w:rsid w:val="6E861244"/>
    <w:rsid w:val="6E990AD5"/>
    <w:rsid w:val="6E9E11A3"/>
    <w:rsid w:val="6ED8078A"/>
    <w:rsid w:val="6EDB0CDF"/>
    <w:rsid w:val="6EDF1122"/>
    <w:rsid w:val="6EE67221"/>
    <w:rsid w:val="6F03707D"/>
    <w:rsid w:val="6F080A54"/>
    <w:rsid w:val="6F126E68"/>
    <w:rsid w:val="6F204D66"/>
    <w:rsid w:val="6F2D6092"/>
    <w:rsid w:val="6F3969E1"/>
    <w:rsid w:val="6F3B6270"/>
    <w:rsid w:val="6F472143"/>
    <w:rsid w:val="6F604DEA"/>
    <w:rsid w:val="6F686C40"/>
    <w:rsid w:val="6F7F73D1"/>
    <w:rsid w:val="6F8E4365"/>
    <w:rsid w:val="6FA61B1D"/>
    <w:rsid w:val="6FAC096B"/>
    <w:rsid w:val="6FB4662E"/>
    <w:rsid w:val="6FBD1D6A"/>
    <w:rsid w:val="6FC12C53"/>
    <w:rsid w:val="6FD66694"/>
    <w:rsid w:val="6FE734D6"/>
    <w:rsid w:val="6FF41957"/>
    <w:rsid w:val="6FFA3ED5"/>
    <w:rsid w:val="700339CA"/>
    <w:rsid w:val="70106052"/>
    <w:rsid w:val="7028003F"/>
    <w:rsid w:val="70376C84"/>
    <w:rsid w:val="70432F5B"/>
    <w:rsid w:val="706424B4"/>
    <w:rsid w:val="706840F7"/>
    <w:rsid w:val="70693A99"/>
    <w:rsid w:val="707379F4"/>
    <w:rsid w:val="707B07A7"/>
    <w:rsid w:val="7093426E"/>
    <w:rsid w:val="70A205B7"/>
    <w:rsid w:val="70A97A1D"/>
    <w:rsid w:val="70C40454"/>
    <w:rsid w:val="70DF7372"/>
    <w:rsid w:val="70E03D37"/>
    <w:rsid w:val="70E526C3"/>
    <w:rsid w:val="70FD4986"/>
    <w:rsid w:val="712A0ACD"/>
    <w:rsid w:val="71402504"/>
    <w:rsid w:val="714C37AB"/>
    <w:rsid w:val="714E37CA"/>
    <w:rsid w:val="717036E8"/>
    <w:rsid w:val="717E097F"/>
    <w:rsid w:val="7187632F"/>
    <w:rsid w:val="718E22A9"/>
    <w:rsid w:val="71AB6DB5"/>
    <w:rsid w:val="71B22F2E"/>
    <w:rsid w:val="71BC3C11"/>
    <w:rsid w:val="71CA52C2"/>
    <w:rsid w:val="71E67CA3"/>
    <w:rsid w:val="71EC22D7"/>
    <w:rsid w:val="71EF4B41"/>
    <w:rsid w:val="72155A3D"/>
    <w:rsid w:val="721817E3"/>
    <w:rsid w:val="72200ED1"/>
    <w:rsid w:val="72262F1E"/>
    <w:rsid w:val="724648CA"/>
    <w:rsid w:val="724C721B"/>
    <w:rsid w:val="7267768E"/>
    <w:rsid w:val="7270473E"/>
    <w:rsid w:val="7272701F"/>
    <w:rsid w:val="72767519"/>
    <w:rsid w:val="72826337"/>
    <w:rsid w:val="728904FA"/>
    <w:rsid w:val="72A845D7"/>
    <w:rsid w:val="72AC6F5C"/>
    <w:rsid w:val="72BC3C8B"/>
    <w:rsid w:val="72DB1A3C"/>
    <w:rsid w:val="73045040"/>
    <w:rsid w:val="73135AC4"/>
    <w:rsid w:val="731C433E"/>
    <w:rsid w:val="731E54E2"/>
    <w:rsid w:val="732A4A0C"/>
    <w:rsid w:val="7333043D"/>
    <w:rsid w:val="73500F81"/>
    <w:rsid w:val="737529DB"/>
    <w:rsid w:val="73953BB1"/>
    <w:rsid w:val="739D722F"/>
    <w:rsid w:val="73A10BFF"/>
    <w:rsid w:val="73BC33C0"/>
    <w:rsid w:val="73C5347A"/>
    <w:rsid w:val="73EC10CC"/>
    <w:rsid w:val="741D27F7"/>
    <w:rsid w:val="74616C75"/>
    <w:rsid w:val="748658C5"/>
    <w:rsid w:val="74A13A87"/>
    <w:rsid w:val="74A207DA"/>
    <w:rsid w:val="74A769A9"/>
    <w:rsid w:val="74D32F85"/>
    <w:rsid w:val="74E15581"/>
    <w:rsid w:val="752409F8"/>
    <w:rsid w:val="75252D48"/>
    <w:rsid w:val="754266E1"/>
    <w:rsid w:val="75506275"/>
    <w:rsid w:val="75562D05"/>
    <w:rsid w:val="755D0783"/>
    <w:rsid w:val="75BA01FE"/>
    <w:rsid w:val="75F11F6C"/>
    <w:rsid w:val="75F50354"/>
    <w:rsid w:val="76172CA8"/>
    <w:rsid w:val="761E730E"/>
    <w:rsid w:val="76252983"/>
    <w:rsid w:val="762A3B8A"/>
    <w:rsid w:val="7642110C"/>
    <w:rsid w:val="764D15F6"/>
    <w:rsid w:val="76535515"/>
    <w:rsid w:val="765A5FD1"/>
    <w:rsid w:val="76670067"/>
    <w:rsid w:val="76745EBA"/>
    <w:rsid w:val="767757D9"/>
    <w:rsid w:val="76881A19"/>
    <w:rsid w:val="769176C5"/>
    <w:rsid w:val="769876FF"/>
    <w:rsid w:val="769E0595"/>
    <w:rsid w:val="76A54AEF"/>
    <w:rsid w:val="76A60408"/>
    <w:rsid w:val="76AC240A"/>
    <w:rsid w:val="76B23B3B"/>
    <w:rsid w:val="76B256DB"/>
    <w:rsid w:val="76B930D6"/>
    <w:rsid w:val="76BB39D7"/>
    <w:rsid w:val="76BD4A3F"/>
    <w:rsid w:val="76C66166"/>
    <w:rsid w:val="76CA287F"/>
    <w:rsid w:val="76CB6CDA"/>
    <w:rsid w:val="76CD2F07"/>
    <w:rsid w:val="76DA4861"/>
    <w:rsid w:val="76DE7101"/>
    <w:rsid w:val="77163043"/>
    <w:rsid w:val="771B13D5"/>
    <w:rsid w:val="77384AF6"/>
    <w:rsid w:val="773C3E2D"/>
    <w:rsid w:val="77482CFB"/>
    <w:rsid w:val="77696B11"/>
    <w:rsid w:val="77876688"/>
    <w:rsid w:val="779D4017"/>
    <w:rsid w:val="77A66AF4"/>
    <w:rsid w:val="77B51ACD"/>
    <w:rsid w:val="77D24E5D"/>
    <w:rsid w:val="77D3030C"/>
    <w:rsid w:val="77D52A80"/>
    <w:rsid w:val="77FA6FE9"/>
    <w:rsid w:val="780921BD"/>
    <w:rsid w:val="78145839"/>
    <w:rsid w:val="781E7387"/>
    <w:rsid w:val="782212E9"/>
    <w:rsid w:val="782E7A0C"/>
    <w:rsid w:val="783644C0"/>
    <w:rsid w:val="78457DC5"/>
    <w:rsid w:val="784B4305"/>
    <w:rsid w:val="78766C48"/>
    <w:rsid w:val="78807469"/>
    <w:rsid w:val="78810887"/>
    <w:rsid w:val="78B827D1"/>
    <w:rsid w:val="78D00DAE"/>
    <w:rsid w:val="78D2776A"/>
    <w:rsid w:val="78D76CE2"/>
    <w:rsid w:val="78DC7A73"/>
    <w:rsid w:val="78DF1847"/>
    <w:rsid w:val="78E62756"/>
    <w:rsid w:val="790A3A62"/>
    <w:rsid w:val="79104653"/>
    <w:rsid w:val="79125C65"/>
    <w:rsid w:val="79143638"/>
    <w:rsid w:val="792523D8"/>
    <w:rsid w:val="792B0213"/>
    <w:rsid w:val="793351AF"/>
    <w:rsid w:val="793D25A3"/>
    <w:rsid w:val="795F50E6"/>
    <w:rsid w:val="7967213E"/>
    <w:rsid w:val="79740EF9"/>
    <w:rsid w:val="797A1E0F"/>
    <w:rsid w:val="797D4CFF"/>
    <w:rsid w:val="797D5E37"/>
    <w:rsid w:val="798D2124"/>
    <w:rsid w:val="79A335C6"/>
    <w:rsid w:val="79A451A4"/>
    <w:rsid w:val="79AE75ED"/>
    <w:rsid w:val="79C82B0C"/>
    <w:rsid w:val="79D05261"/>
    <w:rsid w:val="79DD7B9F"/>
    <w:rsid w:val="79F538E3"/>
    <w:rsid w:val="79F73B55"/>
    <w:rsid w:val="79F73DBD"/>
    <w:rsid w:val="79FE3854"/>
    <w:rsid w:val="7A1573E8"/>
    <w:rsid w:val="7A38409F"/>
    <w:rsid w:val="7A460D60"/>
    <w:rsid w:val="7A565FDE"/>
    <w:rsid w:val="7A590AF9"/>
    <w:rsid w:val="7A623012"/>
    <w:rsid w:val="7A6A0B90"/>
    <w:rsid w:val="7A70521A"/>
    <w:rsid w:val="7A7219A5"/>
    <w:rsid w:val="7A877A31"/>
    <w:rsid w:val="7A884CD2"/>
    <w:rsid w:val="7A9953C1"/>
    <w:rsid w:val="7A9D3635"/>
    <w:rsid w:val="7AA6729A"/>
    <w:rsid w:val="7AAA65A0"/>
    <w:rsid w:val="7AB80009"/>
    <w:rsid w:val="7AE85A35"/>
    <w:rsid w:val="7AEC433F"/>
    <w:rsid w:val="7AF66424"/>
    <w:rsid w:val="7B0E5805"/>
    <w:rsid w:val="7B20096B"/>
    <w:rsid w:val="7B2B6295"/>
    <w:rsid w:val="7B2F3E0F"/>
    <w:rsid w:val="7B357611"/>
    <w:rsid w:val="7B4B1309"/>
    <w:rsid w:val="7B55028B"/>
    <w:rsid w:val="7B6C4260"/>
    <w:rsid w:val="7B813540"/>
    <w:rsid w:val="7BA90698"/>
    <w:rsid w:val="7BAC4CCD"/>
    <w:rsid w:val="7BCA03FA"/>
    <w:rsid w:val="7BCD1D9C"/>
    <w:rsid w:val="7BD57A54"/>
    <w:rsid w:val="7BDA2E8B"/>
    <w:rsid w:val="7BDB5EEE"/>
    <w:rsid w:val="7BF56180"/>
    <w:rsid w:val="7C10128C"/>
    <w:rsid w:val="7C1E5A2E"/>
    <w:rsid w:val="7C2331EF"/>
    <w:rsid w:val="7C4A3CCA"/>
    <w:rsid w:val="7C4C4C06"/>
    <w:rsid w:val="7C5A0F51"/>
    <w:rsid w:val="7C5E4518"/>
    <w:rsid w:val="7C7C201B"/>
    <w:rsid w:val="7C841BE8"/>
    <w:rsid w:val="7CA43F25"/>
    <w:rsid w:val="7CBA01F6"/>
    <w:rsid w:val="7CC241E3"/>
    <w:rsid w:val="7CC77925"/>
    <w:rsid w:val="7CD33A10"/>
    <w:rsid w:val="7CD542D5"/>
    <w:rsid w:val="7CE16559"/>
    <w:rsid w:val="7CEB7E9D"/>
    <w:rsid w:val="7CF16155"/>
    <w:rsid w:val="7D177D7C"/>
    <w:rsid w:val="7D4A0D9C"/>
    <w:rsid w:val="7D627361"/>
    <w:rsid w:val="7D712344"/>
    <w:rsid w:val="7D7D6D64"/>
    <w:rsid w:val="7D9624F8"/>
    <w:rsid w:val="7D971000"/>
    <w:rsid w:val="7DA116A5"/>
    <w:rsid w:val="7DAF514C"/>
    <w:rsid w:val="7DB106D0"/>
    <w:rsid w:val="7DD021B9"/>
    <w:rsid w:val="7DDE072D"/>
    <w:rsid w:val="7DE029CB"/>
    <w:rsid w:val="7DEE63AF"/>
    <w:rsid w:val="7DF12B9D"/>
    <w:rsid w:val="7DFF14CB"/>
    <w:rsid w:val="7E2E0B20"/>
    <w:rsid w:val="7E39402F"/>
    <w:rsid w:val="7E3B0CBC"/>
    <w:rsid w:val="7E4138BF"/>
    <w:rsid w:val="7E4F5DDF"/>
    <w:rsid w:val="7E5D39FF"/>
    <w:rsid w:val="7E6E44F1"/>
    <w:rsid w:val="7E6E737F"/>
    <w:rsid w:val="7E705302"/>
    <w:rsid w:val="7EBB0BE4"/>
    <w:rsid w:val="7EBD3CB7"/>
    <w:rsid w:val="7EBE05D0"/>
    <w:rsid w:val="7ED8568A"/>
    <w:rsid w:val="7EFA340A"/>
    <w:rsid w:val="7EFB01CB"/>
    <w:rsid w:val="7F031217"/>
    <w:rsid w:val="7F0F1809"/>
    <w:rsid w:val="7F1540B4"/>
    <w:rsid w:val="7F1F0727"/>
    <w:rsid w:val="7F2768AA"/>
    <w:rsid w:val="7F3821C6"/>
    <w:rsid w:val="7F3907E1"/>
    <w:rsid w:val="7F391150"/>
    <w:rsid w:val="7F4411D9"/>
    <w:rsid w:val="7F697680"/>
    <w:rsid w:val="7F7653A1"/>
    <w:rsid w:val="7F795FD7"/>
    <w:rsid w:val="7F907AF0"/>
    <w:rsid w:val="7FA8309E"/>
    <w:rsid w:val="7FB56C73"/>
    <w:rsid w:val="7FD7641D"/>
    <w:rsid w:val="7FE526CB"/>
    <w:rsid w:val="7FE61625"/>
    <w:rsid w:val="7FFB22E5"/>
    <w:rsid w:val="7FFB2EDD"/>
    <w:rsid w:val="7FFC221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iPriority="99"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qFormat="1" w:uiPriority="99" w:semiHidden="0" w:name="Body Text First Indent"/>
    <w:lsdException w:qFormat="1" w:uiPriority="0" w:semiHidden="0" w:name="Body Text First Indent 2"/>
    <w:lsdException w:qFormat="1" w:uiPriority="99" w:semiHidden="0" w:name="Note Heading"/>
    <w:lsdException w:uiPriority="99" w:name="Body Text 2"/>
    <w:lsdException w:uiPriority="99" w:name="Body Text 3"/>
    <w:lsdException w:qFormat="1" w:uiPriority="99" w:semiHidden="0" w:name="Body Text Indent 2"/>
    <w:lsdException w:uiPriority="99" w:name="Body Text Indent 3"/>
    <w:lsdException w:qFormat="1" w:unhideWhenUsed="0" w:uiPriority="0" w:semiHidden="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iPriority="0" w:semiHidden="0" w:name="Plain Text"/>
    <w:lsdException w:uiPriority="99" w:name="E-mail Signature"/>
    <w:lsdException w:qFormat="1" w:uiPriority="99" w:semiHidden="0" w:name="Normal (Web)"/>
    <w:lsdException w:uiPriority="99"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uiPriority="99" w:name="HTML Preformatted"/>
    <w:lsdException w:qFormat="1" w:uiPriority="99" w:semiHidden="0" w:name="HTML Sample"/>
    <w:lsdException w:uiPriority="99" w:name="HTML Typewriter"/>
    <w:lsdException w:qFormat="1" w:uiPriority="99" w:semiHidden="0"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51"/>
    <w:qFormat/>
    <w:uiPriority w:val="9"/>
    <w:pPr>
      <w:keepNext/>
      <w:keepLines/>
      <w:spacing w:line="576" w:lineRule="auto"/>
      <w:outlineLvl w:val="0"/>
    </w:pPr>
    <w:rPr>
      <w:b/>
      <w:kern w:val="44"/>
      <w:sz w:val="44"/>
    </w:rPr>
  </w:style>
  <w:style w:type="paragraph" w:styleId="5">
    <w:name w:val="heading 2"/>
    <w:basedOn w:val="1"/>
    <w:next w:val="1"/>
    <w:link w:val="52"/>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link w:val="53"/>
    <w:unhideWhenUsed/>
    <w:qFormat/>
    <w:uiPriority w:val="9"/>
    <w:pPr>
      <w:keepNext/>
      <w:keepLines/>
      <w:spacing w:before="260" w:after="260" w:line="416" w:lineRule="auto"/>
      <w:outlineLvl w:val="2"/>
    </w:pPr>
    <w:rPr>
      <w:b/>
      <w:bCs/>
      <w:sz w:val="32"/>
      <w:szCs w:val="32"/>
    </w:rPr>
  </w:style>
  <w:style w:type="paragraph" w:styleId="7">
    <w:name w:val="heading 4"/>
    <w:basedOn w:val="1"/>
    <w:next w:val="1"/>
    <w:link w:val="54"/>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2">
    <w:name w:val="Plain Text"/>
    <w:basedOn w:val="1"/>
    <w:next w:val="3"/>
    <w:link w:val="57"/>
    <w:unhideWhenUsed/>
    <w:qFormat/>
    <w:uiPriority w:val="0"/>
    <w:rPr>
      <w:rFonts w:ascii="宋体" w:hAnsi="Courier New" w:eastAsia="宋体" w:cs="Times New Roman"/>
      <w:szCs w:val="20"/>
    </w:rPr>
  </w:style>
  <w:style w:type="paragraph" w:customStyle="1" w:styleId="3">
    <w:name w:val="正本"/>
    <w:basedOn w:val="1"/>
    <w:qFormat/>
    <w:uiPriority w:val="0"/>
    <w:pPr>
      <w:adjustRightInd w:val="0"/>
      <w:snapToGrid w:val="0"/>
      <w:spacing w:line="360" w:lineRule="auto"/>
      <w:ind w:firstLine="200" w:firstLineChars="200"/>
    </w:pPr>
    <w:rPr>
      <w:rFonts w:ascii="宋体" w:hAnsi="宋体"/>
      <w:sz w:val="24"/>
    </w:rPr>
  </w:style>
  <w:style w:type="paragraph" w:styleId="8">
    <w:name w:val="toc 7"/>
    <w:basedOn w:val="1"/>
    <w:next w:val="1"/>
    <w:unhideWhenUsed/>
    <w:qFormat/>
    <w:uiPriority w:val="39"/>
    <w:pPr>
      <w:ind w:left="2520" w:leftChars="1200"/>
    </w:pPr>
  </w:style>
  <w:style w:type="paragraph" w:styleId="9">
    <w:name w:val="Note Heading"/>
    <w:basedOn w:val="1"/>
    <w:next w:val="1"/>
    <w:link w:val="55"/>
    <w:unhideWhenUsed/>
    <w:qFormat/>
    <w:uiPriority w:val="99"/>
    <w:pPr>
      <w:jc w:val="center"/>
    </w:pPr>
    <w:rPr>
      <w:rFonts w:ascii="宋体" w:hAnsi="Times New Roman" w:eastAsia="宋体" w:cs="Times New Roman"/>
      <w:szCs w:val="20"/>
    </w:rPr>
  </w:style>
  <w:style w:type="paragraph" w:styleId="10">
    <w:name w:val="Normal Indent"/>
    <w:basedOn w:val="1"/>
    <w:unhideWhenUsed/>
    <w:qFormat/>
    <w:uiPriority w:val="99"/>
    <w:pPr>
      <w:ind w:firstLine="420"/>
    </w:pPr>
    <w:rPr>
      <w:szCs w:val="20"/>
    </w:rPr>
  </w:style>
  <w:style w:type="paragraph" w:styleId="11">
    <w:name w:val="caption"/>
    <w:basedOn w:val="1"/>
    <w:next w:val="1"/>
    <w:unhideWhenUsed/>
    <w:qFormat/>
    <w:uiPriority w:val="35"/>
    <w:rPr>
      <w:rFonts w:ascii="Arial" w:hAnsi="Arial" w:eastAsia="黑体" w:cs="Arial"/>
      <w:sz w:val="20"/>
      <w:szCs w:val="20"/>
    </w:rPr>
  </w:style>
  <w:style w:type="paragraph" w:styleId="12">
    <w:name w:val="Document Map"/>
    <w:basedOn w:val="1"/>
    <w:link w:val="56"/>
    <w:unhideWhenUsed/>
    <w:qFormat/>
    <w:uiPriority w:val="99"/>
    <w:rPr>
      <w:rFonts w:ascii="宋体" w:eastAsia="宋体"/>
      <w:sz w:val="18"/>
      <w:szCs w:val="18"/>
    </w:rPr>
  </w:style>
  <w:style w:type="paragraph" w:styleId="13">
    <w:name w:val="annotation text"/>
    <w:basedOn w:val="1"/>
    <w:link w:val="78"/>
    <w:unhideWhenUsed/>
    <w:qFormat/>
    <w:uiPriority w:val="99"/>
    <w:pPr>
      <w:jc w:val="left"/>
    </w:pPr>
  </w:style>
  <w:style w:type="paragraph" w:styleId="14">
    <w:name w:val="Body Text"/>
    <w:basedOn w:val="1"/>
    <w:next w:val="1"/>
    <w:link w:val="69"/>
    <w:qFormat/>
    <w:uiPriority w:val="0"/>
    <w:pPr>
      <w:spacing w:after="120"/>
    </w:pPr>
    <w:rPr>
      <w:rFonts w:ascii="Times New Roman" w:hAnsi="Times New Roman" w:eastAsia="宋体" w:cs="Times New Roman"/>
      <w:szCs w:val="24"/>
    </w:rPr>
  </w:style>
  <w:style w:type="paragraph" w:styleId="15">
    <w:name w:val="Body Text Indent"/>
    <w:basedOn w:val="1"/>
    <w:qFormat/>
    <w:uiPriority w:val="0"/>
    <w:pPr>
      <w:spacing w:after="120"/>
      <w:ind w:left="420" w:leftChars="200"/>
    </w:pPr>
  </w:style>
  <w:style w:type="paragraph" w:styleId="16">
    <w:name w:val="Block Text"/>
    <w:basedOn w:val="1"/>
    <w:qFormat/>
    <w:uiPriority w:val="0"/>
    <w:pPr>
      <w:spacing w:line="320" w:lineRule="exact"/>
      <w:ind w:left="113" w:right="113"/>
      <w:jc w:val="center"/>
    </w:pPr>
    <w:rPr>
      <w:b/>
      <w:sz w:val="13"/>
      <w:szCs w:val="15"/>
    </w:rPr>
  </w:style>
  <w:style w:type="paragraph" w:styleId="17">
    <w:name w:val="toc 5"/>
    <w:basedOn w:val="1"/>
    <w:next w:val="1"/>
    <w:unhideWhenUsed/>
    <w:qFormat/>
    <w:uiPriority w:val="39"/>
    <w:pPr>
      <w:ind w:left="1680" w:leftChars="800"/>
    </w:pPr>
  </w:style>
  <w:style w:type="paragraph" w:styleId="18">
    <w:name w:val="toc 3"/>
    <w:basedOn w:val="1"/>
    <w:next w:val="1"/>
    <w:unhideWhenUsed/>
    <w:qFormat/>
    <w:uiPriority w:val="39"/>
    <w:pPr>
      <w:ind w:left="840" w:leftChars="400"/>
    </w:pPr>
  </w:style>
  <w:style w:type="paragraph" w:styleId="19">
    <w:name w:val="toc 8"/>
    <w:basedOn w:val="1"/>
    <w:next w:val="1"/>
    <w:unhideWhenUsed/>
    <w:qFormat/>
    <w:uiPriority w:val="39"/>
    <w:pPr>
      <w:ind w:left="2940" w:leftChars="1400"/>
    </w:pPr>
  </w:style>
  <w:style w:type="paragraph" w:styleId="20">
    <w:name w:val="Date"/>
    <w:basedOn w:val="1"/>
    <w:next w:val="1"/>
    <w:link w:val="58"/>
    <w:unhideWhenUsed/>
    <w:qFormat/>
    <w:uiPriority w:val="99"/>
    <w:pPr>
      <w:ind w:left="100" w:leftChars="2500"/>
    </w:pPr>
  </w:style>
  <w:style w:type="paragraph" w:styleId="21">
    <w:name w:val="Body Text Indent 2"/>
    <w:basedOn w:val="1"/>
    <w:next w:val="1"/>
    <w:link w:val="59"/>
    <w:unhideWhenUsed/>
    <w:qFormat/>
    <w:uiPriority w:val="99"/>
    <w:pPr>
      <w:spacing w:after="120" w:line="480" w:lineRule="auto"/>
      <w:ind w:left="420" w:leftChars="200"/>
    </w:pPr>
    <w:rPr>
      <w:rFonts w:ascii="Times New Roman" w:hAnsi="Times New Roman" w:eastAsia="宋体" w:cs="Times New Roman"/>
      <w:szCs w:val="24"/>
    </w:rPr>
  </w:style>
  <w:style w:type="paragraph" w:styleId="22">
    <w:name w:val="Balloon Text"/>
    <w:basedOn w:val="1"/>
    <w:link w:val="60"/>
    <w:unhideWhenUsed/>
    <w:qFormat/>
    <w:uiPriority w:val="99"/>
    <w:rPr>
      <w:sz w:val="18"/>
      <w:szCs w:val="18"/>
    </w:rPr>
  </w:style>
  <w:style w:type="paragraph" w:styleId="23">
    <w:name w:val="footer"/>
    <w:basedOn w:val="1"/>
    <w:link w:val="50"/>
    <w:unhideWhenUsed/>
    <w:qFormat/>
    <w:uiPriority w:val="99"/>
    <w:pPr>
      <w:tabs>
        <w:tab w:val="center" w:pos="4153"/>
        <w:tab w:val="right" w:pos="8306"/>
      </w:tabs>
      <w:snapToGrid w:val="0"/>
      <w:jc w:val="left"/>
    </w:pPr>
    <w:rPr>
      <w:sz w:val="18"/>
      <w:szCs w:val="18"/>
    </w:rPr>
  </w:style>
  <w:style w:type="paragraph" w:styleId="24">
    <w:name w:val="header"/>
    <w:basedOn w:val="1"/>
    <w:next w:val="1"/>
    <w:link w:val="49"/>
    <w:unhideWhenUsed/>
    <w:qFormat/>
    <w:uiPriority w:val="99"/>
    <w:pPr>
      <w:pBdr>
        <w:bottom w:val="single" w:color="auto" w:sz="6" w:space="1"/>
      </w:pBdr>
      <w:tabs>
        <w:tab w:val="center" w:pos="4153"/>
        <w:tab w:val="right" w:pos="8306"/>
      </w:tabs>
      <w:snapToGrid w:val="0"/>
      <w:jc w:val="center"/>
    </w:pPr>
    <w:rPr>
      <w:sz w:val="18"/>
      <w:szCs w:val="18"/>
    </w:rPr>
  </w:style>
  <w:style w:type="paragraph" w:styleId="25">
    <w:name w:val="toc 1"/>
    <w:basedOn w:val="1"/>
    <w:next w:val="1"/>
    <w:unhideWhenUsed/>
    <w:qFormat/>
    <w:uiPriority w:val="39"/>
  </w:style>
  <w:style w:type="paragraph" w:styleId="26">
    <w:name w:val="toc 4"/>
    <w:basedOn w:val="1"/>
    <w:next w:val="1"/>
    <w:unhideWhenUsed/>
    <w:qFormat/>
    <w:uiPriority w:val="39"/>
    <w:pPr>
      <w:ind w:left="1260" w:leftChars="600"/>
    </w:pPr>
  </w:style>
  <w:style w:type="paragraph" w:styleId="27">
    <w:name w:val="toc 6"/>
    <w:basedOn w:val="1"/>
    <w:next w:val="1"/>
    <w:unhideWhenUsed/>
    <w:qFormat/>
    <w:uiPriority w:val="39"/>
    <w:pPr>
      <w:ind w:left="2100" w:leftChars="1000"/>
    </w:pPr>
  </w:style>
  <w:style w:type="paragraph" w:styleId="28">
    <w:name w:val="toc 2"/>
    <w:basedOn w:val="1"/>
    <w:next w:val="1"/>
    <w:unhideWhenUsed/>
    <w:qFormat/>
    <w:uiPriority w:val="39"/>
    <w:pPr>
      <w:ind w:left="420" w:leftChars="200"/>
    </w:pPr>
  </w:style>
  <w:style w:type="paragraph" w:styleId="29">
    <w:name w:val="toc 9"/>
    <w:basedOn w:val="1"/>
    <w:next w:val="1"/>
    <w:unhideWhenUsed/>
    <w:qFormat/>
    <w:uiPriority w:val="39"/>
    <w:pPr>
      <w:ind w:left="3360" w:leftChars="1600"/>
    </w:pPr>
  </w:style>
  <w:style w:type="paragraph" w:styleId="30">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31">
    <w:name w:val="annotation subject"/>
    <w:basedOn w:val="13"/>
    <w:next w:val="13"/>
    <w:link w:val="79"/>
    <w:unhideWhenUsed/>
    <w:qFormat/>
    <w:uiPriority w:val="99"/>
    <w:rPr>
      <w:b/>
      <w:bCs/>
    </w:rPr>
  </w:style>
  <w:style w:type="paragraph" w:styleId="32">
    <w:name w:val="Body Text First Indent"/>
    <w:basedOn w:val="14"/>
    <w:next w:val="1"/>
    <w:unhideWhenUsed/>
    <w:qFormat/>
    <w:uiPriority w:val="99"/>
    <w:pPr>
      <w:ind w:firstLine="420" w:firstLineChars="100"/>
    </w:pPr>
  </w:style>
  <w:style w:type="paragraph" w:styleId="33">
    <w:name w:val="Body Text First Indent 2"/>
    <w:basedOn w:val="1"/>
    <w:next w:val="1"/>
    <w:unhideWhenUsed/>
    <w:qFormat/>
    <w:uiPriority w:val="0"/>
    <w:pPr>
      <w:ind w:firstLine="420" w:firstLineChars="200"/>
    </w:pPr>
  </w:style>
  <w:style w:type="table" w:styleId="35">
    <w:name w:val="Table Grid"/>
    <w:basedOn w:val="34"/>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37">
    <w:name w:val="Strong"/>
    <w:basedOn w:val="36"/>
    <w:qFormat/>
    <w:uiPriority w:val="22"/>
    <w:rPr>
      <w:b/>
      <w:u w:val="single"/>
    </w:rPr>
  </w:style>
  <w:style w:type="character" w:styleId="38">
    <w:name w:val="FollowedHyperlink"/>
    <w:basedOn w:val="36"/>
    <w:unhideWhenUsed/>
    <w:qFormat/>
    <w:uiPriority w:val="99"/>
    <w:rPr>
      <w:color w:val="338DE6"/>
      <w:u w:val="none"/>
    </w:rPr>
  </w:style>
  <w:style w:type="character" w:styleId="39">
    <w:name w:val="Emphasis"/>
    <w:basedOn w:val="36"/>
    <w:qFormat/>
    <w:uiPriority w:val="20"/>
  </w:style>
  <w:style w:type="character" w:styleId="40">
    <w:name w:val="HTML Definition"/>
    <w:basedOn w:val="36"/>
    <w:unhideWhenUsed/>
    <w:qFormat/>
    <w:uiPriority w:val="99"/>
  </w:style>
  <w:style w:type="character" w:styleId="41">
    <w:name w:val="HTML Variable"/>
    <w:basedOn w:val="36"/>
    <w:unhideWhenUsed/>
    <w:qFormat/>
    <w:uiPriority w:val="99"/>
  </w:style>
  <w:style w:type="character" w:styleId="42">
    <w:name w:val="Hyperlink"/>
    <w:basedOn w:val="36"/>
    <w:unhideWhenUsed/>
    <w:qFormat/>
    <w:uiPriority w:val="99"/>
    <w:rPr>
      <w:color w:val="0000FF" w:themeColor="hyperlink"/>
      <w:u w:val="single"/>
      <w14:textFill>
        <w14:solidFill>
          <w14:schemeClr w14:val="hlink"/>
        </w14:solidFill>
      </w14:textFill>
    </w:rPr>
  </w:style>
  <w:style w:type="character" w:styleId="43">
    <w:name w:val="HTML Code"/>
    <w:basedOn w:val="36"/>
    <w:unhideWhenUsed/>
    <w:qFormat/>
    <w:uiPriority w:val="99"/>
    <w:rPr>
      <w:rFonts w:ascii="monospace" w:hAnsi="monospace" w:eastAsia="monospace" w:cs="monospace"/>
      <w:sz w:val="21"/>
      <w:szCs w:val="21"/>
    </w:rPr>
  </w:style>
  <w:style w:type="character" w:styleId="44">
    <w:name w:val="annotation reference"/>
    <w:basedOn w:val="36"/>
    <w:unhideWhenUsed/>
    <w:qFormat/>
    <w:uiPriority w:val="99"/>
    <w:rPr>
      <w:sz w:val="21"/>
      <w:szCs w:val="21"/>
    </w:rPr>
  </w:style>
  <w:style w:type="character" w:styleId="45">
    <w:name w:val="HTML Cite"/>
    <w:basedOn w:val="36"/>
    <w:unhideWhenUsed/>
    <w:qFormat/>
    <w:uiPriority w:val="99"/>
  </w:style>
  <w:style w:type="character" w:styleId="46">
    <w:name w:val="HTML Keyboard"/>
    <w:basedOn w:val="36"/>
    <w:unhideWhenUsed/>
    <w:qFormat/>
    <w:uiPriority w:val="99"/>
    <w:rPr>
      <w:rFonts w:hint="default" w:ascii="monospace" w:hAnsi="monospace" w:eastAsia="monospace" w:cs="monospace"/>
      <w:sz w:val="21"/>
      <w:szCs w:val="21"/>
    </w:rPr>
  </w:style>
  <w:style w:type="character" w:styleId="47">
    <w:name w:val="HTML Sample"/>
    <w:basedOn w:val="36"/>
    <w:unhideWhenUsed/>
    <w:qFormat/>
    <w:uiPriority w:val="99"/>
    <w:rPr>
      <w:rFonts w:hint="default" w:ascii="monospace" w:hAnsi="monospace" w:eastAsia="monospace" w:cs="monospace"/>
      <w:sz w:val="21"/>
      <w:szCs w:val="21"/>
    </w:rPr>
  </w:style>
  <w:style w:type="paragraph" w:customStyle="1" w:styleId="48">
    <w:name w:val="Default"/>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character" w:customStyle="1" w:styleId="49">
    <w:name w:val="页眉 Char"/>
    <w:basedOn w:val="36"/>
    <w:link w:val="24"/>
    <w:semiHidden/>
    <w:qFormat/>
    <w:uiPriority w:val="99"/>
    <w:rPr>
      <w:sz w:val="18"/>
      <w:szCs w:val="18"/>
    </w:rPr>
  </w:style>
  <w:style w:type="character" w:customStyle="1" w:styleId="50">
    <w:name w:val="页脚 Char"/>
    <w:basedOn w:val="36"/>
    <w:link w:val="23"/>
    <w:qFormat/>
    <w:uiPriority w:val="99"/>
    <w:rPr>
      <w:sz w:val="18"/>
      <w:szCs w:val="18"/>
    </w:rPr>
  </w:style>
  <w:style w:type="character" w:customStyle="1" w:styleId="51">
    <w:name w:val="标题 1 Char"/>
    <w:basedOn w:val="36"/>
    <w:link w:val="4"/>
    <w:qFormat/>
    <w:uiPriority w:val="9"/>
    <w:rPr>
      <w:b/>
      <w:kern w:val="44"/>
      <w:sz w:val="44"/>
    </w:rPr>
  </w:style>
  <w:style w:type="character" w:customStyle="1" w:styleId="52">
    <w:name w:val="标题 2 Char"/>
    <w:basedOn w:val="36"/>
    <w:link w:val="5"/>
    <w:qFormat/>
    <w:uiPriority w:val="9"/>
    <w:rPr>
      <w:rFonts w:asciiTheme="majorHAnsi" w:hAnsiTheme="majorHAnsi" w:eastAsiaTheme="majorEastAsia" w:cstheme="majorBidi"/>
      <w:b/>
      <w:bCs/>
      <w:sz w:val="32"/>
      <w:szCs w:val="32"/>
    </w:rPr>
  </w:style>
  <w:style w:type="character" w:customStyle="1" w:styleId="53">
    <w:name w:val="标题 3 Char"/>
    <w:basedOn w:val="36"/>
    <w:link w:val="6"/>
    <w:qFormat/>
    <w:uiPriority w:val="9"/>
    <w:rPr>
      <w:b/>
      <w:bCs/>
      <w:sz w:val="32"/>
      <w:szCs w:val="32"/>
    </w:rPr>
  </w:style>
  <w:style w:type="character" w:customStyle="1" w:styleId="54">
    <w:name w:val="标题 4 Char"/>
    <w:basedOn w:val="36"/>
    <w:link w:val="7"/>
    <w:qFormat/>
    <w:uiPriority w:val="9"/>
    <w:rPr>
      <w:rFonts w:asciiTheme="majorHAnsi" w:hAnsiTheme="majorHAnsi" w:eastAsiaTheme="majorEastAsia" w:cstheme="majorBidi"/>
      <w:b/>
      <w:bCs/>
      <w:sz w:val="28"/>
      <w:szCs w:val="28"/>
    </w:rPr>
  </w:style>
  <w:style w:type="character" w:customStyle="1" w:styleId="55">
    <w:name w:val="注释标题 Char"/>
    <w:basedOn w:val="36"/>
    <w:link w:val="9"/>
    <w:qFormat/>
    <w:uiPriority w:val="99"/>
    <w:rPr>
      <w:rFonts w:ascii="宋体" w:hAnsi="Times New Roman" w:eastAsia="宋体" w:cs="Times New Roman"/>
      <w:szCs w:val="20"/>
    </w:rPr>
  </w:style>
  <w:style w:type="character" w:customStyle="1" w:styleId="56">
    <w:name w:val="文档结构图 Char"/>
    <w:basedOn w:val="36"/>
    <w:link w:val="12"/>
    <w:qFormat/>
    <w:uiPriority w:val="99"/>
    <w:rPr>
      <w:rFonts w:ascii="宋体" w:eastAsia="宋体"/>
      <w:sz w:val="18"/>
      <w:szCs w:val="18"/>
    </w:rPr>
  </w:style>
  <w:style w:type="character" w:customStyle="1" w:styleId="57">
    <w:name w:val="纯文本 Char"/>
    <w:basedOn w:val="36"/>
    <w:link w:val="2"/>
    <w:qFormat/>
    <w:uiPriority w:val="0"/>
    <w:rPr>
      <w:rFonts w:ascii="宋体" w:hAnsi="Courier New" w:eastAsia="宋体" w:cs="Times New Roman"/>
      <w:szCs w:val="20"/>
    </w:rPr>
  </w:style>
  <w:style w:type="character" w:customStyle="1" w:styleId="58">
    <w:name w:val="日期 Char"/>
    <w:basedOn w:val="36"/>
    <w:link w:val="20"/>
    <w:qFormat/>
    <w:uiPriority w:val="99"/>
  </w:style>
  <w:style w:type="character" w:customStyle="1" w:styleId="59">
    <w:name w:val="正文文本缩进 2 Char"/>
    <w:basedOn w:val="36"/>
    <w:link w:val="21"/>
    <w:qFormat/>
    <w:uiPriority w:val="99"/>
    <w:rPr>
      <w:rFonts w:ascii="Times New Roman" w:hAnsi="Times New Roman" w:eastAsia="宋体" w:cs="Times New Roman"/>
      <w:szCs w:val="24"/>
    </w:rPr>
  </w:style>
  <w:style w:type="character" w:customStyle="1" w:styleId="60">
    <w:name w:val="批注框文本 Char"/>
    <w:basedOn w:val="36"/>
    <w:link w:val="22"/>
    <w:qFormat/>
    <w:uiPriority w:val="99"/>
    <w:rPr>
      <w:sz w:val="18"/>
      <w:szCs w:val="18"/>
    </w:rPr>
  </w:style>
  <w:style w:type="character" w:customStyle="1" w:styleId="61">
    <w:name w:val="description"/>
    <w:basedOn w:val="36"/>
    <w:qFormat/>
    <w:uiPriority w:val="0"/>
  </w:style>
  <w:style w:type="character" w:customStyle="1" w:styleId="62">
    <w:name w:val="apple-style-span"/>
    <w:basedOn w:val="36"/>
    <w:qFormat/>
    <w:uiPriority w:val="0"/>
  </w:style>
  <w:style w:type="paragraph" w:customStyle="1" w:styleId="63">
    <w:name w:val="文章正文"/>
    <w:basedOn w:val="1"/>
    <w:qFormat/>
    <w:uiPriority w:val="0"/>
    <w:pPr>
      <w:spacing w:line="360" w:lineRule="auto"/>
      <w:ind w:firstLine="480" w:firstLineChars="200"/>
    </w:pPr>
    <w:rPr>
      <w:rFonts w:ascii="Times New Roman" w:hAnsi="Times New Roman" w:eastAsia="宋体" w:cs="Times New Roman"/>
      <w:sz w:val="24"/>
      <w:szCs w:val="24"/>
    </w:rPr>
  </w:style>
  <w:style w:type="paragraph" w:customStyle="1" w:styleId="64">
    <w:name w:val="二级无标题条"/>
    <w:basedOn w:val="1"/>
    <w:qFormat/>
    <w:uiPriority w:val="0"/>
    <w:rPr>
      <w:rFonts w:ascii="Times New Roman" w:hAnsi="Times New Roman" w:eastAsia="宋体" w:cs="Times New Roman"/>
      <w:szCs w:val="24"/>
    </w:rPr>
  </w:style>
  <w:style w:type="paragraph" w:customStyle="1" w:styleId="65">
    <w:name w:val="表头"/>
    <w:basedOn w:val="66"/>
    <w:next w:val="1"/>
    <w:link w:val="67"/>
    <w:qFormat/>
    <w:uiPriority w:val="0"/>
    <w:pPr>
      <w:spacing w:line="360" w:lineRule="auto"/>
      <w:ind w:firstLine="480" w:firstLineChars="200"/>
      <w:jc w:val="center"/>
    </w:pPr>
    <w:rPr>
      <w:rFonts w:eastAsia="黑体"/>
      <w:szCs w:val="28"/>
    </w:rPr>
  </w:style>
  <w:style w:type="paragraph" w:customStyle="1" w:styleId="66">
    <w:name w:val="表文"/>
    <w:basedOn w:val="14"/>
    <w:next w:val="10"/>
    <w:qFormat/>
    <w:uiPriority w:val="0"/>
    <w:pPr>
      <w:widowControl w:val="0"/>
      <w:spacing w:after="0" w:afterLines="0" w:line="360" w:lineRule="auto"/>
      <w:jc w:val="center"/>
    </w:pPr>
    <w:rPr>
      <w:rFonts w:eastAsia="仿宋_GB2312"/>
      <w:sz w:val="24"/>
    </w:rPr>
  </w:style>
  <w:style w:type="character" w:customStyle="1" w:styleId="67">
    <w:name w:val="表头 Char"/>
    <w:basedOn w:val="36"/>
    <w:link w:val="65"/>
    <w:qFormat/>
    <w:uiPriority w:val="0"/>
    <w:rPr>
      <w:rFonts w:eastAsia="黑体"/>
      <w:szCs w:val="28"/>
    </w:rPr>
  </w:style>
  <w:style w:type="paragraph" w:customStyle="1" w:styleId="68">
    <w:name w:val="表格（5号）"/>
    <w:basedOn w:val="1"/>
    <w:qFormat/>
    <w:uiPriority w:val="0"/>
    <w:pPr>
      <w:spacing w:line="360" w:lineRule="exact"/>
      <w:ind w:left="-113" w:right="-113"/>
      <w:jc w:val="center"/>
    </w:pPr>
    <w:rPr>
      <w:rFonts w:ascii="宋体" w:hAnsi="宋体" w:eastAsia="宋体" w:cs="Courier New"/>
      <w:color w:val="000000"/>
      <w:sz w:val="18"/>
      <w:szCs w:val="20"/>
    </w:rPr>
  </w:style>
  <w:style w:type="character" w:customStyle="1" w:styleId="69">
    <w:name w:val="正文文本 Char"/>
    <w:basedOn w:val="36"/>
    <w:link w:val="14"/>
    <w:qFormat/>
    <w:uiPriority w:val="0"/>
    <w:rPr>
      <w:rFonts w:ascii="Times New Roman" w:hAnsi="Times New Roman" w:eastAsia="宋体" w:cs="Times New Roman"/>
      <w:kern w:val="2"/>
      <w:sz w:val="21"/>
      <w:szCs w:val="24"/>
    </w:rPr>
  </w:style>
  <w:style w:type="character" w:customStyle="1" w:styleId="70">
    <w:name w:val="fontstrikethrough"/>
    <w:basedOn w:val="36"/>
    <w:qFormat/>
    <w:uiPriority w:val="0"/>
    <w:rPr>
      <w:strike/>
    </w:rPr>
  </w:style>
  <w:style w:type="character" w:customStyle="1" w:styleId="71">
    <w:name w:val="fontborder"/>
    <w:basedOn w:val="36"/>
    <w:qFormat/>
    <w:uiPriority w:val="0"/>
    <w:rPr>
      <w:bdr w:val="single" w:color="000000" w:sz="6" w:space="0"/>
    </w:rPr>
  </w:style>
  <w:style w:type="character" w:customStyle="1" w:styleId="72">
    <w:name w:val="orange"/>
    <w:basedOn w:val="36"/>
    <w:qFormat/>
    <w:uiPriority w:val="0"/>
    <w:rPr>
      <w:rFonts w:ascii="Arial" w:hAnsi="Arial" w:cs="Arial"/>
      <w:b/>
      <w:color w:val="5381DF"/>
      <w:sz w:val="24"/>
      <w:szCs w:val="24"/>
    </w:rPr>
  </w:style>
  <w:style w:type="character" w:customStyle="1" w:styleId="73">
    <w:name w:val="arrs"/>
    <w:basedOn w:val="36"/>
    <w:qFormat/>
    <w:uiPriority w:val="0"/>
  </w:style>
  <w:style w:type="character" w:customStyle="1" w:styleId="74">
    <w:name w:val="jiezhi"/>
    <w:basedOn w:val="36"/>
    <w:qFormat/>
    <w:uiPriority w:val="0"/>
  </w:style>
  <w:style w:type="character" w:customStyle="1" w:styleId="75">
    <w:name w:val="iconup"/>
    <w:basedOn w:val="36"/>
    <w:qFormat/>
    <w:uiPriority w:val="0"/>
  </w:style>
  <w:style w:type="character" w:customStyle="1" w:styleId="76">
    <w:name w:val="tbig_t"/>
    <w:basedOn w:val="36"/>
    <w:qFormat/>
    <w:uiPriority w:val="0"/>
    <w:rPr>
      <w:color w:val="FFFFFF"/>
      <w:bdr w:val="single" w:color="3E5128" w:sz="6" w:space="0"/>
      <w:shd w:val="clear" w:color="auto" w:fill="4C82D8"/>
    </w:rPr>
  </w:style>
  <w:style w:type="character" w:customStyle="1" w:styleId="77">
    <w:name w:val="menin"/>
    <w:basedOn w:val="36"/>
    <w:qFormat/>
    <w:uiPriority w:val="0"/>
    <w:rPr>
      <w:color w:val="FFFFFF"/>
      <w:shd w:val="clear" w:color="auto" w:fill="3E5128"/>
    </w:rPr>
  </w:style>
  <w:style w:type="character" w:customStyle="1" w:styleId="78">
    <w:name w:val="批注文字 Char"/>
    <w:basedOn w:val="36"/>
    <w:link w:val="13"/>
    <w:semiHidden/>
    <w:qFormat/>
    <w:uiPriority w:val="99"/>
    <w:rPr>
      <w:kern w:val="2"/>
      <w:sz w:val="21"/>
      <w:szCs w:val="22"/>
    </w:rPr>
  </w:style>
  <w:style w:type="character" w:customStyle="1" w:styleId="79">
    <w:name w:val="批注主题 Char"/>
    <w:basedOn w:val="78"/>
    <w:link w:val="31"/>
    <w:semiHidden/>
    <w:qFormat/>
    <w:uiPriority w:val="99"/>
    <w:rPr>
      <w:b/>
      <w:bCs/>
      <w:kern w:val="2"/>
      <w:sz w:val="21"/>
      <w:szCs w:val="22"/>
    </w:rPr>
  </w:style>
  <w:style w:type="paragraph" w:customStyle="1" w:styleId="80">
    <w:name w:val="表格"/>
    <w:basedOn w:val="81"/>
    <w:qFormat/>
    <w:uiPriority w:val="0"/>
    <w:pPr>
      <w:widowControl/>
    </w:pPr>
    <w:rPr>
      <w:rFonts w:ascii="宋体" w:hAnsi="宋体"/>
      <w:kern w:val="0"/>
      <w:szCs w:val="21"/>
    </w:rPr>
  </w:style>
  <w:style w:type="paragraph" w:customStyle="1" w:styleId="81">
    <w:name w:val="表格内容数据报告"/>
    <w:basedOn w:val="1"/>
    <w:qFormat/>
    <w:uiPriority w:val="0"/>
    <w:pPr>
      <w:jc w:val="center"/>
      <w:textAlignment w:val="baseline"/>
    </w:pPr>
    <w:rPr>
      <w:rFonts w:ascii="Calibri" w:hAnsi="Calibri" w:eastAsia="宋体" w:cs="黑体"/>
      <w:kern w:val="0"/>
      <w:sz w:val="18"/>
      <w:szCs w:val="20"/>
    </w:rPr>
  </w:style>
  <w:style w:type="paragraph" w:customStyle="1" w:styleId="82">
    <w:name w:val="报告正文"/>
    <w:basedOn w:val="1"/>
    <w:qFormat/>
    <w:uiPriority w:val="0"/>
    <w:pPr>
      <w:spacing w:line="360" w:lineRule="auto"/>
      <w:ind w:firstLine="600" w:firstLineChars="250"/>
    </w:pPr>
    <w:rPr>
      <w:color w:val="000000"/>
      <w:kern w:val="0"/>
      <w:sz w:val="24"/>
    </w:rPr>
  </w:style>
  <w:style w:type="character" w:customStyle="1" w:styleId="83">
    <w:name w:val="标题 2 Char1"/>
    <w:qFormat/>
    <w:uiPriority w:val="0"/>
    <w:rPr>
      <w:rFonts w:ascii="Times New Roman" w:hAnsi="Times New Roman"/>
      <w:b/>
      <w:kern w:val="2"/>
      <w:sz w:val="30"/>
      <w:szCs w:val="30"/>
    </w:rPr>
  </w:style>
  <w:style w:type="paragraph" w:customStyle="1" w:styleId="84">
    <w:name w:val="图表文字注释"/>
    <w:qFormat/>
    <w:uiPriority w:val="0"/>
    <w:pPr>
      <w:spacing w:line="360" w:lineRule="auto"/>
      <w:jc w:val="center"/>
      <w:outlineLvl w:val="3"/>
    </w:pPr>
    <w:rPr>
      <w:rFonts w:ascii="Times New Roman" w:hAnsi="Times New Roman" w:eastAsia="宋体" w:cs="Times New Roman"/>
      <w:kern w:val="2"/>
      <w:sz w:val="21"/>
      <w:szCs w:val="24"/>
      <w:lang w:val="en-US" w:eastAsia="zh-CN" w:bidi="ar-SA"/>
    </w:rPr>
  </w:style>
  <w:style w:type="paragraph" w:customStyle="1" w:styleId="85">
    <w:name w:val="表图"/>
    <w:basedOn w:val="1"/>
    <w:qFormat/>
    <w:uiPriority w:val="0"/>
    <w:pPr>
      <w:widowControl/>
      <w:adjustRightInd w:val="0"/>
      <w:snapToGrid w:val="0"/>
      <w:spacing w:line="320" w:lineRule="atLeast"/>
      <w:jc w:val="center"/>
    </w:pPr>
  </w:style>
  <w:style w:type="paragraph" w:customStyle="1" w:styleId="86">
    <w:name w:val="农贸市场二级标题"/>
    <w:basedOn w:val="1"/>
    <w:qFormat/>
    <w:uiPriority w:val="0"/>
    <w:pPr>
      <w:spacing w:beforeLines="100" w:afterLines="100" w:line="360" w:lineRule="auto"/>
      <w:outlineLvl w:val="1"/>
    </w:pPr>
    <w:rPr>
      <w:rFonts w:ascii="宋体" w:hAnsi="宋体"/>
      <w:b/>
      <w:bCs/>
      <w:sz w:val="30"/>
      <w:szCs w:val="30"/>
    </w:rPr>
  </w:style>
  <w:style w:type="paragraph" w:customStyle="1" w:styleId="87">
    <w:name w:val="农贸市场三级标题"/>
    <w:basedOn w:val="88"/>
    <w:qFormat/>
    <w:uiPriority w:val="0"/>
    <w:pPr>
      <w:spacing w:beforeLines="50" w:afterLines="50"/>
      <w:ind w:firstLine="0" w:firstLineChars="0"/>
      <w:outlineLvl w:val="2"/>
    </w:pPr>
    <w:rPr>
      <w:b w:val="0"/>
      <w:sz w:val="28"/>
    </w:rPr>
  </w:style>
  <w:style w:type="paragraph" w:customStyle="1" w:styleId="88">
    <w:name w:val="农贸市场正文"/>
    <w:basedOn w:val="1"/>
    <w:qFormat/>
    <w:uiPriority w:val="0"/>
    <w:pPr>
      <w:spacing w:line="360" w:lineRule="auto"/>
      <w:ind w:firstLine="200" w:firstLineChars="200"/>
    </w:pPr>
    <w:rPr>
      <w:b/>
      <w:snapToGrid w:val="0"/>
      <w:color w:val="000000"/>
      <w:sz w:val="24"/>
    </w:rPr>
  </w:style>
  <w:style w:type="paragraph" w:customStyle="1" w:styleId="89">
    <w:name w:val="正文(首行缩进)"/>
    <w:basedOn w:val="1"/>
    <w:next w:val="1"/>
    <w:qFormat/>
    <w:uiPriority w:val="0"/>
    <w:pPr>
      <w:spacing w:line="360" w:lineRule="auto"/>
      <w:ind w:firstLine="540" w:firstLineChars="225"/>
    </w:pPr>
    <w:rPr>
      <w:snapToGrid w:val="0"/>
      <w:color w:val="000000"/>
      <w:kern w:val="0"/>
      <w:sz w:val="24"/>
    </w:rPr>
  </w:style>
  <w:style w:type="paragraph" w:customStyle="1" w:styleId="90">
    <w:name w:val="农贸市场表格表头"/>
    <w:basedOn w:val="1"/>
    <w:qFormat/>
    <w:uiPriority w:val="0"/>
    <w:pPr>
      <w:jc w:val="center"/>
    </w:pPr>
    <w:rPr>
      <w:rFonts w:ascii="宋体" w:hAnsi="宋体" w:cs="仿宋_GB2312"/>
      <w:b/>
      <w:kern w:val="0"/>
      <w:szCs w:val="21"/>
    </w:rPr>
  </w:style>
  <w:style w:type="paragraph" w:customStyle="1" w:styleId="91">
    <w:name w:val="正文001"/>
    <w:basedOn w:val="1"/>
    <w:qFormat/>
    <w:uiPriority w:val="0"/>
    <w:pPr>
      <w:ind w:firstLine="482"/>
    </w:pPr>
    <w:rPr>
      <w:sz w:val="24"/>
    </w:rPr>
  </w:style>
  <w:style w:type="paragraph" w:customStyle="1" w:styleId="92">
    <w:name w:val="标题1"/>
    <w:basedOn w:val="4"/>
    <w:qFormat/>
    <w:uiPriority w:val="0"/>
    <w:pPr>
      <w:tabs>
        <w:tab w:val="left" w:pos="425"/>
      </w:tabs>
      <w:jc w:val="center"/>
    </w:pPr>
    <w:rPr>
      <w:b w:val="0"/>
    </w:rPr>
  </w:style>
  <w:style w:type="paragraph" w:customStyle="1" w:styleId="93">
    <w:name w:val="[正文格式]"/>
    <w:basedOn w:val="1"/>
    <w:qFormat/>
    <w:uiPriority w:val="0"/>
    <w:pPr>
      <w:spacing w:line="440" w:lineRule="exact"/>
      <w:ind w:firstLine="480" w:firstLineChars="200"/>
    </w:pPr>
    <w:rPr>
      <w:sz w:val="24"/>
    </w:rPr>
  </w:style>
  <w:style w:type="paragraph" w:customStyle="1" w:styleId="94">
    <w:name w:val="正文1"/>
    <w:basedOn w:val="1"/>
    <w:qFormat/>
    <w:uiPriority w:val="0"/>
    <w:pPr>
      <w:spacing w:line="360" w:lineRule="auto"/>
      <w:ind w:firstLine="480"/>
    </w:pPr>
  </w:style>
  <w:style w:type="paragraph" w:customStyle="1" w:styleId="95">
    <w:name w:val="正文 楷体"/>
    <w:basedOn w:val="1"/>
    <w:qFormat/>
    <w:uiPriority w:val="0"/>
    <w:pPr>
      <w:spacing w:line="500" w:lineRule="exact"/>
      <w:ind w:firstLine="200" w:firstLineChars="200"/>
    </w:pPr>
    <w:rPr>
      <w:rFonts w:ascii="楷体_GB2312" w:hAnsi="楷体_GB2312" w:eastAsia="楷体_GB2312" w:cs="宋体"/>
      <w:sz w:val="24"/>
    </w:rPr>
  </w:style>
  <w:style w:type="paragraph" w:styleId="96">
    <w:name w:val="Quote"/>
    <w:basedOn w:val="1"/>
    <w:next w:val="1"/>
    <w:qFormat/>
    <w:uiPriority w:val="29"/>
    <w:pPr>
      <w:ind w:left="862" w:right="862"/>
      <w:jc w:val="center"/>
    </w:pPr>
    <w:rPr>
      <w:rFonts w:eastAsia="黑体"/>
      <w:iCs/>
      <w:color w:val="000000"/>
    </w:rPr>
  </w:style>
  <w:style w:type="paragraph" w:styleId="97">
    <w:name w:val="Intense Quote"/>
    <w:next w:val="1"/>
    <w:qFormat/>
    <w:uiPriority w:val="30"/>
    <w:pPr>
      <w:adjustRightInd w:val="0"/>
      <w:snapToGrid w:val="0"/>
      <w:jc w:val="center"/>
    </w:pPr>
    <w:rPr>
      <w:rFonts w:ascii="宋体" w:hAnsi="Courier New" w:eastAsia="宋体" w:cs="Times New Roman"/>
      <w:iCs/>
      <w:kern w:val="2"/>
      <w:sz w:val="21"/>
      <w:szCs w:val="26"/>
      <w:lang w:val="en-US" w:eastAsia="zh-CN" w:bidi="ar-SA"/>
    </w:rPr>
  </w:style>
  <w:style w:type="paragraph" w:customStyle="1" w:styleId="98">
    <w:name w:val="Table Paragraph"/>
    <w:basedOn w:val="1"/>
    <w:qFormat/>
    <w:uiPriority w:val="1"/>
    <w:rPr>
      <w:rFonts w:ascii="宋体" w:hAnsi="宋体" w:eastAsia="宋体" w:cs="宋体"/>
      <w:lang w:val="zh-CN" w:bidi="zh-CN"/>
    </w:rPr>
  </w:style>
  <w:style w:type="paragraph" w:customStyle="1" w:styleId="99">
    <w:name w:val="中文报告书样式"/>
    <w:basedOn w:val="1"/>
    <w:qFormat/>
    <w:uiPriority w:val="0"/>
    <w:pPr>
      <w:adjustRightInd w:val="0"/>
      <w:spacing w:line="480" w:lineRule="atLeast"/>
      <w:ind w:firstLine="482"/>
      <w:textAlignment w:val="baseline"/>
    </w:pPr>
    <w:rPr>
      <w:rFonts w:ascii="宋体"/>
      <w:kern w:val="24"/>
      <w:sz w:val="24"/>
      <w:szCs w:val="20"/>
    </w:rPr>
  </w:style>
  <w:style w:type="paragraph" w:customStyle="1" w:styleId="100">
    <w:name w:val="z正文"/>
    <w:basedOn w:val="15"/>
    <w:qFormat/>
    <w:uiPriority w:val="0"/>
    <w:pPr>
      <w:autoSpaceDE w:val="0"/>
      <w:autoSpaceDN w:val="0"/>
      <w:adjustRightInd w:val="0"/>
      <w:snapToGrid w:val="0"/>
      <w:spacing w:after="0"/>
      <w:ind w:left="0" w:leftChars="0" w:firstLine="200"/>
      <w:textAlignment w:val="baseline"/>
    </w:pPr>
    <w:rPr>
      <w:rFonts w:ascii="Times New Roman" w:hAnsi="Times New Roman" w:eastAsia="宋体" w:cs="Times New Roman"/>
      <w:kern w:val="0"/>
      <w:szCs w:val="20"/>
    </w:rPr>
  </w:style>
  <w:style w:type="paragraph" w:customStyle="1" w:styleId="101">
    <w:name w:val="正文内容"/>
    <w:basedOn w:val="1"/>
    <w:qFormat/>
    <w:uiPriority w:val="0"/>
    <w:pPr>
      <w:textAlignment w:val="bottom"/>
    </w:pPr>
  </w:style>
  <w:style w:type="paragraph" w:customStyle="1" w:styleId="102">
    <w:name w:val="三级"/>
    <w:basedOn w:val="6"/>
    <w:qFormat/>
    <w:uiPriority w:val="0"/>
    <w:pPr>
      <w:tabs>
        <w:tab w:val="left" w:pos="3382"/>
      </w:tabs>
    </w:pPr>
    <w:rPr>
      <w:rFonts w:ascii="宋体" w:hAnsi="宋体"/>
    </w:rPr>
  </w:style>
  <w:style w:type="paragraph" w:customStyle="1" w:styleId="103">
    <w:name w:val="表格正文"/>
    <w:basedOn w:val="1"/>
    <w:qFormat/>
    <w:uiPriority w:val="0"/>
    <w:pPr>
      <w:jc w:val="center"/>
    </w:pPr>
    <w:rPr>
      <w:snapToGrid w:val="0"/>
      <w:kern w:val="0"/>
      <w:szCs w:val="21"/>
    </w:rPr>
  </w:style>
  <w:style w:type="paragraph" w:customStyle="1" w:styleId="104">
    <w:name w:val="二级"/>
    <w:basedOn w:val="5"/>
    <w:qFormat/>
    <w:uiPriority w:val="0"/>
  </w:style>
  <w:style w:type="paragraph" w:customStyle="1" w:styleId="105">
    <w:name w:val="正文+小四"/>
    <w:basedOn w:val="106"/>
    <w:qFormat/>
    <w:uiPriority w:val="0"/>
    <w:pPr>
      <w:spacing w:beforeLines="0" w:afterLines="0"/>
      <w:ind w:firstLine="536"/>
    </w:pPr>
    <w:rPr>
      <w:rFonts w:ascii="宋体" w:hAnsi="宋体"/>
    </w:rPr>
  </w:style>
  <w:style w:type="paragraph" w:customStyle="1" w:styleId="106">
    <w:name w:val="方案正文"/>
    <w:basedOn w:val="1"/>
    <w:qFormat/>
    <w:uiPriority w:val="0"/>
    <w:pPr>
      <w:spacing w:beforeLines="50" w:afterLines="50" w:line="360" w:lineRule="auto"/>
    </w:pPr>
    <w:rPr>
      <w:spacing w:val="14"/>
    </w:rPr>
  </w:style>
  <w:style w:type="paragraph" w:customStyle="1" w:styleId="107">
    <w:name w:val="WPSOffice手动目录 1"/>
    <w:qFormat/>
    <w:uiPriority w:val="0"/>
    <w:rPr>
      <w:rFonts w:asciiTheme="minorHAnsi" w:hAnsiTheme="minorHAnsi" w:eastAsiaTheme="minorEastAsia" w:cstheme="minorBidi"/>
      <w:lang w:val="en-US" w:eastAsia="zh-CN" w:bidi="ar-SA"/>
    </w:rPr>
  </w:style>
  <w:style w:type="paragraph" w:customStyle="1" w:styleId="108">
    <w:name w:val="WPSOffice手动目录 2"/>
    <w:qFormat/>
    <w:uiPriority w:val="0"/>
    <w:pPr>
      <w:ind w:left="200" w:leftChars="200"/>
    </w:pPr>
    <w:rPr>
      <w:rFonts w:asciiTheme="minorHAnsi" w:hAnsiTheme="minorHAnsi" w:eastAsiaTheme="minorEastAsia" w:cstheme="minorBidi"/>
      <w:lang w:val="en-US" w:eastAsia="zh-CN" w:bidi="ar-SA"/>
    </w:rPr>
  </w:style>
  <w:style w:type="character" w:customStyle="1" w:styleId="109">
    <w:name w:val="fontstyle01"/>
    <w:basedOn w:val="36"/>
    <w:qFormat/>
    <w:uiPriority w:val="0"/>
    <w:rPr>
      <w:rFonts w:ascii="宋体" w:hAnsi="宋体" w:eastAsia="宋体" w:cs="宋体"/>
      <w:color w:val="000000"/>
      <w:sz w:val="24"/>
      <w:szCs w:val="24"/>
    </w:rPr>
  </w:style>
  <w:style w:type="character" w:customStyle="1" w:styleId="110">
    <w:name w:val="copyright1"/>
    <w:qFormat/>
    <w:uiPriority w:val="0"/>
    <w:rPr>
      <w:rFonts w:hint="default"/>
      <w:color w:val="000000"/>
    </w:rPr>
  </w:style>
  <w:style w:type="paragraph" w:styleId="111">
    <w:name w:val="List Paragraph"/>
    <w:basedOn w:val="1"/>
    <w:qFormat/>
    <w:uiPriority w:val="1"/>
    <w:pPr>
      <w:ind w:left="582" w:hanging="613"/>
    </w:pPr>
    <w:rPr>
      <w:rFonts w:ascii="宋体" w:hAnsi="宋体" w:eastAsia="宋体" w:cs="宋体"/>
      <w:lang w:val="zh-CN" w:eastAsia="zh-CN" w:bidi="zh-CN"/>
    </w:rPr>
  </w:style>
  <w:style w:type="paragraph" w:customStyle="1" w:styleId="112">
    <w:name w:val="0正文"/>
    <w:basedOn w:val="1"/>
    <w:qFormat/>
    <w:uiPriority w:val="0"/>
    <w:pPr>
      <w:adjustRightInd w:val="0"/>
      <w:snapToGrid w:val="0"/>
    </w:pPr>
    <w:rPr>
      <w:szCs w:val="20"/>
    </w:rPr>
  </w:style>
  <w:style w:type="paragraph" w:customStyle="1" w:styleId="113">
    <w:name w:val="正本文字"/>
    <w:basedOn w:val="1"/>
    <w:qFormat/>
    <w:uiPriority w:val="0"/>
    <w:pPr>
      <w:snapToGrid w:val="0"/>
      <w:ind w:firstLine="200"/>
    </w:pPr>
    <w:rPr>
      <w:rFonts w:ascii="Times New Roman" w:cs="宋体"/>
      <w:spacing w:val="0"/>
      <w:szCs w:val="20"/>
    </w:rPr>
  </w:style>
  <w:style w:type="paragraph" w:customStyle="1" w:styleId="114">
    <w:name w:val="图表内容"/>
    <w:basedOn w:val="115"/>
    <w:qFormat/>
    <w:uiPriority w:val="0"/>
    <w:pPr>
      <w:keepNext w:val="0"/>
      <w:keepLines w:val="0"/>
      <w:widowControl w:val="0"/>
      <w:suppressLineNumbers w:val="0"/>
      <w:spacing w:before="0" w:beforeLines="0" w:beforeAutospacing="0" w:after="0" w:afterLines="0" w:afterAutospacing="0"/>
      <w:ind w:left="0" w:right="0" w:firstLine="0" w:firstLineChars="0"/>
      <w:jc w:val="center"/>
    </w:pPr>
    <w:rPr>
      <w:rFonts w:hint="eastAsia" w:ascii="Times New Roman" w:hAnsi="Times New Roman" w:eastAsia="宋体" w:cs="Times New Roman"/>
      <w:b w:val="0"/>
      <w:kern w:val="2"/>
      <w:sz w:val="21"/>
      <w:szCs w:val="21"/>
      <w:lang w:val="en-US" w:eastAsia="zh-CN" w:bidi="ar-SA"/>
    </w:rPr>
  </w:style>
  <w:style w:type="paragraph" w:customStyle="1" w:styleId="115">
    <w:name w:val="图表标题"/>
    <w:basedOn w:val="1"/>
    <w:qFormat/>
    <w:uiPriority w:val="0"/>
    <w:pPr>
      <w:ind w:firstLine="0" w:firstLineChars="0"/>
      <w:jc w:val="center"/>
    </w:pPr>
    <w:rPr>
      <w:rFonts w:cs="Calibri"/>
      <w:b/>
      <w:sz w:val="21"/>
    </w:rPr>
  </w:style>
  <w:style w:type="paragraph" w:customStyle="1" w:styleId="116">
    <w:name w:val="表头！！！！！！！！！！"/>
    <w:basedOn w:val="10"/>
    <w:qFormat/>
    <w:uiPriority w:val="0"/>
    <w:pPr>
      <w:widowControl w:val="0"/>
      <w:autoSpaceDE w:val="0"/>
      <w:autoSpaceDN w:val="0"/>
      <w:adjustRightInd w:val="0"/>
      <w:spacing w:after="0" w:line="500" w:lineRule="exact"/>
      <w:jc w:val="center"/>
      <w:textAlignment w:val="baseline"/>
    </w:pPr>
    <w:rPr>
      <w:rFonts w:ascii="楷体_GB2312" w:eastAsia="楷体_GB2312"/>
      <w:b/>
      <w:snapToGrid w:val="0"/>
      <w:sz w:val="24"/>
      <w:szCs w:val="24"/>
    </w:rPr>
  </w:style>
  <w:style w:type="paragraph" w:customStyle="1" w:styleId="117">
    <w:name w:val="p0"/>
    <w:basedOn w:val="1"/>
    <w:qFormat/>
    <w:uiPriority w:val="0"/>
    <w:pPr>
      <w:widowControl/>
    </w:pPr>
    <w:rPr>
      <w:kern w:val="0"/>
    </w:rPr>
  </w:style>
  <w:style w:type="character" w:customStyle="1" w:styleId="118">
    <w:name w:val="Body text|2 + 10 pt"/>
    <w:basedOn w:val="119"/>
    <w:unhideWhenUsed/>
    <w:qFormat/>
    <w:uiPriority w:val="0"/>
    <w:rPr>
      <w:color w:val="000000"/>
      <w:spacing w:val="0"/>
      <w:w w:val="100"/>
      <w:position w:val="0"/>
      <w:sz w:val="20"/>
      <w:szCs w:val="20"/>
      <w:lang w:val="en-US" w:eastAsia="en-US" w:bidi="en-US"/>
    </w:rPr>
  </w:style>
  <w:style w:type="character" w:customStyle="1" w:styleId="119">
    <w:name w:val="Body text|2_"/>
    <w:basedOn w:val="36"/>
    <w:link w:val="120"/>
    <w:qFormat/>
    <w:uiPriority w:val="0"/>
    <w:rPr>
      <w:rFonts w:ascii="PMingLiU" w:hAnsi="PMingLiU" w:eastAsia="PMingLiU" w:cs="PMingLiU"/>
      <w:sz w:val="26"/>
      <w:szCs w:val="26"/>
      <w:u w:val="none"/>
    </w:rPr>
  </w:style>
  <w:style w:type="paragraph" w:customStyle="1" w:styleId="120">
    <w:name w:val="Body text|21"/>
    <w:basedOn w:val="1"/>
    <w:link w:val="119"/>
    <w:qFormat/>
    <w:uiPriority w:val="0"/>
    <w:pPr>
      <w:widowControl w:val="0"/>
      <w:shd w:val="clear" w:color="auto" w:fill="FFFFFF"/>
      <w:spacing w:before="180" w:line="260" w:lineRule="exact"/>
      <w:ind w:hanging="320"/>
      <w:jc w:val="center"/>
    </w:pPr>
    <w:rPr>
      <w:rFonts w:ascii="PMingLiU" w:hAnsi="PMingLiU" w:eastAsia="PMingLiU" w:cs="PMingLiU"/>
      <w:sz w:val="26"/>
      <w:szCs w:val="26"/>
      <w:u w:val="none"/>
    </w:rPr>
  </w:style>
  <w:style w:type="paragraph" w:customStyle="1" w:styleId="121">
    <w:name w:val="Q"/>
    <w:basedOn w:val="1"/>
    <w:qFormat/>
    <w:uiPriority w:val="0"/>
    <w:pPr>
      <w:spacing w:line="440" w:lineRule="exact"/>
      <w:ind w:firstLine="200" w:firstLineChars="200"/>
    </w:pPr>
    <w:rPr>
      <w:bCs/>
      <w:spacing w:val="10"/>
      <w:sz w:val="24"/>
    </w:rPr>
  </w:style>
  <w:style w:type="paragraph" w:customStyle="1" w:styleId="122">
    <w:name w:val="表格内容"/>
    <w:basedOn w:val="123"/>
    <w:next w:val="1"/>
    <w:qFormat/>
    <w:uiPriority w:val="0"/>
    <w:pPr>
      <w:jc w:val="center"/>
    </w:pPr>
    <w:rPr>
      <w:rFonts w:ascii="Times New Roman" w:hAnsi="Times New Roman" w:eastAsia="宋体" w:cs="Times New Roman"/>
      <w:kern w:val="21"/>
      <w:sz w:val="21"/>
      <w:szCs w:val="21"/>
      <w:lang w:val="en-US" w:eastAsia="zh-CN" w:bidi="ar-SA"/>
    </w:rPr>
  </w:style>
  <w:style w:type="paragraph" w:customStyle="1" w:styleId="123">
    <w:name w:val="表格标题"/>
    <w:basedOn w:val="11"/>
    <w:qFormat/>
    <w:uiPriority w:val="0"/>
    <w:pPr>
      <w:adjustRightInd w:val="0"/>
      <w:spacing w:beforeLines="50" w:afterLines="50"/>
      <w:jc w:val="center"/>
      <w:textAlignment w:val="baseline"/>
    </w:pPr>
    <w:rPr>
      <w:rFonts w:ascii="黑体" w:hAnsi="宋体" w:eastAsia="黑体"/>
      <w:sz w:val="24"/>
    </w:rPr>
  </w:style>
  <w:style w:type="paragraph" w:customStyle="1" w:styleId="124">
    <w:name w:val="Body Text 22"/>
    <w:qFormat/>
    <w:uiPriority w:val="0"/>
    <w:pPr>
      <w:widowControl w:val="0"/>
      <w:adjustRightInd w:val="0"/>
      <w:spacing w:line="440" w:lineRule="atLeast"/>
      <w:ind w:firstLine="480"/>
      <w:jc w:val="both"/>
      <w:textAlignment w:val="baseline"/>
    </w:pPr>
    <w:rPr>
      <w:rFonts w:ascii="Times New Roman" w:hAnsi="Times New Roman" w:eastAsia="仿宋_GB2312" w:cs="Times New Roman"/>
      <w:kern w:val="2"/>
      <w:sz w:val="24"/>
      <w:szCs w:val="20"/>
      <w:lang w:val="en-US" w:eastAsia="zh-CN" w:bidi="ar-SA"/>
    </w:rPr>
  </w:style>
  <w:style w:type="paragraph" w:customStyle="1" w:styleId="125">
    <w:name w:val="表格填充1"/>
    <w:basedOn w:val="1"/>
    <w:qFormat/>
    <w:uiPriority w:val="0"/>
    <w:pPr>
      <w:jc w:val="center"/>
    </w:pPr>
    <w:rPr>
      <w:snapToGrid w:val="0"/>
      <w:sz w:val="30"/>
      <w:szCs w:val="18"/>
    </w:rPr>
  </w:style>
  <w:style w:type="character" w:customStyle="1" w:styleId="126">
    <w:name w:val="font11"/>
    <w:basedOn w:val="36"/>
    <w:qFormat/>
    <w:uiPriority w:val="0"/>
    <w:rPr>
      <w:rFonts w:hint="eastAsia" w:ascii="等线" w:hAnsi="等线" w:eastAsia="等线" w:cs="等线"/>
      <w:color w:val="000000"/>
      <w:sz w:val="22"/>
      <w:szCs w:val="22"/>
      <w:u w:val="none"/>
    </w:rPr>
  </w:style>
  <w:style w:type="character" w:customStyle="1" w:styleId="127">
    <w:name w:val="font01"/>
    <w:basedOn w:val="36"/>
    <w:qFormat/>
    <w:uiPriority w:val="0"/>
    <w:rPr>
      <w:rFonts w:hint="eastAsia" w:ascii="宋体" w:hAnsi="宋体" w:eastAsia="宋体" w:cs="宋体"/>
      <w:color w:val="000000"/>
      <w:sz w:val="22"/>
      <w:szCs w:val="22"/>
      <w:u w:val="none"/>
    </w:rPr>
  </w:style>
  <w:style w:type="paragraph" w:customStyle="1" w:styleId="128">
    <w:name w:val="表内容"/>
    <w:basedOn w:val="1"/>
    <w:qFormat/>
    <w:uiPriority w:val="0"/>
    <w:pPr>
      <w:spacing w:line="260" w:lineRule="exact"/>
      <w:ind w:firstLine="0" w:firstLineChars="0"/>
      <w:jc w:val="center"/>
    </w:pPr>
    <w:rPr>
      <w:color w:val="000000"/>
      <w:sz w:val="20"/>
      <w:szCs w:val="22"/>
    </w:rPr>
  </w:style>
  <w:style w:type="character" w:customStyle="1" w:styleId="129">
    <w:name w:val="font61"/>
    <w:basedOn w:val="36"/>
    <w:qFormat/>
    <w:uiPriority w:val="0"/>
    <w:rPr>
      <w:rFonts w:hint="eastAsia" w:ascii="宋体" w:hAnsi="宋体" w:eastAsia="宋体" w:cs="宋体"/>
      <w:color w:val="000000"/>
      <w:sz w:val="20"/>
      <w:szCs w:val="20"/>
      <w:u w:val="none"/>
    </w:rPr>
  </w:style>
  <w:style w:type="paragraph" w:customStyle="1" w:styleId="130">
    <w:name w:val="表格文字"/>
    <w:basedOn w:val="2"/>
    <w:next w:val="1"/>
    <w:qFormat/>
    <w:uiPriority w:val="0"/>
    <w:pPr>
      <w:widowControl w:val="0"/>
      <w:adjustRightInd w:val="0"/>
      <w:snapToGrid w:val="0"/>
      <w:spacing w:line="360" w:lineRule="exact"/>
      <w:ind w:left="-106" w:leftChars="-44"/>
      <w:jc w:val="center"/>
    </w:pPr>
    <w:rPr>
      <w:sz w:val="20"/>
      <w:szCs w:val="20"/>
    </w:rPr>
  </w:style>
  <w:style w:type="paragraph" w:customStyle="1" w:styleId="131">
    <w:name w:val="Other|1"/>
    <w:basedOn w:val="1"/>
    <w:qFormat/>
    <w:uiPriority w:val="0"/>
    <w:pPr>
      <w:widowControl w:val="0"/>
      <w:shd w:val="clear" w:color="auto" w:fill="auto"/>
    </w:pPr>
    <w:rPr>
      <w:rFonts w:ascii="宋体" w:hAnsi="宋体" w:eastAsia="宋体" w:cs="宋体"/>
      <w:sz w:val="10"/>
      <w:szCs w:val="10"/>
      <w:u w:val="none"/>
      <w:shd w:val="clear" w:color="auto" w:fill="auto"/>
      <w:lang w:val="zh-TW" w:eastAsia="zh-TW" w:bidi="zh-TW"/>
    </w:rPr>
  </w:style>
  <w:style w:type="paragraph" w:customStyle="1" w:styleId="132">
    <w:name w:val="报告表正文"/>
    <w:basedOn w:val="1"/>
    <w:qFormat/>
    <w:uiPriority w:val="0"/>
    <w:pPr>
      <w:adjustRightInd w:val="0"/>
      <w:spacing w:line="300" w:lineRule="auto"/>
      <w:ind w:left="113" w:right="113" w:firstLine="0" w:firstLineChars="0"/>
      <w:textAlignment w:val="baseline"/>
    </w:pPr>
    <w:rPr>
      <w:kern w:val="0"/>
      <w:szCs w:val="20"/>
    </w:rPr>
  </w:style>
  <w:style w:type="paragraph" w:customStyle="1" w:styleId="133">
    <w:name w:val="+正文"/>
    <w:basedOn w:val="1"/>
    <w:qFormat/>
    <w:uiPriority w:val="0"/>
    <w:rPr>
      <w:szCs w:val="28"/>
    </w:rPr>
  </w:style>
  <w:style w:type="paragraph" w:customStyle="1" w:styleId="134">
    <w:name w:val="A-z正文"/>
    <w:basedOn w:val="1"/>
    <w:qFormat/>
    <w:uiPriority w:val="0"/>
    <w:rPr>
      <w:kern w:val="0"/>
      <w:szCs w:val="20"/>
    </w:rPr>
  </w:style>
  <w:style w:type="character" w:customStyle="1" w:styleId="135">
    <w:name w:val="我的正文 Char"/>
    <w:link w:val="136"/>
    <w:qFormat/>
    <w:uiPriority w:val="0"/>
    <w:rPr>
      <w:kern w:val="0"/>
      <w:szCs w:val="20"/>
    </w:rPr>
  </w:style>
  <w:style w:type="paragraph" w:customStyle="1" w:styleId="136">
    <w:name w:val="我的正文"/>
    <w:basedOn w:val="1"/>
    <w:link w:val="135"/>
    <w:qFormat/>
    <w:uiPriority w:val="0"/>
    <w:pPr>
      <w:spacing w:line="312" w:lineRule="auto"/>
    </w:pPr>
    <w:rPr>
      <w:kern w:val="0"/>
      <w:szCs w:val="20"/>
    </w:rPr>
  </w:style>
  <w:style w:type="paragraph" w:customStyle="1" w:styleId="137">
    <w:name w:val="真·正文"/>
    <w:basedOn w:val="1"/>
    <w:next w:val="138"/>
    <w:unhideWhenUsed/>
    <w:qFormat/>
    <w:uiPriority w:val="0"/>
    <w:pPr>
      <w:adjustRightInd w:val="0"/>
      <w:snapToGrid w:val="0"/>
      <w:spacing w:beforeLines="0" w:afterLines="0" w:line="360" w:lineRule="auto"/>
      <w:ind w:firstLine="200" w:firstLineChars="200"/>
      <w:jc w:val="left"/>
      <w:textAlignment w:val="baseline"/>
    </w:pPr>
    <w:rPr>
      <w:rFonts w:hint="default"/>
      <w:kern w:val="0"/>
      <w:sz w:val="24"/>
      <w:szCs w:val="24"/>
    </w:rPr>
  </w:style>
  <w:style w:type="paragraph" w:customStyle="1" w:styleId="138">
    <w:name w:val="1表格"/>
    <w:basedOn w:val="1"/>
    <w:unhideWhenUsed/>
    <w:qFormat/>
    <w:uiPriority w:val="0"/>
    <w:pPr>
      <w:snapToGrid w:val="0"/>
      <w:spacing w:beforeLines="0" w:afterLines="0" w:line="160" w:lineRule="atLeast"/>
      <w:jc w:val="center"/>
    </w:pPr>
    <w:rPr>
      <w:rFonts w:hint="eastAsia" w:ascii="Times New Roman" w:hAnsi="Times New Roman" w:eastAsia="Times New Roman"/>
      <w:sz w:val="21"/>
      <w:szCs w:val="24"/>
    </w:rPr>
  </w:style>
  <w:style w:type="paragraph" w:customStyle="1" w:styleId="139">
    <w:name w:val="书正文"/>
    <w:basedOn w:val="1"/>
    <w:qFormat/>
    <w:uiPriority w:val="0"/>
    <w:pPr>
      <w:spacing w:line="360" w:lineRule="auto"/>
      <w:ind w:firstLine="480" w:firstLineChars="200"/>
    </w:pPr>
    <w:rPr>
      <w:color w:val="000000" w:themeColor="text1"/>
      <w:shd w:val="clear" w:color="auto" w:fill="FFFFFF"/>
      <w:lang w:val="zh-TW" w:eastAsia="zh-TW"/>
      <w14:textFill>
        <w14:solidFill>
          <w14:schemeClr w14:val="tx1"/>
        </w14:solidFill>
      </w14:textFill>
    </w:rPr>
  </w:style>
  <w:style w:type="paragraph" w:customStyle="1" w:styleId="140">
    <w:name w:val="表格格式"/>
    <w:basedOn w:val="141"/>
    <w:qFormat/>
    <w:uiPriority w:val="0"/>
    <w:pPr>
      <w:spacing w:line="360" w:lineRule="auto"/>
      <w:ind w:right="8"/>
    </w:pPr>
    <w:rPr>
      <w:rFonts w:ascii="Times New Roman" w:hAnsi="Times New Roman" w:eastAsia="仿宋" w:cs="Times New Roman"/>
      <w:color w:val="000000"/>
      <w:kern w:val="0"/>
      <w:szCs w:val="20"/>
    </w:rPr>
  </w:style>
  <w:style w:type="paragraph" w:customStyle="1" w:styleId="141">
    <w:name w:val="7表格(治)"/>
    <w:qFormat/>
    <w:uiPriority w:val="0"/>
    <w:pPr>
      <w:ind w:right="17" w:rightChars="8"/>
      <w:jc w:val="center"/>
    </w:pPr>
    <w:rPr>
      <w:rFonts w:ascii="Times New Roman" w:hAnsi="Times New Roman" w:eastAsia="楷体_GB2312" w:cs="Times New Roman"/>
      <w:color w:val="000000"/>
      <w:sz w:val="21"/>
      <w:lang w:val="en-US" w:eastAsia="zh-CN" w:bidi="ar-SA"/>
    </w:rPr>
  </w:style>
  <w:style w:type="paragraph" w:customStyle="1" w:styleId="142">
    <w:name w:val="rpt_表项"/>
    <w:basedOn w:val="1"/>
    <w:qFormat/>
    <w:uiPriority w:val="0"/>
    <w:pPr>
      <w:spacing w:before="60" w:after="60"/>
      <w:jc w:val="center"/>
    </w:pPr>
    <w:rPr>
      <w:rFonts w:cs="宋体"/>
      <w:sz w:val="22"/>
      <w:szCs w:val="20"/>
    </w:rPr>
  </w:style>
</w:styles>
</file>

<file path=word/_rels/document.xml.rels><?xml version="1.0" encoding="UTF-8" standalone="yes"?>
<Relationships xmlns="http://schemas.openxmlformats.org/package/2006/relationships"><Relationship Id="rId90" Type="http://schemas.openxmlformats.org/officeDocument/2006/relationships/fontTable" Target="fontTable.xml"/><Relationship Id="rId9" Type="http://schemas.openxmlformats.org/officeDocument/2006/relationships/footer" Target="footer4.xml"/><Relationship Id="rId89" Type="http://schemas.openxmlformats.org/officeDocument/2006/relationships/customXml" Target="../customXml/item2.xml"/><Relationship Id="rId88" Type="http://schemas.openxmlformats.org/officeDocument/2006/relationships/numbering" Target="numbering.xml"/><Relationship Id="rId87" Type="http://schemas.openxmlformats.org/officeDocument/2006/relationships/customXml" Target="../customXml/item1.xml"/><Relationship Id="rId86" Type="http://schemas.openxmlformats.org/officeDocument/2006/relationships/image" Target="media/image53.png"/><Relationship Id="rId85" Type="http://schemas.openxmlformats.org/officeDocument/2006/relationships/image" Target="media/image52.png"/><Relationship Id="rId84" Type="http://schemas.openxmlformats.org/officeDocument/2006/relationships/image" Target="media/image51.png"/><Relationship Id="rId83" Type="http://schemas.openxmlformats.org/officeDocument/2006/relationships/image" Target="media/image50.png"/><Relationship Id="rId82" Type="http://schemas.openxmlformats.org/officeDocument/2006/relationships/image" Target="media/image49.png"/><Relationship Id="rId81" Type="http://schemas.openxmlformats.org/officeDocument/2006/relationships/image" Target="media/image48.png"/><Relationship Id="rId80" Type="http://schemas.openxmlformats.org/officeDocument/2006/relationships/image" Target="media/image47.png"/><Relationship Id="rId8" Type="http://schemas.openxmlformats.org/officeDocument/2006/relationships/footer" Target="footer3.xml"/><Relationship Id="rId79" Type="http://schemas.openxmlformats.org/officeDocument/2006/relationships/image" Target="media/image46.png"/><Relationship Id="rId78" Type="http://schemas.openxmlformats.org/officeDocument/2006/relationships/image" Target="media/image45.wmf"/><Relationship Id="rId77" Type="http://schemas.openxmlformats.org/officeDocument/2006/relationships/oleObject" Target="embeddings/oleObject17.bin"/><Relationship Id="rId76" Type="http://schemas.openxmlformats.org/officeDocument/2006/relationships/image" Target="media/image44.wmf"/><Relationship Id="rId75" Type="http://schemas.openxmlformats.org/officeDocument/2006/relationships/oleObject" Target="embeddings/oleObject16.bin"/><Relationship Id="rId74" Type="http://schemas.openxmlformats.org/officeDocument/2006/relationships/image" Target="media/image43.wmf"/><Relationship Id="rId73" Type="http://schemas.openxmlformats.org/officeDocument/2006/relationships/oleObject" Target="embeddings/oleObject15.bin"/><Relationship Id="rId72" Type="http://schemas.openxmlformats.org/officeDocument/2006/relationships/image" Target="media/image42.png"/><Relationship Id="rId71" Type="http://schemas.openxmlformats.org/officeDocument/2006/relationships/image" Target="media/image41.png"/><Relationship Id="rId70" Type="http://schemas.openxmlformats.org/officeDocument/2006/relationships/image" Target="media/image40.png"/><Relationship Id="rId7" Type="http://schemas.openxmlformats.org/officeDocument/2006/relationships/footer" Target="footer2.xml"/><Relationship Id="rId69" Type="http://schemas.openxmlformats.org/officeDocument/2006/relationships/image" Target="media/image39.png"/><Relationship Id="rId68" Type="http://schemas.openxmlformats.org/officeDocument/2006/relationships/image" Target="media/image38.wmf"/><Relationship Id="rId67" Type="http://schemas.openxmlformats.org/officeDocument/2006/relationships/oleObject" Target="embeddings/oleObject14.bin"/><Relationship Id="rId66" Type="http://schemas.openxmlformats.org/officeDocument/2006/relationships/image" Target="media/image37.wmf"/><Relationship Id="rId65" Type="http://schemas.openxmlformats.org/officeDocument/2006/relationships/oleObject" Target="embeddings/oleObject13.bin"/><Relationship Id="rId64" Type="http://schemas.openxmlformats.org/officeDocument/2006/relationships/image" Target="media/image36.png"/><Relationship Id="rId63" Type="http://schemas.openxmlformats.org/officeDocument/2006/relationships/image" Target="media/image35.wmf"/><Relationship Id="rId62" Type="http://schemas.openxmlformats.org/officeDocument/2006/relationships/oleObject" Target="embeddings/oleObject12.bin"/><Relationship Id="rId61" Type="http://schemas.openxmlformats.org/officeDocument/2006/relationships/image" Target="media/image34.png"/><Relationship Id="rId60" Type="http://schemas.openxmlformats.org/officeDocument/2006/relationships/image" Target="media/image33.png"/><Relationship Id="rId6" Type="http://schemas.openxmlformats.org/officeDocument/2006/relationships/header" Target="header1.xml"/><Relationship Id="rId59" Type="http://schemas.openxmlformats.org/officeDocument/2006/relationships/image" Target="media/image32.png"/><Relationship Id="rId58" Type="http://schemas.openxmlformats.org/officeDocument/2006/relationships/image" Target="media/image31.png"/><Relationship Id="rId57" Type="http://schemas.openxmlformats.org/officeDocument/2006/relationships/image" Target="media/image30.png"/><Relationship Id="rId56" Type="http://schemas.openxmlformats.org/officeDocument/2006/relationships/image" Target="media/image29.png"/><Relationship Id="rId55" Type="http://schemas.openxmlformats.org/officeDocument/2006/relationships/image" Target="media/image28.wmf"/><Relationship Id="rId54" Type="http://schemas.openxmlformats.org/officeDocument/2006/relationships/oleObject" Target="embeddings/oleObject11.bin"/><Relationship Id="rId53" Type="http://schemas.openxmlformats.org/officeDocument/2006/relationships/image" Target="media/image27.wmf"/><Relationship Id="rId52" Type="http://schemas.openxmlformats.org/officeDocument/2006/relationships/oleObject" Target="embeddings/oleObject10.bin"/><Relationship Id="rId51" Type="http://schemas.openxmlformats.org/officeDocument/2006/relationships/image" Target="media/image26.png"/><Relationship Id="rId50" Type="http://schemas.openxmlformats.org/officeDocument/2006/relationships/oleObject" Target="embeddings/oleObject9.bin"/><Relationship Id="rId5" Type="http://schemas.openxmlformats.org/officeDocument/2006/relationships/footer" Target="footer1.xml"/><Relationship Id="rId49" Type="http://schemas.openxmlformats.org/officeDocument/2006/relationships/oleObject" Target="embeddings/oleObject8.bin"/><Relationship Id="rId48" Type="http://schemas.openxmlformats.org/officeDocument/2006/relationships/oleObject" Target="embeddings/oleObject7.bin"/><Relationship Id="rId47" Type="http://schemas.openxmlformats.org/officeDocument/2006/relationships/image" Target="media/image25.wmf"/><Relationship Id="rId46" Type="http://schemas.openxmlformats.org/officeDocument/2006/relationships/oleObject" Target="embeddings/oleObject6.bin"/><Relationship Id="rId45" Type="http://schemas.openxmlformats.org/officeDocument/2006/relationships/image" Target="media/image24.wmf"/><Relationship Id="rId44" Type="http://schemas.openxmlformats.org/officeDocument/2006/relationships/oleObject" Target="embeddings/oleObject5.bin"/><Relationship Id="rId43" Type="http://schemas.openxmlformats.org/officeDocument/2006/relationships/image" Target="media/image23.wmf"/><Relationship Id="rId42" Type="http://schemas.openxmlformats.org/officeDocument/2006/relationships/oleObject" Target="embeddings/oleObject4.bin"/><Relationship Id="rId41" Type="http://schemas.openxmlformats.org/officeDocument/2006/relationships/image" Target="media/image22.wmf"/><Relationship Id="rId40" Type="http://schemas.openxmlformats.org/officeDocument/2006/relationships/oleObject" Target="embeddings/oleObject3.bin"/><Relationship Id="rId4" Type="http://schemas.openxmlformats.org/officeDocument/2006/relationships/endnotes" Target="endnotes.xml"/><Relationship Id="rId39" Type="http://schemas.openxmlformats.org/officeDocument/2006/relationships/image" Target="media/image21.png"/><Relationship Id="rId38" Type="http://schemas.openxmlformats.org/officeDocument/2006/relationships/image" Target="media/image20.png"/><Relationship Id="rId37" Type="http://schemas.openxmlformats.org/officeDocument/2006/relationships/image" Target="media/image19.png"/><Relationship Id="rId36" Type="http://schemas.openxmlformats.org/officeDocument/2006/relationships/image" Target="media/image18.png"/><Relationship Id="rId35" Type="http://schemas.openxmlformats.org/officeDocument/2006/relationships/image" Target="media/image17.png"/><Relationship Id="rId34" Type="http://schemas.openxmlformats.org/officeDocument/2006/relationships/image" Target="media/image16.png"/><Relationship Id="rId33" Type="http://schemas.openxmlformats.org/officeDocument/2006/relationships/image" Target="media/image15.png"/><Relationship Id="rId32" Type="http://schemas.openxmlformats.org/officeDocument/2006/relationships/image" Target="media/image14.jpeg"/><Relationship Id="rId31" Type="http://schemas.openxmlformats.org/officeDocument/2006/relationships/image" Target="media/image13.png"/><Relationship Id="rId30" Type="http://schemas.openxmlformats.org/officeDocument/2006/relationships/image" Target="media/image12.wmf"/><Relationship Id="rId3" Type="http://schemas.openxmlformats.org/officeDocument/2006/relationships/footnotes" Target="footnotes.xml"/><Relationship Id="rId29" Type="http://schemas.openxmlformats.org/officeDocument/2006/relationships/oleObject" Target="embeddings/oleObject2.bin"/><Relationship Id="rId28" Type="http://schemas.openxmlformats.org/officeDocument/2006/relationships/image" Target="media/image11.png"/><Relationship Id="rId27" Type="http://schemas.openxmlformats.org/officeDocument/2006/relationships/image" Target="media/image10.png"/><Relationship Id="rId26" Type="http://schemas.openxmlformats.org/officeDocument/2006/relationships/image" Target="media/image9.png"/><Relationship Id="rId25" Type="http://schemas.openxmlformats.org/officeDocument/2006/relationships/image" Target="media/image8.png"/><Relationship Id="rId24" Type="http://schemas.openxmlformats.org/officeDocument/2006/relationships/image" Target="media/image7.png"/><Relationship Id="rId23" Type="http://schemas.openxmlformats.org/officeDocument/2006/relationships/image" Target="media/image6.png"/><Relationship Id="rId22" Type="http://schemas.openxmlformats.org/officeDocument/2006/relationships/image" Target="media/image5.png"/><Relationship Id="rId21" Type="http://schemas.openxmlformats.org/officeDocument/2006/relationships/image" Target="media/image4.wmf"/><Relationship Id="rId20" Type="http://schemas.openxmlformats.org/officeDocument/2006/relationships/oleObject" Target="embeddings/oleObject1.bin"/><Relationship Id="rId2" Type="http://schemas.openxmlformats.org/officeDocument/2006/relationships/settings" Target="settings.xml"/><Relationship Id="rId19" Type="http://schemas.openxmlformats.org/officeDocument/2006/relationships/image" Target="media/image3.jpeg"/><Relationship Id="rId18" Type="http://schemas.openxmlformats.org/officeDocument/2006/relationships/image" Target="media/image2.png"/><Relationship Id="rId17" Type="http://schemas.openxmlformats.org/officeDocument/2006/relationships/image" Target="media/image1.png"/><Relationship Id="rId16" Type="http://schemas.openxmlformats.org/officeDocument/2006/relationships/theme" Target="theme/theme1.xml"/><Relationship Id="rId15" Type="http://schemas.openxmlformats.org/officeDocument/2006/relationships/footer" Target="footer7.xml"/><Relationship Id="rId14" Type="http://schemas.openxmlformats.org/officeDocument/2006/relationships/header" Target="header4.xml"/><Relationship Id="rId13" Type="http://schemas.openxmlformats.org/officeDocument/2006/relationships/footer" Target="footer6.xml"/><Relationship Id="rId12" Type="http://schemas.openxmlformats.org/officeDocument/2006/relationships/header" Target="header3.xml"/><Relationship Id="rId11" Type="http://schemas.openxmlformats.org/officeDocument/2006/relationships/footer" Target="footer5.xml"/><Relationship Id="rId10" Type="http://schemas.openxmlformats.org/officeDocument/2006/relationships/header" Target="header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DD0F11E-A0B9-4EF2-910F-5236BC22EFE5}">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231</Pages>
  <Words>147473</Words>
  <Characters>172123</Characters>
  <Lines>1102</Lines>
  <Paragraphs>310</Paragraphs>
  <TotalTime>2</TotalTime>
  <ScaleCrop>false</ScaleCrop>
  <LinksUpToDate>false</LinksUpToDate>
  <CharactersWithSpaces>175043</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2016-10-21T09:47:00Z</dcterms:created>
  <dc:creator>user</dc:creator>
  <cp:lastModifiedBy>888</cp:lastModifiedBy>
  <dcterms:modified xsi:type="dcterms:W3CDTF">2022-01-16T14:46:04Z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81A3B994EB804A999064E43F25A5F812</vt:lpwstr>
  </property>
</Properties>
</file>